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91" w:rsidRPr="005E506F" w:rsidRDefault="007D0F91" w:rsidP="007D0F91">
      <w:pPr>
        <w:spacing w:after="0" w:line="240" w:lineRule="auto"/>
        <w:jc w:val="center"/>
        <w:rPr>
          <w:rFonts w:ascii="Times New Roman" w:hAnsi="Times New Roman" w:cs="Times New Roman"/>
          <w:b/>
          <w:sz w:val="24"/>
          <w:szCs w:val="24"/>
        </w:rPr>
      </w:pPr>
      <w:bookmarkStart w:id="0" w:name="_GoBack"/>
      <w:bookmarkEnd w:id="0"/>
      <w:r w:rsidRPr="005E506F">
        <w:rPr>
          <w:rFonts w:ascii="Times New Roman" w:hAnsi="Times New Roman" w:cs="Times New Roman"/>
          <w:b/>
          <w:sz w:val="24"/>
          <w:szCs w:val="24"/>
        </w:rPr>
        <w:t>REGULATORY IMPACT STATEMENT</w:t>
      </w:r>
    </w:p>
    <w:p w:rsidR="00CD65D4" w:rsidRDefault="00CD65D4" w:rsidP="00E129F7">
      <w:pPr>
        <w:spacing w:after="0" w:line="240" w:lineRule="auto"/>
        <w:jc w:val="both"/>
        <w:rPr>
          <w:rFonts w:ascii="Times New Roman" w:hAnsi="Times New Roman" w:cs="Times New Roman"/>
          <w:b/>
          <w:sz w:val="24"/>
          <w:szCs w:val="24"/>
        </w:rPr>
      </w:pPr>
    </w:p>
    <w:p w:rsidR="007D0F91" w:rsidRDefault="006C16D2" w:rsidP="00E129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Cross government sharing of tax information </w:t>
      </w:r>
    </w:p>
    <w:p w:rsidR="006C16D2" w:rsidRDefault="006C16D2" w:rsidP="00E129F7">
      <w:pPr>
        <w:spacing w:after="0" w:line="240" w:lineRule="auto"/>
        <w:jc w:val="both"/>
        <w:rPr>
          <w:rFonts w:ascii="Times New Roman" w:hAnsi="Times New Roman" w:cs="Times New Roman"/>
          <w:b/>
          <w:sz w:val="24"/>
          <w:szCs w:val="24"/>
        </w:rPr>
      </w:pPr>
    </w:p>
    <w:p w:rsidR="006C16D2" w:rsidRPr="005E506F" w:rsidRDefault="006C16D2" w:rsidP="00E129F7">
      <w:pPr>
        <w:spacing w:after="0" w:line="240" w:lineRule="auto"/>
        <w:jc w:val="both"/>
        <w:rPr>
          <w:rFonts w:ascii="Times New Roman" w:hAnsi="Times New Roman" w:cs="Times New Roman"/>
          <w:sz w:val="24"/>
          <w:szCs w:val="24"/>
        </w:rPr>
      </w:pPr>
    </w:p>
    <w:p w:rsidR="007D0F91" w:rsidRPr="005E506F" w:rsidRDefault="007D0F91" w:rsidP="00E129F7">
      <w:pPr>
        <w:spacing w:after="0" w:line="240" w:lineRule="auto"/>
        <w:jc w:val="both"/>
        <w:rPr>
          <w:rFonts w:ascii="Times New Roman" w:hAnsi="Times New Roman" w:cs="Times New Roman"/>
          <w:b/>
          <w:sz w:val="24"/>
          <w:szCs w:val="24"/>
        </w:rPr>
      </w:pPr>
      <w:r w:rsidRPr="005E506F">
        <w:rPr>
          <w:rFonts w:ascii="Times New Roman" w:hAnsi="Times New Roman" w:cs="Times New Roman"/>
          <w:b/>
          <w:sz w:val="24"/>
          <w:szCs w:val="24"/>
        </w:rPr>
        <w:t>Agency disclosure statement</w:t>
      </w:r>
    </w:p>
    <w:p w:rsidR="007D0F91" w:rsidRPr="005E506F" w:rsidRDefault="007D0F91" w:rsidP="00E129F7">
      <w:pPr>
        <w:spacing w:after="0" w:line="240" w:lineRule="auto"/>
        <w:jc w:val="both"/>
        <w:rPr>
          <w:rFonts w:ascii="Times New Roman" w:hAnsi="Times New Roman" w:cs="Times New Roman"/>
          <w:sz w:val="24"/>
          <w:szCs w:val="24"/>
        </w:rPr>
      </w:pPr>
    </w:p>
    <w:p w:rsidR="007D0F91" w:rsidRPr="005E506F" w:rsidRDefault="007D0F91" w:rsidP="00E129F7">
      <w:pPr>
        <w:spacing w:after="0" w:line="240" w:lineRule="auto"/>
        <w:jc w:val="both"/>
        <w:rPr>
          <w:rFonts w:ascii="Times New Roman" w:hAnsi="Times New Roman" w:cs="Times New Roman"/>
          <w:sz w:val="24"/>
          <w:szCs w:val="24"/>
        </w:rPr>
      </w:pPr>
      <w:r w:rsidRPr="005E506F">
        <w:rPr>
          <w:rFonts w:ascii="Times New Roman" w:hAnsi="Times New Roman" w:cs="Times New Roman"/>
          <w:sz w:val="24"/>
          <w:szCs w:val="24"/>
        </w:rPr>
        <w:t xml:space="preserve">This regulatory impact statement has been prepared by Inland Revenue.  It provides an analysis of the options to address </w:t>
      </w:r>
      <w:r w:rsidR="00CD65D4">
        <w:rPr>
          <w:rFonts w:ascii="Times New Roman" w:hAnsi="Times New Roman" w:cs="Times New Roman"/>
          <w:sz w:val="24"/>
          <w:szCs w:val="24"/>
        </w:rPr>
        <w:t>the difference in scope between the tax secrecy exception in section 81A of the Tax Administration Act</w:t>
      </w:r>
      <w:r w:rsidR="006F1C26">
        <w:rPr>
          <w:rFonts w:ascii="Times New Roman" w:hAnsi="Times New Roman" w:cs="Times New Roman"/>
          <w:sz w:val="24"/>
          <w:szCs w:val="24"/>
        </w:rPr>
        <w:t xml:space="preserve"> 1994</w:t>
      </w:r>
      <w:r w:rsidR="00686406">
        <w:rPr>
          <w:rFonts w:ascii="Times New Roman" w:hAnsi="Times New Roman" w:cs="Times New Roman"/>
          <w:sz w:val="24"/>
          <w:szCs w:val="24"/>
        </w:rPr>
        <w:t>, which enables the sharing of personal information</w:t>
      </w:r>
      <w:r w:rsidR="003800AD">
        <w:rPr>
          <w:rFonts w:ascii="Times New Roman" w:hAnsi="Times New Roman" w:cs="Times New Roman"/>
          <w:sz w:val="24"/>
          <w:szCs w:val="24"/>
        </w:rPr>
        <w:t xml:space="preserve"> only</w:t>
      </w:r>
      <w:r w:rsidR="00686406">
        <w:rPr>
          <w:rFonts w:ascii="Times New Roman" w:hAnsi="Times New Roman" w:cs="Times New Roman"/>
          <w:sz w:val="24"/>
          <w:szCs w:val="24"/>
        </w:rPr>
        <w:t>,</w:t>
      </w:r>
      <w:r w:rsidR="00AD5FF8">
        <w:rPr>
          <w:rFonts w:ascii="Times New Roman" w:hAnsi="Times New Roman" w:cs="Times New Roman"/>
          <w:sz w:val="24"/>
          <w:szCs w:val="24"/>
        </w:rPr>
        <w:t xml:space="preserve"> and what can be shared under an Approved Information Sharing Agreement </w:t>
      </w:r>
      <w:r w:rsidR="00A22355">
        <w:rPr>
          <w:rFonts w:ascii="Times New Roman" w:hAnsi="Times New Roman" w:cs="Times New Roman"/>
          <w:sz w:val="24"/>
          <w:szCs w:val="24"/>
        </w:rPr>
        <w:t xml:space="preserve">(AISA) </w:t>
      </w:r>
      <w:r w:rsidR="00AD5FF8">
        <w:rPr>
          <w:rFonts w:ascii="Times New Roman" w:hAnsi="Times New Roman" w:cs="Times New Roman"/>
          <w:sz w:val="24"/>
          <w:szCs w:val="24"/>
        </w:rPr>
        <w:t>under the Privacy Act</w:t>
      </w:r>
      <w:r w:rsidR="006F1C26">
        <w:rPr>
          <w:rFonts w:ascii="Times New Roman" w:hAnsi="Times New Roman" w:cs="Times New Roman"/>
          <w:sz w:val="24"/>
          <w:szCs w:val="24"/>
        </w:rPr>
        <w:t xml:space="preserve"> 1993, </w:t>
      </w:r>
      <w:r w:rsidR="008F554B">
        <w:rPr>
          <w:rFonts w:ascii="Times New Roman" w:hAnsi="Times New Roman" w:cs="Times New Roman"/>
          <w:sz w:val="24"/>
          <w:szCs w:val="24"/>
        </w:rPr>
        <w:t xml:space="preserve">being </w:t>
      </w:r>
      <w:r w:rsidR="003800AD">
        <w:rPr>
          <w:rFonts w:ascii="Times New Roman" w:hAnsi="Times New Roman" w:cs="Times New Roman"/>
          <w:sz w:val="24"/>
          <w:szCs w:val="24"/>
        </w:rPr>
        <w:t xml:space="preserve">both personal and </w:t>
      </w:r>
      <w:r w:rsidR="006F1C26">
        <w:rPr>
          <w:rFonts w:ascii="Times New Roman" w:hAnsi="Times New Roman" w:cs="Times New Roman"/>
          <w:sz w:val="24"/>
          <w:szCs w:val="24"/>
        </w:rPr>
        <w:t>non-personal information</w:t>
      </w:r>
      <w:r w:rsidR="00AD5FF8">
        <w:rPr>
          <w:rFonts w:ascii="Times New Roman" w:hAnsi="Times New Roman" w:cs="Times New Roman"/>
          <w:sz w:val="24"/>
          <w:szCs w:val="24"/>
        </w:rPr>
        <w:t>.</w:t>
      </w:r>
    </w:p>
    <w:p w:rsidR="007D0F91" w:rsidRDefault="007D0F91" w:rsidP="00E129F7">
      <w:pPr>
        <w:spacing w:after="0" w:line="240" w:lineRule="auto"/>
        <w:jc w:val="both"/>
        <w:rPr>
          <w:rFonts w:ascii="Times New Roman" w:hAnsi="Times New Roman" w:cs="Times New Roman"/>
          <w:sz w:val="24"/>
          <w:szCs w:val="24"/>
        </w:rPr>
      </w:pPr>
    </w:p>
    <w:p w:rsidR="00E129F7" w:rsidRDefault="008F554B" w:rsidP="00E12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support </w:t>
      </w:r>
      <w:r w:rsidR="009B2DF8">
        <w:rPr>
          <w:rFonts w:ascii="Times New Roman" w:hAnsi="Times New Roman" w:cs="Times New Roman"/>
          <w:sz w:val="24"/>
          <w:szCs w:val="24"/>
        </w:rPr>
        <w:t>the</w:t>
      </w:r>
      <w:r w:rsidR="002B41DB">
        <w:rPr>
          <w:rFonts w:ascii="Times New Roman" w:hAnsi="Times New Roman" w:cs="Times New Roman"/>
          <w:sz w:val="24"/>
          <w:szCs w:val="24"/>
        </w:rPr>
        <w:t xml:space="preserve"> benefits intended under the AISA framework</w:t>
      </w:r>
      <w:r>
        <w:rPr>
          <w:rFonts w:ascii="Times New Roman" w:hAnsi="Times New Roman" w:cs="Times New Roman"/>
          <w:sz w:val="24"/>
          <w:szCs w:val="24"/>
        </w:rPr>
        <w:t xml:space="preserve">, the </w:t>
      </w:r>
      <w:r w:rsidR="00AD5FF8" w:rsidRPr="00E43E16">
        <w:rPr>
          <w:rFonts w:ascii="Times New Roman" w:hAnsi="Times New Roman" w:cs="Times New Roman"/>
          <w:sz w:val="24"/>
          <w:szCs w:val="24"/>
        </w:rPr>
        <w:t>Minister</w:t>
      </w:r>
      <w:r>
        <w:rPr>
          <w:rFonts w:ascii="Times New Roman" w:hAnsi="Times New Roman" w:cs="Times New Roman"/>
          <w:sz w:val="24"/>
          <w:szCs w:val="24"/>
        </w:rPr>
        <w:t xml:space="preserve"> of Revenue</w:t>
      </w:r>
      <w:r w:rsidR="00AD5FF8" w:rsidRPr="00E43E16">
        <w:rPr>
          <w:rFonts w:ascii="Times New Roman" w:hAnsi="Times New Roman" w:cs="Times New Roman"/>
          <w:sz w:val="24"/>
          <w:szCs w:val="24"/>
        </w:rPr>
        <w:t xml:space="preserve"> ha</w:t>
      </w:r>
      <w:r w:rsidR="009B2DF8">
        <w:rPr>
          <w:rFonts w:ascii="Times New Roman" w:hAnsi="Times New Roman" w:cs="Times New Roman"/>
          <w:sz w:val="24"/>
          <w:szCs w:val="24"/>
        </w:rPr>
        <w:t>s</w:t>
      </w:r>
      <w:r w:rsidR="00AD5FF8" w:rsidRPr="00E43E16">
        <w:rPr>
          <w:rFonts w:ascii="Times New Roman" w:hAnsi="Times New Roman" w:cs="Times New Roman"/>
          <w:sz w:val="24"/>
          <w:szCs w:val="24"/>
        </w:rPr>
        <w:t xml:space="preserve"> asked </w:t>
      </w:r>
      <w:r>
        <w:rPr>
          <w:rFonts w:ascii="Times New Roman" w:hAnsi="Times New Roman" w:cs="Times New Roman"/>
          <w:sz w:val="24"/>
          <w:szCs w:val="24"/>
        </w:rPr>
        <w:t>officials to report on e</w:t>
      </w:r>
      <w:r w:rsidR="00AD5FF8">
        <w:rPr>
          <w:rFonts w:ascii="Times New Roman" w:hAnsi="Times New Roman" w:cs="Times New Roman"/>
          <w:sz w:val="24"/>
          <w:szCs w:val="24"/>
        </w:rPr>
        <w:t>xtend</w:t>
      </w:r>
      <w:r>
        <w:rPr>
          <w:rFonts w:ascii="Times New Roman" w:hAnsi="Times New Roman" w:cs="Times New Roman"/>
          <w:sz w:val="24"/>
          <w:szCs w:val="24"/>
        </w:rPr>
        <w:t>ing</w:t>
      </w:r>
      <w:r w:rsidR="00AD5FF8">
        <w:rPr>
          <w:rFonts w:ascii="Times New Roman" w:hAnsi="Times New Roman" w:cs="Times New Roman"/>
          <w:sz w:val="24"/>
          <w:szCs w:val="24"/>
        </w:rPr>
        <w:t xml:space="preserve"> the current tax secrecy provision to enable sharing of </w:t>
      </w:r>
      <w:r w:rsidR="00010BAE">
        <w:rPr>
          <w:rFonts w:ascii="Times New Roman" w:hAnsi="Times New Roman" w:cs="Times New Roman"/>
          <w:sz w:val="24"/>
          <w:szCs w:val="24"/>
        </w:rPr>
        <w:t xml:space="preserve">non-personal </w:t>
      </w:r>
      <w:r w:rsidR="00AD5FF8">
        <w:rPr>
          <w:rFonts w:ascii="Times New Roman" w:hAnsi="Times New Roman" w:cs="Times New Roman"/>
          <w:sz w:val="24"/>
          <w:szCs w:val="24"/>
        </w:rPr>
        <w:t xml:space="preserve">information under an AISA.  </w:t>
      </w:r>
      <w:r w:rsidR="00A82A4E">
        <w:rPr>
          <w:rFonts w:ascii="Times New Roman" w:hAnsi="Times New Roman" w:cs="Times New Roman"/>
          <w:sz w:val="24"/>
          <w:szCs w:val="24"/>
        </w:rPr>
        <w:t xml:space="preserve">The Minister </w:t>
      </w:r>
      <w:r w:rsidR="003800AD">
        <w:rPr>
          <w:rFonts w:ascii="Times New Roman" w:hAnsi="Times New Roman" w:cs="Times New Roman"/>
          <w:sz w:val="24"/>
          <w:szCs w:val="24"/>
        </w:rPr>
        <w:t xml:space="preserve">of Revenue </w:t>
      </w:r>
      <w:r w:rsidR="00A82A4E">
        <w:rPr>
          <w:rFonts w:ascii="Times New Roman" w:hAnsi="Times New Roman" w:cs="Times New Roman"/>
          <w:sz w:val="24"/>
          <w:szCs w:val="24"/>
        </w:rPr>
        <w:t xml:space="preserve">has asked that </w:t>
      </w:r>
      <w:r w:rsidR="00AD5FF8">
        <w:rPr>
          <w:rFonts w:ascii="Times New Roman" w:hAnsi="Times New Roman" w:cs="Times New Roman"/>
          <w:sz w:val="24"/>
          <w:szCs w:val="24"/>
        </w:rPr>
        <w:t xml:space="preserve">this amendment be included in the </w:t>
      </w:r>
      <w:r w:rsidR="00A82A4E">
        <w:rPr>
          <w:rFonts w:ascii="Times New Roman" w:hAnsi="Times New Roman" w:cs="Times New Roman"/>
          <w:sz w:val="24"/>
          <w:szCs w:val="24"/>
        </w:rPr>
        <w:t>next tax omnibus bill to be introduced in mid-April 2016.</w:t>
      </w:r>
      <w:r>
        <w:rPr>
          <w:rFonts w:ascii="Times New Roman" w:hAnsi="Times New Roman" w:cs="Times New Roman"/>
          <w:sz w:val="24"/>
          <w:szCs w:val="24"/>
        </w:rPr>
        <w:t xml:space="preserve">  </w:t>
      </w:r>
      <w:r w:rsidRPr="00E43E16">
        <w:rPr>
          <w:rFonts w:ascii="Times New Roman" w:hAnsi="Times New Roman" w:cs="Times New Roman"/>
          <w:sz w:val="24"/>
          <w:szCs w:val="24"/>
        </w:rPr>
        <w:t>The options in the attached statement</w:t>
      </w:r>
      <w:r w:rsidR="002B41DB">
        <w:rPr>
          <w:rFonts w:ascii="Times New Roman" w:hAnsi="Times New Roman" w:cs="Times New Roman"/>
          <w:sz w:val="24"/>
          <w:szCs w:val="24"/>
        </w:rPr>
        <w:t>,</w:t>
      </w:r>
      <w:r w:rsidRPr="00E43E16">
        <w:rPr>
          <w:rFonts w:ascii="Times New Roman" w:hAnsi="Times New Roman" w:cs="Times New Roman"/>
          <w:sz w:val="24"/>
          <w:szCs w:val="24"/>
        </w:rPr>
        <w:t xml:space="preserve"> </w:t>
      </w:r>
      <w:r>
        <w:rPr>
          <w:rFonts w:ascii="Times New Roman" w:hAnsi="Times New Roman" w:cs="Times New Roman"/>
          <w:sz w:val="24"/>
          <w:szCs w:val="24"/>
        </w:rPr>
        <w:t>and the time to consider these options</w:t>
      </w:r>
      <w:r w:rsidR="002B41DB">
        <w:rPr>
          <w:rFonts w:ascii="Times New Roman" w:hAnsi="Times New Roman" w:cs="Times New Roman"/>
          <w:sz w:val="24"/>
          <w:szCs w:val="24"/>
        </w:rPr>
        <w:t>,</w:t>
      </w:r>
      <w:r>
        <w:rPr>
          <w:rFonts w:ascii="Times New Roman" w:hAnsi="Times New Roman" w:cs="Times New Roman"/>
          <w:sz w:val="24"/>
          <w:szCs w:val="24"/>
        </w:rPr>
        <w:t xml:space="preserve"> </w:t>
      </w:r>
      <w:r w:rsidRPr="00E43E16">
        <w:rPr>
          <w:rFonts w:ascii="Times New Roman" w:hAnsi="Times New Roman" w:cs="Times New Roman"/>
          <w:sz w:val="24"/>
          <w:szCs w:val="24"/>
        </w:rPr>
        <w:t>have been constrained as</w:t>
      </w:r>
      <w:r>
        <w:rPr>
          <w:rFonts w:ascii="Times New Roman" w:hAnsi="Times New Roman" w:cs="Times New Roman"/>
          <w:sz w:val="24"/>
          <w:szCs w:val="24"/>
        </w:rPr>
        <w:t xml:space="preserve"> a result.</w:t>
      </w:r>
    </w:p>
    <w:p w:rsidR="00A82A4E" w:rsidRDefault="00A82A4E" w:rsidP="00E129F7">
      <w:pPr>
        <w:spacing w:after="0" w:line="240" w:lineRule="auto"/>
        <w:jc w:val="both"/>
        <w:rPr>
          <w:rFonts w:ascii="Times New Roman" w:hAnsi="Times New Roman" w:cs="Times New Roman"/>
          <w:sz w:val="24"/>
          <w:szCs w:val="24"/>
        </w:rPr>
      </w:pPr>
    </w:p>
    <w:p w:rsidR="003800AD" w:rsidRDefault="003800AD" w:rsidP="003800AD">
      <w:pPr>
        <w:pStyle w:val="ListParagraph"/>
        <w:spacing w:after="0" w:line="240" w:lineRule="auto"/>
        <w:ind w:left="0"/>
        <w:jc w:val="both"/>
        <w:rPr>
          <w:rFonts w:ascii="Times New Roman" w:hAnsi="Times New Roman" w:cs="Times New Roman"/>
          <w:sz w:val="24"/>
          <w:szCs w:val="24"/>
        </w:rPr>
      </w:pPr>
      <w:r w:rsidRPr="00686406">
        <w:rPr>
          <w:rFonts w:ascii="Times New Roman" w:hAnsi="Times New Roman" w:cs="Times New Roman"/>
          <w:sz w:val="24"/>
          <w:szCs w:val="24"/>
        </w:rPr>
        <w:t>Officials have consulted with the Office of the Privacy Commissioner, the Treasury, New Zeal</w:t>
      </w:r>
      <w:r>
        <w:rPr>
          <w:rFonts w:ascii="Times New Roman" w:hAnsi="Times New Roman" w:cs="Times New Roman"/>
          <w:sz w:val="24"/>
          <w:szCs w:val="24"/>
        </w:rPr>
        <w:t>and Police</w:t>
      </w:r>
      <w:r w:rsidR="00E80B0F">
        <w:rPr>
          <w:rFonts w:ascii="Times New Roman" w:hAnsi="Times New Roman" w:cs="Times New Roman"/>
          <w:sz w:val="24"/>
          <w:szCs w:val="24"/>
        </w:rPr>
        <w:t xml:space="preserve"> and the Ministry of Justice</w:t>
      </w:r>
      <w:r>
        <w:rPr>
          <w:rFonts w:ascii="Times New Roman" w:hAnsi="Times New Roman" w:cs="Times New Roman"/>
          <w:sz w:val="24"/>
          <w:szCs w:val="24"/>
        </w:rPr>
        <w:t xml:space="preserve">.  There were no concerns raised in </w:t>
      </w:r>
      <w:r w:rsidR="000A2444">
        <w:rPr>
          <w:rFonts w:ascii="Times New Roman" w:hAnsi="Times New Roman" w:cs="Times New Roman"/>
          <w:sz w:val="24"/>
          <w:szCs w:val="24"/>
        </w:rPr>
        <w:t xml:space="preserve">the </w:t>
      </w:r>
      <w:r>
        <w:rPr>
          <w:rFonts w:ascii="Times New Roman" w:hAnsi="Times New Roman" w:cs="Times New Roman"/>
          <w:sz w:val="24"/>
          <w:szCs w:val="24"/>
        </w:rPr>
        <w:t xml:space="preserve">feedback and all </w:t>
      </w:r>
      <w:r w:rsidR="00E80B0F">
        <w:rPr>
          <w:rFonts w:ascii="Times New Roman" w:hAnsi="Times New Roman" w:cs="Times New Roman"/>
          <w:sz w:val="24"/>
          <w:szCs w:val="24"/>
        </w:rPr>
        <w:t xml:space="preserve">four </w:t>
      </w:r>
      <w:r>
        <w:rPr>
          <w:rFonts w:ascii="Times New Roman" w:hAnsi="Times New Roman" w:cs="Times New Roman"/>
          <w:sz w:val="24"/>
          <w:szCs w:val="24"/>
        </w:rPr>
        <w:t>agencies support the proposed amendment.</w:t>
      </w:r>
    </w:p>
    <w:p w:rsidR="007D2129" w:rsidRDefault="007D2129" w:rsidP="003800AD">
      <w:pPr>
        <w:pStyle w:val="ListParagraph"/>
        <w:spacing w:after="0" w:line="240" w:lineRule="auto"/>
        <w:ind w:left="0"/>
        <w:jc w:val="both"/>
        <w:rPr>
          <w:rFonts w:ascii="Times New Roman" w:hAnsi="Times New Roman" w:cs="Times New Roman"/>
          <w:sz w:val="24"/>
          <w:szCs w:val="24"/>
        </w:rPr>
      </w:pPr>
    </w:p>
    <w:p w:rsidR="00A82A4E" w:rsidRDefault="00A82A4E" w:rsidP="00A82A4E">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 xml:space="preserve">None of the policy options restrict market competition, impair property rights, </w:t>
      </w:r>
      <w:proofErr w:type="gramStart"/>
      <w:r w:rsidRPr="00E43E16">
        <w:rPr>
          <w:rFonts w:ascii="Times New Roman" w:hAnsi="Times New Roman" w:cs="Times New Roman"/>
          <w:sz w:val="24"/>
          <w:szCs w:val="24"/>
        </w:rPr>
        <w:t>reduce</w:t>
      </w:r>
      <w:proofErr w:type="gramEnd"/>
      <w:r w:rsidRPr="00E43E16">
        <w:rPr>
          <w:rFonts w:ascii="Times New Roman" w:hAnsi="Times New Roman" w:cs="Times New Roman"/>
          <w:sz w:val="24"/>
          <w:szCs w:val="24"/>
        </w:rPr>
        <w:t xml:space="preserve"> incentives for small businesses to operate, or override fundamental common law principles.</w:t>
      </w: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p>
    <w:p w:rsidR="00A82A4E" w:rsidRDefault="00A82A4E" w:rsidP="00E12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Keith Taylor</w:t>
      </w:r>
    </w:p>
    <w:p w:rsidR="00A82A4E" w:rsidRDefault="00A82A4E" w:rsidP="00E12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Policy Manager</w:t>
      </w:r>
    </w:p>
    <w:p w:rsidR="00A82A4E" w:rsidRDefault="00A82A4E" w:rsidP="00E12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Policy and Strategy</w:t>
      </w:r>
    </w:p>
    <w:p w:rsidR="00A82A4E" w:rsidRDefault="00A82A4E" w:rsidP="00E12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Inland Revenue</w:t>
      </w:r>
    </w:p>
    <w:p w:rsidR="00AC6CB7" w:rsidRDefault="00AC6CB7" w:rsidP="00E129F7">
      <w:pPr>
        <w:spacing w:after="0" w:line="240" w:lineRule="auto"/>
        <w:jc w:val="both"/>
        <w:rPr>
          <w:rFonts w:ascii="Times New Roman" w:hAnsi="Times New Roman" w:cs="Times New Roman"/>
          <w:sz w:val="24"/>
          <w:szCs w:val="24"/>
        </w:rPr>
      </w:pPr>
    </w:p>
    <w:p w:rsidR="00AC6CB7" w:rsidRPr="006C16D2" w:rsidRDefault="006C16D2" w:rsidP="00E129F7">
      <w:pPr>
        <w:spacing w:after="0" w:line="240" w:lineRule="auto"/>
        <w:jc w:val="both"/>
        <w:rPr>
          <w:rFonts w:ascii="Times New Roman" w:hAnsi="Times New Roman" w:cs="Times New Roman"/>
          <w:sz w:val="24"/>
          <w:szCs w:val="24"/>
        </w:rPr>
      </w:pPr>
      <w:r w:rsidRPr="006C16D2">
        <w:rPr>
          <w:rFonts w:ascii="Times New Roman" w:hAnsi="Times New Roman" w:cs="Times New Roman"/>
          <w:sz w:val="24"/>
          <w:szCs w:val="24"/>
        </w:rPr>
        <w:t>23</w:t>
      </w:r>
      <w:r w:rsidR="00AC6CB7" w:rsidRPr="006C16D2">
        <w:rPr>
          <w:rFonts w:ascii="Times New Roman" w:hAnsi="Times New Roman" w:cs="Times New Roman"/>
          <w:sz w:val="24"/>
          <w:szCs w:val="24"/>
        </w:rPr>
        <w:t xml:space="preserve"> February 2016</w:t>
      </w:r>
    </w:p>
    <w:p w:rsidR="00A82A4E" w:rsidRDefault="00A82A4E">
      <w:pPr>
        <w:rPr>
          <w:rFonts w:ascii="Times New Roman" w:hAnsi="Times New Roman" w:cs="Times New Roman"/>
          <w:sz w:val="24"/>
          <w:szCs w:val="24"/>
        </w:rPr>
      </w:pPr>
      <w:r>
        <w:rPr>
          <w:rFonts w:ascii="Times New Roman" w:hAnsi="Times New Roman" w:cs="Times New Roman"/>
          <w:sz w:val="24"/>
          <w:szCs w:val="24"/>
        </w:rPr>
        <w:br w:type="page"/>
      </w:r>
    </w:p>
    <w:p w:rsidR="00923B80" w:rsidRPr="005E506F" w:rsidRDefault="007D0F91" w:rsidP="00E129F7">
      <w:pPr>
        <w:spacing w:after="0" w:line="240" w:lineRule="auto"/>
        <w:jc w:val="both"/>
        <w:rPr>
          <w:rFonts w:ascii="Times New Roman" w:hAnsi="Times New Roman" w:cs="Times New Roman"/>
          <w:b/>
          <w:sz w:val="24"/>
          <w:szCs w:val="24"/>
        </w:rPr>
      </w:pPr>
      <w:r w:rsidRPr="005E506F">
        <w:rPr>
          <w:rFonts w:ascii="Times New Roman" w:hAnsi="Times New Roman" w:cs="Times New Roman"/>
          <w:b/>
          <w:sz w:val="24"/>
          <w:szCs w:val="24"/>
        </w:rPr>
        <w:lastRenderedPageBreak/>
        <w:t>STATUS QUO AND PROBLEM DEFINITION</w:t>
      </w:r>
    </w:p>
    <w:p w:rsidR="00A7084E" w:rsidRPr="005E506F" w:rsidRDefault="00A7084E" w:rsidP="00E129F7">
      <w:pPr>
        <w:spacing w:after="0" w:line="240" w:lineRule="auto"/>
        <w:jc w:val="both"/>
        <w:rPr>
          <w:rFonts w:ascii="Times New Roman" w:hAnsi="Times New Roman" w:cs="Times New Roman"/>
          <w:sz w:val="24"/>
          <w:szCs w:val="24"/>
        </w:rPr>
      </w:pPr>
    </w:p>
    <w:p w:rsidR="007D2129" w:rsidRPr="007D2129" w:rsidRDefault="007D2129" w:rsidP="007D2129">
      <w:pPr>
        <w:pStyle w:val="ListParagraph"/>
        <w:numPr>
          <w:ilvl w:val="0"/>
          <w:numId w:val="3"/>
        </w:numPr>
        <w:spacing w:after="0" w:line="240" w:lineRule="auto"/>
        <w:ind w:left="0" w:firstLine="0"/>
        <w:jc w:val="both"/>
        <w:rPr>
          <w:rFonts w:ascii="Times New Roman" w:hAnsi="Times New Roman" w:cs="Times New Roman"/>
          <w:sz w:val="24"/>
          <w:szCs w:val="20"/>
        </w:rPr>
      </w:pPr>
      <w:r w:rsidRPr="007D2129">
        <w:rPr>
          <w:rFonts w:ascii="Times New Roman" w:hAnsi="Times New Roman" w:cs="Times New Roman"/>
          <w:sz w:val="24"/>
          <w:szCs w:val="20"/>
        </w:rPr>
        <w:t>Inland Revenue’s tax secrecy laws cover all matters relating to legislation administered by Inland Revenue. Communication of these matters is not normally permitted other than for the purpose of carrying into effect that legislation.</w:t>
      </w:r>
      <w:r>
        <w:rPr>
          <w:rFonts w:ascii="Times New Roman" w:hAnsi="Times New Roman" w:cs="Times New Roman"/>
          <w:sz w:val="24"/>
          <w:szCs w:val="20"/>
        </w:rPr>
        <w:t xml:space="preserve"> </w:t>
      </w:r>
      <w:r w:rsidRPr="007D2129">
        <w:rPr>
          <w:rFonts w:ascii="Times New Roman" w:hAnsi="Times New Roman" w:cs="Times New Roman"/>
          <w:sz w:val="24"/>
          <w:szCs w:val="20"/>
        </w:rPr>
        <w:t>Tax secrecy is a longstanding and important concept. It is consistent with international norms (and with the basic premise of the Privacy Act), has a perceived positive impact on compliance and has a clear role as a balance to Inland Revenue’s broad information-collection powers.</w:t>
      </w:r>
    </w:p>
    <w:p w:rsidR="00304214" w:rsidRPr="00E359E0" w:rsidRDefault="00304214" w:rsidP="00E129F7">
      <w:pPr>
        <w:spacing w:after="0" w:line="240" w:lineRule="auto"/>
        <w:jc w:val="both"/>
        <w:rPr>
          <w:rFonts w:ascii="Times New Roman" w:hAnsi="Times New Roman" w:cs="Times New Roman"/>
          <w:sz w:val="24"/>
          <w:szCs w:val="20"/>
        </w:rPr>
      </w:pPr>
    </w:p>
    <w:p w:rsidR="00DB7D4C" w:rsidRPr="0025442B" w:rsidRDefault="005F678C" w:rsidP="00DB7D4C">
      <w:pPr>
        <w:pStyle w:val="ListParagraph"/>
        <w:numPr>
          <w:ilvl w:val="0"/>
          <w:numId w:val="3"/>
        </w:numPr>
        <w:spacing w:after="0" w:line="240" w:lineRule="auto"/>
        <w:ind w:left="0" w:firstLine="0"/>
        <w:jc w:val="both"/>
        <w:rPr>
          <w:rFonts w:ascii="Times New Roman" w:hAnsi="Times New Roman" w:cs="Times New Roman"/>
          <w:sz w:val="24"/>
          <w:szCs w:val="24"/>
        </w:rPr>
      </w:pPr>
      <w:r w:rsidRPr="0025442B">
        <w:rPr>
          <w:rFonts w:ascii="Times New Roman" w:hAnsi="Times New Roman" w:cs="Times New Roman"/>
          <w:sz w:val="24"/>
          <w:szCs w:val="20"/>
        </w:rPr>
        <w:t xml:space="preserve">However, </w:t>
      </w:r>
      <w:r w:rsidR="009E5C97">
        <w:rPr>
          <w:rFonts w:ascii="Times New Roman" w:hAnsi="Times New Roman" w:cs="Times New Roman"/>
          <w:sz w:val="24"/>
          <w:szCs w:val="20"/>
        </w:rPr>
        <w:t xml:space="preserve">the operation of Government requires that </w:t>
      </w:r>
      <w:r w:rsidR="0025442B" w:rsidRPr="0025442B">
        <w:rPr>
          <w:rFonts w:ascii="Times New Roman" w:hAnsi="Times New Roman" w:cs="Times New Roman"/>
          <w:sz w:val="24"/>
          <w:szCs w:val="20"/>
        </w:rPr>
        <w:t>the tax secrecy requirements be balanced against wider objectives and the need to share information with other agencies.  O</w:t>
      </w:r>
      <w:r w:rsidR="00304214" w:rsidRPr="0025442B">
        <w:rPr>
          <w:rFonts w:ascii="Times New Roman" w:hAnsi="Times New Roman" w:cs="Times New Roman"/>
          <w:sz w:val="24"/>
          <w:szCs w:val="20"/>
        </w:rPr>
        <w:t xml:space="preserve">ver time </w:t>
      </w:r>
      <w:r w:rsidRPr="0025442B">
        <w:rPr>
          <w:rFonts w:ascii="Times New Roman" w:hAnsi="Times New Roman" w:cs="Times New Roman"/>
          <w:sz w:val="24"/>
          <w:szCs w:val="20"/>
        </w:rPr>
        <w:t xml:space="preserve">a number of exceptions to the strict tax secrecy rule have been introduced, </w:t>
      </w:r>
      <w:r w:rsidR="00304214" w:rsidRPr="0025442B">
        <w:rPr>
          <w:rFonts w:ascii="Times New Roman" w:hAnsi="Times New Roman" w:cs="Times New Roman"/>
          <w:sz w:val="24"/>
          <w:szCs w:val="20"/>
        </w:rPr>
        <w:t>the majority of which involve cross-government information sharing.</w:t>
      </w:r>
      <w:r w:rsidR="00304214" w:rsidRPr="0025442B">
        <w:rPr>
          <w:rFonts w:ascii="Times New Roman" w:eastAsia="Times New Roman" w:hAnsi="Times New Roman" w:cs="Times New Roman"/>
          <w:sz w:val="32"/>
          <w:szCs w:val="20"/>
          <w:lang w:eastAsia="en-AU"/>
        </w:rPr>
        <w:t xml:space="preserve"> </w:t>
      </w:r>
      <w:r w:rsidRPr="0025442B">
        <w:rPr>
          <w:rFonts w:ascii="Times New Roman" w:eastAsia="Times New Roman" w:hAnsi="Times New Roman" w:cs="Times New Roman"/>
          <w:sz w:val="32"/>
          <w:szCs w:val="20"/>
          <w:lang w:eastAsia="en-AU"/>
        </w:rPr>
        <w:t xml:space="preserve"> </w:t>
      </w:r>
      <w:r w:rsidR="00304214" w:rsidRPr="0025442B">
        <w:rPr>
          <w:rFonts w:ascii="Times New Roman" w:hAnsi="Times New Roman" w:cs="Times New Roman"/>
          <w:sz w:val="24"/>
          <w:szCs w:val="20"/>
        </w:rPr>
        <w:t xml:space="preserve">These exceptions reflect the </w:t>
      </w:r>
      <w:r w:rsidR="008F554B">
        <w:rPr>
          <w:rFonts w:ascii="Times New Roman" w:hAnsi="Times New Roman" w:cs="Times New Roman"/>
          <w:sz w:val="24"/>
          <w:szCs w:val="20"/>
        </w:rPr>
        <w:t>balancing</w:t>
      </w:r>
      <w:r w:rsidR="00304214" w:rsidRPr="0025442B">
        <w:rPr>
          <w:rFonts w:ascii="Times New Roman" w:hAnsi="Times New Roman" w:cs="Times New Roman"/>
          <w:sz w:val="24"/>
          <w:szCs w:val="20"/>
        </w:rPr>
        <w:t xml:space="preserve"> of </w:t>
      </w:r>
      <w:r w:rsidR="008F554B">
        <w:rPr>
          <w:rFonts w:ascii="Times New Roman" w:hAnsi="Times New Roman" w:cs="Times New Roman"/>
          <w:sz w:val="24"/>
          <w:szCs w:val="20"/>
        </w:rPr>
        <w:t xml:space="preserve">the </w:t>
      </w:r>
      <w:r w:rsidR="00304214" w:rsidRPr="0025442B">
        <w:rPr>
          <w:rFonts w:ascii="Times New Roman" w:hAnsi="Times New Roman" w:cs="Times New Roman"/>
          <w:sz w:val="24"/>
          <w:szCs w:val="20"/>
        </w:rPr>
        <w:t>principles of tax secrecy against the need to support economic efficiency and growth,</w:t>
      </w:r>
      <w:r w:rsidRPr="0025442B">
        <w:rPr>
          <w:rFonts w:ascii="Times New Roman" w:hAnsi="Times New Roman" w:cs="Times New Roman"/>
          <w:sz w:val="24"/>
          <w:szCs w:val="20"/>
        </w:rPr>
        <w:t xml:space="preserve"> and wider government outcomes.</w:t>
      </w:r>
    </w:p>
    <w:p w:rsidR="00DB7D4C" w:rsidRPr="00DB7D4C" w:rsidRDefault="00DB7D4C" w:rsidP="00DB7D4C">
      <w:pPr>
        <w:pStyle w:val="ListParagraph"/>
        <w:spacing w:after="0" w:line="240" w:lineRule="auto"/>
        <w:ind w:left="0"/>
        <w:jc w:val="both"/>
        <w:rPr>
          <w:rFonts w:ascii="Times New Roman" w:hAnsi="Times New Roman" w:cs="Times New Roman"/>
          <w:sz w:val="24"/>
          <w:szCs w:val="24"/>
        </w:rPr>
      </w:pPr>
    </w:p>
    <w:p w:rsidR="0025442B" w:rsidRDefault="002B41DB" w:rsidP="00E129F7">
      <w:pPr>
        <w:pStyle w:val="ListParagraph"/>
        <w:numPr>
          <w:ilvl w:val="0"/>
          <w:numId w:val="3"/>
        </w:numPr>
        <w:spacing w:after="0" w:line="240" w:lineRule="auto"/>
        <w:ind w:left="0" w:firstLine="0"/>
        <w:jc w:val="both"/>
        <w:rPr>
          <w:rFonts w:ascii="Times New Roman" w:hAnsi="Times New Roman" w:cs="Times New Roman"/>
          <w:sz w:val="24"/>
          <w:szCs w:val="24"/>
        </w:rPr>
      </w:pPr>
      <w:r w:rsidRPr="002B41DB">
        <w:rPr>
          <w:rFonts w:ascii="Times New Roman" w:hAnsi="Times New Roman" w:cs="Times New Roman"/>
          <w:sz w:val="24"/>
          <w:szCs w:val="24"/>
        </w:rPr>
        <w:t xml:space="preserve">Section 81A of the Tax Administration Act 1994 allows the sharing of personal information under an Approved Information Sharing Agreement (AISA). </w:t>
      </w:r>
      <w:r w:rsidR="0025442B" w:rsidRPr="002B41DB">
        <w:rPr>
          <w:rFonts w:ascii="Times New Roman" w:hAnsi="Times New Roman" w:cs="Times New Roman"/>
          <w:sz w:val="24"/>
          <w:szCs w:val="24"/>
        </w:rPr>
        <w:t>An AISA is a</w:t>
      </w:r>
      <w:r w:rsidR="003800AD" w:rsidRPr="002B41DB">
        <w:rPr>
          <w:rFonts w:ascii="Times New Roman" w:hAnsi="Times New Roman" w:cs="Times New Roman"/>
          <w:sz w:val="24"/>
          <w:szCs w:val="24"/>
        </w:rPr>
        <w:t xml:space="preserve"> legal mechanism</w:t>
      </w:r>
      <w:r w:rsidR="00245A02">
        <w:rPr>
          <w:rFonts w:ascii="Times New Roman" w:hAnsi="Times New Roman" w:cs="Times New Roman"/>
          <w:sz w:val="24"/>
          <w:szCs w:val="24"/>
        </w:rPr>
        <w:t>, provided for by the Privacy Act 1993, which</w:t>
      </w:r>
      <w:r w:rsidR="003800AD" w:rsidRPr="002B41DB">
        <w:rPr>
          <w:rFonts w:ascii="Times New Roman" w:hAnsi="Times New Roman" w:cs="Times New Roman"/>
          <w:sz w:val="24"/>
          <w:szCs w:val="24"/>
        </w:rPr>
        <w:t xml:space="preserve"> authorises the sharing of information between or within agencies (or between a government agency and a non-government agency) for the purpose of delivering public services</w:t>
      </w:r>
      <w:r w:rsidR="0025442B" w:rsidRPr="002B41DB">
        <w:rPr>
          <w:rFonts w:ascii="Times New Roman" w:hAnsi="Times New Roman" w:cs="Times New Roman"/>
          <w:sz w:val="24"/>
          <w:szCs w:val="24"/>
        </w:rPr>
        <w:t xml:space="preserve">. </w:t>
      </w:r>
      <w:r w:rsidR="00362D17" w:rsidRPr="002B41DB">
        <w:rPr>
          <w:rFonts w:ascii="Times New Roman" w:hAnsi="Times New Roman" w:cs="Times New Roman"/>
          <w:sz w:val="24"/>
          <w:szCs w:val="24"/>
        </w:rPr>
        <w:t xml:space="preserve"> AISAs can be used to share p</w:t>
      </w:r>
      <w:r w:rsidR="0025442B" w:rsidRPr="002B41DB">
        <w:rPr>
          <w:rFonts w:ascii="Times New Roman" w:hAnsi="Times New Roman" w:cs="Times New Roman"/>
          <w:sz w:val="24"/>
          <w:szCs w:val="24"/>
        </w:rPr>
        <w:t>ersonal</w:t>
      </w:r>
      <w:r w:rsidR="00362D17" w:rsidRPr="002B41DB">
        <w:rPr>
          <w:rFonts w:ascii="Times New Roman" w:hAnsi="Times New Roman" w:cs="Times New Roman"/>
          <w:sz w:val="24"/>
          <w:szCs w:val="24"/>
        </w:rPr>
        <w:t xml:space="preserve"> information</w:t>
      </w:r>
      <w:r w:rsidR="00245A02">
        <w:rPr>
          <w:rFonts w:ascii="Times New Roman" w:hAnsi="Times New Roman" w:cs="Times New Roman"/>
          <w:sz w:val="24"/>
          <w:szCs w:val="24"/>
        </w:rPr>
        <w:t>,</w:t>
      </w:r>
      <w:r w:rsidR="00362D17" w:rsidRPr="002B41DB">
        <w:rPr>
          <w:rFonts w:ascii="Times New Roman" w:hAnsi="Times New Roman" w:cs="Times New Roman"/>
          <w:sz w:val="24"/>
          <w:szCs w:val="24"/>
        </w:rPr>
        <w:t xml:space="preserve"> or </w:t>
      </w:r>
      <w:r w:rsidR="00245A02">
        <w:rPr>
          <w:rFonts w:ascii="Times New Roman" w:hAnsi="Times New Roman" w:cs="Times New Roman"/>
          <w:sz w:val="24"/>
          <w:szCs w:val="24"/>
        </w:rPr>
        <w:t xml:space="preserve">both </w:t>
      </w:r>
      <w:r w:rsidR="00362D17" w:rsidRPr="002B41DB">
        <w:rPr>
          <w:rFonts w:ascii="Times New Roman" w:hAnsi="Times New Roman" w:cs="Times New Roman"/>
          <w:sz w:val="24"/>
          <w:szCs w:val="24"/>
        </w:rPr>
        <w:t>p</w:t>
      </w:r>
      <w:r w:rsidR="0025442B" w:rsidRPr="002B41DB">
        <w:rPr>
          <w:rFonts w:ascii="Times New Roman" w:hAnsi="Times New Roman" w:cs="Times New Roman"/>
          <w:sz w:val="24"/>
          <w:szCs w:val="24"/>
        </w:rPr>
        <w:t>ersonal and non-personal information</w:t>
      </w:r>
      <w:r w:rsidR="00362D17" w:rsidRPr="002B41DB">
        <w:rPr>
          <w:rFonts w:ascii="Times New Roman" w:hAnsi="Times New Roman" w:cs="Times New Roman"/>
          <w:sz w:val="24"/>
          <w:szCs w:val="24"/>
        </w:rPr>
        <w:t xml:space="preserve"> such as company or partnership information.  AISAs cannot be </w:t>
      </w:r>
      <w:r w:rsidR="0025442B" w:rsidRPr="002B41DB">
        <w:rPr>
          <w:rFonts w:ascii="Times New Roman" w:hAnsi="Times New Roman" w:cs="Times New Roman"/>
          <w:sz w:val="24"/>
          <w:szCs w:val="24"/>
        </w:rPr>
        <w:t>used to share sole</w:t>
      </w:r>
      <w:r w:rsidR="00362D17" w:rsidRPr="002B41DB">
        <w:rPr>
          <w:rFonts w:ascii="Times New Roman" w:hAnsi="Times New Roman" w:cs="Times New Roman"/>
          <w:sz w:val="24"/>
          <w:szCs w:val="24"/>
        </w:rPr>
        <w:t>l</w:t>
      </w:r>
      <w:r w:rsidR="0025442B" w:rsidRPr="002B41DB">
        <w:rPr>
          <w:rFonts w:ascii="Times New Roman" w:hAnsi="Times New Roman" w:cs="Times New Roman"/>
          <w:sz w:val="24"/>
          <w:szCs w:val="24"/>
        </w:rPr>
        <w:t>y non-personal information</w:t>
      </w:r>
      <w:r w:rsidR="00362D17" w:rsidRPr="002B41DB">
        <w:rPr>
          <w:rFonts w:ascii="Times New Roman" w:hAnsi="Times New Roman" w:cs="Times New Roman"/>
          <w:sz w:val="24"/>
          <w:szCs w:val="24"/>
        </w:rPr>
        <w:t>.</w:t>
      </w:r>
      <w:r w:rsidR="00507C3B" w:rsidRPr="002B41DB">
        <w:rPr>
          <w:rFonts w:ascii="Times New Roman" w:hAnsi="Times New Roman" w:cs="Times New Roman"/>
          <w:sz w:val="24"/>
          <w:szCs w:val="24"/>
        </w:rPr>
        <w:t xml:space="preserve">  If there is a need to share solely non-personal information then this would need to be addressed through some other </w:t>
      </w:r>
      <w:r w:rsidR="008F554B" w:rsidRPr="002B41DB">
        <w:rPr>
          <w:rFonts w:ascii="Times New Roman" w:hAnsi="Times New Roman" w:cs="Times New Roman"/>
          <w:sz w:val="24"/>
          <w:szCs w:val="24"/>
        </w:rPr>
        <w:t xml:space="preserve">legislative </w:t>
      </w:r>
      <w:r w:rsidR="00507C3B" w:rsidRPr="002B41DB">
        <w:rPr>
          <w:rFonts w:ascii="Times New Roman" w:hAnsi="Times New Roman" w:cs="Times New Roman"/>
          <w:sz w:val="24"/>
          <w:szCs w:val="24"/>
        </w:rPr>
        <w:t>mechanism.</w:t>
      </w:r>
    </w:p>
    <w:p w:rsidR="00E07E15" w:rsidRPr="00E07E15" w:rsidRDefault="00E07E15" w:rsidP="00E07E15">
      <w:pPr>
        <w:pStyle w:val="ListParagraph"/>
        <w:rPr>
          <w:rFonts w:ascii="Times New Roman" w:hAnsi="Times New Roman" w:cs="Times New Roman"/>
          <w:sz w:val="24"/>
          <w:szCs w:val="24"/>
        </w:rPr>
      </w:pPr>
    </w:p>
    <w:p w:rsidR="00230B51" w:rsidRDefault="00E07E15" w:rsidP="00E129F7">
      <w:pPr>
        <w:pStyle w:val="ListParagraph"/>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AISAs are not the only legislative avenue available for cross-Government sharing of tax secret information. </w:t>
      </w:r>
      <w:r w:rsidR="009B024A">
        <w:rPr>
          <w:rFonts w:ascii="Times New Roman" w:hAnsi="Times New Roman" w:cs="Times New Roman"/>
          <w:sz w:val="24"/>
          <w:szCs w:val="24"/>
        </w:rPr>
        <w:t>Subsection 81(4)</w:t>
      </w:r>
      <w:r>
        <w:rPr>
          <w:rFonts w:ascii="Times New Roman" w:hAnsi="Times New Roman" w:cs="Times New Roman"/>
          <w:sz w:val="24"/>
          <w:szCs w:val="24"/>
        </w:rPr>
        <w:t xml:space="preserve"> </w:t>
      </w:r>
      <w:r w:rsidR="009B024A">
        <w:rPr>
          <w:rFonts w:ascii="Times New Roman" w:hAnsi="Times New Roman" w:cs="Times New Roman"/>
          <w:sz w:val="24"/>
          <w:szCs w:val="24"/>
        </w:rPr>
        <w:t xml:space="preserve">of the Tax Administration Act also allows for sharing in certain specified cases, and the list currently includes a number of specific provisions for sharing with other agencies. However, the AISA process is preferable because it facilitates the meeting of privacy expectations and is capable of providing increased certainty, transparency and accountability for agencies and the public. </w:t>
      </w:r>
    </w:p>
    <w:p w:rsidR="00230B51" w:rsidRPr="00230B51" w:rsidRDefault="00230B51" w:rsidP="00230B51">
      <w:pPr>
        <w:pStyle w:val="ListParagraph"/>
        <w:rPr>
          <w:rFonts w:ascii="Times New Roman" w:hAnsi="Times New Roman" w:cs="Times New Roman"/>
          <w:sz w:val="24"/>
          <w:szCs w:val="24"/>
        </w:rPr>
      </w:pPr>
    </w:p>
    <w:p w:rsidR="00E07E15" w:rsidRPr="00230B51" w:rsidRDefault="009B024A" w:rsidP="00230B51">
      <w:pPr>
        <w:pStyle w:val="ListParagraph"/>
        <w:numPr>
          <w:ilvl w:val="0"/>
          <w:numId w:val="3"/>
        </w:numPr>
        <w:spacing w:after="0" w:line="240" w:lineRule="auto"/>
        <w:ind w:left="0" w:firstLine="0"/>
        <w:jc w:val="both"/>
        <w:rPr>
          <w:rFonts w:ascii="Times New Roman" w:hAnsi="Times New Roman" w:cs="Times New Roman"/>
          <w:sz w:val="24"/>
          <w:szCs w:val="24"/>
        </w:rPr>
      </w:pPr>
      <w:r w:rsidRPr="00230B51">
        <w:rPr>
          <w:rFonts w:ascii="Times New Roman" w:hAnsi="Times New Roman" w:cs="Times New Roman"/>
          <w:sz w:val="24"/>
          <w:szCs w:val="24"/>
        </w:rPr>
        <w:t>A further advantage of pursuing options under an AISA is that, while the AISA framework is stable</w:t>
      </w:r>
      <w:r w:rsidR="00230B51" w:rsidRPr="00230B51">
        <w:rPr>
          <w:rFonts w:ascii="Times New Roman" w:hAnsi="Times New Roman" w:cs="Times New Roman"/>
          <w:sz w:val="24"/>
          <w:szCs w:val="24"/>
        </w:rPr>
        <w:t xml:space="preserve"> and well understood</w:t>
      </w:r>
      <w:r w:rsidR="00362862">
        <w:rPr>
          <w:rFonts w:ascii="Times New Roman" w:hAnsi="Times New Roman" w:cs="Times New Roman"/>
          <w:sz w:val="24"/>
          <w:szCs w:val="24"/>
        </w:rPr>
        <w:t>,</w:t>
      </w:r>
      <w:r w:rsidR="00230B51" w:rsidRPr="00230B51">
        <w:rPr>
          <w:rFonts w:ascii="Times New Roman" w:hAnsi="Times New Roman" w:cs="Times New Roman"/>
          <w:sz w:val="24"/>
          <w:szCs w:val="24"/>
        </w:rPr>
        <w:t xml:space="preserve"> the wider tax secrecy provisions including the s</w:t>
      </w:r>
      <w:r w:rsidR="00362862">
        <w:rPr>
          <w:rFonts w:ascii="Times New Roman" w:hAnsi="Times New Roman" w:cs="Times New Roman"/>
          <w:sz w:val="24"/>
          <w:szCs w:val="24"/>
        </w:rPr>
        <w:t>ection</w:t>
      </w:r>
      <w:r w:rsidR="00230B51" w:rsidRPr="00230B51">
        <w:rPr>
          <w:rFonts w:ascii="Times New Roman" w:hAnsi="Times New Roman" w:cs="Times New Roman"/>
          <w:sz w:val="24"/>
          <w:szCs w:val="24"/>
        </w:rPr>
        <w:t xml:space="preserve"> 81(4) exceptions are presently subject to a policy review of the Tax Administration Act</w:t>
      </w:r>
      <w:r w:rsidR="00230B51">
        <w:rPr>
          <w:rFonts w:ascii="Times New Roman" w:hAnsi="Times New Roman" w:cs="Times New Roman"/>
          <w:sz w:val="24"/>
          <w:szCs w:val="24"/>
        </w:rPr>
        <w:t>. Public consultation was conducted over 2015 and</w:t>
      </w:r>
      <w:r w:rsidR="00362862">
        <w:rPr>
          <w:rFonts w:ascii="Times New Roman" w:hAnsi="Times New Roman" w:cs="Times New Roman"/>
          <w:sz w:val="24"/>
          <w:szCs w:val="24"/>
        </w:rPr>
        <w:t>,</w:t>
      </w:r>
      <w:r w:rsidR="00230B51">
        <w:rPr>
          <w:rFonts w:ascii="Times New Roman" w:hAnsi="Times New Roman" w:cs="Times New Roman"/>
          <w:sz w:val="24"/>
          <w:szCs w:val="24"/>
        </w:rPr>
        <w:t xml:space="preserve"> where possible, it would be appropriate to avoid pre-empting the outcome of this review with further amendments to the wider secrecy provisions. </w:t>
      </w:r>
    </w:p>
    <w:p w:rsidR="00362D17" w:rsidRPr="00362D17" w:rsidRDefault="00362D17" w:rsidP="00362D17">
      <w:pPr>
        <w:pStyle w:val="ListParagraph"/>
        <w:spacing w:after="0" w:line="240" w:lineRule="auto"/>
        <w:ind w:left="0"/>
        <w:jc w:val="both"/>
        <w:rPr>
          <w:rFonts w:ascii="Times New Roman" w:hAnsi="Times New Roman" w:cs="Times New Roman"/>
          <w:sz w:val="24"/>
          <w:szCs w:val="24"/>
        </w:rPr>
      </w:pPr>
    </w:p>
    <w:p w:rsidR="00DB7D4C" w:rsidRDefault="00245A02" w:rsidP="00362D17">
      <w:pPr>
        <w:pStyle w:val="ListParagraph"/>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tax secrecy exception under</w:t>
      </w:r>
      <w:r w:rsidR="00362D17" w:rsidRPr="00245A02">
        <w:rPr>
          <w:rFonts w:ascii="Times New Roman" w:hAnsi="Times New Roman" w:cs="Times New Roman"/>
          <w:sz w:val="24"/>
          <w:szCs w:val="24"/>
        </w:rPr>
        <w:t xml:space="preserve"> section 81</w:t>
      </w:r>
      <w:r>
        <w:rPr>
          <w:rFonts w:ascii="Times New Roman" w:hAnsi="Times New Roman" w:cs="Times New Roman"/>
          <w:sz w:val="24"/>
          <w:szCs w:val="24"/>
        </w:rPr>
        <w:t>A of the Tax Administration Act</w:t>
      </w:r>
      <w:r w:rsidR="00362D17" w:rsidRPr="00245A02">
        <w:rPr>
          <w:rFonts w:ascii="Times New Roman" w:hAnsi="Times New Roman" w:cs="Times New Roman"/>
          <w:sz w:val="24"/>
          <w:szCs w:val="24"/>
        </w:rPr>
        <w:t xml:space="preserve"> provides </w:t>
      </w:r>
      <w:r>
        <w:rPr>
          <w:rFonts w:ascii="Times New Roman" w:hAnsi="Times New Roman" w:cs="Times New Roman"/>
          <w:sz w:val="24"/>
          <w:szCs w:val="24"/>
        </w:rPr>
        <w:t xml:space="preserve">only </w:t>
      </w:r>
      <w:r w:rsidR="00362D17" w:rsidRPr="00245A02">
        <w:rPr>
          <w:rFonts w:ascii="Times New Roman" w:hAnsi="Times New Roman" w:cs="Times New Roman"/>
          <w:sz w:val="24"/>
          <w:szCs w:val="24"/>
        </w:rPr>
        <w:t xml:space="preserve">for the sharing of personal information </w:t>
      </w:r>
      <w:r w:rsidRPr="00245A02">
        <w:rPr>
          <w:rFonts w:ascii="Times New Roman" w:hAnsi="Times New Roman" w:cs="Times New Roman"/>
          <w:sz w:val="24"/>
          <w:szCs w:val="24"/>
        </w:rPr>
        <w:t>under an AISA</w:t>
      </w:r>
      <w:r w:rsidR="00362D17" w:rsidRPr="00245A02">
        <w:rPr>
          <w:rFonts w:ascii="Times New Roman" w:hAnsi="Times New Roman" w:cs="Times New Roman"/>
          <w:sz w:val="24"/>
          <w:szCs w:val="24"/>
        </w:rPr>
        <w:t xml:space="preserve">, </w:t>
      </w:r>
      <w:r>
        <w:rPr>
          <w:rFonts w:ascii="Times New Roman" w:hAnsi="Times New Roman" w:cs="Times New Roman"/>
          <w:sz w:val="24"/>
          <w:szCs w:val="24"/>
        </w:rPr>
        <w:t xml:space="preserve">precluding the </w:t>
      </w:r>
      <w:r w:rsidR="00362D17" w:rsidRPr="00245A02">
        <w:rPr>
          <w:rFonts w:ascii="Times New Roman" w:hAnsi="Times New Roman" w:cs="Times New Roman"/>
          <w:sz w:val="24"/>
          <w:szCs w:val="24"/>
        </w:rPr>
        <w:t xml:space="preserve">sharing </w:t>
      </w:r>
      <w:r>
        <w:rPr>
          <w:rFonts w:ascii="Times New Roman" w:hAnsi="Times New Roman" w:cs="Times New Roman"/>
          <w:sz w:val="24"/>
          <w:szCs w:val="24"/>
        </w:rPr>
        <w:t xml:space="preserve">of </w:t>
      </w:r>
      <w:r w:rsidR="00362D17" w:rsidRPr="00245A02">
        <w:rPr>
          <w:rFonts w:ascii="Times New Roman" w:hAnsi="Times New Roman" w:cs="Times New Roman"/>
          <w:sz w:val="24"/>
          <w:szCs w:val="24"/>
        </w:rPr>
        <w:t>both personal and non-personal information.</w:t>
      </w:r>
      <w:r>
        <w:rPr>
          <w:rFonts w:ascii="Times New Roman" w:hAnsi="Times New Roman" w:cs="Times New Roman"/>
          <w:sz w:val="24"/>
          <w:szCs w:val="24"/>
        </w:rPr>
        <w:t xml:space="preserve"> </w:t>
      </w:r>
      <w:r w:rsidR="008735A7" w:rsidRPr="00245A02">
        <w:rPr>
          <w:rFonts w:ascii="Times New Roman" w:hAnsi="Times New Roman" w:cs="Times New Roman"/>
          <w:sz w:val="24"/>
          <w:szCs w:val="24"/>
        </w:rPr>
        <w:t>The difference in scope between the exception to tax secrecy legislation and what AISAs can share unduly limits the ability of Inland Revenue to use AISAs.</w:t>
      </w:r>
      <w:r w:rsidR="00CD65D4" w:rsidRPr="00245A02">
        <w:rPr>
          <w:rFonts w:ascii="Times New Roman" w:hAnsi="Times New Roman" w:cs="Times New Roman"/>
          <w:sz w:val="24"/>
          <w:szCs w:val="24"/>
        </w:rPr>
        <w:t xml:space="preserve">  </w:t>
      </w:r>
      <w:r w:rsidR="005E506F" w:rsidRPr="00245A02">
        <w:rPr>
          <w:rFonts w:ascii="Times New Roman" w:hAnsi="Times New Roman" w:cs="Times New Roman"/>
          <w:sz w:val="24"/>
          <w:szCs w:val="24"/>
        </w:rPr>
        <w:t xml:space="preserve">If the status quo remained </w:t>
      </w:r>
      <w:r w:rsidR="005F678C" w:rsidRPr="00245A02">
        <w:rPr>
          <w:rFonts w:ascii="Times New Roman" w:hAnsi="Times New Roman" w:cs="Times New Roman"/>
          <w:sz w:val="24"/>
          <w:szCs w:val="24"/>
        </w:rPr>
        <w:t xml:space="preserve">it would limit the </w:t>
      </w:r>
      <w:r w:rsidR="003800AD" w:rsidRPr="00245A02">
        <w:rPr>
          <w:rFonts w:ascii="Times New Roman" w:hAnsi="Times New Roman" w:cs="Times New Roman"/>
          <w:sz w:val="24"/>
          <w:szCs w:val="24"/>
        </w:rPr>
        <w:t xml:space="preserve">future </w:t>
      </w:r>
      <w:r w:rsidR="005F678C" w:rsidRPr="00245A02">
        <w:rPr>
          <w:rFonts w:ascii="Times New Roman" w:hAnsi="Times New Roman" w:cs="Times New Roman"/>
          <w:sz w:val="24"/>
          <w:szCs w:val="24"/>
        </w:rPr>
        <w:t xml:space="preserve">ability of </w:t>
      </w:r>
      <w:r w:rsidR="005E506F" w:rsidRPr="00245A02">
        <w:rPr>
          <w:rFonts w:ascii="Times New Roman" w:hAnsi="Times New Roman" w:cs="Times New Roman"/>
          <w:sz w:val="24"/>
          <w:szCs w:val="24"/>
        </w:rPr>
        <w:t xml:space="preserve">Inland Revenue to fully contribute to the </w:t>
      </w:r>
      <w:r w:rsidR="00A6132F" w:rsidRPr="00245A02">
        <w:rPr>
          <w:rFonts w:ascii="Times New Roman" w:hAnsi="Times New Roman" w:cs="Times New Roman"/>
          <w:sz w:val="24"/>
          <w:szCs w:val="24"/>
        </w:rPr>
        <w:t>Government’s Better Public Services reforms of a more collaborative, cross-agency approach to supporting citizens and gaining efficiencies.</w:t>
      </w:r>
    </w:p>
    <w:p w:rsidR="00DB7D4C" w:rsidRPr="00DB7D4C" w:rsidRDefault="00DB7D4C" w:rsidP="00DB7D4C">
      <w:pPr>
        <w:pStyle w:val="ListParagraph"/>
        <w:spacing w:after="0" w:line="240" w:lineRule="auto"/>
        <w:ind w:left="0"/>
        <w:jc w:val="both"/>
        <w:rPr>
          <w:rFonts w:ascii="Times New Roman" w:hAnsi="Times New Roman" w:cs="Times New Roman"/>
          <w:sz w:val="24"/>
          <w:szCs w:val="24"/>
        </w:rPr>
      </w:pPr>
    </w:p>
    <w:p w:rsidR="00362D17" w:rsidRPr="00832C44" w:rsidRDefault="00A6132F" w:rsidP="00832C44">
      <w:pPr>
        <w:pStyle w:val="ListParagraph"/>
        <w:numPr>
          <w:ilvl w:val="0"/>
          <w:numId w:val="3"/>
        </w:numPr>
        <w:spacing w:after="0" w:line="240" w:lineRule="auto"/>
        <w:ind w:left="0" w:firstLine="0"/>
        <w:jc w:val="both"/>
        <w:rPr>
          <w:rFonts w:ascii="Times New Roman" w:hAnsi="Times New Roman" w:cs="Times New Roman"/>
          <w:sz w:val="24"/>
          <w:szCs w:val="24"/>
        </w:rPr>
      </w:pPr>
      <w:r w:rsidRPr="00DB7D4C">
        <w:rPr>
          <w:rFonts w:ascii="Times New Roman" w:hAnsi="Times New Roman" w:cs="Times New Roman"/>
          <w:sz w:val="24"/>
          <w:szCs w:val="24"/>
        </w:rPr>
        <w:t xml:space="preserve">An example of this is the </w:t>
      </w:r>
      <w:r w:rsidR="000F49A1">
        <w:rPr>
          <w:rFonts w:ascii="Times New Roman" w:hAnsi="Times New Roman" w:cs="Times New Roman"/>
          <w:sz w:val="24"/>
          <w:szCs w:val="24"/>
        </w:rPr>
        <w:t>AISA</w:t>
      </w:r>
      <w:r w:rsidRPr="00DB7D4C">
        <w:rPr>
          <w:rFonts w:ascii="Times New Roman" w:hAnsi="Times New Roman" w:cs="Times New Roman"/>
          <w:sz w:val="24"/>
          <w:szCs w:val="24"/>
        </w:rPr>
        <w:t xml:space="preserve"> between Inland Revenue and the New Zealand Police for the sharing of information to help fight serious crime.  Although the New Zealand Police </w:t>
      </w:r>
      <w:r w:rsidRPr="00DB7D4C">
        <w:rPr>
          <w:rFonts w:ascii="Times New Roman" w:hAnsi="Times New Roman" w:cs="Times New Roman"/>
          <w:sz w:val="24"/>
          <w:szCs w:val="24"/>
        </w:rPr>
        <w:lastRenderedPageBreak/>
        <w:t xml:space="preserve">can request personal information under the current agreement, </w:t>
      </w:r>
      <w:r w:rsidR="006F1C26">
        <w:rPr>
          <w:rFonts w:ascii="Times New Roman" w:hAnsi="Times New Roman" w:cs="Times New Roman"/>
          <w:sz w:val="24"/>
          <w:szCs w:val="24"/>
        </w:rPr>
        <w:t xml:space="preserve">non-personal </w:t>
      </w:r>
      <w:r w:rsidRPr="00DB7D4C">
        <w:rPr>
          <w:rFonts w:ascii="Times New Roman" w:hAnsi="Times New Roman" w:cs="Times New Roman"/>
          <w:sz w:val="24"/>
          <w:szCs w:val="24"/>
        </w:rPr>
        <w:t xml:space="preserve">information about companies or other entities that are used in committing serious crimes cannot be shared. </w:t>
      </w:r>
      <w:r w:rsidR="00E41F26">
        <w:rPr>
          <w:rFonts w:ascii="Times New Roman" w:hAnsi="Times New Roman" w:cs="Times New Roman"/>
          <w:sz w:val="24"/>
          <w:szCs w:val="24"/>
        </w:rPr>
        <w:t xml:space="preserve"> </w:t>
      </w:r>
      <w:r w:rsidRPr="00DB7D4C">
        <w:rPr>
          <w:rFonts w:ascii="Times New Roman" w:hAnsi="Times New Roman" w:cs="Times New Roman"/>
          <w:sz w:val="24"/>
          <w:szCs w:val="24"/>
        </w:rPr>
        <w:t xml:space="preserve">Information held by Inland Revenue, which would be useful to </w:t>
      </w:r>
      <w:r w:rsidR="000F49A1">
        <w:rPr>
          <w:rFonts w:ascii="Times New Roman" w:hAnsi="Times New Roman" w:cs="Times New Roman"/>
          <w:sz w:val="24"/>
          <w:szCs w:val="24"/>
        </w:rPr>
        <w:t>Police</w:t>
      </w:r>
      <w:r w:rsidRPr="00DB7D4C">
        <w:rPr>
          <w:rFonts w:ascii="Times New Roman" w:hAnsi="Times New Roman" w:cs="Times New Roman"/>
          <w:sz w:val="24"/>
          <w:szCs w:val="24"/>
        </w:rPr>
        <w:t>, is often a mixture of personal and non-</w:t>
      </w:r>
      <w:r w:rsidR="006F1C26">
        <w:rPr>
          <w:rFonts w:ascii="Times New Roman" w:hAnsi="Times New Roman" w:cs="Times New Roman"/>
          <w:sz w:val="24"/>
          <w:szCs w:val="24"/>
        </w:rPr>
        <w:t>personal</w:t>
      </w:r>
      <w:r w:rsidRPr="00DB7D4C">
        <w:rPr>
          <w:rFonts w:ascii="Times New Roman" w:hAnsi="Times New Roman" w:cs="Times New Roman"/>
          <w:sz w:val="24"/>
          <w:szCs w:val="24"/>
        </w:rPr>
        <w:t xml:space="preserve"> information and it is difficult to separate the information out wit</w:t>
      </w:r>
      <w:r w:rsidR="00DB7D4C">
        <w:rPr>
          <w:rFonts w:ascii="Times New Roman" w:hAnsi="Times New Roman" w:cs="Times New Roman"/>
          <w:sz w:val="24"/>
          <w:szCs w:val="24"/>
        </w:rPr>
        <w:t>hout affecting its usefulness.</w:t>
      </w:r>
      <w:r w:rsidR="008F554B">
        <w:rPr>
          <w:rFonts w:ascii="Times New Roman" w:hAnsi="Times New Roman" w:cs="Times New Roman"/>
          <w:sz w:val="24"/>
          <w:szCs w:val="24"/>
        </w:rPr>
        <w:t xml:space="preserve">  New Zealand Police </w:t>
      </w:r>
      <w:r w:rsidR="007D2129">
        <w:rPr>
          <w:rFonts w:ascii="Times New Roman" w:hAnsi="Times New Roman" w:cs="Times New Roman"/>
          <w:sz w:val="24"/>
          <w:szCs w:val="24"/>
        </w:rPr>
        <w:t>would like</w:t>
      </w:r>
      <w:r w:rsidR="008F554B">
        <w:rPr>
          <w:rFonts w:ascii="Times New Roman" w:hAnsi="Times New Roman" w:cs="Times New Roman"/>
          <w:sz w:val="24"/>
          <w:szCs w:val="24"/>
        </w:rPr>
        <w:t xml:space="preserve"> to access</w:t>
      </w:r>
      <w:r w:rsidR="000F49A1">
        <w:rPr>
          <w:rFonts w:ascii="Times New Roman" w:hAnsi="Times New Roman" w:cs="Times New Roman"/>
          <w:sz w:val="24"/>
          <w:szCs w:val="24"/>
        </w:rPr>
        <w:t xml:space="preserve"> both personal and non-personal information under the current serious crime AISA. </w:t>
      </w:r>
    </w:p>
    <w:p w:rsidR="00DB7D4C" w:rsidRPr="00DB7D4C" w:rsidRDefault="00DB7D4C" w:rsidP="00DB7D4C">
      <w:pPr>
        <w:pStyle w:val="ListParagraph"/>
        <w:spacing w:after="0" w:line="240" w:lineRule="auto"/>
        <w:ind w:left="0"/>
        <w:jc w:val="both"/>
        <w:rPr>
          <w:rFonts w:ascii="Times New Roman" w:hAnsi="Times New Roman" w:cs="Times New Roman"/>
          <w:sz w:val="24"/>
          <w:szCs w:val="24"/>
        </w:rPr>
      </w:pPr>
    </w:p>
    <w:p w:rsidR="008735A7" w:rsidRDefault="008735A7" w:rsidP="00E129F7">
      <w:pPr>
        <w:pStyle w:val="ListParagraph"/>
        <w:numPr>
          <w:ilvl w:val="0"/>
          <w:numId w:val="3"/>
        </w:numPr>
        <w:spacing w:after="0" w:line="240" w:lineRule="auto"/>
        <w:ind w:left="0" w:firstLine="0"/>
        <w:jc w:val="both"/>
        <w:rPr>
          <w:rFonts w:ascii="Times New Roman" w:hAnsi="Times New Roman" w:cs="Times New Roman"/>
          <w:sz w:val="24"/>
          <w:szCs w:val="24"/>
        </w:rPr>
      </w:pPr>
      <w:r w:rsidRPr="00DB7D4C">
        <w:rPr>
          <w:rFonts w:ascii="Times New Roman" w:hAnsi="Times New Roman" w:cs="Times New Roman"/>
          <w:sz w:val="24"/>
          <w:szCs w:val="24"/>
        </w:rPr>
        <w:t>This regulatory impact statement outlines options t</w:t>
      </w:r>
      <w:r w:rsidR="0088153F">
        <w:rPr>
          <w:rFonts w:ascii="Times New Roman" w:hAnsi="Times New Roman" w:cs="Times New Roman"/>
          <w:sz w:val="24"/>
          <w:szCs w:val="24"/>
        </w:rPr>
        <w:t>o address the limit on cross-Government sharing of tax secret information relating to personal and non-personal information</w:t>
      </w:r>
      <w:r w:rsidRPr="00DB7D4C">
        <w:rPr>
          <w:rFonts w:ascii="Times New Roman" w:hAnsi="Times New Roman" w:cs="Times New Roman"/>
          <w:sz w:val="24"/>
          <w:szCs w:val="24"/>
        </w:rPr>
        <w:t>.</w:t>
      </w:r>
    </w:p>
    <w:p w:rsidR="00686406" w:rsidRDefault="00686406" w:rsidP="00686406">
      <w:pPr>
        <w:pStyle w:val="ListParagraph"/>
        <w:spacing w:after="0" w:line="240" w:lineRule="auto"/>
        <w:ind w:left="0"/>
        <w:jc w:val="both"/>
        <w:rPr>
          <w:rFonts w:ascii="Times New Roman" w:hAnsi="Times New Roman" w:cs="Times New Roman"/>
          <w:sz w:val="24"/>
          <w:szCs w:val="24"/>
        </w:rPr>
      </w:pPr>
    </w:p>
    <w:p w:rsidR="00AC6CB7" w:rsidRDefault="00AC6CB7" w:rsidP="00686406">
      <w:pPr>
        <w:pStyle w:val="ListParagraph"/>
        <w:spacing w:after="0" w:line="240" w:lineRule="auto"/>
        <w:ind w:left="0"/>
        <w:jc w:val="both"/>
        <w:rPr>
          <w:rFonts w:ascii="Times New Roman" w:hAnsi="Times New Roman" w:cs="Times New Roman"/>
          <w:sz w:val="24"/>
          <w:szCs w:val="24"/>
        </w:rPr>
      </w:pPr>
    </w:p>
    <w:p w:rsidR="00686406" w:rsidRPr="00686406" w:rsidRDefault="00686406" w:rsidP="00686406">
      <w:pPr>
        <w:spacing w:after="0" w:line="240" w:lineRule="auto"/>
        <w:jc w:val="both"/>
        <w:rPr>
          <w:rFonts w:ascii="Times New Roman" w:hAnsi="Times New Roman" w:cs="Times New Roman"/>
          <w:b/>
          <w:sz w:val="24"/>
          <w:szCs w:val="24"/>
        </w:rPr>
      </w:pPr>
      <w:r w:rsidRPr="00686406">
        <w:rPr>
          <w:rFonts w:ascii="Times New Roman" w:hAnsi="Times New Roman" w:cs="Times New Roman"/>
          <w:b/>
          <w:sz w:val="24"/>
          <w:szCs w:val="24"/>
        </w:rPr>
        <w:t>OBJECTIVES</w:t>
      </w:r>
    </w:p>
    <w:p w:rsidR="00686406" w:rsidRPr="00686406" w:rsidRDefault="00686406" w:rsidP="00686406">
      <w:pPr>
        <w:pStyle w:val="ListParagraph"/>
        <w:spacing w:after="0" w:line="240" w:lineRule="auto"/>
        <w:ind w:left="0"/>
        <w:jc w:val="both"/>
        <w:rPr>
          <w:rFonts w:ascii="Times New Roman" w:hAnsi="Times New Roman" w:cs="Times New Roman"/>
          <w:sz w:val="24"/>
          <w:szCs w:val="24"/>
        </w:rPr>
      </w:pPr>
    </w:p>
    <w:p w:rsidR="00DB7D4C" w:rsidRPr="00686406" w:rsidRDefault="00DB7D4C" w:rsidP="00DB7D4C">
      <w:pPr>
        <w:pStyle w:val="ListParagraph"/>
        <w:numPr>
          <w:ilvl w:val="0"/>
          <w:numId w:val="3"/>
        </w:numPr>
        <w:spacing w:after="0" w:line="240" w:lineRule="auto"/>
        <w:ind w:left="0" w:firstLine="0"/>
        <w:jc w:val="both"/>
        <w:rPr>
          <w:rFonts w:ascii="Times New Roman" w:hAnsi="Times New Roman" w:cs="Times New Roman"/>
          <w:sz w:val="24"/>
          <w:szCs w:val="24"/>
        </w:rPr>
      </w:pPr>
      <w:r w:rsidRPr="00686406">
        <w:rPr>
          <w:rFonts w:ascii="Times New Roman" w:hAnsi="Times New Roman" w:cs="Times New Roman"/>
          <w:sz w:val="24"/>
          <w:szCs w:val="24"/>
        </w:rPr>
        <w:t>The objectives against which the options have been assessed are:</w:t>
      </w:r>
    </w:p>
    <w:p w:rsidR="00DB7D4C" w:rsidRPr="00DB7D4C" w:rsidRDefault="00DB7D4C" w:rsidP="00DB7D4C">
      <w:pPr>
        <w:spacing w:after="0" w:line="240" w:lineRule="auto"/>
        <w:jc w:val="both"/>
        <w:rPr>
          <w:rFonts w:ascii="Times New Roman" w:hAnsi="Times New Roman" w:cs="Times New Roman"/>
          <w:sz w:val="24"/>
          <w:szCs w:val="24"/>
        </w:rPr>
      </w:pPr>
    </w:p>
    <w:p w:rsidR="00E129F7" w:rsidRPr="005D3931" w:rsidRDefault="00E129F7" w:rsidP="00E129F7">
      <w:pPr>
        <w:pStyle w:val="ListParagraph"/>
        <w:numPr>
          <w:ilvl w:val="0"/>
          <w:numId w:val="2"/>
        </w:numPr>
        <w:spacing w:after="0" w:line="240" w:lineRule="auto"/>
        <w:jc w:val="both"/>
        <w:rPr>
          <w:rFonts w:ascii="Times New Roman" w:hAnsi="Times New Roman" w:cs="Times New Roman"/>
          <w:sz w:val="24"/>
          <w:szCs w:val="24"/>
        </w:rPr>
      </w:pPr>
      <w:r w:rsidRPr="005D3931">
        <w:rPr>
          <w:rFonts w:ascii="Times New Roman" w:hAnsi="Times New Roman" w:cs="Times New Roman"/>
          <w:i/>
          <w:sz w:val="24"/>
          <w:szCs w:val="24"/>
        </w:rPr>
        <w:t>Fairness and equity:</w:t>
      </w:r>
      <w:r w:rsidRPr="005D3931">
        <w:rPr>
          <w:rFonts w:ascii="Times New Roman" w:hAnsi="Times New Roman" w:cs="Times New Roman"/>
          <w:sz w:val="24"/>
          <w:szCs w:val="24"/>
        </w:rPr>
        <w:t xml:space="preserve"> to support fairness in the </w:t>
      </w:r>
      <w:r w:rsidR="008F554B">
        <w:rPr>
          <w:rFonts w:ascii="Times New Roman" w:hAnsi="Times New Roman" w:cs="Times New Roman"/>
          <w:sz w:val="24"/>
          <w:szCs w:val="24"/>
        </w:rPr>
        <w:t>public sector</w:t>
      </w:r>
      <w:r w:rsidRPr="005D3931">
        <w:rPr>
          <w:rFonts w:ascii="Times New Roman" w:hAnsi="Times New Roman" w:cs="Times New Roman"/>
          <w:sz w:val="24"/>
          <w:szCs w:val="24"/>
        </w:rPr>
        <w:t>, options should, to the extent possible, seek to treat similar taxpayers in similar circumstan</w:t>
      </w:r>
      <w:r>
        <w:rPr>
          <w:rFonts w:ascii="Times New Roman" w:hAnsi="Times New Roman" w:cs="Times New Roman"/>
          <w:sz w:val="24"/>
          <w:szCs w:val="24"/>
        </w:rPr>
        <w:t>ces in a similar way.</w:t>
      </w:r>
    </w:p>
    <w:p w:rsidR="00E129F7" w:rsidRPr="005D3931" w:rsidRDefault="00E129F7" w:rsidP="00E129F7">
      <w:pPr>
        <w:spacing w:after="0" w:line="240" w:lineRule="auto"/>
        <w:jc w:val="both"/>
        <w:rPr>
          <w:rFonts w:ascii="Times New Roman" w:hAnsi="Times New Roman" w:cs="Times New Roman"/>
          <w:sz w:val="24"/>
          <w:szCs w:val="24"/>
        </w:rPr>
      </w:pPr>
    </w:p>
    <w:p w:rsidR="00E129F7" w:rsidRPr="005D3931" w:rsidRDefault="00E129F7" w:rsidP="00E129F7">
      <w:pPr>
        <w:pStyle w:val="ListParagraph"/>
        <w:numPr>
          <w:ilvl w:val="0"/>
          <w:numId w:val="2"/>
        </w:numPr>
        <w:spacing w:after="0" w:line="240" w:lineRule="auto"/>
        <w:jc w:val="both"/>
        <w:rPr>
          <w:rFonts w:ascii="Times New Roman" w:hAnsi="Times New Roman" w:cs="Times New Roman"/>
          <w:sz w:val="24"/>
          <w:szCs w:val="24"/>
        </w:rPr>
      </w:pPr>
      <w:r w:rsidRPr="00743E55">
        <w:rPr>
          <w:rFonts w:ascii="Times New Roman" w:hAnsi="Times New Roman" w:cs="Times New Roman"/>
          <w:i/>
          <w:sz w:val="24"/>
          <w:szCs w:val="24"/>
        </w:rPr>
        <w:t>Efficiency of compliance and administration</w:t>
      </w:r>
      <w:r>
        <w:rPr>
          <w:rFonts w:ascii="Times New Roman" w:hAnsi="Times New Roman" w:cs="Times New Roman"/>
          <w:sz w:val="24"/>
          <w:szCs w:val="24"/>
        </w:rPr>
        <w:t>:</w:t>
      </w:r>
      <w:r w:rsidRPr="005D3931">
        <w:rPr>
          <w:rFonts w:ascii="Times New Roman" w:hAnsi="Times New Roman" w:cs="Times New Roman"/>
          <w:sz w:val="24"/>
          <w:szCs w:val="24"/>
        </w:rPr>
        <w:t xml:space="preserve"> the </w:t>
      </w:r>
      <w:r w:rsidR="00507C3B">
        <w:rPr>
          <w:rFonts w:ascii="Times New Roman" w:hAnsi="Times New Roman" w:cs="Times New Roman"/>
          <w:sz w:val="24"/>
          <w:szCs w:val="24"/>
        </w:rPr>
        <w:t xml:space="preserve">impacts on taxpayers of </w:t>
      </w:r>
      <w:r w:rsidRPr="005D3931">
        <w:rPr>
          <w:rFonts w:ascii="Times New Roman" w:hAnsi="Times New Roman" w:cs="Times New Roman"/>
          <w:sz w:val="24"/>
          <w:szCs w:val="24"/>
        </w:rPr>
        <w:t xml:space="preserve">compliance </w:t>
      </w:r>
      <w:r w:rsidR="00507C3B">
        <w:rPr>
          <w:rFonts w:ascii="Times New Roman" w:hAnsi="Times New Roman" w:cs="Times New Roman"/>
          <w:sz w:val="24"/>
          <w:szCs w:val="24"/>
        </w:rPr>
        <w:t xml:space="preserve">with the rules </w:t>
      </w:r>
      <w:r w:rsidRPr="005D3931">
        <w:rPr>
          <w:rFonts w:ascii="Times New Roman" w:hAnsi="Times New Roman" w:cs="Times New Roman"/>
          <w:sz w:val="24"/>
          <w:szCs w:val="24"/>
        </w:rPr>
        <w:t xml:space="preserve">and the administrative </w:t>
      </w:r>
      <w:r w:rsidR="00507C3B">
        <w:rPr>
          <w:rFonts w:ascii="Times New Roman" w:hAnsi="Times New Roman" w:cs="Times New Roman"/>
          <w:sz w:val="24"/>
          <w:szCs w:val="24"/>
        </w:rPr>
        <w:t>impacts</w:t>
      </w:r>
      <w:r w:rsidRPr="005D3931">
        <w:rPr>
          <w:rFonts w:ascii="Times New Roman" w:hAnsi="Times New Roman" w:cs="Times New Roman"/>
          <w:sz w:val="24"/>
          <w:szCs w:val="24"/>
        </w:rPr>
        <w:t xml:space="preserve"> </w:t>
      </w:r>
      <w:r w:rsidR="00AC6CB7">
        <w:rPr>
          <w:rFonts w:ascii="Times New Roman" w:hAnsi="Times New Roman" w:cs="Times New Roman"/>
          <w:sz w:val="24"/>
          <w:szCs w:val="24"/>
        </w:rPr>
        <w:t xml:space="preserve">on the government </w:t>
      </w:r>
      <w:r w:rsidRPr="005D3931">
        <w:rPr>
          <w:rFonts w:ascii="Times New Roman" w:hAnsi="Times New Roman" w:cs="Times New Roman"/>
          <w:sz w:val="24"/>
          <w:szCs w:val="24"/>
        </w:rPr>
        <w:t>should be minimised as far as possible.</w:t>
      </w:r>
    </w:p>
    <w:p w:rsidR="00E129F7" w:rsidRPr="005D3931" w:rsidRDefault="00E129F7" w:rsidP="00E129F7">
      <w:pPr>
        <w:spacing w:after="0" w:line="240" w:lineRule="auto"/>
        <w:jc w:val="both"/>
        <w:rPr>
          <w:rFonts w:ascii="Times New Roman" w:hAnsi="Times New Roman" w:cs="Times New Roman"/>
          <w:sz w:val="24"/>
          <w:szCs w:val="24"/>
        </w:rPr>
      </w:pPr>
    </w:p>
    <w:p w:rsidR="00E129F7" w:rsidRDefault="00E129F7" w:rsidP="00E129F7">
      <w:pPr>
        <w:pStyle w:val="ListParagraph"/>
        <w:numPr>
          <w:ilvl w:val="0"/>
          <w:numId w:val="2"/>
        </w:numPr>
        <w:spacing w:after="0" w:line="240" w:lineRule="auto"/>
        <w:jc w:val="both"/>
        <w:rPr>
          <w:rFonts w:ascii="Times New Roman" w:hAnsi="Times New Roman" w:cs="Times New Roman"/>
          <w:sz w:val="24"/>
          <w:szCs w:val="24"/>
        </w:rPr>
      </w:pPr>
      <w:r w:rsidRPr="006F1C26">
        <w:rPr>
          <w:rFonts w:ascii="Times New Roman" w:hAnsi="Times New Roman" w:cs="Times New Roman"/>
          <w:i/>
          <w:sz w:val="24"/>
          <w:szCs w:val="24"/>
        </w:rPr>
        <w:t xml:space="preserve">Sustainability of </w:t>
      </w:r>
      <w:r w:rsidR="00E5156B" w:rsidRPr="006F1C26">
        <w:rPr>
          <w:rFonts w:ascii="Times New Roman" w:hAnsi="Times New Roman" w:cs="Times New Roman"/>
          <w:i/>
          <w:sz w:val="24"/>
          <w:szCs w:val="24"/>
        </w:rPr>
        <w:t xml:space="preserve">the </w:t>
      </w:r>
      <w:r w:rsidR="00F9635B">
        <w:rPr>
          <w:rFonts w:ascii="Times New Roman" w:hAnsi="Times New Roman" w:cs="Times New Roman"/>
          <w:i/>
          <w:sz w:val="24"/>
          <w:szCs w:val="24"/>
        </w:rPr>
        <w:t>public sector</w:t>
      </w:r>
      <w:r w:rsidRPr="006F1C26">
        <w:rPr>
          <w:rFonts w:ascii="Times New Roman" w:hAnsi="Times New Roman" w:cs="Times New Roman"/>
          <w:i/>
          <w:sz w:val="24"/>
          <w:szCs w:val="24"/>
        </w:rPr>
        <w:t>:</w:t>
      </w:r>
      <w:r w:rsidRPr="006F1C26">
        <w:rPr>
          <w:rFonts w:ascii="Times New Roman" w:hAnsi="Times New Roman" w:cs="Times New Roman"/>
          <w:sz w:val="24"/>
          <w:szCs w:val="24"/>
        </w:rPr>
        <w:t xml:space="preserve"> Rules</w:t>
      </w:r>
      <w:r w:rsidR="006C16D2">
        <w:rPr>
          <w:rFonts w:ascii="Times New Roman" w:hAnsi="Times New Roman" w:cs="Times New Roman"/>
          <w:sz w:val="24"/>
          <w:szCs w:val="24"/>
        </w:rPr>
        <w:t xml:space="preserve"> for cross-government sharing of tax information </w:t>
      </w:r>
      <w:r w:rsidRPr="006F1C26">
        <w:rPr>
          <w:rFonts w:ascii="Times New Roman" w:hAnsi="Times New Roman" w:cs="Times New Roman"/>
          <w:sz w:val="24"/>
          <w:szCs w:val="24"/>
        </w:rPr>
        <w:t>should</w:t>
      </w:r>
      <w:r w:rsidR="006F1C26" w:rsidRPr="006F1C26">
        <w:rPr>
          <w:rFonts w:ascii="Times New Roman" w:hAnsi="Times New Roman" w:cs="Times New Roman"/>
          <w:sz w:val="24"/>
          <w:szCs w:val="24"/>
        </w:rPr>
        <w:t xml:space="preserve"> promote </w:t>
      </w:r>
      <w:r w:rsidR="009E5C97">
        <w:rPr>
          <w:rFonts w:ascii="Times New Roman" w:hAnsi="Times New Roman" w:cs="Times New Roman"/>
          <w:sz w:val="24"/>
          <w:szCs w:val="24"/>
        </w:rPr>
        <w:t xml:space="preserve">the integrity of and </w:t>
      </w:r>
      <w:r w:rsidR="006F1C26" w:rsidRPr="006F1C26">
        <w:rPr>
          <w:rFonts w:ascii="Times New Roman" w:hAnsi="Times New Roman" w:cs="Times New Roman"/>
          <w:sz w:val="24"/>
          <w:szCs w:val="24"/>
        </w:rPr>
        <w:t>compliance with the law</w:t>
      </w:r>
      <w:r w:rsidR="006F1C26">
        <w:rPr>
          <w:rFonts w:ascii="Times New Roman" w:hAnsi="Times New Roman" w:cs="Times New Roman"/>
          <w:sz w:val="24"/>
          <w:szCs w:val="24"/>
        </w:rPr>
        <w:t>.</w:t>
      </w:r>
    </w:p>
    <w:p w:rsidR="006F1C26" w:rsidRPr="006F1C26" w:rsidRDefault="006F1C26" w:rsidP="006F1C26">
      <w:pPr>
        <w:spacing w:after="0" w:line="240" w:lineRule="auto"/>
        <w:jc w:val="both"/>
        <w:rPr>
          <w:rFonts w:ascii="Times New Roman" w:hAnsi="Times New Roman" w:cs="Times New Roman"/>
          <w:sz w:val="24"/>
          <w:szCs w:val="24"/>
        </w:rPr>
      </w:pPr>
    </w:p>
    <w:p w:rsidR="002D326D" w:rsidRPr="00F9635B" w:rsidRDefault="00E129F7" w:rsidP="00F9635B">
      <w:pPr>
        <w:pStyle w:val="ListParagraph"/>
        <w:numPr>
          <w:ilvl w:val="0"/>
          <w:numId w:val="3"/>
        </w:numPr>
        <w:spacing w:after="0" w:line="240" w:lineRule="auto"/>
        <w:ind w:left="0" w:firstLine="0"/>
        <w:jc w:val="both"/>
        <w:rPr>
          <w:rFonts w:ascii="Times New Roman" w:hAnsi="Times New Roman" w:cs="Times New Roman"/>
          <w:sz w:val="24"/>
          <w:szCs w:val="24"/>
        </w:rPr>
      </w:pPr>
      <w:r w:rsidRPr="00A70894">
        <w:rPr>
          <w:rFonts w:ascii="Times New Roman" w:hAnsi="Times New Roman" w:cs="Times New Roman"/>
          <w:sz w:val="24"/>
          <w:szCs w:val="24"/>
        </w:rPr>
        <w:t>These objectives are weighted equally.</w:t>
      </w:r>
    </w:p>
    <w:p w:rsidR="00E129F7" w:rsidRDefault="00E129F7" w:rsidP="00E129F7">
      <w:pPr>
        <w:pStyle w:val="ListParagraph"/>
        <w:spacing w:after="0" w:line="240" w:lineRule="auto"/>
        <w:ind w:left="0"/>
        <w:jc w:val="both"/>
        <w:rPr>
          <w:rFonts w:ascii="Times New Roman" w:hAnsi="Times New Roman" w:cs="Times New Roman"/>
          <w:sz w:val="24"/>
          <w:szCs w:val="24"/>
        </w:rPr>
      </w:pPr>
    </w:p>
    <w:p w:rsidR="002D326D" w:rsidRDefault="002D326D" w:rsidP="002D326D">
      <w:pPr>
        <w:spacing w:after="0" w:line="240" w:lineRule="auto"/>
        <w:jc w:val="both"/>
        <w:rPr>
          <w:rFonts w:ascii="Times New Roman" w:hAnsi="Times New Roman" w:cs="Times New Roman"/>
          <w:sz w:val="24"/>
          <w:szCs w:val="24"/>
        </w:rPr>
      </w:pPr>
    </w:p>
    <w:p w:rsidR="00AC6CB7" w:rsidRPr="006C16D2" w:rsidRDefault="00AC6CB7" w:rsidP="002D326D">
      <w:pPr>
        <w:spacing w:after="0" w:line="240" w:lineRule="auto"/>
        <w:jc w:val="both"/>
        <w:rPr>
          <w:rFonts w:ascii="Times New Roman" w:hAnsi="Times New Roman" w:cs="Times New Roman"/>
          <w:b/>
          <w:sz w:val="24"/>
          <w:szCs w:val="24"/>
        </w:rPr>
      </w:pPr>
      <w:r w:rsidRPr="006C16D2">
        <w:rPr>
          <w:rFonts w:ascii="Times New Roman" w:hAnsi="Times New Roman" w:cs="Times New Roman"/>
          <w:b/>
          <w:sz w:val="24"/>
          <w:szCs w:val="24"/>
        </w:rPr>
        <w:t>Constraints</w:t>
      </w:r>
    </w:p>
    <w:p w:rsidR="00AC6CB7" w:rsidRPr="006F1C26" w:rsidRDefault="00AC6CB7" w:rsidP="002D326D">
      <w:pPr>
        <w:spacing w:after="0" w:line="240" w:lineRule="auto"/>
        <w:jc w:val="both"/>
        <w:rPr>
          <w:rFonts w:ascii="Times New Roman" w:hAnsi="Times New Roman" w:cs="Times New Roman"/>
          <w:sz w:val="24"/>
          <w:szCs w:val="24"/>
        </w:rPr>
      </w:pPr>
    </w:p>
    <w:p w:rsidR="008735A7" w:rsidRDefault="002D326D" w:rsidP="002D326D">
      <w:pPr>
        <w:pStyle w:val="ListParagraph"/>
        <w:numPr>
          <w:ilvl w:val="0"/>
          <w:numId w:val="3"/>
        </w:numPr>
        <w:spacing w:after="0" w:line="240" w:lineRule="auto"/>
        <w:ind w:left="0" w:firstLine="0"/>
        <w:jc w:val="both"/>
        <w:rPr>
          <w:rFonts w:ascii="Times New Roman" w:hAnsi="Times New Roman" w:cs="Times New Roman"/>
          <w:sz w:val="24"/>
          <w:szCs w:val="24"/>
        </w:rPr>
      </w:pPr>
      <w:r w:rsidRPr="002D326D">
        <w:rPr>
          <w:rFonts w:ascii="Times New Roman" w:hAnsi="Times New Roman" w:cs="Times New Roman"/>
          <w:sz w:val="24"/>
          <w:szCs w:val="24"/>
        </w:rPr>
        <w:t xml:space="preserve">To contribute to the Government’s Better Public Services reforms of a more collaborative, cross-agency approach to supporting citizens and gaining efficiencies, there is a move to remove the barriers to sharing information among government agencies.  </w:t>
      </w:r>
      <w:r w:rsidR="00F13761">
        <w:rPr>
          <w:rFonts w:ascii="Times New Roman" w:hAnsi="Times New Roman" w:cs="Times New Roman"/>
          <w:sz w:val="24"/>
          <w:szCs w:val="24"/>
        </w:rPr>
        <w:t>The current cross-agency initiatives have pressing timelines</w:t>
      </w:r>
      <w:r w:rsidR="005A1BE3">
        <w:rPr>
          <w:rFonts w:ascii="Times New Roman" w:hAnsi="Times New Roman" w:cs="Times New Roman"/>
          <w:sz w:val="24"/>
          <w:szCs w:val="24"/>
        </w:rPr>
        <w:t xml:space="preserve">. </w:t>
      </w:r>
      <w:r w:rsidR="008735A7" w:rsidRPr="002D326D">
        <w:rPr>
          <w:rFonts w:ascii="Times New Roman" w:hAnsi="Times New Roman" w:cs="Times New Roman"/>
          <w:sz w:val="24"/>
          <w:szCs w:val="24"/>
        </w:rPr>
        <w:t>The Minister</w:t>
      </w:r>
      <w:r w:rsidR="00055AC9">
        <w:rPr>
          <w:rFonts w:ascii="Times New Roman" w:hAnsi="Times New Roman" w:cs="Times New Roman"/>
          <w:sz w:val="24"/>
          <w:szCs w:val="24"/>
        </w:rPr>
        <w:t xml:space="preserve"> of Revenue</w:t>
      </w:r>
      <w:r w:rsidR="008735A7" w:rsidRPr="002D326D">
        <w:rPr>
          <w:rFonts w:ascii="Times New Roman" w:hAnsi="Times New Roman" w:cs="Times New Roman"/>
          <w:sz w:val="24"/>
          <w:szCs w:val="24"/>
        </w:rPr>
        <w:t xml:space="preserve"> </w:t>
      </w:r>
      <w:r w:rsidR="005A1BE3">
        <w:rPr>
          <w:rFonts w:ascii="Times New Roman" w:hAnsi="Times New Roman" w:cs="Times New Roman"/>
          <w:sz w:val="24"/>
          <w:szCs w:val="24"/>
        </w:rPr>
        <w:t xml:space="preserve">has </w:t>
      </w:r>
      <w:r w:rsidR="00FC3900">
        <w:rPr>
          <w:rFonts w:ascii="Times New Roman" w:hAnsi="Times New Roman" w:cs="Times New Roman"/>
          <w:sz w:val="24"/>
          <w:szCs w:val="24"/>
        </w:rPr>
        <w:t xml:space="preserve">directed </w:t>
      </w:r>
      <w:r w:rsidR="005E506F" w:rsidRPr="002D326D">
        <w:rPr>
          <w:rFonts w:ascii="Times New Roman" w:hAnsi="Times New Roman" w:cs="Times New Roman"/>
          <w:sz w:val="24"/>
          <w:szCs w:val="24"/>
        </w:rPr>
        <w:t>officials</w:t>
      </w:r>
      <w:r w:rsidR="005F678C" w:rsidRPr="002D326D">
        <w:rPr>
          <w:rFonts w:ascii="Times New Roman" w:hAnsi="Times New Roman" w:cs="Times New Roman"/>
          <w:sz w:val="24"/>
          <w:szCs w:val="24"/>
        </w:rPr>
        <w:t xml:space="preserve"> </w:t>
      </w:r>
      <w:r w:rsidR="00055AC9">
        <w:rPr>
          <w:rFonts w:ascii="Times New Roman" w:hAnsi="Times New Roman" w:cs="Times New Roman"/>
          <w:sz w:val="24"/>
          <w:szCs w:val="24"/>
        </w:rPr>
        <w:t>to prepare</w:t>
      </w:r>
      <w:r w:rsidR="00055AC9" w:rsidRPr="002D326D">
        <w:rPr>
          <w:rFonts w:ascii="Times New Roman" w:hAnsi="Times New Roman" w:cs="Times New Roman"/>
          <w:sz w:val="24"/>
          <w:szCs w:val="24"/>
        </w:rPr>
        <w:t xml:space="preserve"> </w:t>
      </w:r>
      <w:r w:rsidR="005F678C" w:rsidRPr="002D326D">
        <w:rPr>
          <w:rFonts w:ascii="Times New Roman" w:hAnsi="Times New Roman" w:cs="Times New Roman"/>
          <w:sz w:val="24"/>
          <w:szCs w:val="24"/>
        </w:rPr>
        <w:t>changes to tax</w:t>
      </w:r>
      <w:r w:rsidR="005E506F" w:rsidRPr="002D326D">
        <w:rPr>
          <w:rFonts w:ascii="Times New Roman" w:hAnsi="Times New Roman" w:cs="Times New Roman"/>
          <w:sz w:val="24"/>
          <w:szCs w:val="24"/>
        </w:rPr>
        <w:t xml:space="preserve"> secrecy legislation </w:t>
      </w:r>
      <w:r w:rsidR="00055AC9">
        <w:rPr>
          <w:rFonts w:ascii="Times New Roman" w:hAnsi="Times New Roman" w:cs="Times New Roman"/>
          <w:sz w:val="24"/>
          <w:szCs w:val="24"/>
        </w:rPr>
        <w:t>that</w:t>
      </w:r>
      <w:r w:rsidR="00055AC9" w:rsidRPr="002D326D">
        <w:rPr>
          <w:rFonts w:ascii="Times New Roman" w:hAnsi="Times New Roman" w:cs="Times New Roman"/>
          <w:sz w:val="24"/>
          <w:szCs w:val="24"/>
        </w:rPr>
        <w:t xml:space="preserve"> </w:t>
      </w:r>
      <w:r w:rsidR="005E506F" w:rsidRPr="002D326D">
        <w:rPr>
          <w:rFonts w:ascii="Times New Roman" w:hAnsi="Times New Roman" w:cs="Times New Roman"/>
          <w:sz w:val="24"/>
          <w:szCs w:val="24"/>
        </w:rPr>
        <w:t>enable sharing of both personal and non-</w:t>
      </w:r>
      <w:r w:rsidR="006F1C26" w:rsidRPr="002D326D">
        <w:rPr>
          <w:rFonts w:ascii="Times New Roman" w:hAnsi="Times New Roman" w:cs="Times New Roman"/>
          <w:sz w:val="24"/>
          <w:szCs w:val="24"/>
        </w:rPr>
        <w:t xml:space="preserve">personal </w:t>
      </w:r>
      <w:r w:rsidR="005E506F" w:rsidRPr="002D326D">
        <w:rPr>
          <w:rFonts w:ascii="Times New Roman" w:hAnsi="Times New Roman" w:cs="Times New Roman"/>
          <w:sz w:val="24"/>
          <w:szCs w:val="24"/>
        </w:rPr>
        <w:t>information under an AISA</w:t>
      </w:r>
      <w:r w:rsidR="00055AC9">
        <w:rPr>
          <w:rFonts w:ascii="Times New Roman" w:hAnsi="Times New Roman" w:cs="Times New Roman"/>
          <w:sz w:val="24"/>
          <w:szCs w:val="24"/>
        </w:rPr>
        <w:t>. The direction was for these changes to be included</w:t>
      </w:r>
      <w:r w:rsidR="005E506F" w:rsidRPr="002D326D">
        <w:rPr>
          <w:rFonts w:ascii="Times New Roman" w:hAnsi="Times New Roman" w:cs="Times New Roman"/>
          <w:sz w:val="24"/>
          <w:szCs w:val="24"/>
        </w:rPr>
        <w:t xml:space="preserve"> </w:t>
      </w:r>
      <w:r w:rsidR="00055AC9">
        <w:rPr>
          <w:rFonts w:ascii="Times New Roman" w:hAnsi="Times New Roman" w:cs="Times New Roman"/>
          <w:sz w:val="24"/>
          <w:szCs w:val="24"/>
        </w:rPr>
        <w:t xml:space="preserve">for inclusion </w:t>
      </w:r>
      <w:r w:rsidR="005E506F" w:rsidRPr="002D326D">
        <w:rPr>
          <w:rFonts w:ascii="Times New Roman" w:hAnsi="Times New Roman" w:cs="Times New Roman"/>
          <w:sz w:val="24"/>
          <w:szCs w:val="24"/>
        </w:rPr>
        <w:t xml:space="preserve">in the </w:t>
      </w:r>
      <w:r w:rsidR="00AC6CB7">
        <w:rPr>
          <w:rFonts w:ascii="Times New Roman" w:hAnsi="Times New Roman" w:cs="Times New Roman"/>
          <w:sz w:val="24"/>
          <w:szCs w:val="24"/>
        </w:rPr>
        <w:t xml:space="preserve">next </w:t>
      </w:r>
      <w:r w:rsidR="005E506F" w:rsidRPr="002D326D">
        <w:rPr>
          <w:rFonts w:ascii="Times New Roman" w:hAnsi="Times New Roman" w:cs="Times New Roman"/>
          <w:sz w:val="24"/>
          <w:szCs w:val="24"/>
        </w:rPr>
        <w:t xml:space="preserve">omnibus </w:t>
      </w:r>
      <w:r w:rsidR="005F678C" w:rsidRPr="002D326D">
        <w:rPr>
          <w:rFonts w:ascii="Times New Roman" w:hAnsi="Times New Roman" w:cs="Times New Roman"/>
          <w:sz w:val="24"/>
          <w:szCs w:val="24"/>
        </w:rPr>
        <w:t xml:space="preserve">tax </w:t>
      </w:r>
      <w:r w:rsidR="005E506F" w:rsidRPr="002D326D">
        <w:rPr>
          <w:rFonts w:ascii="Times New Roman" w:hAnsi="Times New Roman" w:cs="Times New Roman"/>
          <w:sz w:val="24"/>
          <w:szCs w:val="24"/>
        </w:rPr>
        <w:t>bill</w:t>
      </w:r>
      <w:r w:rsidR="00AC6CB7">
        <w:rPr>
          <w:rFonts w:ascii="Times New Roman" w:hAnsi="Times New Roman" w:cs="Times New Roman"/>
          <w:sz w:val="24"/>
          <w:szCs w:val="24"/>
        </w:rPr>
        <w:t>, which is scheduled for introduction in April 2016</w:t>
      </w:r>
      <w:r w:rsidR="005E506F" w:rsidRPr="002D326D">
        <w:rPr>
          <w:rFonts w:ascii="Times New Roman" w:hAnsi="Times New Roman" w:cs="Times New Roman"/>
          <w:sz w:val="24"/>
          <w:szCs w:val="24"/>
        </w:rPr>
        <w:t xml:space="preserve">.  </w:t>
      </w:r>
      <w:r w:rsidR="000B3DFA" w:rsidRPr="000B3DFA">
        <w:rPr>
          <w:rFonts w:ascii="Times New Roman" w:hAnsi="Times New Roman" w:cs="Times New Roman"/>
          <w:sz w:val="24"/>
          <w:szCs w:val="24"/>
        </w:rPr>
        <w:t xml:space="preserve">The next opportunity would be to include </w:t>
      </w:r>
      <w:r w:rsidR="00AC6CB7">
        <w:rPr>
          <w:rFonts w:ascii="Times New Roman" w:hAnsi="Times New Roman" w:cs="Times New Roman"/>
          <w:sz w:val="24"/>
          <w:szCs w:val="24"/>
        </w:rPr>
        <w:t xml:space="preserve">the changes </w:t>
      </w:r>
      <w:r w:rsidR="000B3DFA" w:rsidRPr="000B3DFA">
        <w:rPr>
          <w:rFonts w:ascii="Times New Roman" w:hAnsi="Times New Roman" w:cs="Times New Roman"/>
          <w:sz w:val="24"/>
          <w:szCs w:val="24"/>
        </w:rPr>
        <w:t xml:space="preserve">in the next tax omnibus bill which is scheduled to be introduced in November 2016.  This would further delay the application date of </w:t>
      </w:r>
      <w:r w:rsidR="00AC6CB7">
        <w:rPr>
          <w:rFonts w:ascii="Times New Roman" w:hAnsi="Times New Roman" w:cs="Times New Roman"/>
          <w:sz w:val="24"/>
          <w:szCs w:val="24"/>
        </w:rPr>
        <w:t>the changes</w:t>
      </w:r>
      <w:r w:rsidR="005A1BE3">
        <w:rPr>
          <w:rFonts w:ascii="Times New Roman" w:hAnsi="Times New Roman" w:cs="Times New Roman"/>
          <w:sz w:val="24"/>
          <w:szCs w:val="24"/>
        </w:rPr>
        <w:t>, which would be undesirable because the legislative issue identified represents a major restriction on progress. T</w:t>
      </w:r>
      <w:r w:rsidR="005E506F" w:rsidRPr="002D326D">
        <w:rPr>
          <w:rFonts w:ascii="Times New Roman" w:hAnsi="Times New Roman" w:cs="Times New Roman"/>
          <w:sz w:val="24"/>
          <w:szCs w:val="24"/>
        </w:rPr>
        <w:t>his</w:t>
      </w:r>
      <w:r w:rsidR="00E459EC" w:rsidRPr="002D326D">
        <w:rPr>
          <w:rFonts w:ascii="Times New Roman" w:hAnsi="Times New Roman" w:cs="Times New Roman"/>
          <w:sz w:val="24"/>
          <w:szCs w:val="24"/>
        </w:rPr>
        <w:t xml:space="preserve"> time</w:t>
      </w:r>
      <w:r>
        <w:rPr>
          <w:rFonts w:ascii="Times New Roman" w:hAnsi="Times New Roman" w:cs="Times New Roman"/>
          <w:sz w:val="24"/>
          <w:szCs w:val="24"/>
        </w:rPr>
        <w:t>frame</w:t>
      </w:r>
      <w:r w:rsidR="005E506F" w:rsidRPr="002D326D">
        <w:rPr>
          <w:rFonts w:ascii="Times New Roman" w:hAnsi="Times New Roman" w:cs="Times New Roman"/>
          <w:sz w:val="24"/>
          <w:szCs w:val="24"/>
        </w:rPr>
        <w:t xml:space="preserve"> has limited the option</w:t>
      </w:r>
      <w:r w:rsidR="00E459EC" w:rsidRPr="002D326D">
        <w:rPr>
          <w:rFonts w:ascii="Times New Roman" w:hAnsi="Times New Roman" w:cs="Times New Roman"/>
          <w:sz w:val="24"/>
          <w:szCs w:val="24"/>
        </w:rPr>
        <w:t>s officials could consider and the analysis of those options.</w:t>
      </w:r>
    </w:p>
    <w:p w:rsidR="00686406" w:rsidRDefault="00686406" w:rsidP="00686406">
      <w:pPr>
        <w:spacing w:after="0" w:line="240" w:lineRule="auto"/>
        <w:rPr>
          <w:rFonts w:ascii="Times New Roman" w:hAnsi="Times New Roman" w:cs="Times New Roman"/>
          <w:sz w:val="24"/>
          <w:szCs w:val="24"/>
        </w:rPr>
      </w:pPr>
    </w:p>
    <w:p w:rsidR="00F60E2F" w:rsidRPr="00686406" w:rsidRDefault="00F60E2F" w:rsidP="00686406">
      <w:pPr>
        <w:spacing w:after="0" w:line="240" w:lineRule="auto"/>
        <w:rPr>
          <w:rFonts w:ascii="Times New Roman" w:hAnsi="Times New Roman" w:cs="Times New Roman"/>
          <w:sz w:val="24"/>
          <w:szCs w:val="24"/>
        </w:rPr>
      </w:pPr>
    </w:p>
    <w:p w:rsidR="00686406" w:rsidRPr="00686406" w:rsidRDefault="00686406" w:rsidP="004E6B7A">
      <w:pPr>
        <w:keepNext/>
        <w:spacing w:after="0" w:line="240" w:lineRule="auto"/>
        <w:jc w:val="both"/>
        <w:rPr>
          <w:rFonts w:ascii="Times New Roman" w:hAnsi="Times New Roman" w:cs="Times New Roman"/>
          <w:b/>
          <w:sz w:val="24"/>
          <w:szCs w:val="24"/>
        </w:rPr>
      </w:pPr>
      <w:r w:rsidRPr="00686406">
        <w:rPr>
          <w:rFonts w:ascii="Times New Roman" w:hAnsi="Times New Roman" w:cs="Times New Roman"/>
          <w:b/>
          <w:sz w:val="24"/>
          <w:szCs w:val="24"/>
        </w:rPr>
        <w:t xml:space="preserve">REGULATORY </w:t>
      </w:r>
      <w:r w:rsidR="00AC6CB7" w:rsidRPr="006C16D2">
        <w:rPr>
          <w:rFonts w:ascii="Times New Roman" w:hAnsi="Times New Roman" w:cs="Times New Roman"/>
          <w:b/>
          <w:caps/>
          <w:sz w:val="24"/>
          <w:szCs w:val="24"/>
        </w:rPr>
        <w:t>impact</w:t>
      </w:r>
      <w:r w:rsidR="00AC6CB7">
        <w:rPr>
          <w:rFonts w:ascii="Times New Roman" w:hAnsi="Times New Roman" w:cs="Times New Roman"/>
          <w:b/>
          <w:sz w:val="24"/>
          <w:szCs w:val="24"/>
        </w:rPr>
        <w:t xml:space="preserve"> </w:t>
      </w:r>
      <w:r w:rsidRPr="00686406">
        <w:rPr>
          <w:rFonts w:ascii="Times New Roman" w:hAnsi="Times New Roman" w:cs="Times New Roman"/>
          <w:b/>
          <w:sz w:val="24"/>
          <w:szCs w:val="24"/>
        </w:rPr>
        <w:t xml:space="preserve">ANALYSIS </w:t>
      </w:r>
    </w:p>
    <w:p w:rsidR="00686406" w:rsidRPr="00686406" w:rsidRDefault="00686406" w:rsidP="004E6B7A">
      <w:pPr>
        <w:keepNext/>
        <w:spacing w:after="0" w:line="240" w:lineRule="auto"/>
        <w:rPr>
          <w:rFonts w:ascii="Times New Roman" w:hAnsi="Times New Roman" w:cs="Times New Roman"/>
          <w:sz w:val="24"/>
          <w:szCs w:val="24"/>
        </w:rPr>
      </w:pPr>
    </w:p>
    <w:p w:rsidR="00C32311" w:rsidRPr="001E710D" w:rsidRDefault="00AC6CB7" w:rsidP="004E6B7A">
      <w:pPr>
        <w:pStyle w:val="ListParagraph"/>
        <w:keepNext/>
        <w:numPr>
          <w:ilvl w:val="0"/>
          <w:numId w:val="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The t</w:t>
      </w:r>
      <w:r w:rsidR="00C32311" w:rsidRPr="001E710D">
        <w:rPr>
          <w:rFonts w:ascii="Times New Roman" w:hAnsi="Times New Roman" w:cs="Times New Roman"/>
          <w:sz w:val="24"/>
          <w:szCs w:val="24"/>
        </w:rPr>
        <w:t>h</w:t>
      </w:r>
      <w:r>
        <w:rPr>
          <w:rFonts w:ascii="Times New Roman" w:hAnsi="Times New Roman" w:cs="Times New Roman"/>
          <w:sz w:val="24"/>
          <w:szCs w:val="24"/>
        </w:rPr>
        <w:t xml:space="preserve">ree </w:t>
      </w:r>
      <w:r w:rsidR="00C32311" w:rsidRPr="001E710D">
        <w:rPr>
          <w:rFonts w:ascii="Times New Roman" w:hAnsi="Times New Roman" w:cs="Times New Roman"/>
          <w:sz w:val="24"/>
          <w:szCs w:val="24"/>
        </w:rPr>
        <w:t xml:space="preserve">options considered </w:t>
      </w:r>
      <w:r>
        <w:rPr>
          <w:rFonts w:ascii="Times New Roman" w:hAnsi="Times New Roman" w:cs="Times New Roman"/>
          <w:sz w:val="24"/>
          <w:szCs w:val="24"/>
        </w:rPr>
        <w:t>for addressing the problem are</w:t>
      </w:r>
      <w:r w:rsidR="00C32311" w:rsidRPr="001E710D">
        <w:rPr>
          <w:rFonts w:ascii="Times New Roman" w:hAnsi="Times New Roman" w:cs="Times New Roman"/>
          <w:sz w:val="24"/>
          <w:szCs w:val="24"/>
        </w:rPr>
        <w:t>:</w:t>
      </w:r>
    </w:p>
    <w:p w:rsidR="00C32311" w:rsidRDefault="00C32311" w:rsidP="004E6B7A">
      <w:pPr>
        <w:pStyle w:val="ListParagraph"/>
        <w:keepNext/>
        <w:spacing w:after="0" w:line="240" w:lineRule="auto"/>
        <w:ind w:left="0"/>
        <w:jc w:val="both"/>
        <w:rPr>
          <w:rFonts w:ascii="Times New Roman" w:hAnsi="Times New Roman" w:cs="Times New Roman"/>
          <w:sz w:val="24"/>
          <w:szCs w:val="24"/>
        </w:rPr>
      </w:pPr>
    </w:p>
    <w:p w:rsidR="00AC6CB7" w:rsidRDefault="00AC6CB7" w:rsidP="00C32311">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Option 1:  Retain the status quo of sharing only personal information under an AISA.</w:t>
      </w:r>
    </w:p>
    <w:p w:rsidR="00AC6CB7" w:rsidRDefault="00AC6CB7" w:rsidP="006C16D2">
      <w:pPr>
        <w:pStyle w:val="ListParagraph"/>
        <w:spacing w:after="0" w:line="240" w:lineRule="auto"/>
        <w:ind w:left="1440"/>
        <w:jc w:val="both"/>
        <w:rPr>
          <w:rFonts w:ascii="Times New Roman" w:hAnsi="Times New Roman" w:cs="Times New Roman"/>
          <w:sz w:val="24"/>
          <w:szCs w:val="24"/>
        </w:rPr>
      </w:pPr>
    </w:p>
    <w:p w:rsidR="00106E46" w:rsidRDefault="00106E46" w:rsidP="00106E46">
      <w:pPr>
        <w:pStyle w:val="ListParagraph"/>
        <w:numPr>
          <w:ilvl w:val="1"/>
          <w:numId w:val="4"/>
        </w:numPr>
        <w:rPr>
          <w:rFonts w:ascii="Times New Roman" w:hAnsi="Times New Roman" w:cs="Times New Roman"/>
          <w:sz w:val="24"/>
          <w:szCs w:val="24"/>
        </w:rPr>
      </w:pPr>
      <w:r w:rsidRPr="00106E46">
        <w:rPr>
          <w:rFonts w:ascii="Times New Roman" w:hAnsi="Times New Roman" w:cs="Times New Roman"/>
          <w:sz w:val="24"/>
          <w:szCs w:val="24"/>
        </w:rPr>
        <w:t xml:space="preserve">Option </w:t>
      </w:r>
      <w:r>
        <w:rPr>
          <w:rFonts w:ascii="Times New Roman" w:hAnsi="Times New Roman" w:cs="Times New Roman"/>
          <w:sz w:val="24"/>
          <w:szCs w:val="24"/>
        </w:rPr>
        <w:t>2</w:t>
      </w:r>
      <w:r w:rsidRPr="00106E46">
        <w:rPr>
          <w:rFonts w:ascii="Times New Roman" w:hAnsi="Times New Roman" w:cs="Times New Roman"/>
          <w:sz w:val="24"/>
          <w:szCs w:val="24"/>
        </w:rPr>
        <w:t>:  Amend the secrecy exception under section 81A of the Tax Administration Act to enable the sharing of information relating to both individuals an</w:t>
      </w:r>
      <w:r w:rsidR="006C16D2">
        <w:rPr>
          <w:rFonts w:ascii="Times New Roman" w:hAnsi="Times New Roman" w:cs="Times New Roman"/>
          <w:sz w:val="24"/>
          <w:szCs w:val="24"/>
        </w:rPr>
        <w:t>d non-individuals under an AISA; and</w:t>
      </w:r>
    </w:p>
    <w:p w:rsidR="00106E46" w:rsidRPr="006C16D2" w:rsidRDefault="00106E46" w:rsidP="006C16D2">
      <w:pPr>
        <w:pStyle w:val="ListParagraph"/>
        <w:rPr>
          <w:rFonts w:ascii="Times New Roman" w:hAnsi="Times New Roman" w:cs="Times New Roman"/>
          <w:sz w:val="24"/>
          <w:szCs w:val="24"/>
        </w:rPr>
      </w:pPr>
    </w:p>
    <w:p w:rsidR="00C32311" w:rsidRDefault="00106E46" w:rsidP="00C32311">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Option 3</w:t>
      </w:r>
      <w:r w:rsidR="00AC6CB7">
        <w:rPr>
          <w:rFonts w:ascii="Times New Roman" w:hAnsi="Times New Roman" w:cs="Times New Roman"/>
          <w:sz w:val="24"/>
          <w:szCs w:val="24"/>
        </w:rPr>
        <w:t xml:space="preserve">:  </w:t>
      </w:r>
      <w:r w:rsidR="00C32311">
        <w:rPr>
          <w:rFonts w:ascii="Times New Roman" w:hAnsi="Times New Roman" w:cs="Times New Roman"/>
          <w:sz w:val="24"/>
          <w:szCs w:val="24"/>
        </w:rPr>
        <w:t>Amend the secrecy exception under section 81(4), which allows disclosure of tax secret information in certain cases, to include cross-Government sharing of information relating to non-indiv</w:t>
      </w:r>
      <w:r w:rsidR="006C16D2">
        <w:rPr>
          <w:rFonts w:ascii="Times New Roman" w:hAnsi="Times New Roman" w:cs="Times New Roman"/>
          <w:sz w:val="24"/>
          <w:szCs w:val="24"/>
        </w:rPr>
        <w:t xml:space="preserve">iduals for certain purposes. </w:t>
      </w:r>
    </w:p>
    <w:p w:rsidR="00FC3900" w:rsidRDefault="00FC3900" w:rsidP="00EE75A7">
      <w:pPr>
        <w:pStyle w:val="ListParagraph"/>
        <w:spacing w:after="0" w:line="240" w:lineRule="auto"/>
        <w:ind w:left="1440"/>
        <w:jc w:val="both"/>
        <w:rPr>
          <w:rFonts w:ascii="Times New Roman" w:hAnsi="Times New Roman" w:cs="Times New Roman"/>
          <w:sz w:val="24"/>
          <w:szCs w:val="24"/>
        </w:rPr>
      </w:pPr>
    </w:p>
    <w:p w:rsidR="00AB4E8B" w:rsidRPr="00FC3900" w:rsidRDefault="00E459EC" w:rsidP="006C16D2">
      <w:pPr>
        <w:pStyle w:val="ListParagraph"/>
        <w:numPr>
          <w:ilvl w:val="0"/>
          <w:numId w:val="3"/>
        </w:numPr>
        <w:spacing w:after="0" w:line="240" w:lineRule="auto"/>
        <w:ind w:left="0" w:firstLine="0"/>
        <w:jc w:val="both"/>
        <w:rPr>
          <w:rFonts w:ascii="Times New Roman" w:hAnsi="Times New Roman" w:cs="Times New Roman"/>
          <w:sz w:val="24"/>
          <w:szCs w:val="24"/>
        </w:rPr>
      </w:pPr>
      <w:r w:rsidRPr="00FC3900">
        <w:rPr>
          <w:rFonts w:ascii="Times New Roman" w:hAnsi="Times New Roman" w:cs="Times New Roman"/>
          <w:sz w:val="24"/>
          <w:szCs w:val="24"/>
        </w:rPr>
        <w:t xml:space="preserve">The table </w:t>
      </w:r>
      <w:r w:rsidR="0064774C">
        <w:rPr>
          <w:rFonts w:ascii="Times New Roman" w:hAnsi="Times New Roman" w:cs="Times New Roman"/>
          <w:sz w:val="24"/>
          <w:szCs w:val="24"/>
        </w:rPr>
        <w:t xml:space="preserve">below summarises our </w:t>
      </w:r>
      <w:r w:rsidR="00153D6A">
        <w:rPr>
          <w:rFonts w:ascii="Times New Roman" w:hAnsi="Times New Roman" w:cs="Times New Roman"/>
          <w:sz w:val="24"/>
          <w:szCs w:val="24"/>
        </w:rPr>
        <w:t>assessment</w:t>
      </w:r>
      <w:r w:rsidR="00153D6A" w:rsidRPr="00FC3900">
        <w:rPr>
          <w:rFonts w:ascii="Times New Roman" w:hAnsi="Times New Roman" w:cs="Times New Roman"/>
          <w:sz w:val="24"/>
          <w:szCs w:val="24"/>
        </w:rPr>
        <w:t xml:space="preserve"> </w:t>
      </w:r>
      <w:r w:rsidRPr="00FC3900">
        <w:rPr>
          <w:rFonts w:ascii="Times New Roman" w:hAnsi="Times New Roman" w:cs="Times New Roman"/>
          <w:sz w:val="24"/>
          <w:szCs w:val="24"/>
        </w:rPr>
        <w:t xml:space="preserve">of </w:t>
      </w:r>
      <w:r w:rsidR="0064774C">
        <w:rPr>
          <w:rFonts w:ascii="Times New Roman" w:hAnsi="Times New Roman" w:cs="Times New Roman"/>
          <w:sz w:val="24"/>
          <w:szCs w:val="24"/>
        </w:rPr>
        <w:t xml:space="preserve">the </w:t>
      </w:r>
      <w:r w:rsidRPr="00FC3900">
        <w:rPr>
          <w:rFonts w:ascii="Times New Roman" w:hAnsi="Times New Roman" w:cs="Times New Roman"/>
          <w:sz w:val="24"/>
          <w:szCs w:val="24"/>
        </w:rPr>
        <w:t>options</w:t>
      </w:r>
      <w:r w:rsidR="00C32311">
        <w:rPr>
          <w:rFonts w:ascii="Times New Roman" w:hAnsi="Times New Roman" w:cs="Times New Roman"/>
          <w:sz w:val="24"/>
          <w:szCs w:val="24"/>
        </w:rPr>
        <w:t xml:space="preserve"> </w:t>
      </w:r>
      <w:r w:rsidRPr="00FC3900">
        <w:rPr>
          <w:rFonts w:ascii="Times New Roman" w:hAnsi="Times New Roman" w:cs="Times New Roman"/>
          <w:sz w:val="24"/>
          <w:szCs w:val="24"/>
        </w:rPr>
        <w:t>against the objectives of</w:t>
      </w:r>
      <w:r w:rsidR="005F678C" w:rsidRPr="00FC3900">
        <w:rPr>
          <w:rFonts w:ascii="Times New Roman" w:hAnsi="Times New Roman" w:cs="Times New Roman"/>
          <w:sz w:val="24"/>
          <w:szCs w:val="24"/>
        </w:rPr>
        <w:t xml:space="preserve"> fairness and equity, efficiency of compliance and administration, and the sustainability of the </w:t>
      </w:r>
      <w:r w:rsidR="00C56D2E" w:rsidRPr="00FC3900">
        <w:rPr>
          <w:rFonts w:ascii="Times New Roman" w:hAnsi="Times New Roman" w:cs="Times New Roman"/>
          <w:sz w:val="24"/>
          <w:szCs w:val="24"/>
        </w:rPr>
        <w:t>public sector</w:t>
      </w:r>
      <w:r w:rsidR="005F678C" w:rsidRPr="00FC3900">
        <w:rPr>
          <w:rFonts w:ascii="Times New Roman" w:hAnsi="Times New Roman" w:cs="Times New Roman"/>
          <w:sz w:val="24"/>
          <w:szCs w:val="24"/>
        </w:rPr>
        <w:t>.</w:t>
      </w:r>
    </w:p>
    <w:p w:rsidR="0064774C" w:rsidRDefault="0064774C" w:rsidP="001E710D">
      <w:pPr>
        <w:pStyle w:val="ListParagraph"/>
        <w:spacing w:after="0" w:line="240" w:lineRule="auto"/>
        <w:ind w:left="0"/>
        <w:rPr>
          <w:rFonts w:ascii="Times New Roman" w:hAnsi="Times New Roman" w:cs="Times New Roman"/>
          <w:sz w:val="24"/>
          <w:szCs w:val="24"/>
        </w:rPr>
      </w:pPr>
    </w:p>
    <w:tbl>
      <w:tblPr>
        <w:tblStyle w:val="TableGrid"/>
        <w:tblW w:w="0" w:type="auto"/>
        <w:tblCellMar>
          <w:top w:w="57" w:type="dxa"/>
        </w:tblCellMar>
        <w:tblLook w:val="04A0" w:firstRow="1" w:lastRow="0" w:firstColumn="1" w:lastColumn="0" w:noHBand="0" w:noVBand="1"/>
      </w:tblPr>
      <w:tblGrid>
        <w:gridCol w:w="2003"/>
        <w:gridCol w:w="2503"/>
        <w:gridCol w:w="2375"/>
        <w:gridCol w:w="2361"/>
      </w:tblGrid>
      <w:tr w:rsidR="00870BDB" w:rsidRPr="00F60E2F" w:rsidTr="0064774C">
        <w:tc>
          <w:tcPr>
            <w:tcW w:w="2003" w:type="dxa"/>
          </w:tcPr>
          <w:p w:rsidR="00870BDB" w:rsidRPr="00F60E2F" w:rsidRDefault="00870BDB" w:rsidP="001E710D">
            <w:pPr>
              <w:rPr>
                <w:rFonts w:ascii="Times New Roman" w:hAnsi="Times New Roman" w:cs="Times New Roman"/>
                <w:b/>
                <w:sz w:val="20"/>
                <w:szCs w:val="24"/>
              </w:rPr>
            </w:pPr>
            <w:r w:rsidRPr="00F60E2F">
              <w:rPr>
                <w:rFonts w:ascii="Times New Roman" w:hAnsi="Times New Roman" w:cs="Times New Roman"/>
                <w:b/>
                <w:sz w:val="20"/>
                <w:szCs w:val="24"/>
              </w:rPr>
              <w:t>Options</w:t>
            </w:r>
          </w:p>
        </w:tc>
        <w:tc>
          <w:tcPr>
            <w:tcW w:w="2503" w:type="dxa"/>
          </w:tcPr>
          <w:p w:rsidR="00870BDB" w:rsidRPr="00F60E2F" w:rsidRDefault="00870BDB" w:rsidP="001E710D">
            <w:pPr>
              <w:rPr>
                <w:rFonts w:ascii="Times New Roman" w:hAnsi="Times New Roman" w:cs="Times New Roman"/>
                <w:b/>
                <w:sz w:val="20"/>
                <w:szCs w:val="24"/>
              </w:rPr>
            </w:pPr>
            <w:r w:rsidRPr="00F60E2F">
              <w:rPr>
                <w:rFonts w:ascii="Times New Roman" w:hAnsi="Times New Roman" w:cs="Times New Roman"/>
                <w:b/>
                <w:sz w:val="20"/>
                <w:szCs w:val="24"/>
              </w:rPr>
              <w:t>Fairness and equity</w:t>
            </w:r>
          </w:p>
        </w:tc>
        <w:tc>
          <w:tcPr>
            <w:tcW w:w="2375" w:type="dxa"/>
          </w:tcPr>
          <w:p w:rsidR="00870BDB" w:rsidRPr="00F60E2F" w:rsidRDefault="00870BDB" w:rsidP="001E710D">
            <w:pPr>
              <w:rPr>
                <w:rFonts w:ascii="Times New Roman" w:hAnsi="Times New Roman" w:cs="Times New Roman"/>
                <w:b/>
                <w:sz w:val="20"/>
                <w:szCs w:val="24"/>
              </w:rPr>
            </w:pPr>
            <w:r w:rsidRPr="00F60E2F">
              <w:rPr>
                <w:rFonts w:ascii="Times New Roman" w:hAnsi="Times New Roman" w:cs="Times New Roman"/>
                <w:b/>
                <w:sz w:val="20"/>
                <w:szCs w:val="24"/>
              </w:rPr>
              <w:t>Efficiency of compliance and administration</w:t>
            </w:r>
          </w:p>
        </w:tc>
        <w:tc>
          <w:tcPr>
            <w:tcW w:w="2361" w:type="dxa"/>
          </w:tcPr>
          <w:p w:rsidR="00870BDB" w:rsidRPr="00F60E2F" w:rsidRDefault="00870BDB" w:rsidP="001E710D">
            <w:pPr>
              <w:rPr>
                <w:rFonts w:ascii="Times New Roman" w:hAnsi="Times New Roman" w:cs="Times New Roman"/>
                <w:b/>
                <w:sz w:val="20"/>
                <w:szCs w:val="24"/>
              </w:rPr>
            </w:pPr>
            <w:r w:rsidRPr="00F60E2F">
              <w:rPr>
                <w:rFonts w:ascii="Times New Roman" w:hAnsi="Times New Roman" w:cs="Times New Roman"/>
                <w:b/>
                <w:sz w:val="20"/>
                <w:szCs w:val="24"/>
              </w:rPr>
              <w:t>Sustainability</w:t>
            </w:r>
            <w:r w:rsidR="00F9635B" w:rsidRPr="00F60E2F">
              <w:rPr>
                <w:rFonts w:ascii="Times New Roman" w:hAnsi="Times New Roman" w:cs="Times New Roman"/>
                <w:b/>
                <w:sz w:val="20"/>
                <w:szCs w:val="24"/>
              </w:rPr>
              <w:t xml:space="preserve"> of the public sector</w:t>
            </w:r>
          </w:p>
        </w:tc>
      </w:tr>
      <w:tr w:rsidR="00870BDB" w:rsidRPr="00F60E2F" w:rsidTr="0064774C">
        <w:tc>
          <w:tcPr>
            <w:tcW w:w="2003" w:type="dxa"/>
          </w:tcPr>
          <w:p w:rsidR="00870BDB" w:rsidRPr="00F60E2F" w:rsidRDefault="00870BDB" w:rsidP="00FC15B5">
            <w:pPr>
              <w:pStyle w:val="ListParagraph"/>
              <w:numPr>
                <w:ilvl w:val="0"/>
                <w:numId w:val="8"/>
              </w:numPr>
              <w:spacing w:after="0" w:line="240" w:lineRule="auto"/>
              <w:rPr>
                <w:rFonts w:ascii="Times New Roman" w:hAnsi="Times New Roman" w:cs="Times New Roman"/>
                <w:sz w:val="20"/>
                <w:szCs w:val="24"/>
              </w:rPr>
            </w:pPr>
            <w:r w:rsidRPr="00F60E2F">
              <w:rPr>
                <w:rFonts w:ascii="Times New Roman" w:hAnsi="Times New Roman" w:cs="Times New Roman"/>
                <w:sz w:val="20"/>
                <w:szCs w:val="24"/>
              </w:rPr>
              <w:t>Retain the status quo</w:t>
            </w:r>
            <w:r w:rsidR="009C5D19" w:rsidRPr="00F60E2F">
              <w:rPr>
                <w:rFonts w:ascii="Times New Roman" w:hAnsi="Times New Roman" w:cs="Times New Roman"/>
                <w:sz w:val="20"/>
                <w:szCs w:val="24"/>
              </w:rPr>
              <w:t xml:space="preserve"> of sharing</w:t>
            </w:r>
            <w:r w:rsidR="00E5156B" w:rsidRPr="00F60E2F">
              <w:rPr>
                <w:rFonts w:ascii="Times New Roman" w:hAnsi="Times New Roman" w:cs="Times New Roman"/>
                <w:sz w:val="20"/>
                <w:szCs w:val="24"/>
              </w:rPr>
              <w:t xml:space="preserve"> only personal</w:t>
            </w:r>
            <w:r w:rsidR="009C5D19" w:rsidRPr="00F60E2F">
              <w:rPr>
                <w:rFonts w:ascii="Times New Roman" w:hAnsi="Times New Roman" w:cs="Times New Roman"/>
                <w:sz w:val="20"/>
                <w:szCs w:val="24"/>
              </w:rPr>
              <w:t xml:space="preserve"> information </w:t>
            </w:r>
            <w:r w:rsidR="00E5156B" w:rsidRPr="00F60E2F">
              <w:rPr>
                <w:rFonts w:ascii="Times New Roman" w:hAnsi="Times New Roman" w:cs="Times New Roman"/>
                <w:sz w:val="20"/>
                <w:szCs w:val="24"/>
              </w:rPr>
              <w:t>under an AISA</w:t>
            </w:r>
          </w:p>
        </w:tc>
        <w:tc>
          <w:tcPr>
            <w:tcW w:w="2503" w:type="dxa"/>
          </w:tcPr>
          <w:p w:rsidR="0064774C" w:rsidRPr="006C16D2" w:rsidRDefault="0064774C" w:rsidP="001E710D">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No</w:t>
            </w:r>
            <w:r w:rsidRPr="00F60E2F">
              <w:rPr>
                <w:rFonts w:ascii="Times New Roman" w:hAnsi="Times New Roman" w:cs="Times New Roman"/>
                <w:b/>
                <w:sz w:val="20"/>
                <w:szCs w:val="24"/>
              </w:rPr>
              <w:t>t</w:t>
            </w:r>
            <w:r w:rsidRPr="006C16D2">
              <w:rPr>
                <w:rFonts w:ascii="Times New Roman" w:hAnsi="Times New Roman" w:cs="Times New Roman"/>
                <w:b/>
                <w:sz w:val="20"/>
                <w:szCs w:val="24"/>
              </w:rPr>
              <w:t xml:space="preserve"> met</w:t>
            </w:r>
          </w:p>
          <w:p w:rsidR="0064774C" w:rsidRPr="00F60E2F" w:rsidRDefault="0064774C" w:rsidP="001E710D">
            <w:pPr>
              <w:rPr>
                <w:rFonts w:ascii="Times New Roman" w:hAnsi="Times New Roman" w:cs="Times New Roman"/>
                <w:sz w:val="20"/>
                <w:szCs w:val="24"/>
              </w:rPr>
            </w:pPr>
          </w:p>
          <w:p w:rsidR="00870BDB" w:rsidRPr="00F60E2F" w:rsidRDefault="00870BDB" w:rsidP="001E710D">
            <w:pPr>
              <w:rPr>
                <w:rFonts w:ascii="Times New Roman" w:hAnsi="Times New Roman" w:cs="Times New Roman"/>
                <w:sz w:val="20"/>
                <w:szCs w:val="24"/>
              </w:rPr>
            </w:pPr>
            <w:r w:rsidRPr="00F60E2F">
              <w:rPr>
                <w:rFonts w:ascii="Times New Roman" w:hAnsi="Times New Roman" w:cs="Times New Roman"/>
                <w:sz w:val="20"/>
                <w:szCs w:val="24"/>
              </w:rPr>
              <w:t xml:space="preserve">The </w:t>
            </w:r>
            <w:r w:rsidR="005649FD" w:rsidRPr="00F60E2F">
              <w:rPr>
                <w:rFonts w:ascii="Times New Roman" w:hAnsi="Times New Roman" w:cs="Times New Roman"/>
                <w:sz w:val="20"/>
                <w:szCs w:val="24"/>
              </w:rPr>
              <w:t>Tax Administration Act</w:t>
            </w:r>
            <w:r w:rsidR="00E5156B" w:rsidRPr="00F60E2F">
              <w:rPr>
                <w:rFonts w:ascii="Times New Roman" w:hAnsi="Times New Roman" w:cs="Times New Roman"/>
                <w:sz w:val="20"/>
                <w:szCs w:val="24"/>
              </w:rPr>
              <w:t xml:space="preserve"> </w:t>
            </w:r>
            <w:r w:rsidRPr="00F60E2F">
              <w:rPr>
                <w:rFonts w:ascii="Times New Roman" w:hAnsi="Times New Roman" w:cs="Times New Roman"/>
                <w:sz w:val="20"/>
                <w:szCs w:val="24"/>
              </w:rPr>
              <w:t xml:space="preserve">does not enable full use </w:t>
            </w:r>
            <w:r w:rsidR="00E5156B" w:rsidRPr="00F60E2F">
              <w:rPr>
                <w:rFonts w:ascii="Times New Roman" w:hAnsi="Times New Roman" w:cs="Times New Roman"/>
                <w:sz w:val="20"/>
                <w:szCs w:val="24"/>
              </w:rPr>
              <w:t xml:space="preserve">to be made </w:t>
            </w:r>
            <w:r w:rsidRPr="00F60E2F">
              <w:rPr>
                <w:rFonts w:ascii="Times New Roman" w:hAnsi="Times New Roman" w:cs="Times New Roman"/>
                <w:sz w:val="20"/>
                <w:szCs w:val="24"/>
              </w:rPr>
              <w:t xml:space="preserve">of the AISA regime </w:t>
            </w:r>
            <w:r w:rsidR="00E5156B" w:rsidRPr="00F60E2F">
              <w:rPr>
                <w:rFonts w:ascii="Times New Roman" w:hAnsi="Times New Roman" w:cs="Times New Roman"/>
                <w:sz w:val="20"/>
                <w:szCs w:val="24"/>
              </w:rPr>
              <w:t xml:space="preserve">to share information </w:t>
            </w:r>
            <w:r w:rsidRPr="00F60E2F">
              <w:rPr>
                <w:rFonts w:ascii="Times New Roman" w:hAnsi="Times New Roman" w:cs="Times New Roman"/>
                <w:sz w:val="20"/>
                <w:szCs w:val="24"/>
              </w:rPr>
              <w:t xml:space="preserve">as </w:t>
            </w:r>
            <w:r w:rsidR="00E5156B" w:rsidRPr="00F60E2F">
              <w:rPr>
                <w:rFonts w:ascii="Times New Roman" w:hAnsi="Times New Roman" w:cs="Times New Roman"/>
                <w:sz w:val="20"/>
                <w:szCs w:val="24"/>
              </w:rPr>
              <w:t xml:space="preserve">it </w:t>
            </w:r>
            <w:r w:rsidRPr="00F60E2F">
              <w:rPr>
                <w:rFonts w:ascii="Times New Roman" w:hAnsi="Times New Roman" w:cs="Times New Roman"/>
                <w:sz w:val="20"/>
                <w:szCs w:val="24"/>
              </w:rPr>
              <w:t xml:space="preserve">only applies to </w:t>
            </w:r>
            <w:r w:rsidR="004E7BE2" w:rsidRPr="00F60E2F">
              <w:rPr>
                <w:rFonts w:ascii="Times New Roman" w:hAnsi="Times New Roman" w:cs="Times New Roman"/>
                <w:sz w:val="20"/>
                <w:szCs w:val="24"/>
              </w:rPr>
              <w:t>personal</w:t>
            </w:r>
            <w:r w:rsidRPr="00F60E2F">
              <w:rPr>
                <w:rFonts w:ascii="Times New Roman" w:hAnsi="Times New Roman" w:cs="Times New Roman"/>
                <w:sz w:val="20"/>
                <w:szCs w:val="24"/>
              </w:rPr>
              <w:t xml:space="preserve"> information.</w:t>
            </w:r>
          </w:p>
          <w:p w:rsidR="00870BDB" w:rsidRPr="00F60E2F" w:rsidRDefault="00870BDB" w:rsidP="001E710D">
            <w:pPr>
              <w:rPr>
                <w:rFonts w:ascii="Times New Roman" w:hAnsi="Times New Roman" w:cs="Times New Roman"/>
                <w:sz w:val="20"/>
                <w:szCs w:val="24"/>
              </w:rPr>
            </w:pPr>
          </w:p>
          <w:p w:rsidR="008F554B" w:rsidRPr="00F60E2F" w:rsidRDefault="008F554B" w:rsidP="001E710D">
            <w:pPr>
              <w:rPr>
                <w:rFonts w:ascii="Times New Roman" w:hAnsi="Times New Roman" w:cs="Times New Roman"/>
                <w:sz w:val="20"/>
                <w:szCs w:val="24"/>
              </w:rPr>
            </w:pPr>
            <w:r w:rsidRPr="00F60E2F">
              <w:rPr>
                <w:rFonts w:ascii="Times New Roman" w:hAnsi="Times New Roman" w:cs="Times New Roman"/>
                <w:sz w:val="20"/>
                <w:szCs w:val="24"/>
              </w:rPr>
              <w:t xml:space="preserve">Government departments administer the laws under their control based on the information available to them. </w:t>
            </w:r>
            <w:r w:rsidR="005649FD" w:rsidRPr="00F60E2F">
              <w:rPr>
                <w:rFonts w:ascii="Times New Roman" w:hAnsi="Times New Roman" w:cs="Times New Roman"/>
                <w:sz w:val="20"/>
                <w:szCs w:val="24"/>
              </w:rPr>
              <w:t xml:space="preserve">When </w:t>
            </w:r>
            <w:r w:rsidRPr="00F60E2F">
              <w:rPr>
                <w:rFonts w:ascii="Times New Roman" w:hAnsi="Times New Roman" w:cs="Times New Roman"/>
                <w:sz w:val="20"/>
                <w:szCs w:val="24"/>
              </w:rPr>
              <w:t>information is not able to be shared between departments there is a chance that people or entities can take advantage of departments not having a common understanding.</w:t>
            </w:r>
          </w:p>
          <w:p w:rsidR="00F9635B" w:rsidRPr="00F60E2F" w:rsidRDefault="00F9635B" w:rsidP="001E710D">
            <w:pPr>
              <w:rPr>
                <w:rFonts w:ascii="Times New Roman" w:hAnsi="Times New Roman" w:cs="Times New Roman"/>
                <w:sz w:val="20"/>
                <w:szCs w:val="24"/>
              </w:rPr>
            </w:pPr>
          </w:p>
        </w:tc>
        <w:tc>
          <w:tcPr>
            <w:tcW w:w="2375" w:type="dxa"/>
          </w:tcPr>
          <w:p w:rsidR="0064774C" w:rsidRPr="006C16D2" w:rsidRDefault="0064774C" w:rsidP="00B004FA">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Not met</w:t>
            </w:r>
          </w:p>
          <w:p w:rsidR="0064774C" w:rsidRPr="00F60E2F" w:rsidRDefault="0064774C" w:rsidP="00B004FA">
            <w:pPr>
              <w:rPr>
                <w:rFonts w:ascii="Times New Roman" w:hAnsi="Times New Roman" w:cs="Times New Roman"/>
                <w:sz w:val="20"/>
                <w:szCs w:val="24"/>
              </w:rPr>
            </w:pPr>
          </w:p>
          <w:p w:rsidR="002D326D" w:rsidRPr="00F60E2F" w:rsidRDefault="002D326D" w:rsidP="00B004FA">
            <w:pPr>
              <w:rPr>
                <w:rFonts w:ascii="Times New Roman" w:hAnsi="Times New Roman" w:cs="Times New Roman"/>
                <w:sz w:val="20"/>
                <w:szCs w:val="24"/>
              </w:rPr>
            </w:pPr>
            <w:r w:rsidRPr="00F60E2F">
              <w:rPr>
                <w:rFonts w:ascii="Times New Roman" w:hAnsi="Times New Roman" w:cs="Times New Roman"/>
                <w:sz w:val="20"/>
                <w:szCs w:val="24"/>
              </w:rPr>
              <w:t xml:space="preserve">Compliance </w:t>
            </w:r>
            <w:r w:rsidR="00F9635B" w:rsidRPr="00F60E2F">
              <w:rPr>
                <w:rFonts w:ascii="Times New Roman" w:hAnsi="Times New Roman" w:cs="Times New Roman"/>
                <w:sz w:val="20"/>
                <w:szCs w:val="24"/>
              </w:rPr>
              <w:t xml:space="preserve">by an individual </w:t>
            </w:r>
            <w:r w:rsidRPr="00F60E2F">
              <w:rPr>
                <w:rFonts w:ascii="Times New Roman" w:hAnsi="Times New Roman" w:cs="Times New Roman"/>
                <w:sz w:val="20"/>
                <w:szCs w:val="24"/>
              </w:rPr>
              <w:t xml:space="preserve">may be adversely affected </w:t>
            </w:r>
            <w:r w:rsidR="00B004FA" w:rsidRPr="00F60E2F">
              <w:rPr>
                <w:rFonts w:ascii="Times New Roman" w:hAnsi="Times New Roman" w:cs="Times New Roman"/>
                <w:sz w:val="20"/>
                <w:szCs w:val="24"/>
              </w:rPr>
              <w:t xml:space="preserve">if they perceive that others are able to avoid complying with their public obligations, due to a lack of information sharing. </w:t>
            </w:r>
          </w:p>
        </w:tc>
        <w:tc>
          <w:tcPr>
            <w:tcW w:w="2361" w:type="dxa"/>
          </w:tcPr>
          <w:p w:rsidR="0064774C" w:rsidRPr="006C16D2" w:rsidRDefault="0064774C" w:rsidP="001E710D">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Not met</w:t>
            </w:r>
          </w:p>
          <w:p w:rsidR="0064774C" w:rsidRPr="00F60E2F" w:rsidRDefault="0064774C" w:rsidP="001E710D">
            <w:pPr>
              <w:rPr>
                <w:rFonts w:ascii="Times New Roman" w:hAnsi="Times New Roman" w:cs="Times New Roman"/>
                <w:sz w:val="20"/>
                <w:szCs w:val="24"/>
              </w:rPr>
            </w:pPr>
          </w:p>
          <w:p w:rsidR="00870BDB" w:rsidRPr="00F60E2F" w:rsidRDefault="00870BDB" w:rsidP="001E710D">
            <w:pPr>
              <w:rPr>
                <w:rFonts w:ascii="Times New Roman" w:hAnsi="Times New Roman" w:cs="Times New Roman"/>
                <w:sz w:val="20"/>
                <w:szCs w:val="24"/>
              </w:rPr>
            </w:pPr>
            <w:r w:rsidRPr="00F60E2F">
              <w:rPr>
                <w:rFonts w:ascii="Times New Roman" w:hAnsi="Times New Roman" w:cs="Times New Roman"/>
                <w:sz w:val="20"/>
                <w:szCs w:val="24"/>
              </w:rPr>
              <w:t xml:space="preserve">Can undermine the integrity of the </w:t>
            </w:r>
            <w:r w:rsidR="008F554B" w:rsidRPr="00F60E2F">
              <w:rPr>
                <w:rFonts w:ascii="Times New Roman" w:hAnsi="Times New Roman" w:cs="Times New Roman"/>
                <w:sz w:val="20"/>
                <w:szCs w:val="24"/>
              </w:rPr>
              <w:t xml:space="preserve">public sector </w:t>
            </w:r>
            <w:r w:rsidRPr="00F60E2F">
              <w:rPr>
                <w:rFonts w:ascii="Times New Roman" w:hAnsi="Times New Roman" w:cs="Times New Roman"/>
                <w:sz w:val="20"/>
                <w:szCs w:val="24"/>
              </w:rPr>
              <w:t xml:space="preserve">if those not entitled </w:t>
            </w:r>
            <w:r w:rsidR="00E5156B" w:rsidRPr="00F60E2F">
              <w:rPr>
                <w:rFonts w:ascii="Times New Roman" w:hAnsi="Times New Roman" w:cs="Times New Roman"/>
                <w:sz w:val="20"/>
                <w:szCs w:val="24"/>
              </w:rPr>
              <w:t xml:space="preserve">to </w:t>
            </w:r>
            <w:r w:rsidRPr="00F60E2F">
              <w:rPr>
                <w:rFonts w:ascii="Times New Roman" w:hAnsi="Times New Roman" w:cs="Times New Roman"/>
                <w:sz w:val="20"/>
                <w:szCs w:val="24"/>
              </w:rPr>
              <w:t>receive an entitlement or those not complying go unpunished.</w:t>
            </w:r>
          </w:p>
        </w:tc>
      </w:tr>
    </w:tbl>
    <w:p w:rsidR="00F60E2F" w:rsidRPr="00F60E2F" w:rsidRDefault="00F60E2F">
      <w:pPr>
        <w:rPr>
          <w:sz w:val="20"/>
        </w:rPr>
      </w:pPr>
      <w:r w:rsidRPr="00F60E2F">
        <w:rPr>
          <w:sz w:val="20"/>
        </w:rPr>
        <w:br w:type="page"/>
      </w:r>
    </w:p>
    <w:tbl>
      <w:tblPr>
        <w:tblStyle w:val="TableGrid"/>
        <w:tblW w:w="0" w:type="auto"/>
        <w:tblLook w:val="04A0" w:firstRow="1" w:lastRow="0" w:firstColumn="1" w:lastColumn="0" w:noHBand="0" w:noVBand="1"/>
      </w:tblPr>
      <w:tblGrid>
        <w:gridCol w:w="2003"/>
        <w:gridCol w:w="2503"/>
        <w:gridCol w:w="2375"/>
        <w:gridCol w:w="2361"/>
      </w:tblGrid>
      <w:tr w:rsidR="00F60E2F" w:rsidRPr="00F60E2F" w:rsidTr="00F60E2F">
        <w:tc>
          <w:tcPr>
            <w:tcW w:w="2003" w:type="dxa"/>
          </w:tcPr>
          <w:p w:rsidR="00F60E2F" w:rsidRPr="00F60E2F" w:rsidRDefault="00F60E2F" w:rsidP="00A06DF1">
            <w:pPr>
              <w:rPr>
                <w:rFonts w:ascii="Times New Roman" w:hAnsi="Times New Roman" w:cs="Times New Roman"/>
                <w:b/>
                <w:sz w:val="20"/>
                <w:szCs w:val="24"/>
              </w:rPr>
            </w:pPr>
            <w:r w:rsidRPr="00F60E2F">
              <w:rPr>
                <w:rFonts w:ascii="Times New Roman" w:hAnsi="Times New Roman" w:cs="Times New Roman"/>
                <w:b/>
                <w:sz w:val="20"/>
                <w:szCs w:val="24"/>
              </w:rPr>
              <w:t>Options</w:t>
            </w:r>
          </w:p>
        </w:tc>
        <w:tc>
          <w:tcPr>
            <w:tcW w:w="2503" w:type="dxa"/>
          </w:tcPr>
          <w:p w:rsidR="00F60E2F" w:rsidRPr="00F60E2F" w:rsidRDefault="00F60E2F" w:rsidP="00A06DF1">
            <w:pPr>
              <w:rPr>
                <w:rFonts w:ascii="Times New Roman" w:hAnsi="Times New Roman" w:cs="Times New Roman"/>
                <w:b/>
                <w:sz w:val="20"/>
                <w:szCs w:val="24"/>
              </w:rPr>
            </w:pPr>
            <w:r w:rsidRPr="00F60E2F">
              <w:rPr>
                <w:rFonts w:ascii="Times New Roman" w:hAnsi="Times New Roman" w:cs="Times New Roman"/>
                <w:b/>
                <w:sz w:val="20"/>
                <w:szCs w:val="24"/>
              </w:rPr>
              <w:t>Fairness and equity</w:t>
            </w:r>
          </w:p>
        </w:tc>
        <w:tc>
          <w:tcPr>
            <w:tcW w:w="2375" w:type="dxa"/>
          </w:tcPr>
          <w:p w:rsidR="00F60E2F" w:rsidRPr="00F60E2F" w:rsidRDefault="00F60E2F" w:rsidP="00A06DF1">
            <w:pPr>
              <w:rPr>
                <w:rFonts w:ascii="Times New Roman" w:hAnsi="Times New Roman" w:cs="Times New Roman"/>
                <w:b/>
                <w:sz w:val="20"/>
                <w:szCs w:val="24"/>
              </w:rPr>
            </w:pPr>
            <w:r w:rsidRPr="00F60E2F">
              <w:rPr>
                <w:rFonts w:ascii="Times New Roman" w:hAnsi="Times New Roman" w:cs="Times New Roman"/>
                <w:b/>
                <w:sz w:val="20"/>
                <w:szCs w:val="24"/>
              </w:rPr>
              <w:t>Efficiency of compliance and administration</w:t>
            </w:r>
          </w:p>
        </w:tc>
        <w:tc>
          <w:tcPr>
            <w:tcW w:w="2361" w:type="dxa"/>
          </w:tcPr>
          <w:p w:rsidR="00F60E2F" w:rsidRPr="00F60E2F" w:rsidRDefault="00F60E2F" w:rsidP="00A06DF1">
            <w:pPr>
              <w:rPr>
                <w:rFonts w:ascii="Times New Roman" w:hAnsi="Times New Roman" w:cs="Times New Roman"/>
                <w:b/>
                <w:sz w:val="20"/>
                <w:szCs w:val="24"/>
              </w:rPr>
            </w:pPr>
            <w:r w:rsidRPr="00F60E2F">
              <w:rPr>
                <w:rFonts w:ascii="Times New Roman" w:hAnsi="Times New Roman" w:cs="Times New Roman"/>
                <w:b/>
                <w:sz w:val="20"/>
                <w:szCs w:val="24"/>
              </w:rPr>
              <w:t>Sustainability of the public sector</w:t>
            </w:r>
          </w:p>
        </w:tc>
      </w:tr>
      <w:tr w:rsidR="00870BDB" w:rsidRPr="00F60E2F" w:rsidTr="006C16D2">
        <w:tblPrEx>
          <w:tblCellMar>
            <w:top w:w="57" w:type="dxa"/>
          </w:tblCellMar>
        </w:tblPrEx>
        <w:tc>
          <w:tcPr>
            <w:tcW w:w="2003" w:type="dxa"/>
          </w:tcPr>
          <w:p w:rsidR="00106E46" w:rsidRPr="006C16D2" w:rsidRDefault="00870BDB" w:rsidP="00106E46">
            <w:pPr>
              <w:pStyle w:val="ListParagraph"/>
              <w:numPr>
                <w:ilvl w:val="0"/>
                <w:numId w:val="8"/>
              </w:numPr>
              <w:spacing w:after="0" w:line="240" w:lineRule="auto"/>
              <w:rPr>
                <w:rFonts w:ascii="Times New Roman" w:hAnsi="Times New Roman" w:cs="Times New Roman"/>
                <w:sz w:val="20"/>
                <w:szCs w:val="24"/>
              </w:rPr>
            </w:pPr>
            <w:r w:rsidRPr="00F60E2F">
              <w:rPr>
                <w:rFonts w:ascii="Times New Roman" w:hAnsi="Times New Roman" w:cs="Times New Roman"/>
                <w:sz w:val="20"/>
                <w:szCs w:val="24"/>
              </w:rPr>
              <w:t xml:space="preserve">Amend the </w:t>
            </w:r>
            <w:r w:rsidR="00E5156B" w:rsidRPr="00F60E2F">
              <w:rPr>
                <w:rFonts w:ascii="Times New Roman" w:hAnsi="Times New Roman" w:cs="Times New Roman"/>
                <w:sz w:val="20"/>
                <w:szCs w:val="24"/>
              </w:rPr>
              <w:t xml:space="preserve">tax </w:t>
            </w:r>
            <w:r w:rsidRPr="00F60E2F">
              <w:rPr>
                <w:rFonts w:ascii="Times New Roman" w:hAnsi="Times New Roman" w:cs="Times New Roman"/>
                <w:sz w:val="20"/>
                <w:szCs w:val="24"/>
              </w:rPr>
              <w:t xml:space="preserve">secrecy exception </w:t>
            </w:r>
            <w:r w:rsidR="00C32311" w:rsidRPr="00F60E2F">
              <w:rPr>
                <w:rFonts w:ascii="Times New Roman" w:hAnsi="Times New Roman" w:cs="Times New Roman"/>
                <w:sz w:val="20"/>
                <w:szCs w:val="24"/>
              </w:rPr>
              <w:t xml:space="preserve">for sharing under an AISA </w:t>
            </w:r>
            <w:r w:rsidRPr="00F60E2F">
              <w:rPr>
                <w:rFonts w:ascii="Times New Roman" w:hAnsi="Times New Roman" w:cs="Times New Roman"/>
                <w:sz w:val="20"/>
                <w:szCs w:val="24"/>
              </w:rPr>
              <w:t>to enable the sharing of non-</w:t>
            </w:r>
            <w:r w:rsidR="004E7BE2" w:rsidRPr="00F60E2F">
              <w:rPr>
                <w:rFonts w:ascii="Times New Roman" w:hAnsi="Times New Roman" w:cs="Times New Roman"/>
                <w:sz w:val="20"/>
                <w:szCs w:val="24"/>
              </w:rPr>
              <w:t xml:space="preserve">personal </w:t>
            </w:r>
            <w:r w:rsidRPr="00F60E2F">
              <w:rPr>
                <w:rFonts w:ascii="Times New Roman" w:hAnsi="Times New Roman" w:cs="Times New Roman"/>
                <w:sz w:val="20"/>
                <w:szCs w:val="24"/>
              </w:rPr>
              <w:t xml:space="preserve">information. </w:t>
            </w:r>
            <w:r w:rsidR="00106E46" w:rsidRPr="006C16D2">
              <w:rPr>
                <w:rFonts w:ascii="Times New Roman" w:hAnsi="Times New Roman" w:cs="Times New Roman"/>
                <w:i/>
                <w:sz w:val="20"/>
                <w:szCs w:val="24"/>
              </w:rPr>
              <w:t>(Preferred option)</w:t>
            </w:r>
          </w:p>
        </w:tc>
        <w:tc>
          <w:tcPr>
            <w:tcW w:w="2503" w:type="dxa"/>
          </w:tcPr>
          <w:p w:rsidR="00153D6A" w:rsidRPr="006C16D2" w:rsidRDefault="00153D6A" w:rsidP="001E710D">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Met</w:t>
            </w:r>
          </w:p>
          <w:p w:rsidR="00153D6A" w:rsidRPr="006C16D2" w:rsidRDefault="00153D6A" w:rsidP="001E710D">
            <w:pPr>
              <w:spacing w:after="160" w:line="259" w:lineRule="auto"/>
              <w:rPr>
                <w:rFonts w:ascii="Times New Roman" w:hAnsi="Times New Roman" w:cs="Times New Roman"/>
                <w:b/>
                <w:i/>
                <w:sz w:val="20"/>
                <w:szCs w:val="24"/>
              </w:rPr>
            </w:pPr>
          </w:p>
          <w:p w:rsidR="009271EE" w:rsidRPr="00F60E2F" w:rsidRDefault="00E5156B" w:rsidP="001E710D">
            <w:pPr>
              <w:rPr>
                <w:rFonts w:ascii="Times New Roman" w:hAnsi="Times New Roman" w:cs="Times New Roman"/>
                <w:sz w:val="20"/>
                <w:szCs w:val="24"/>
              </w:rPr>
            </w:pPr>
            <w:r w:rsidRPr="00F60E2F">
              <w:rPr>
                <w:rFonts w:ascii="Times New Roman" w:hAnsi="Times New Roman" w:cs="Times New Roman"/>
                <w:sz w:val="20"/>
                <w:szCs w:val="24"/>
              </w:rPr>
              <w:t>This option is f</w:t>
            </w:r>
            <w:r w:rsidR="00870BDB" w:rsidRPr="00F60E2F">
              <w:rPr>
                <w:rFonts w:ascii="Times New Roman" w:hAnsi="Times New Roman" w:cs="Times New Roman"/>
                <w:sz w:val="20"/>
                <w:szCs w:val="24"/>
              </w:rPr>
              <w:t>airer and more equitable than the status quo.</w:t>
            </w:r>
            <w:r w:rsidR="00911BF8" w:rsidRPr="00F60E2F">
              <w:rPr>
                <w:rFonts w:ascii="Times New Roman" w:hAnsi="Times New Roman" w:cs="Times New Roman"/>
                <w:sz w:val="20"/>
                <w:szCs w:val="24"/>
              </w:rPr>
              <w:t xml:space="preserve">  </w:t>
            </w:r>
            <w:r w:rsidR="008F554B" w:rsidRPr="00F60E2F">
              <w:rPr>
                <w:rFonts w:ascii="Times New Roman" w:hAnsi="Times New Roman" w:cs="Times New Roman"/>
                <w:sz w:val="20"/>
                <w:szCs w:val="24"/>
              </w:rPr>
              <w:t>I</w:t>
            </w:r>
            <w:r w:rsidR="009271EE" w:rsidRPr="00F60E2F">
              <w:rPr>
                <w:rFonts w:ascii="Times New Roman" w:hAnsi="Times New Roman" w:cs="Times New Roman"/>
                <w:sz w:val="20"/>
                <w:szCs w:val="24"/>
              </w:rPr>
              <w:t>ndividuals and non-individuals are treated equally as info</w:t>
            </w:r>
            <w:r w:rsidR="00883F55" w:rsidRPr="00F60E2F">
              <w:rPr>
                <w:rFonts w:ascii="Times New Roman" w:hAnsi="Times New Roman" w:cs="Times New Roman"/>
                <w:sz w:val="20"/>
                <w:szCs w:val="24"/>
              </w:rPr>
              <w:t>rmation</w:t>
            </w:r>
            <w:r w:rsidR="009271EE" w:rsidRPr="00F60E2F">
              <w:rPr>
                <w:rFonts w:ascii="Times New Roman" w:hAnsi="Times New Roman" w:cs="Times New Roman"/>
                <w:sz w:val="20"/>
                <w:szCs w:val="24"/>
              </w:rPr>
              <w:t xml:space="preserve"> about both can be shared.</w:t>
            </w:r>
          </w:p>
          <w:p w:rsidR="00870BDB" w:rsidRPr="00F60E2F" w:rsidRDefault="00870BDB" w:rsidP="001E710D">
            <w:pPr>
              <w:rPr>
                <w:rFonts w:ascii="Times New Roman" w:hAnsi="Times New Roman" w:cs="Times New Roman"/>
                <w:sz w:val="20"/>
                <w:szCs w:val="24"/>
              </w:rPr>
            </w:pPr>
          </w:p>
          <w:p w:rsidR="00870BDB" w:rsidRPr="00F60E2F" w:rsidRDefault="00E5156B" w:rsidP="00883F55">
            <w:pPr>
              <w:rPr>
                <w:rFonts w:ascii="Times New Roman" w:hAnsi="Times New Roman" w:cs="Times New Roman"/>
                <w:sz w:val="20"/>
                <w:szCs w:val="24"/>
              </w:rPr>
            </w:pPr>
            <w:r w:rsidRPr="00F60E2F">
              <w:rPr>
                <w:rFonts w:ascii="Times New Roman" w:hAnsi="Times New Roman" w:cs="Times New Roman"/>
                <w:sz w:val="20"/>
                <w:szCs w:val="24"/>
              </w:rPr>
              <w:t>Enables g</w:t>
            </w:r>
            <w:r w:rsidR="00870BDB" w:rsidRPr="00F60E2F">
              <w:rPr>
                <w:rFonts w:ascii="Times New Roman" w:hAnsi="Times New Roman" w:cs="Times New Roman"/>
                <w:sz w:val="20"/>
                <w:szCs w:val="24"/>
              </w:rPr>
              <w:t xml:space="preserve">reater access to information regarding non individuals </w:t>
            </w:r>
            <w:r w:rsidRPr="00F60E2F">
              <w:rPr>
                <w:rFonts w:ascii="Times New Roman" w:hAnsi="Times New Roman" w:cs="Times New Roman"/>
                <w:sz w:val="20"/>
                <w:szCs w:val="24"/>
              </w:rPr>
              <w:t xml:space="preserve">and </w:t>
            </w:r>
            <w:r w:rsidR="00870BDB" w:rsidRPr="00F60E2F">
              <w:rPr>
                <w:rFonts w:ascii="Times New Roman" w:hAnsi="Times New Roman" w:cs="Times New Roman"/>
                <w:sz w:val="20"/>
                <w:szCs w:val="24"/>
              </w:rPr>
              <w:t>will enable enforcement of obligations to be better targeted.</w:t>
            </w:r>
          </w:p>
        </w:tc>
        <w:tc>
          <w:tcPr>
            <w:tcW w:w="2375" w:type="dxa"/>
          </w:tcPr>
          <w:p w:rsidR="00153D6A" w:rsidRPr="006C16D2" w:rsidRDefault="00153D6A" w:rsidP="001E710D">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Met</w:t>
            </w:r>
          </w:p>
          <w:p w:rsidR="00153D6A" w:rsidRPr="00F60E2F" w:rsidRDefault="00153D6A" w:rsidP="001E710D">
            <w:pPr>
              <w:rPr>
                <w:rFonts w:ascii="Times New Roman" w:hAnsi="Times New Roman" w:cs="Times New Roman"/>
                <w:sz w:val="20"/>
                <w:szCs w:val="24"/>
              </w:rPr>
            </w:pPr>
          </w:p>
          <w:p w:rsidR="00870BDB" w:rsidRPr="00F60E2F" w:rsidRDefault="009E5C97" w:rsidP="001E710D">
            <w:pPr>
              <w:rPr>
                <w:rFonts w:ascii="Times New Roman" w:hAnsi="Times New Roman" w:cs="Times New Roman"/>
                <w:sz w:val="20"/>
                <w:szCs w:val="24"/>
              </w:rPr>
            </w:pPr>
            <w:r w:rsidRPr="00F60E2F">
              <w:rPr>
                <w:rFonts w:ascii="Times New Roman" w:hAnsi="Times New Roman" w:cs="Times New Roman"/>
                <w:sz w:val="20"/>
                <w:szCs w:val="24"/>
              </w:rPr>
              <w:t xml:space="preserve">There is potential for </w:t>
            </w:r>
            <w:r w:rsidR="00FC15B5" w:rsidRPr="00F60E2F">
              <w:rPr>
                <w:rFonts w:ascii="Times New Roman" w:hAnsi="Times New Roman" w:cs="Times New Roman"/>
                <w:sz w:val="20"/>
                <w:szCs w:val="24"/>
              </w:rPr>
              <w:t xml:space="preserve">both </w:t>
            </w:r>
            <w:r w:rsidRPr="00F60E2F">
              <w:rPr>
                <w:rFonts w:ascii="Times New Roman" w:hAnsi="Times New Roman" w:cs="Times New Roman"/>
                <w:sz w:val="20"/>
                <w:szCs w:val="24"/>
              </w:rPr>
              <w:t xml:space="preserve">a small </w:t>
            </w:r>
            <w:r w:rsidR="00870BDB" w:rsidRPr="00F60E2F">
              <w:rPr>
                <w:rFonts w:ascii="Times New Roman" w:hAnsi="Times New Roman" w:cs="Times New Roman"/>
                <w:sz w:val="20"/>
                <w:szCs w:val="24"/>
              </w:rPr>
              <w:t>i</w:t>
            </w:r>
            <w:r w:rsidR="00F9635B" w:rsidRPr="00F60E2F">
              <w:rPr>
                <w:rFonts w:ascii="Times New Roman" w:hAnsi="Times New Roman" w:cs="Times New Roman"/>
                <w:sz w:val="20"/>
                <w:szCs w:val="24"/>
              </w:rPr>
              <w:t xml:space="preserve">ncrease in </w:t>
            </w:r>
            <w:r w:rsidR="009E6976" w:rsidRPr="00F60E2F">
              <w:rPr>
                <w:rFonts w:ascii="Times New Roman" w:hAnsi="Times New Roman" w:cs="Times New Roman"/>
                <w:sz w:val="20"/>
                <w:szCs w:val="24"/>
              </w:rPr>
              <w:t xml:space="preserve">Inland Revenue </w:t>
            </w:r>
            <w:r w:rsidR="00F9635B" w:rsidRPr="00F60E2F">
              <w:rPr>
                <w:rFonts w:ascii="Times New Roman" w:hAnsi="Times New Roman" w:cs="Times New Roman"/>
                <w:sz w:val="20"/>
                <w:szCs w:val="24"/>
              </w:rPr>
              <w:t xml:space="preserve">administration costs </w:t>
            </w:r>
            <w:r w:rsidR="00FC15B5" w:rsidRPr="00F60E2F">
              <w:rPr>
                <w:rFonts w:ascii="Times New Roman" w:hAnsi="Times New Roman" w:cs="Times New Roman"/>
                <w:sz w:val="20"/>
                <w:szCs w:val="24"/>
              </w:rPr>
              <w:t>(</w:t>
            </w:r>
            <w:r w:rsidR="00F9635B" w:rsidRPr="00F60E2F">
              <w:rPr>
                <w:rFonts w:ascii="Times New Roman" w:hAnsi="Times New Roman" w:cs="Times New Roman"/>
                <w:sz w:val="20"/>
                <w:szCs w:val="24"/>
              </w:rPr>
              <w:t>in providing additional information to other agencies</w:t>
            </w:r>
            <w:r w:rsidR="00FC15B5" w:rsidRPr="00F60E2F">
              <w:rPr>
                <w:rFonts w:ascii="Times New Roman" w:hAnsi="Times New Roman" w:cs="Times New Roman"/>
                <w:sz w:val="20"/>
                <w:szCs w:val="24"/>
              </w:rPr>
              <w:t xml:space="preserve">) </w:t>
            </w:r>
            <w:r w:rsidR="00BD3DCF" w:rsidRPr="00F60E2F">
              <w:rPr>
                <w:rFonts w:ascii="Times New Roman" w:hAnsi="Times New Roman" w:cs="Times New Roman"/>
                <w:sz w:val="20"/>
                <w:szCs w:val="24"/>
              </w:rPr>
              <w:t>and benefits</w:t>
            </w:r>
            <w:r w:rsidRPr="00F60E2F">
              <w:rPr>
                <w:rFonts w:ascii="Times New Roman" w:hAnsi="Times New Roman" w:cs="Times New Roman"/>
                <w:sz w:val="20"/>
                <w:szCs w:val="24"/>
              </w:rPr>
              <w:t xml:space="preserve"> to Inland Revenue </w:t>
            </w:r>
            <w:r w:rsidR="00FC15B5" w:rsidRPr="00F60E2F">
              <w:rPr>
                <w:rFonts w:ascii="Times New Roman" w:hAnsi="Times New Roman" w:cs="Times New Roman"/>
                <w:sz w:val="20"/>
                <w:szCs w:val="24"/>
              </w:rPr>
              <w:t>as a result of receiving more information from other agencies.</w:t>
            </w:r>
          </w:p>
          <w:p w:rsidR="00870BDB" w:rsidRPr="00F60E2F" w:rsidRDefault="00870BDB" w:rsidP="001E710D">
            <w:pPr>
              <w:rPr>
                <w:rFonts w:ascii="Times New Roman" w:hAnsi="Times New Roman" w:cs="Times New Roman"/>
                <w:sz w:val="20"/>
                <w:szCs w:val="24"/>
              </w:rPr>
            </w:pPr>
          </w:p>
          <w:p w:rsidR="00870BDB" w:rsidRPr="00F60E2F" w:rsidRDefault="009E6976" w:rsidP="001E710D">
            <w:pPr>
              <w:rPr>
                <w:rFonts w:ascii="Times New Roman" w:hAnsi="Times New Roman" w:cs="Times New Roman"/>
                <w:sz w:val="20"/>
                <w:szCs w:val="24"/>
              </w:rPr>
            </w:pPr>
            <w:r w:rsidRPr="00F60E2F">
              <w:rPr>
                <w:rFonts w:ascii="Times New Roman" w:hAnsi="Times New Roman" w:cs="Times New Roman"/>
                <w:sz w:val="20"/>
                <w:szCs w:val="24"/>
              </w:rPr>
              <w:t xml:space="preserve">There will also be </w:t>
            </w:r>
            <w:r w:rsidR="009271EE" w:rsidRPr="00F60E2F">
              <w:rPr>
                <w:rFonts w:ascii="Times New Roman" w:hAnsi="Times New Roman" w:cs="Times New Roman"/>
                <w:sz w:val="20"/>
                <w:szCs w:val="24"/>
              </w:rPr>
              <w:t>reduce</w:t>
            </w:r>
            <w:r w:rsidRPr="00F60E2F">
              <w:rPr>
                <w:rFonts w:ascii="Times New Roman" w:hAnsi="Times New Roman" w:cs="Times New Roman"/>
                <w:sz w:val="20"/>
                <w:szCs w:val="24"/>
              </w:rPr>
              <w:t>d</w:t>
            </w:r>
            <w:r w:rsidR="009271EE" w:rsidRPr="00F60E2F">
              <w:rPr>
                <w:rFonts w:ascii="Times New Roman" w:hAnsi="Times New Roman" w:cs="Times New Roman"/>
                <w:sz w:val="20"/>
                <w:szCs w:val="24"/>
              </w:rPr>
              <w:t xml:space="preserve"> compliance costs for the entity through not providing the same information twice.</w:t>
            </w:r>
          </w:p>
          <w:p w:rsidR="002D326D" w:rsidRPr="00F60E2F" w:rsidRDefault="002D326D" w:rsidP="001E710D">
            <w:pPr>
              <w:rPr>
                <w:rFonts w:ascii="Times New Roman" w:hAnsi="Times New Roman" w:cs="Times New Roman"/>
                <w:sz w:val="20"/>
                <w:szCs w:val="24"/>
              </w:rPr>
            </w:pPr>
          </w:p>
          <w:p w:rsidR="002D326D" w:rsidRPr="00F60E2F" w:rsidRDefault="002D326D" w:rsidP="001E710D">
            <w:pPr>
              <w:rPr>
                <w:rFonts w:ascii="Times New Roman" w:hAnsi="Times New Roman" w:cs="Times New Roman"/>
                <w:sz w:val="20"/>
                <w:szCs w:val="24"/>
              </w:rPr>
            </w:pPr>
            <w:r w:rsidRPr="00F60E2F">
              <w:rPr>
                <w:rFonts w:ascii="Times New Roman" w:hAnsi="Times New Roman" w:cs="Times New Roman"/>
                <w:sz w:val="20"/>
                <w:szCs w:val="24"/>
              </w:rPr>
              <w:t>Compliance impacts could be mixed for this option.</w:t>
            </w:r>
            <w:r w:rsidR="00883F55" w:rsidRPr="00F60E2F">
              <w:rPr>
                <w:rFonts w:ascii="Times New Roman" w:hAnsi="Times New Roman" w:cs="Times New Roman"/>
                <w:sz w:val="20"/>
                <w:szCs w:val="24"/>
              </w:rPr>
              <w:t xml:space="preserve"> </w:t>
            </w:r>
            <w:r w:rsidRPr="00F60E2F">
              <w:rPr>
                <w:rFonts w:ascii="Times New Roman" w:hAnsi="Times New Roman" w:cs="Times New Roman"/>
                <w:sz w:val="20"/>
                <w:szCs w:val="24"/>
              </w:rPr>
              <w:t xml:space="preserve"> </w:t>
            </w:r>
            <w:r w:rsidR="00151CD7" w:rsidRPr="00F60E2F">
              <w:rPr>
                <w:rFonts w:ascii="Times New Roman" w:hAnsi="Times New Roman" w:cs="Times New Roman"/>
                <w:sz w:val="20"/>
                <w:szCs w:val="24"/>
              </w:rPr>
              <w:t>Those who perceive non-compl</w:t>
            </w:r>
            <w:r w:rsidR="003800AD" w:rsidRPr="00F60E2F">
              <w:rPr>
                <w:rFonts w:ascii="Times New Roman" w:hAnsi="Times New Roman" w:cs="Times New Roman"/>
                <w:sz w:val="20"/>
                <w:szCs w:val="24"/>
              </w:rPr>
              <w:t>i</w:t>
            </w:r>
            <w:r w:rsidR="00151CD7" w:rsidRPr="00F60E2F">
              <w:rPr>
                <w:rFonts w:ascii="Times New Roman" w:hAnsi="Times New Roman" w:cs="Times New Roman"/>
                <w:sz w:val="20"/>
                <w:szCs w:val="24"/>
              </w:rPr>
              <w:t>ance by others being punished could increase their own compliance.  However</w:t>
            </w:r>
            <w:r w:rsidR="00883F55" w:rsidRPr="00F60E2F">
              <w:rPr>
                <w:rFonts w:ascii="Times New Roman" w:hAnsi="Times New Roman" w:cs="Times New Roman"/>
                <w:sz w:val="20"/>
                <w:szCs w:val="24"/>
              </w:rPr>
              <w:t>,</w:t>
            </w:r>
            <w:r w:rsidR="00151CD7" w:rsidRPr="00F60E2F">
              <w:rPr>
                <w:rFonts w:ascii="Times New Roman" w:hAnsi="Times New Roman" w:cs="Times New Roman"/>
                <w:sz w:val="20"/>
                <w:szCs w:val="24"/>
              </w:rPr>
              <w:t xml:space="preserve"> those who see tax information being shared with others may not provide tax information to Inland Revenue, thereby undermining tax compliance.</w:t>
            </w:r>
          </w:p>
        </w:tc>
        <w:tc>
          <w:tcPr>
            <w:tcW w:w="2361" w:type="dxa"/>
          </w:tcPr>
          <w:p w:rsidR="00153D6A" w:rsidRPr="006C16D2" w:rsidRDefault="00883F55" w:rsidP="00B004FA">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Met</w:t>
            </w:r>
          </w:p>
          <w:p w:rsidR="00153D6A" w:rsidRPr="00F60E2F" w:rsidRDefault="00153D6A" w:rsidP="00B004FA">
            <w:pPr>
              <w:rPr>
                <w:rFonts w:ascii="Times New Roman" w:hAnsi="Times New Roman" w:cs="Times New Roman"/>
                <w:sz w:val="20"/>
                <w:szCs w:val="24"/>
              </w:rPr>
            </w:pPr>
          </w:p>
          <w:p w:rsidR="00870BDB" w:rsidRPr="00F60E2F" w:rsidRDefault="009E6976" w:rsidP="00B004FA">
            <w:pPr>
              <w:rPr>
                <w:rFonts w:ascii="Times New Roman" w:hAnsi="Times New Roman" w:cs="Times New Roman"/>
                <w:sz w:val="20"/>
                <w:szCs w:val="24"/>
              </w:rPr>
            </w:pPr>
            <w:r w:rsidRPr="00F60E2F">
              <w:rPr>
                <w:rFonts w:ascii="Times New Roman" w:hAnsi="Times New Roman" w:cs="Times New Roman"/>
                <w:sz w:val="20"/>
                <w:szCs w:val="24"/>
              </w:rPr>
              <w:t>Overall</w:t>
            </w:r>
            <w:r w:rsidR="00883F55" w:rsidRPr="00F60E2F">
              <w:rPr>
                <w:rFonts w:ascii="Times New Roman" w:hAnsi="Times New Roman" w:cs="Times New Roman"/>
                <w:sz w:val="20"/>
                <w:szCs w:val="24"/>
              </w:rPr>
              <w:t>,</w:t>
            </w:r>
            <w:r w:rsidRPr="00F60E2F">
              <w:rPr>
                <w:rFonts w:ascii="Times New Roman" w:hAnsi="Times New Roman" w:cs="Times New Roman"/>
                <w:sz w:val="20"/>
                <w:szCs w:val="24"/>
              </w:rPr>
              <w:t xml:space="preserve"> s</w:t>
            </w:r>
            <w:r w:rsidR="00870BDB" w:rsidRPr="00F60E2F">
              <w:rPr>
                <w:rFonts w:ascii="Times New Roman" w:hAnsi="Times New Roman" w:cs="Times New Roman"/>
                <w:sz w:val="20"/>
                <w:szCs w:val="24"/>
              </w:rPr>
              <w:t xml:space="preserve">upports the integrity of the </w:t>
            </w:r>
            <w:r w:rsidR="00B004FA" w:rsidRPr="00F60E2F">
              <w:rPr>
                <w:rFonts w:ascii="Times New Roman" w:hAnsi="Times New Roman" w:cs="Times New Roman"/>
                <w:sz w:val="20"/>
                <w:szCs w:val="24"/>
              </w:rPr>
              <w:t xml:space="preserve">public </w:t>
            </w:r>
            <w:r w:rsidR="008461B0" w:rsidRPr="00F60E2F">
              <w:rPr>
                <w:rFonts w:ascii="Times New Roman" w:hAnsi="Times New Roman" w:cs="Times New Roman"/>
                <w:sz w:val="20"/>
                <w:szCs w:val="24"/>
              </w:rPr>
              <w:t>sector</w:t>
            </w:r>
            <w:r w:rsidR="00B004FA" w:rsidRPr="00F60E2F">
              <w:rPr>
                <w:rFonts w:ascii="Times New Roman" w:hAnsi="Times New Roman" w:cs="Times New Roman"/>
                <w:sz w:val="20"/>
                <w:szCs w:val="24"/>
              </w:rPr>
              <w:t>, including enforcement of the law.</w:t>
            </w:r>
            <w:r w:rsidRPr="00F60E2F">
              <w:rPr>
                <w:rFonts w:ascii="Times New Roman" w:hAnsi="Times New Roman" w:cs="Times New Roman"/>
                <w:sz w:val="20"/>
                <w:szCs w:val="24"/>
              </w:rPr>
              <w:t xml:space="preserve">  However</w:t>
            </w:r>
            <w:r w:rsidR="00153D6A" w:rsidRPr="00F60E2F">
              <w:rPr>
                <w:rFonts w:ascii="Times New Roman" w:hAnsi="Times New Roman" w:cs="Times New Roman"/>
                <w:sz w:val="20"/>
                <w:szCs w:val="24"/>
              </w:rPr>
              <w:t>,</w:t>
            </w:r>
            <w:r w:rsidR="00F9635B" w:rsidRPr="00F60E2F">
              <w:rPr>
                <w:rFonts w:ascii="Times New Roman" w:hAnsi="Times New Roman" w:cs="Times New Roman"/>
                <w:sz w:val="20"/>
                <w:szCs w:val="24"/>
              </w:rPr>
              <w:t xml:space="preserve"> entities </w:t>
            </w:r>
            <w:r w:rsidR="005649FD" w:rsidRPr="00F60E2F">
              <w:rPr>
                <w:rFonts w:ascii="Times New Roman" w:hAnsi="Times New Roman" w:cs="Times New Roman"/>
                <w:sz w:val="20"/>
                <w:szCs w:val="24"/>
              </w:rPr>
              <w:t>may be more hesitant to</w:t>
            </w:r>
            <w:r w:rsidR="00F9635B" w:rsidRPr="00F60E2F">
              <w:rPr>
                <w:rFonts w:ascii="Times New Roman" w:hAnsi="Times New Roman" w:cs="Times New Roman"/>
                <w:sz w:val="20"/>
                <w:szCs w:val="24"/>
              </w:rPr>
              <w:t xml:space="preserve"> provide </w:t>
            </w:r>
            <w:r w:rsidR="005649FD" w:rsidRPr="00F60E2F">
              <w:rPr>
                <w:rFonts w:ascii="Times New Roman" w:hAnsi="Times New Roman" w:cs="Times New Roman"/>
                <w:sz w:val="20"/>
                <w:szCs w:val="24"/>
              </w:rPr>
              <w:t xml:space="preserve">Inland Revenue </w:t>
            </w:r>
            <w:r w:rsidR="00F9635B" w:rsidRPr="00F60E2F">
              <w:rPr>
                <w:rFonts w:ascii="Times New Roman" w:hAnsi="Times New Roman" w:cs="Times New Roman"/>
                <w:sz w:val="20"/>
                <w:szCs w:val="24"/>
              </w:rPr>
              <w:t xml:space="preserve">information. But on the </w:t>
            </w:r>
            <w:r w:rsidR="00B004FA" w:rsidRPr="00F60E2F">
              <w:rPr>
                <w:rFonts w:ascii="Times New Roman" w:hAnsi="Times New Roman" w:cs="Times New Roman"/>
                <w:sz w:val="20"/>
                <w:szCs w:val="24"/>
              </w:rPr>
              <w:t xml:space="preserve">other hand, </w:t>
            </w:r>
            <w:r w:rsidR="00F9635B" w:rsidRPr="00F60E2F">
              <w:rPr>
                <w:rFonts w:ascii="Times New Roman" w:hAnsi="Times New Roman" w:cs="Times New Roman"/>
                <w:sz w:val="20"/>
                <w:szCs w:val="24"/>
              </w:rPr>
              <w:t>more sharing could improve the general public’s perception of gov</w:t>
            </w:r>
            <w:r w:rsidRPr="00F60E2F">
              <w:rPr>
                <w:rFonts w:ascii="Times New Roman" w:hAnsi="Times New Roman" w:cs="Times New Roman"/>
                <w:sz w:val="20"/>
                <w:szCs w:val="24"/>
              </w:rPr>
              <w:t>ernment being joined-</w:t>
            </w:r>
            <w:r w:rsidR="00F9635B" w:rsidRPr="00F60E2F">
              <w:rPr>
                <w:rFonts w:ascii="Times New Roman" w:hAnsi="Times New Roman" w:cs="Times New Roman"/>
                <w:sz w:val="20"/>
                <w:szCs w:val="24"/>
              </w:rPr>
              <w:t>up.</w:t>
            </w:r>
          </w:p>
        </w:tc>
      </w:tr>
      <w:tr w:rsidR="00153D6A" w:rsidRPr="00F60E2F" w:rsidTr="006C16D2">
        <w:tblPrEx>
          <w:tblCellMar>
            <w:top w:w="57" w:type="dxa"/>
          </w:tblCellMar>
        </w:tblPrEx>
        <w:tc>
          <w:tcPr>
            <w:tcW w:w="2003" w:type="dxa"/>
          </w:tcPr>
          <w:p w:rsidR="00153D6A" w:rsidRPr="00F60E2F" w:rsidRDefault="00153D6A" w:rsidP="00B64E72">
            <w:pPr>
              <w:pStyle w:val="ListParagraph"/>
              <w:numPr>
                <w:ilvl w:val="0"/>
                <w:numId w:val="8"/>
              </w:numPr>
              <w:spacing w:after="0" w:line="240" w:lineRule="auto"/>
              <w:rPr>
                <w:rFonts w:ascii="Times New Roman" w:hAnsi="Times New Roman" w:cs="Times New Roman"/>
                <w:sz w:val="20"/>
                <w:szCs w:val="24"/>
              </w:rPr>
            </w:pPr>
            <w:r w:rsidRPr="00F60E2F">
              <w:rPr>
                <w:rFonts w:ascii="Times New Roman" w:hAnsi="Times New Roman" w:cs="Times New Roman"/>
                <w:sz w:val="20"/>
                <w:szCs w:val="24"/>
              </w:rPr>
              <w:t xml:space="preserve">Amend the secrecy exception for disclosure of tax secret information in certain cases, to include cross-Government sharing of information relating to non-individuals. </w:t>
            </w:r>
          </w:p>
          <w:p w:rsidR="00153D6A" w:rsidRPr="00F60E2F" w:rsidRDefault="00153D6A" w:rsidP="00B64E72">
            <w:pPr>
              <w:pStyle w:val="ListParagraph"/>
              <w:spacing w:after="0" w:line="240" w:lineRule="auto"/>
              <w:ind w:left="360"/>
              <w:rPr>
                <w:rFonts w:ascii="Times New Roman" w:hAnsi="Times New Roman" w:cs="Times New Roman"/>
                <w:sz w:val="20"/>
                <w:szCs w:val="24"/>
              </w:rPr>
            </w:pPr>
          </w:p>
        </w:tc>
        <w:tc>
          <w:tcPr>
            <w:tcW w:w="2503" w:type="dxa"/>
          </w:tcPr>
          <w:p w:rsidR="00883F55" w:rsidRPr="006C16D2" w:rsidRDefault="00883F55" w:rsidP="00B64E72">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Met</w:t>
            </w:r>
          </w:p>
          <w:p w:rsidR="00883F55" w:rsidRPr="00F60E2F" w:rsidRDefault="00883F55" w:rsidP="00B64E72">
            <w:pPr>
              <w:rPr>
                <w:rFonts w:ascii="Times New Roman" w:hAnsi="Times New Roman" w:cs="Times New Roman"/>
                <w:sz w:val="20"/>
                <w:szCs w:val="24"/>
              </w:rPr>
            </w:pPr>
          </w:p>
          <w:p w:rsidR="00153D6A" w:rsidRPr="00F60E2F" w:rsidRDefault="00153D6A" w:rsidP="00883F55">
            <w:pPr>
              <w:rPr>
                <w:rFonts w:ascii="Times New Roman" w:hAnsi="Times New Roman" w:cs="Times New Roman"/>
                <w:sz w:val="20"/>
                <w:szCs w:val="24"/>
              </w:rPr>
            </w:pPr>
            <w:r w:rsidRPr="00F60E2F">
              <w:rPr>
                <w:rFonts w:ascii="Times New Roman" w:hAnsi="Times New Roman" w:cs="Times New Roman"/>
                <w:sz w:val="20"/>
                <w:szCs w:val="24"/>
              </w:rPr>
              <w:t>This option would allow sharing to avoid people or entities taking advantage of departments lacking a common understanding</w:t>
            </w:r>
            <w:r w:rsidR="00883F55" w:rsidRPr="00F60E2F">
              <w:rPr>
                <w:rFonts w:ascii="Times New Roman" w:hAnsi="Times New Roman" w:cs="Times New Roman"/>
                <w:sz w:val="20"/>
                <w:szCs w:val="24"/>
              </w:rPr>
              <w:t>, H</w:t>
            </w:r>
            <w:r w:rsidRPr="00F60E2F">
              <w:rPr>
                <w:rFonts w:ascii="Times New Roman" w:hAnsi="Times New Roman" w:cs="Times New Roman"/>
                <w:sz w:val="20"/>
                <w:szCs w:val="24"/>
              </w:rPr>
              <w:t>owever</w:t>
            </w:r>
            <w:r w:rsidR="00883F55" w:rsidRPr="00F60E2F">
              <w:rPr>
                <w:rFonts w:ascii="Times New Roman" w:hAnsi="Times New Roman" w:cs="Times New Roman"/>
                <w:sz w:val="20"/>
                <w:szCs w:val="24"/>
              </w:rPr>
              <w:t>,</w:t>
            </w:r>
            <w:r w:rsidRPr="00F60E2F">
              <w:rPr>
                <w:rFonts w:ascii="Times New Roman" w:hAnsi="Times New Roman" w:cs="Times New Roman"/>
                <w:sz w:val="20"/>
                <w:szCs w:val="24"/>
              </w:rPr>
              <w:t xml:space="preserve"> the AISA framework provides greater transparency, certainty and accountability both for agencies using the process and for the public. </w:t>
            </w:r>
          </w:p>
        </w:tc>
        <w:tc>
          <w:tcPr>
            <w:tcW w:w="2375" w:type="dxa"/>
          </w:tcPr>
          <w:p w:rsidR="00883F55" w:rsidRPr="006C16D2" w:rsidRDefault="00883F55" w:rsidP="00B64E72">
            <w:pPr>
              <w:spacing w:after="160" w:line="259" w:lineRule="auto"/>
              <w:rPr>
                <w:rFonts w:ascii="Times New Roman" w:hAnsi="Times New Roman" w:cs="Times New Roman"/>
                <w:b/>
                <w:sz w:val="20"/>
                <w:szCs w:val="24"/>
              </w:rPr>
            </w:pPr>
            <w:r w:rsidRPr="006C16D2">
              <w:rPr>
                <w:rFonts w:ascii="Times New Roman" w:hAnsi="Times New Roman" w:cs="Times New Roman"/>
                <w:b/>
                <w:sz w:val="20"/>
                <w:szCs w:val="24"/>
              </w:rPr>
              <w:t>Partially met</w:t>
            </w:r>
          </w:p>
          <w:p w:rsidR="00883F55" w:rsidRPr="00F60E2F" w:rsidRDefault="00883F55" w:rsidP="00B64E72">
            <w:pPr>
              <w:rPr>
                <w:rFonts w:ascii="Times New Roman" w:hAnsi="Times New Roman" w:cs="Times New Roman"/>
                <w:sz w:val="20"/>
                <w:szCs w:val="24"/>
              </w:rPr>
            </w:pPr>
          </w:p>
          <w:p w:rsidR="00153D6A" w:rsidRPr="00F60E2F" w:rsidRDefault="00883F55" w:rsidP="00883F55">
            <w:pPr>
              <w:rPr>
                <w:rFonts w:ascii="Times New Roman" w:hAnsi="Times New Roman" w:cs="Times New Roman"/>
                <w:sz w:val="20"/>
                <w:szCs w:val="24"/>
              </w:rPr>
            </w:pPr>
            <w:r w:rsidRPr="00F60E2F">
              <w:rPr>
                <w:rFonts w:ascii="Times New Roman" w:hAnsi="Times New Roman" w:cs="Times New Roman"/>
                <w:sz w:val="20"/>
                <w:szCs w:val="24"/>
              </w:rPr>
              <w:t xml:space="preserve">Same as </w:t>
            </w:r>
            <w:r w:rsidR="00153D6A" w:rsidRPr="00F60E2F">
              <w:rPr>
                <w:rFonts w:ascii="Times New Roman" w:hAnsi="Times New Roman" w:cs="Times New Roman"/>
                <w:sz w:val="20"/>
                <w:szCs w:val="24"/>
              </w:rPr>
              <w:t xml:space="preserve">option </w:t>
            </w:r>
            <w:r w:rsidR="00B64E72" w:rsidRPr="00F60E2F">
              <w:rPr>
                <w:rFonts w:ascii="Times New Roman" w:hAnsi="Times New Roman" w:cs="Times New Roman"/>
                <w:sz w:val="20"/>
                <w:szCs w:val="24"/>
              </w:rPr>
              <w:t>2</w:t>
            </w:r>
            <w:r w:rsidRPr="00F60E2F">
              <w:rPr>
                <w:rFonts w:ascii="Times New Roman" w:hAnsi="Times New Roman" w:cs="Times New Roman"/>
                <w:sz w:val="20"/>
                <w:szCs w:val="24"/>
              </w:rPr>
              <w:t xml:space="preserve">.  However, this option </w:t>
            </w:r>
            <w:r w:rsidR="00153D6A" w:rsidRPr="00F60E2F">
              <w:rPr>
                <w:rFonts w:ascii="Times New Roman" w:hAnsi="Times New Roman" w:cs="Times New Roman"/>
                <w:sz w:val="20"/>
                <w:szCs w:val="24"/>
              </w:rPr>
              <w:t xml:space="preserve">would involve an extra administrative cost of developing a new exception to tax secrecy laws, despite the prior existence of the AISA framework. </w:t>
            </w:r>
          </w:p>
        </w:tc>
        <w:tc>
          <w:tcPr>
            <w:tcW w:w="2361" w:type="dxa"/>
          </w:tcPr>
          <w:p w:rsidR="00883F55" w:rsidRPr="006C16D2" w:rsidRDefault="00883F55" w:rsidP="00B64E72">
            <w:pPr>
              <w:spacing w:after="160" w:line="259" w:lineRule="auto"/>
              <w:rPr>
                <w:rFonts w:ascii="Times New Roman" w:hAnsi="Times New Roman" w:cs="Times New Roman"/>
                <w:b/>
                <w:sz w:val="20"/>
                <w:szCs w:val="24"/>
              </w:rPr>
            </w:pPr>
            <w:r w:rsidRPr="00F60E2F">
              <w:rPr>
                <w:rFonts w:ascii="Times New Roman" w:hAnsi="Times New Roman" w:cs="Times New Roman"/>
                <w:b/>
                <w:sz w:val="20"/>
                <w:szCs w:val="24"/>
              </w:rPr>
              <w:t>Partially met</w:t>
            </w:r>
          </w:p>
          <w:p w:rsidR="00883F55" w:rsidRPr="00F60E2F" w:rsidRDefault="00883F55" w:rsidP="00B64E72">
            <w:pPr>
              <w:rPr>
                <w:rFonts w:ascii="Times New Roman" w:hAnsi="Times New Roman" w:cs="Times New Roman"/>
                <w:sz w:val="20"/>
                <w:szCs w:val="24"/>
              </w:rPr>
            </w:pPr>
          </w:p>
          <w:p w:rsidR="00153D6A" w:rsidRPr="00F60E2F" w:rsidRDefault="00883F55" w:rsidP="00883F55">
            <w:pPr>
              <w:rPr>
                <w:rFonts w:ascii="Times New Roman" w:hAnsi="Times New Roman" w:cs="Times New Roman"/>
                <w:sz w:val="20"/>
                <w:szCs w:val="24"/>
              </w:rPr>
            </w:pPr>
            <w:r w:rsidRPr="00F60E2F">
              <w:rPr>
                <w:rFonts w:ascii="Times New Roman" w:hAnsi="Times New Roman" w:cs="Times New Roman"/>
                <w:sz w:val="20"/>
                <w:szCs w:val="24"/>
              </w:rPr>
              <w:t xml:space="preserve">Same as </w:t>
            </w:r>
            <w:r w:rsidR="00153D6A" w:rsidRPr="00F60E2F">
              <w:rPr>
                <w:rFonts w:ascii="Times New Roman" w:hAnsi="Times New Roman" w:cs="Times New Roman"/>
                <w:sz w:val="20"/>
                <w:szCs w:val="24"/>
              </w:rPr>
              <w:t xml:space="preserve">option </w:t>
            </w:r>
            <w:r w:rsidR="00B64E72" w:rsidRPr="00F60E2F">
              <w:rPr>
                <w:rFonts w:ascii="Times New Roman" w:hAnsi="Times New Roman" w:cs="Times New Roman"/>
                <w:sz w:val="20"/>
                <w:szCs w:val="24"/>
              </w:rPr>
              <w:t>2</w:t>
            </w:r>
            <w:r w:rsidRPr="00F60E2F">
              <w:rPr>
                <w:rFonts w:ascii="Times New Roman" w:hAnsi="Times New Roman" w:cs="Times New Roman"/>
                <w:sz w:val="20"/>
                <w:szCs w:val="24"/>
              </w:rPr>
              <w:t xml:space="preserve">.  However, this option </w:t>
            </w:r>
            <w:r w:rsidR="00153D6A" w:rsidRPr="00F60E2F">
              <w:rPr>
                <w:rFonts w:ascii="Times New Roman" w:hAnsi="Times New Roman" w:cs="Times New Roman"/>
                <w:sz w:val="20"/>
                <w:szCs w:val="24"/>
              </w:rPr>
              <w:t>would lack the advantages attached to the AISA framework in terms of consistency and certainty across agencies.</w:t>
            </w:r>
          </w:p>
        </w:tc>
      </w:tr>
    </w:tbl>
    <w:p w:rsidR="00E459EC" w:rsidRDefault="00E459EC" w:rsidP="00E129F7">
      <w:pPr>
        <w:spacing w:after="0" w:line="240" w:lineRule="auto"/>
        <w:jc w:val="both"/>
        <w:rPr>
          <w:rFonts w:ascii="Times New Roman" w:hAnsi="Times New Roman" w:cs="Times New Roman"/>
          <w:sz w:val="24"/>
          <w:szCs w:val="24"/>
        </w:rPr>
      </w:pPr>
    </w:p>
    <w:p w:rsidR="002D326D" w:rsidRDefault="002D326D" w:rsidP="00E55E20">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w:t>
      </w:r>
      <w:r w:rsidRPr="0043243C">
        <w:rPr>
          <w:rFonts w:ascii="Times New Roman" w:hAnsi="Times New Roman" w:cs="Times New Roman"/>
          <w:sz w:val="24"/>
          <w:szCs w:val="24"/>
        </w:rPr>
        <w:t xml:space="preserve">here </w:t>
      </w:r>
      <w:proofErr w:type="gramStart"/>
      <w:r w:rsidRPr="0043243C">
        <w:rPr>
          <w:rFonts w:ascii="Times New Roman" w:hAnsi="Times New Roman" w:cs="Times New Roman"/>
          <w:sz w:val="24"/>
          <w:szCs w:val="24"/>
        </w:rPr>
        <w:t>are</w:t>
      </w:r>
      <w:proofErr w:type="gramEnd"/>
      <w:r w:rsidRPr="0043243C">
        <w:rPr>
          <w:rFonts w:ascii="Times New Roman" w:hAnsi="Times New Roman" w:cs="Times New Roman"/>
          <w:sz w:val="24"/>
          <w:szCs w:val="24"/>
        </w:rPr>
        <w:t xml:space="preserve"> no </w:t>
      </w:r>
      <w:r>
        <w:rPr>
          <w:rFonts w:ascii="Times New Roman" w:hAnsi="Times New Roman" w:cs="Times New Roman"/>
          <w:sz w:val="24"/>
          <w:szCs w:val="24"/>
        </w:rPr>
        <w:t xml:space="preserve">revenue, economic, </w:t>
      </w:r>
      <w:r w:rsidRPr="0043243C">
        <w:rPr>
          <w:rFonts w:ascii="Times New Roman" w:hAnsi="Times New Roman" w:cs="Times New Roman"/>
          <w:sz w:val="24"/>
          <w:szCs w:val="24"/>
        </w:rPr>
        <w:t>social, environmental or cultural impacts from the</w:t>
      </w:r>
      <w:r>
        <w:rPr>
          <w:rFonts w:ascii="Times New Roman" w:hAnsi="Times New Roman" w:cs="Times New Roman"/>
          <w:sz w:val="24"/>
          <w:szCs w:val="24"/>
        </w:rPr>
        <w:t xml:space="preserve"> two option</w:t>
      </w:r>
      <w:r w:rsidRPr="0043243C">
        <w:rPr>
          <w:rFonts w:ascii="Times New Roman" w:hAnsi="Times New Roman" w:cs="Times New Roman"/>
          <w:sz w:val="24"/>
          <w:szCs w:val="24"/>
        </w:rPr>
        <w:t>s.</w:t>
      </w:r>
      <w:r>
        <w:rPr>
          <w:rFonts w:ascii="Times New Roman" w:hAnsi="Times New Roman" w:cs="Times New Roman"/>
          <w:sz w:val="24"/>
          <w:szCs w:val="24"/>
        </w:rPr>
        <w:t xml:space="preserve">  </w:t>
      </w:r>
    </w:p>
    <w:p w:rsidR="00FC15B5" w:rsidRDefault="00FC15B5" w:rsidP="00E129F7">
      <w:pPr>
        <w:spacing w:after="0" w:line="240" w:lineRule="auto"/>
        <w:jc w:val="both"/>
        <w:rPr>
          <w:rFonts w:ascii="Times New Roman" w:hAnsi="Times New Roman" w:cs="Times New Roman"/>
          <w:sz w:val="24"/>
          <w:szCs w:val="24"/>
        </w:rPr>
      </w:pPr>
    </w:p>
    <w:p w:rsidR="00B64E72" w:rsidRDefault="00B64E72" w:rsidP="00E129F7">
      <w:pPr>
        <w:spacing w:after="0" w:line="240" w:lineRule="auto"/>
        <w:jc w:val="both"/>
        <w:rPr>
          <w:rFonts w:ascii="Times New Roman" w:hAnsi="Times New Roman" w:cs="Times New Roman"/>
          <w:sz w:val="24"/>
          <w:szCs w:val="24"/>
        </w:rPr>
      </w:pPr>
    </w:p>
    <w:p w:rsidR="005E506F" w:rsidRDefault="005E506F" w:rsidP="006C16D2">
      <w:pPr>
        <w:keepNext/>
        <w:spacing w:after="0" w:line="240" w:lineRule="auto"/>
        <w:jc w:val="both"/>
        <w:rPr>
          <w:rFonts w:ascii="Times New Roman" w:hAnsi="Times New Roman" w:cs="Times New Roman"/>
          <w:b/>
          <w:sz w:val="24"/>
          <w:szCs w:val="24"/>
        </w:rPr>
      </w:pPr>
      <w:r w:rsidRPr="005E506F">
        <w:rPr>
          <w:rFonts w:ascii="Times New Roman" w:hAnsi="Times New Roman" w:cs="Times New Roman"/>
          <w:b/>
          <w:sz w:val="24"/>
          <w:szCs w:val="24"/>
        </w:rPr>
        <w:t>CONCLUSION</w:t>
      </w:r>
    </w:p>
    <w:p w:rsidR="00686406" w:rsidRDefault="00686406" w:rsidP="006C16D2">
      <w:pPr>
        <w:pStyle w:val="ListParagraph"/>
        <w:keepNext/>
        <w:spacing w:after="0" w:line="240" w:lineRule="auto"/>
        <w:ind w:left="0"/>
        <w:jc w:val="both"/>
        <w:rPr>
          <w:rFonts w:ascii="Times New Roman" w:hAnsi="Times New Roman" w:cs="Times New Roman"/>
          <w:sz w:val="24"/>
          <w:szCs w:val="24"/>
        </w:rPr>
      </w:pPr>
    </w:p>
    <w:p w:rsidR="00E459EC" w:rsidRPr="00686406" w:rsidRDefault="00A55192" w:rsidP="006C16D2">
      <w:pPr>
        <w:pStyle w:val="ListParagraph"/>
        <w:keepNext/>
        <w:numPr>
          <w:ilvl w:val="0"/>
          <w:numId w:val="7"/>
        </w:numPr>
        <w:spacing w:after="0" w:line="240" w:lineRule="auto"/>
        <w:ind w:left="0" w:firstLine="0"/>
        <w:jc w:val="both"/>
        <w:rPr>
          <w:rFonts w:ascii="Times New Roman" w:hAnsi="Times New Roman" w:cs="Times New Roman"/>
          <w:sz w:val="24"/>
          <w:szCs w:val="24"/>
        </w:rPr>
      </w:pPr>
      <w:r w:rsidRPr="00686406">
        <w:rPr>
          <w:rFonts w:ascii="Times New Roman" w:hAnsi="Times New Roman" w:cs="Times New Roman"/>
          <w:sz w:val="24"/>
          <w:szCs w:val="24"/>
        </w:rPr>
        <w:t xml:space="preserve">Officials recommend option 2, to amend </w:t>
      </w:r>
      <w:r w:rsidR="00E5156B">
        <w:rPr>
          <w:rFonts w:ascii="Times New Roman" w:hAnsi="Times New Roman" w:cs="Times New Roman"/>
          <w:sz w:val="24"/>
          <w:szCs w:val="24"/>
        </w:rPr>
        <w:t xml:space="preserve">section 81A of </w:t>
      </w:r>
      <w:r w:rsidRPr="00686406">
        <w:rPr>
          <w:rFonts w:ascii="Times New Roman" w:hAnsi="Times New Roman" w:cs="Times New Roman"/>
          <w:sz w:val="24"/>
          <w:szCs w:val="24"/>
        </w:rPr>
        <w:t>the Ta</w:t>
      </w:r>
      <w:r w:rsidR="00AD6DFE">
        <w:rPr>
          <w:rFonts w:ascii="Times New Roman" w:hAnsi="Times New Roman" w:cs="Times New Roman"/>
          <w:sz w:val="24"/>
          <w:szCs w:val="24"/>
        </w:rPr>
        <w:t>x Administration Act</w:t>
      </w:r>
      <w:r w:rsidRPr="00686406">
        <w:rPr>
          <w:rFonts w:ascii="Times New Roman" w:hAnsi="Times New Roman" w:cs="Times New Roman"/>
          <w:sz w:val="24"/>
          <w:szCs w:val="24"/>
        </w:rPr>
        <w:t xml:space="preserve"> to enable the sharing of information about non-individuals under an AISA.</w:t>
      </w:r>
      <w:r w:rsidR="00794192" w:rsidRPr="00686406">
        <w:rPr>
          <w:rFonts w:ascii="Times New Roman" w:hAnsi="Times New Roman" w:cs="Times New Roman"/>
          <w:sz w:val="24"/>
          <w:szCs w:val="24"/>
        </w:rPr>
        <w:t xml:space="preserve">  Under this option, greater access to information will enable a fairer and more equitable enforcement of obligations and support the integrity of the </w:t>
      </w:r>
      <w:r w:rsidR="009E6976">
        <w:rPr>
          <w:rFonts w:ascii="Times New Roman" w:hAnsi="Times New Roman" w:cs="Times New Roman"/>
          <w:sz w:val="24"/>
          <w:szCs w:val="24"/>
        </w:rPr>
        <w:t>public sector</w:t>
      </w:r>
      <w:r w:rsidR="00686406" w:rsidRPr="00686406">
        <w:rPr>
          <w:rFonts w:ascii="Times New Roman" w:hAnsi="Times New Roman" w:cs="Times New Roman"/>
          <w:sz w:val="24"/>
          <w:szCs w:val="24"/>
        </w:rPr>
        <w:t>.</w:t>
      </w:r>
    </w:p>
    <w:p w:rsidR="00E459EC" w:rsidRDefault="00E459EC" w:rsidP="00E129F7">
      <w:pPr>
        <w:spacing w:after="0" w:line="240" w:lineRule="auto"/>
        <w:jc w:val="both"/>
        <w:rPr>
          <w:rFonts w:ascii="Times New Roman" w:hAnsi="Times New Roman" w:cs="Times New Roman"/>
          <w:sz w:val="24"/>
          <w:szCs w:val="24"/>
        </w:rPr>
      </w:pPr>
    </w:p>
    <w:p w:rsidR="00FC15B5" w:rsidRDefault="00FC15B5" w:rsidP="00E129F7">
      <w:pPr>
        <w:spacing w:after="0" w:line="240" w:lineRule="auto"/>
        <w:jc w:val="both"/>
        <w:rPr>
          <w:rFonts w:ascii="Times New Roman" w:hAnsi="Times New Roman" w:cs="Times New Roman"/>
          <w:sz w:val="24"/>
          <w:szCs w:val="24"/>
        </w:rPr>
      </w:pPr>
    </w:p>
    <w:p w:rsidR="005E506F" w:rsidRPr="005E506F" w:rsidRDefault="005E506F" w:rsidP="00E129F7">
      <w:pPr>
        <w:spacing w:after="0" w:line="240" w:lineRule="auto"/>
        <w:jc w:val="both"/>
        <w:rPr>
          <w:rFonts w:ascii="Times New Roman" w:hAnsi="Times New Roman" w:cs="Times New Roman"/>
          <w:b/>
          <w:sz w:val="24"/>
          <w:szCs w:val="24"/>
        </w:rPr>
      </w:pPr>
      <w:r w:rsidRPr="005E506F">
        <w:rPr>
          <w:rFonts w:ascii="Times New Roman" w:hAnsi="Times New Roman" w:cs="Times New Roman"/>
          <w:b/>
          <w:sz w:val="24"/>
          <w:szCs w:val="24"/>
        </w:rPr>
        <w:t>CONSULTATION</w:t>
      </w:r>
    </w:p>
    <w:p w:rsidR="00686406" w:rsidRDefault="00686406" w:rsidP="00686406">
      <w:pPr>
        <w:pStyle w:val="ListParagraph"/>
        <w:spacing w:after="0" w:line="240" w:lineRule="auto"/>
        <w:ind w:left="0"/>
        <w:jc w:val="both"/>
        <w:rPr>
          <w:rFonts w:ascii="Times New Roman" w:hAnsi="Times New Roman" w:cs="Times New Roman"/>
          <w:sz w:val="24"/>
          <w:szCs w:val="24"/>
        </w:rPr>
      </w:pPr>
    </w:p>
    <w:p w:rsidR="00E459EC" w:rsidRDefault="00E459EC" w:rsidP="00E55E20">
      <w:pPr>
        <w:pStyle w:val="ListParagraph"/>
        <w:numPr>
          <w:ilvl w:val="0"/>
          <w:numId w:val="7"/>
        </w:numPr>
        <w:spacing w:after="0" w:line="240" w:lineRule="auto"/>
        <w:ind w:left="0" w:firstLine="0"/>
        <w:jc w:val="both"/>
        <w:rPr>
          <w:rFonts w:ascii="Times New Roman" w:hAnsi="Times New Roman" w:cs="Times New Roman"/>
          <w:sz w:val="24"/>
          <w:szCs w:val="24"/>
        </w:rPr>
      </w:pPr>
      <w:r w:rsidRPr="00686406">
        <w:rPr>
          <w:rFonts w:ascii="Times New Roman" w:hAnsi="Times New Roman" w:cs="Times New Roman"/>
          <w:sz w:val="24"/>
          <w:szCs w:val="24"/>
        </w:rPr>
        <w:t>Officials have consulted with the Office of the Privacy Commissioner</w:t>
      </w:r>
      <w:r w:rsidR="00FF3CAD" w:rsidRPr="00686406">
        <w:rPr>
          <w:rFonts w:ascii="Times New Roman" w:hAnsi="Times New Roman" w:cs="Times New Roman"/>
          <w:sz w:val="24"/>
          <w:szCs w:val="24"/>
        </w:rPr>
        <w:t xml:space="preserve">, </w:t>
      </w:r>
      <w:r w:rsidR="00CD65D4" w:rsidRPr="00686406">
        <w:rPr>
          <w:rFonts w:ascii="Times New Roman" w:hAnsi="Times New Roman" w:cs="Times New Roman"/>
          <w:sz w:val="24"/>
          <w:szCs w:val="24"/>
        </w:rPr>
        <w:t>the</w:t>
      </w:r>
      <w:r w:rsidRPr="00686406">
        <w:rPr>
          <w:rFonts w:ascii="Times New Roman" w:hAnsi="Times New Roman" w:cs="Times New Roman"/>
          <w:sz w:val="24"/>
          <w:szCs w:val="24"/>
        </w:rPr>
        <w:t xml:space="preserve"> Treasury</w:t>
      </w:r>
      <w:r w:rsidR="00CD65D4" w:rsidRPr="00686406">
        <w:rPr>
          <w:rFonts w:ascii="Times New Roman" w:hAnsi="Times New Roman" w:cs="Times New Roman"/>
          <w:sz w:val="24"/>
          <w:szCs w:val="24"/>
        </w:rPr>
        <w:t>, and New Zeal</w:t>
      </w:r>
      <w:r w:rsidR="004E7BE2">
        <w:rPr>
          <w:rFonts w:ascii="Times New Roman" w:hAnsi="Times New Roman" w:cs="Times New Roman"/>
          <w:sz w:val="24"/>
          <w:szCs w:val="24"/>
        </w:rPr>
        <w:t xml:space="preserve">and Police on this issue.  </w:t>
      </w:r>
      <w:r w:rsidR="00151CD7">
        <w:rPr>
          <w:rFonts w:ascii="Times New Roman" w:hAnsi="Times New Roman" w:cs="Times New Roman"/>
          <w:sz w:val="24"/>
          <w:szCs w:val="24"/>
        </w:rPr>
        <w:t>The</w:t>
      </w:r>
      <w:r w:rsidR="009271EE">
        <w:rPr>
          <w:rFonts w:ascii="Times New Roman" w:hAnsi="Times New Roman" w:cs="Times New Roman"/>
          <w:sz w:val="24"/>
          <w:szCs w:val="24"/>
        </w:rPr>
        <w:t xml:space="preserve"> consultation took the form of discussions with agency representatives on</w:t>
      </w:r>
      <w:r w:rsidR="00AD6DFE">
        <w:rPr>
          <w:rFonts w:ascii="Times New Roman" w:hAnsi="Times New Roman" w:cs="Times New Roman"/>
          <w:sz w:val="24"/>
          <w:szCs w:val="24"/>
        </w:rPr>
        <w:t xml:space="preserve"> the proposals and each agency has been provided with </w:t>
      </w:r>
      <w:r w:rsidR="009271EE">
        <w:rPr>
          <w:rFonts w:ascii="Times New Roman" w:hAnsi="Times New Roman" w:cs="Times New Roman"/>
          <w:sz w:val="24"/>
          <w:szCs w:val="24"/>
        </w:rPr>
        <w:t xml:space="preserve">the Cabinet paper </w:t>
      </w:r>
      <w:r w:rsidR="00AD6DFE">
        <w:rPr>
          <w:rFonts w:ascii="Times New Roman" w:hAnsi="Times New Roman" w:cs="Times New Roman"/>
          <w:sz w:val="24"/>
          <w:szCs w:val="24"/>
        </w:rPr>
        <w:t>for comment</w:t>
      </w:r>
      <w:r w:rsidR="009271EE">
        <w:rPr>
          <w:rFonts w:ascii="Times New Roman" w:hAnsi="Times New Roman" w:cs="Times New Roman"/>
          <w:sz w:val="24"/>
          <w:szCs w:val="24"/>
        </w:rPr>
        <w:t>.  There</w:t>
      </w:r>
      <w:r w:rsidR="00151CD7">
        <w:rPr>
          <w:rFonts w:ascii="Times New Roman" w:hAnsi="Times New Roman" w:cs="Times New Roman"/>
          <w:sz w:val="24"/>
          <w:szCs w:val="24"/>
        </w:rPr>
        <w:t xml:space="preserve"> were no concerns raised in feedback.  </w:t>
      </w:r>
      <w:r w:rsidR="004E7BE2">
        <w:rPr>
          <w:rFonts w:ascii="Times New Roman" w:hAnsi="Times New Roman" w:cs="Times New Roman"/>
          <w:sz w:val="24"/>
          <w:szCs w:val="24"/>
        </w:rPr>
        <w:t xml:space="preserve">All three agencies support </w:t>
      </w:r>
      <w:r w:rsidR="00B64E72">
        <w:rPr>
          <w:rFonts w:ascii="Times New Roman" w:hAnsi="Times New Roman" w:cs="Times New Roman"/>
          <w:sz w:val="24"/>
          <w:szCs w:val="24"/>
        </w:rPr>
        <w:t>option 2</w:t>
      </w:r>
      <w:r w:rsidR="004E7BE2">
        <w:rPr>
          <w:rFonts w:ascii="Times New Roman" w:hAnsi="Times New Roman" w:cs="Times New Roman"/>
          <w:sz w:val="24"/>
          <w:szCs w:val="24"/>
        </w:rPr>
        <w:t>.</w:t>
      </w:r>
    </w:p>
    <w:p w:rsidR="004E7BE2" w:rsidRDefault="004E7BE2">
      <w:pPr>
        <w:pStyle w:val="ListParagraph"/>
        <w:spacing w:after="0" w:line="240" w:lineRule="auto"/>
        <w:ind w:left="0"/>
        <w:jc w:val="both"/>
        <w:rPr>
          <w:rFonts w:ascii="Times New Roman" w:hAnsi="Times New Roman" w:cs="Times New Roman"/>
          <w:sz w:val="24"/>
          <w:szCs w:val="24"/>
        </w:rPr>
      </w:pPr>
    </w:p>
    <w:p w:rsidR="005649FD" w:rsidRDefault="006F1C26" w:rsidP="00E55E20">
      <w:pPr>
        <w:pStyle w:val="ListParagraph"/>
        <w:numPr>
          <w:ilvl w:val="0"/>
          <w:numId w:val="7"/>
        </w:numPr>
        <w:spacing w:after="0" w:line="240" w:lineRule="auto"/>
        <w:ind w:left="0" w:firstLine="0"/>
        <w:jc w:val="both"/>
        <w:rPr>
          <w:rFonts w:ascii="Times New Roman" w:hAnsi="Times New Roman" w:cs="Times New Roman"/>
          <w:sz w:val="24"/>
          <w:szCs w:val="24"/>
        </w:rPr>
      </w:pPr>
      <w:r w:rsidRPr="004E7BE2">
        <w:rPr>
          <w:rFonts w:ascii="Times New Roman" w:hAnsi="Times New Roman" w:cs="Times New Roman"/>
          <w:sz w:val="24"/>
          <w:szCs w:val="24"/>
        </w:rPr>
        <w:t xml:space="preserve">The Office of the Privacy Commissioner is satisfied that </w:t>
      </w:r>
      <w:r w:rsidR="00553026">
        <w:rPr>
          <w:rFonts w:ascii="Times New Roman" w:hAnsi="Times New Roman" w:cs="Times New Roman"/>
          <w:sz w:val="24"/>
          <w:szCs w:val="24"/>
        </w:rPr>
        <w:t xml:space="preserve">option 2 </w:t>
      </w:r>
      <w:r w:rsidRPr="004E7BE2">
        <w:rPr>
          <w:rFonts w:ascii="Times New Roman" w:hAnsi="Times New Roman" w:cs="Times New Roman"/>
          <w:sz w:val="24"/>
          <w:szCs w:val="24"/>
        </w:rPr>
        <w:t xml:space="preserve">is consistent with the scope of the AISA framework for government information sharing, as provided in the Privacy Act, and </w:t>
      </w:r>
      <w:r w:rsidR="00151CD7">
        <w:rPr>
          <w:rFonts w:ascii="Times New Roman" w:hAnsi="Times New Roman" w:cs="Times New Roman"/>
          <w:sz w:val="24"/>
          <w:szCs w:val="24"/>
        </w:rPr>
        <w:t xml:space="preserve">that </w:t>
      </w:r>
      <w:r w:rsidR="00B64E72">
        <w:rPr>
          <w:rFonts w:ascii="Times New Roman" w:hAnsi="Times New Roman" w:cs="Times New Roman"/>
          <w:sz w:val="24"/>
          <w:szCs w:val="24"/>
        </w:rPr>
        <w:t xml:space="preserve">option 2 </w:t>
      </w:r>
      <w:r w:rsidRPr="004E7BE2">
        <w:rPr>
          <w:rFonts w:ascii="Times New Roman" w:hAnsi="Times New Roman" w:cs="Times New Roman"/>
          <w:sz w:val="24"/>
          <w:szCs w:val="24"/>
        </w:rPr>
        <w:t xml:space="preserve">would properly align </w:t>
      </w:r>
      <w:r w:rsidR="00AD6DFE">
        <w:rPr>
          <w:rFonts w:ascii="Times New Roman" w:hAnsi="Times New Roman" w:cs="Times New Roman"/>
          <w:sz w:val="24"/>
          <w:szCs w:val="24"/>
        </w:rPr>
        <w:t>the tax secrecy provisions with the AISA mechanism</w:t>
      </w:r>
      <w:r w:rsidRPr="004E7BE2">
        <w:rPr>
          <w:rFonts w:ascii="Times New Roman" w:hAnsi="Times New Roman" w:cs="Times New Roman"/>
          <w:sz w:val="24"/>
          <w:szCs w:val="24"/>
        </w:rPr>
        <w:t>.</w:t>
      </w:r>
    </w:p>
    <w:p w:rsidR="00FC15B5" w:rsidRDefault="00FC15B5" w:rsidP="00FC15B5">
      <w:pPr>
        <w:spacing w:after="0" w:line="240" w:lineRule="auto"/>
        <w:jc w:val="both"/>
        <w:rPr>
          <w:rFonts w:ascii="Times New Roman" w:hAnsi="Times New Roman" w:cs="Times New Roman"/>
          <w:sz w:val="24"/>
          <w:szCs w:val="24"/>
        </w:rPr>
      </w:pPr>
    </w:p>
    <w:p w:rsidR="00FC15B5" w:rsidRPr="00FC15B5" w:rsidRDefault="00FC15B5" w:rsidP="00FC15B5">
      <w:pPr>
        <w:spacing w:after="0" w:line="240" w:lineRule="auto"/>
        <w:jc w:val="both"/>
        <w:rPr>
          <w:rFonts w:ascii="Times New Roman" w:hAnsi="Times New Roman" w:cs="Times New Roman"/>
          <w:sz w:val="24"/>
          <w:szCs w:val="24"/>
        </w:rPr>
      </w:pPr>
    </w:p>
    <w:p w:rsidR="005E506F" w:rsidRPr="00686406" w:rsidRDefault="00686406" w:rsidP="00E129F7">
      <w:pPr>
        <w:spacing w:after="0" w:line="240" w:lineRule="auto"/>
        <w:jc w:val="both"/>
        <w:rPr>
          <w:rFonts w:ascii="Times New Roman" w:hAnsi="Times New Roman" w:cs="Times New Roman"/>
          <w:b/>
          <w:sz w:val="24"/>
          <w:szCs w:val="24"/>
        </w:rPr>
      </w:pPr>
      <w:r w:rsidRPr="00686406">
        <w:rPr>
          <w:rFonts w:ascii="Times New Roman" w:hAnsi="Times New Roman" w:cs="Times New Roman"/>
          <w:b/>
          <w:sz w:val="24"/>
          <w:szCs w:val="24"/>
        </w:rPr>
        <w:t>IMPLEMENTATION</w:t>
      </w:r>
    </w:p>
    <w:p w:rsidR="00686406" w:rsidRDefault="00686406" w:rsidP="00686406">
      <w:pPr>
        <w:pStyle w:val="ListParagraph"/>
        <w:spacing w:after="0" w:line="240" w:lineRule="auto"/>
        <w:ind w:left="0"/>
        <w:jc w:val="both"/>
        <w:rPr>
          <w:rFonts w:ascii="Times New Roman" w:hAnsi="Times New Roman" w:cs="Times New Roman"/>
          <w:sz w:val="24"/>
          <w:szCs w:val="24"/>
        </w:rPr>
      </w:pPr>
    </w:p>
    <w:p w:rsidR="00686406" w:rsidRDefault="009271EE" w:rsidP="00E55E20">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recommended option will require an amendment to the Tax Administration Act 1994. </w:t>
      </w:r>
      <w:r w:rsidR="00686406" w:rsidRPr="00686406">
        <w:rPr>
          <w:rFonts w:ascii="Times New Roman" w:hAnsi="Times New Roman" w:cs="Times New Roman"/>
          <w:sz w:val="24"/>
          <w:szCs w:val="24"/>
        </w:rPr>
        <w:t xml:space="preserve">It is proposed </w:t>
      </w:r>
      <w:r w:rsidR="00B64E72">
        <w:rPr>
          <w:rFonts w:ascii="Times New Roman" w:hAnsi="Times New Roman" w:cs="Times New Roman"/>
          <w:sz w:val="24"/>
          <w:szCs w:val="24"/>
        </w:rPr>
        <w:t xml:space="preserve">that option 2 </w:t>
      </w:r>
      <w:r w:rsidR="006C16D2">
        <w:rPr>
          <w:rFonts w:ascii="Times New Roman" w:hAnsi="Times New Roman" w:cs="Times New Roman"/>
          <w:sz w:val="24"/>
          <w:szCs w:val="24"/>
        </w:rPr>
        <w:t>be</w:t>
      </w:r>
      <w:r w:rsidR="005649FD">
        <w:rPr>
          <w:rFonts w:ascii="Times New Roman" w:hAnsi="Times New Roman" w:cs="Times New Roman"/>
          <w:sz w:val="24"/>
          <w:szCs w:val="24"/>
        </w:rPr>
        <w:t xml:space="preserve"> included </w:t>
      </w:r>
      <w:r w:rsidR="00686406" w:rsidRPr="00686406">
        <w:rPr>
          <w:rFonts w:ascii="Times New Roman" w:hAnsi="Times New Roman" w:cs="Times New Roman"/>
          <w:sz w:val="24"/>
          <w:szCs w:val="24"/>
        </w:rPr>
        <w:t>in a bill to be introduced in</w:t>
      </w:r>
      <w:r w:rsidR="00AD5FF8">
        <w:rPr>
          <w:rFonts w:ascii="Times New Roman" w:hAnsi="Times New Roman" w:cs="Times New Roman"/>
          <w:sz w:val="24"/>
          <w:szCs w:val="24"/>
        </w:rPr>
        <w:t xml:space="preserve">to Parliament in mid-April this year.  </w:t>
      </w:r>
      <w:r>
        <w:rPr>
          <w:rFonts w:ascii="Times New Roman" w:hAnsi="Times New Roman" w:cs="Times New Roman"/>
          <w:sz w:val="24"/>
          <w:szCs w:val="24"/>
        </w:rPr>
        <w:t xml:space="preserve">Inland Revenue will include an explanation of this change in the commentary on the bill.  </w:t>
      </w:r>
      <w:r w:rsidR="005649FD">
        <w:rPr>
          <w:rFonts w:ascii="Times New Roman" w:hAnsi="Times New Roman" w:cs="Times New Roman"/>
          <w:sz w:val="24"/>
          <w:szCs w:val="24"/>
        </w:rPr>
        <w:t>There will be</w:t>
      </w:r>
      <w:r>
        <w:rPr>
          <w:rFonts w:ascii="Times New Roman" w:hAnsi="Times New Roman" w:cs="Times New Roman"/>
          <w:sz w:val="24"/>
          <w:szCs w:val="24"/>
        </w:rPr>
        <w:t xml:space="preserve"> an </w:t>
      </w:r>
      <w:r w:rsidR="00151CD7">
        <w:rPr>
          <w:rFonts w:ascii="Times New Roman" w:hAnsi="Times New Roman" w:cs="Times New Roman"/>
          <w:sz w:val="24"/>
          <w:szCs w:val="24"/>
        </w:rPr>
        <w:t xml:space="preserve">opportunity </w:t>
      </w:r>
      <w:r w:rsidR="005649FD">
        <w:rPr>
          <w:rFonts w:ascii="Times New Roman" w:hAnsi="Times New Roman" w:cs="Times New Roman"/>
          <w:sz w:val="24"/>
          <w:szCs w:val="24"/>
        </w:rPr>
        <w:t>for public comment</w:t>
      </w:r>
      <w:r>
        <w:rPr>
          <w:rFonts w:ascii="Times New Roman" w:hAnsi="Times New Roman" w:cs="Times New Roman"/>
          <w:sz w:val="24"/>
          <w:szCs w:val="24"/>
        </w:rPr>
        <w:t xml:space="preserve"> </w:t>
      </w:r>
      <w:r w:rsidR="00151CD7">
        <w:rPr>
          <w:rFonts w:ascii="Times New Roman" w:hAnsi="Times New Roman" w:cs="Times New Roman"/>
          <w:sz w:val="24"/>
          <w:szCs w:val="24"/>
        </w:rPr>
        <w:t xml:space="preserve">on </w:t>
      </w:r>
      <w:r w:rsidR="005649FD">
        <w:rPr>
          <w:rFonts w:ascii="Times New Roman" w:hAnsi="Times New Roman" w:cs="Times New Roman"/>
          <w:sz w:val="24"/>
          <w:szCs w:val="24"/>
        </w:rPr>
        <w:t xml:space="preserve">the </w:t>
      </w:r>
      <w:r w:rsidR="00151CD7">
        <w:rPr>
          <w:rFonts w:ascii="Times New Roman" w:hAnsi="Times New Roman" w:cs="Times New Roman"/>
          <w:sz w:val="24"/>
          <w:szCs w:val="24"/>
        </w:rPr>
        <w:t xml:space="preserve">proposed amendment </w:t>
      </w:r>
      <w:r w:rsidR="009026E4">
        <w:rPr>
          <w:rFonts w:ascii="Times New Roman" w:hAnsi="Times New Roman" w:cs="Times New Roman"/>
          <w:sz w:val="24"/>
          <w:szCs w:val="24"/>
        </w:rPr>
        <w:t xml:space="preserve">during the </w:t>
      </w:r>
      <w:r w:rsidR="00151CD7">
        <w:rPr>
          <w:rFonts w:ascii="Times New Roman" w:hAnsi="Times New Roman" w:cs="Times New Roman"/>
          <w:sz w:val="24"/>
          <w:szCs w:val="24"/>
        </w:rPr>
        <w:t xml:space="preserve">select committee </w:t>
      </w:r>
      <w:r w:rsidR="009026E4">
        <w:rPr>
          <w:rFonts w:ascii="Times New Roman" w:hAnsi="Times New Roman" w:cs="Times New Roman"/>
          <w:sz w:val="24"/>
          <w:szCs w:val="24"/>
        </w:rPr>
        <w:t>stage of the bill</w:t>
      </w:r>
      <w:r w:rsidR="00151CD7">
        <w:rPr>
          <w:rFonts w:ascii="Times New Roman" w:hAnsi="Times New Roman" w:cs="Times New Roman"/>
          <w:sz w:val="24"/>
          <w:szCs w:val="24"/>
        </w:rPr>
        <w:t xml:space="preserve">.  </w:t>
      </w:r>
      <w:r w:rsidR="009026E4">
        <w:rPr>
          <w:rFonts w:ascii="Times New Roman" w:hAnsi="Times New Roman" w:cs="Times New Roman"/>
          <w:sz w:val="24"/>
          <w:szCs w:val="24"/>
        </w:rPr>
        <w:t>If enacted,</w:t>
      </w:r>
      <w:r w:rsidR="00AD5FF8">
        <w:rPr>
          <w:rFonts w:ascii="Times New Roman" w:hAnsi="Times New Roman" w:cs="Times New Roman"/>
          <w:sz w:val="24"/>
          <w:szCs w:val="24"/>
        </w:rPr>
        <w:t xml:space="preserve"> </w:t>
      </w:r>
      <w:r w:rsidR="001B2413">
        <w:rPr>
          <w:rFonts w:ascii="Times New Roman" w:hAnsi="Times New Roman" w:cs="Times New Roman"/>
          <w:sz w:val="24"/>
          <w:szCs w:val="24"/>
        </w:rPr>
        <w:t xml:space="preserve">a </w:t>
      </w:r>
      <w:r w:rsidR="005B4457">
        <w:rPr>
          <w:rFonts w:ascii="Times New Roman" w:hAnsi="Times New Roman" w:cs="Times New Roman"/>
          <w:sz w:val="24"/>
          <w:szCs w:val="24"/>
        </w:rPr>
        <w:t xml:space="preserve">publicly available Tax Information Bulletin will include an explanation of the </w:t>
      </w:r>
      <w:r w:rsidR="00151CD7">
        <w:rPr>
          <w:rFonts w:ascii="Times New Roman" w:hAnsi="Times New Roman" w:cs="Times New Roman"/>
          <w:sz w:val="24"/>
          <w:szCs w:val="24"/>
        </w:rPr>
        <w:t>amendment.  Following enactment</w:t>
      </w:r>
      <w:r w:rsidR="005B4457">
        <w:rPr>
          <w:rFonts w:ascii="Times New Roman" w:hAnsi="Times New Roman" w:cs="Times New Roman"/>
          <w:sz w:val="24"/>
          <w:szCs w:val="24"/>
        </w:rPr>
        <w:t>,</w:t>
      </w:r>
      <w:r w:rsidR="00151CD7">
        <w:rPr>
          <w:rFonts w:ascii="Times New Roman" w:hAnsi="Times New Roman" w:cs="Times New Roman"/>
          <w:sz w:val="24"/>
          <w:szCs w:val="24"/>
        </w:rPr>
        <w:t xml:space="preserve"> </w:t>
      </w:r>
      <w:r w:rsidR="00AD5FF8">
        <w:rPr>
          <w:rFonts w:ascii="Times New Roman" w:hAnsi="Times New Roman" w:cs="Times New Roman"/>
          <w:sz w:val="24"/>
          <w:szCs w:val="24"/>
        </w:rPr>
        <w:t xml:space="preserve">AISA agreements can be entered into or amended by way of an Order in Council to provide for the sharing of </w:t>
      </w:r>
      <w:r w:rsidR="004E7BE2">
        <w:rPr>
          <w:rFonts w:ascii="Times New Roman" w:hAnsi="Times New Roman" w:cs="Times New Roman"/>
          <w:sz w:val="24"/>
          <w:szCs w:val="24"/>
        </w:rPr>
        <w:t xml:space="preserve">personal and non-personal </w:t>
      </w:r>
      <w:r w:rsidR="00AD5FF8">
        <w:rPr>
          <w:rFonts w:ascii="Times New Roman" w:hAnsi="Times New Roman" w:cs="Times New Roman"/>
          <w:sz w:val="24"/>
          <w:szCs w:val="24"/>
        </w:rPr>
        <w:t>information.</w:t>
      </w:r>
    </w:p>
    <w:p w:rsidR="00B64E72" w:rsidRDefault="00B64E72" w:rsidP="006C16D2">
      <w:pPr>
        <w:pStyle w:val="ListParagraph"/>
        <w:spacing w:after="0" w:line="240" w:lineRule="auto"/>
        <w:ind w:left="0"/>
        <w:jc w:val="both"/>
        <w:rPr>
          <w:rFonts w:ascii="Times New Roman" w:hAnsi="Times New Roman" w:cs="Times New Roman"/>
          <w:sz w:val="24"/>
          <w:szCs w:val="24"/>
        </w:rPr>
      </w:pPr>
    </w:p>
    <w:p w:rsidR="00B64E72" w:rsidRPr="00686406" w:rsidRDefault="00B64E72" w:rsidP="00E55E20">
      <w:pPr>
        <w:pStyle w:val="ListParagraph"/>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Inland Revenue and the relevant other agency will administer the AISA agreements.</w:t>
      </w:r>
    </w:p>
    <w:p w:rsidR="00686406" w:rsidRDefault="00686406" w:rsidP="00E129F7">
      <w:pPr>
        <w:spacing w:after="0" w:line="240" w:lineRule="auto"/>
        <w:jc w:val="both"/>
        <w:rPr>
          <w:rFonts w:ascii="Times New Roman" w:hAnsi="Times New Roman" w:cs="Times New Roman"/>
          <w:sz w:val="24"/>
          <w:szCs w:val="24"/>
        </w:rPr>
      </w:pPr>
    </w:p>
    <w:p w:rsidR="00AD5FF8" w:rsidRPr="005E506F" w:rsidRDefault="00AD5FF8" w:rsidP="00E129F7">
      <w:pPr>
        <w:spacing w:after="0" w:line="240" w:lineRule="auto"/>
        <w:jc w:val="both"/>
        <w:rPr>
          <w:rFonts w:ascii="Times New Roman" w:hAnsi="Times New Roman" w:cs="Times New Roman"/>
          <w:sz w:val="24"/>
          <w:szCs w:val="24"/>
        </w:rPr>
      </w:pPr>
    </w:p>
    <w:p w:rsidR="005E506F" w:rsidRPr="005E506F" w:rsidRDefault="005E506F" w:rsidP="00E129F7">
      <w:pPr>
        <w:spacing w:after="0" w:line="240" w:lineRule="auto"/>
        <w:jc w:val="both"/>
        <w:rPr>
          <w:rFonts w:ascii="Times New Roman" w:hAnsi="Times New Roman" w:cs="Times New Roman"/>
          <w:b/>
          <w:sz w:val="24"/>
          <w:szCs w:val="24"/>
        </w:rPr>
      </w:pPr>
      <w:r w:rsidRPr="005E506F">
        <w:rPr>
          <w:rFonts w:ascii="Times New Roman" w:hAnsi="Times New Roman" w:cs="Times New Roman"/>
          <w:b/>
          <w:sz w:val="24"/>
          <w:szCs w:val="24"/>
        </w:rPr>
        <w:t>MONITORING EVALUATION AND REVIEW</w:t>
      </w:r>
    </w:p>
    <w:p w:rsidR="00E129F7" w:rsidRPr="005D3931" w:rsidRDefault="00E129F7" w:rsidP="00E129F7">
      <w:pPr>
        <w:pStyle w:val="ListParagraph"/>
        <w:spacing w:after="0" w:line="240" w:lineRule="auto"/>
        <w:ind w:left="0"/>
        <w:jc w:val="both"/>
        <w:rPr>
          <w:rFonts w:ascii="Times New Roman" w:hAnsi="Times New Roman" w:cs="Times New Roman"/>
          <w:sz w:val="24"/>
          <w:szCs w:val="24"/>
        </w:rPr>
      </w:pPr>
    </w:p>
    <w:p w:rsidR="00E129F7" w:rsidRPr="005D3931" w:rsidRDefault="00E129F7" w:rsidP="00E55E20">
      <w:pPr>
        <w:pStyle w:val="ListParagraph"/>
        <w:numPr>
          <w:ilvl w:val="0"/>
          <w:numId w:val="7"/>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lang w:val="en-AU"/>
        </w:rPr>
        <w:t xml:space="preserve">Inland Revenue will monitor the outcomes </w:t>
      </w:r>
      <w:r w:rsidR="00553026">
        <w:rPr>
          <w:rFonts w:ascii="Times New Roman" w:hAnsi="Times New Roman" w:cs="Times New Roman"/>
          <w:sz w:val="24"/>
          <w:szCs w:val="24"/>
          <w:lang w:val="en-AU"/>
        </w:rPr>
        <w:t xml:space="preserve">of the change </w:t>
      </w:r>
      <w:r w:rsidRPr="005D3931">
        <w:rPr>
          <w:rFonts w:ascii="Times New Roman" w:hAnsi="Times New Roman" w:cs="Times New Roman"/>
          <w:sz w:val="24"/>
          <w:szCs w:val="24"/>
          <w:lang w:val="en-AU"/>
        </w:rPr>
        <w:t xml:space="preserve">pursuant to the Generic Tax Policy Process (GTTP) to confirm that they match the policy objectives. </w:t>
      </w:r>
      <w:r w:rsidR="00686406">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The GTPP is a multi-stage policy process that has been used to design tax policy in New Zealand since 1995.</w:t>
      </w:r>
    </w:p>
    <w:p w:rsidR="00E129F7" w:rsidRPr="005D3931" w:rsidRDefault="00E129F7">
      <w:pPr>
        <w:pStyle w:val="ListParagraph"/>
        <w:spacing w:after="0" w:line="240" w:lineRule="auto"/>
        <w:ind w:left="0"/>
        <w:jc w:val="both"/>
        <w:rPr>
          <w:rFonts w:ascii="Times New Roman" w:hAnsi="Times New Roman" w:cs="Times New Roman"/>
          <w:sz w:val="24"/>
          <w:szCs w:val="24"/>
        </w:rPr>
      </w:pPr>
    </w:p>
    <w:p w:rsidR="005E506F" w:rsidRPr="00AD5FF8" w:rsidRDefault="00E129F7" w:rsidP="00E55E20">
      <w:pPr>
        <w:pStyle w:val="ListParagraph"/>
        <w:numPr>
          <w:ilvl w:val="0"/>
          <w:numId w:val="7"/>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lang w:val="en-AU"/>
        </w:rPr>
        <w:t xml:space="preserve">The final step in the process is the implementation and review stage, which involves post-implementation review of legislation, and the identification of remedial issues. </w:t>
      </w:r>
      <w:r w:rsidR="00AD5FF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Post-implementation review is expected to occur around 12</w:t>
      </w:r>
      <w:r w:rsidR="00553026">
        <w:rPr>
          <w:rFonts w:ascii="Times New Roman" w:hAnsi="Times New Roman" w:cs="Times New Roman"/>
          <w:sz w:val="24"/>
          <w:szCs w:val="24"/>
          <w:lang w:val="en-AU"/>
        </w:rPr>
        <w:t>-</w:t>
      </w:r>
      <w:r w:rsidRPr="005D3931">
        <w:rPr>
          <w:rFonts w:ascii="Times New Roman" w:hAnsi="Times New Roman" w:cs="Times New Roman"/>
          <w:sz w:val="24"/>
          <w:szCs w:val="24"/>
          <w:lang w:val="en-AU"/>
        </w:rPr>
        <w:t xml:space="preserve">months after implementation. </w:t>
      </w:r>
      <w:r w:rsidR="00AD5FF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 xml:space="preserve">Opportunities for external consultation are built into this stage. </w:t>
      </w:r>
      <w:r w:rsidR="00AD5FF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Any necessary changes identified as a result of the review would be recommended for addition to the Government's tax policy work programme.</w:t>
      </w:r>
    </w:p>
    <w:sectPr w:rsidR="005E506F" w:rsidRPr="00AD5FF8" w:rsidSect="006C16D2">
      <w:headerReference w:type="default" r:id="rId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3ED0E" w15:done="0"/>
  <w15:commentEx w15:paraId="37A9FFA3" w15:done="0"/>
  <w15:commentEx w15:paraId="0FC0E9FB" w15:done="0"/>
  <w15:commentEx w15:paraId="76DD0CE2" w15:done="0"/>
  <w15:commentEx w15:paraId="19443DFA" w15:done="0"/>
  <w15:commentEx w15:paraId="6A0A6DAB" w15:done="0"/>
  <w15:commentEx w15:paraId="2D1E2EC3" w15:done="0"/>
  <w15:commentEx w15:paraId="79F4A9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F9" w:rsidRDefault="008D2EF9" w:rsidP="00304214">
      <w:pPr>
        <w:spacing w:after="0" w:line="240" w:lineRule="auto"/>
      </w:pPr>
      <w:r>
        <w:separator/>
      </w:r>
    </w:p>
  </w:endnote>
  <w:endnote w:type="continuationSeparator" w:id="0">
    <w:p w:rsidR="008D2EF9" w:rsidRDefault="008D2EF9" w:rsidP="0030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F9" w:rsidRDefault="008D2EF9" w:rsidP="00304214">
      <w:pPr>
        <w:spacing w:after="0" w:line="240" w:lineRule="auto"/>
      </w:pPr>
      <w:r>
        <w:separator/>
      </w:r>
    </w:p>
  </w:footnote>
  <w:footnote w:type="continuationSeparator" w:id="0">
    <w:p w:rsidR="008D2EF9" w:rsidRDefault="008D2EF9" w:rsidP="0030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18489"/>
      <w:docPartObj>
        <w:docPartGallery w:val="Page Numbers (Top of Page)"/>
        <w:docPartUnique/>
      </w:docPartObj>
    </w:sdtPr>
    <w:sdtEndPr>
      <w:rPr>
        <w:rFonts w:ascii="Times New Roman" w:hAnsi="Times New Roman" w:cs="Times New Roman"/>
        <w:noProof/>
        <w:sz w:val="24"/>
        <w:szCs w:val="24"/>
      </w:rPr>
    </w:sdtEndPr>
    <w:sdtContent>
      <w:p w:rsidR="00553026" w:rsidRPr="006C16D2" w:rsidRDefault="00553026">
        <w:pPr>
          <w:pStyle w:val="Header"/>
          <w:jc w:val="center"/>
          <w:rPr>
            <w:rFonts w:ascii="Times New Roman" w:hAnsi="Times New Roman" w:cs="Times New Roman"/>
            <w:sz w:val="24"/>
            <w:szCs w:val="24"/>
          </w:rPr>
        </w:pPr>
        <w:r w:rsidRPr="006C16D2">
          <w:rPr>
            <w:rFonts w:ascii="Times New Roman" w:hAnsi="Times New Roman" w:cs="Times New Roman"/>
            <w:sz w:val="24"/>
            <w:szCs w:val="24"/>
          </w:rPr>
          <w:fldChar w:fldCharType="begin"/>
        </w:r>
        <w:r w:rsidRPr="006C16D2">
          <w:rPr>
            <w:rFonts w:ascii="Times New Roman" w:hAnsi="Times New Roman" w:cs="Times New Roman"/>
            <w:sz w:val="24"/>
            <w:szCs w:val="24"/>
          </w:rPr>
          <w:instrText xml:space="preserve"> PAGE   \* MERGEFORMAT </w:instrText>
        </w:r>
        <w:r w:rsidRPr="006C16D2">
          <w:rPr>
            <w:rFonts w:ascii="Times New Roman" w:hAnsi="Times New Roman" w:cs="Times New Roman"/>
            <w:sz w:val="24"/>
            <w:szCs w:val="24"/>
          </w:rPr>
          <w:fldChar w:fldCharType="separate"/>
        </w:r>
        <w:r w:rsidR="00463BC0">
          <w:rPr>
            <w:rFonts w:ascii="Times New Roman" w:hAnsi="Times New Roman" w:cs="Times New Roman"/>
            <w:noProof/>
            <w:sz w:val="24"/>
            <w:szCs w:val="24"/>
          </w:rPr>
          <w:t>5</w:t>
        </w:r>
        <w:r w:rsidRPr="006C16D2">
          <w:rPr>
            <w:rFonts w:ascii="Times New Roman" w:hAnsi="Times New Roman" w:cs="Times New Roman"/>
            <w:noProof/>
            <w:sz w:val="24"/>
            <w:szCs w:val="24"/>
          </w:rPr>
          <w:fldChar w:fldCharType="end"/>
        </w:r>
      </w:p>
    </w:sdtContent>
  </w:sdt>
  <w:p w:rsidR="00553026" w:rsidRDefault="00553026" w:rsidP="00F60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B87"/>
    <w:multiLevelType w:val="hybridMultilevel"/>
    <w:tmpl w:val="0EB0E95A"/>
    <w:lvl w:ilvl="0" w:tplc="20444614">
      <w:start w:val="12"/>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5D3E5C"/>
    <w:multiLevelType w:val="hybridMultilevel"/>
    <w:tmpl w:val="9120ECF2"/>
    <w:lvl w:ilvl="0" w:tplc="EF66B256">
      <w:start w:val="1"/>
      <w:numFmt w:val="decimal"/>
      <w:lvlText w:val="%1."/>
      <w:lvlJc w:val="left"/>
      <w:pPr>
        <w:ind w:left="360" w:hanging="360"/>
      </w:pPr>
      <w:rPr>
        <w:rFonts w:hint="default"/>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2534CAC"/>
    <w:multiLevelType w:val="hybridMultilevel"/>
    <w:tmpl w:val="6090F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AB24405"/>
    <w:multiLevelType w:val="hybridMultilevel"/>
    <w:tmpl w:val="6826F010"/>
    <w:lvl w:ilvl="0" w:tplc="C276B2AA">
      <w:start w:val="13"/>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C08753C"/>
    <w:multiLevelType w:val="hybridMultilevel"/>
    <w:tmpl w:val="8C6EC392"/>
    <w:lvl w:ilvl="0" w:tplc="F23CA0A8">
      <w:start w:val="1"/>
      <w:numFmt w:val="decimal"/>
      <w:lvlText w:val="%1."/>
      <w:lvlJc w:val="left"/>
      <w:pPr>
        <w:ind w:left="720" w:hanging="360"/>
      </w:pPr>
      <w:rPr>
        <w:rFonts w:hint="default"/>
        <w:b w:val="0"/>
        <w:color w:val="auto"/>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20D5B97"/>
    <w:multiLevelType w:val="hybridMultilevel"/>
    <w:tmpl w:val="3FA06652"/>
    <w:lvl w:ilvl="0" w:tplc="2044461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74151E40"/>
    <w:multiLevelType w:val="hybridMultilevel"/>
    <w:tmpl w:val="F8A6805C"/>
    <w:lvl w:ilvl="0" w:tplc="F23CA0A8">
      <w:start w:val="1"/>
      <w:numFmt w:val="decimal"/>
      <w:lvlText w:val="%1."/>
      <w:lvlJc w:val="left"/>
      <w:pPr>
        <w:ind w:left="720" w:hanging="360"/>
      </w:pPr>
      <w:rPr>
        <w:rFonts w:hint="default"/>
        <w:b w:val="0"/>
        <w:color w:val="auto"/>
      </w:rPr>
    </w:lvl>
    <w:lvl w:ilvl="1" w:tplc="60DC5FA8">
      <w:start w:val="1"/>
      <w:numFmt w:val="decimal"/>
      <w:lvlText w:val="(%2)"/>
      <w:lvlJc w:val="left"/>
      <w:pPr>
        <w:ind w:left="1440" w:hanging="360"/>
      </w:pPr>
      <w:rPr>
        <w:rFonts w:ascii="Times New Roman" w:eastAsiaTheme="minorHAnsi" w:hAnsi="Times New Roman" w:cs="Times New Roman"/>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Woolley [TSY]">
    <w15:presenceInfo w15:providerId="None" w15:userId="Matt Woolley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91"/>
    <w:rsid w:val="00010BAE"/>
    <w:rsid w:val="00055AC9"/>
    <w:rsid w:val="000560DC"/>
    <w:rsid w:val="000A2444"/>
    <w:rsid w:val="000B3DFA"/>
    <w:rsid w:val="000F49A1"/>
    <w:rsid w:val="00106E46"/>
    <w:rsid w:val="00151CD7"/>
    <w:rsid w:val="00153D6A"/>
    <w:rsid w:val="00176972"/>
    <w:rsid w:val="001B2413"/>
    <w:rsid w:val="001E710D"/>
    <w:rsid w:val="00230B51"/>
    <w:rsid w:val="00245A02"/>
    <w:rsid w:val="0025442B"/>
    <w:rsid w:val="002546F8"/>
    <w:rsid w:val="002B19ED"/>
    <w:rsid w:val="002B41DB"/>
    <w:rsid w:val="002C06D7"/>
    <w:rsid w:val="002D326D"/>
    <w:rsid w:val="002D3944"/>
    <w:rsid w:val="002F1405"/>
    <w:rsid w:val="00304214"/>
    <w:rsid w:val="00362862"/>
    <w:rsid w:val="00362D17"/>
    <w:rsid w:val="003800AD"/>
    <w:rsid w:val="004549CC"/>
    <w:rsid w:val="00463BC0"/>
    <w:rsid w:val="00480582"/>
    <w:rsid w:val="004E6B7A"/>
    <w:rsid w:val="004E7BE2"/>
    <w:rsid w:val="00507C3B"/>
    <w:rsid w:val="005279D0"/>
    <w:rsid w:val="00553026"/>
    <w:rsid w:val="005649FD"/>
    <w:rsid w:val="005A1BE3"/>
    <w:rsid w:val="005A3E0F"/>
    <w:rsid w:val="005B4457"/>
    <w:rsid w:val="005E506F"/>
    <w:rsid w:val="005F678C"/>
    <w:rsid w:val="0064774C"/>
    <w:rsid w:val="00686406"/>
    <w:rsid w:val="006C16D2"/>
    <w:rsid w:val="006D0E62"/>
    <w:rsid w:val="006F1C26"/>
    <w:rsid w:val="00794192"/>
    <w:rsid w:val="007D0F91"/>
    <w:rsid w:val="007D2129"/>
    <w:rsid w:val="00832C44"/>
    <w:rsid w:val="00834F5C"/>
    <w:rsid w:val="008461B0"/>
    <w:rsid w:val="00870BDB"/>
    <w:rsid w:val="008735A7"/>
    <w:rsid w:val="0088153F"/>
    <w:rsid w:val="00883F55"/>
    <w:rsid w:val="00885318"/>
    <w:rsid w:val="008B4B81"/>
    <w:rsid w:val="008D2EF9"/>
    <w:rsid w:val="008E1DB9"/>
    <w:rsid w:val="008F554B"/>
    <w:rsid w:val="009026E4"/>
    <w:rsid w:val="00911BF8"/>
    <w:rsid w:val="00913F71"/>
    <w:rsid w:val="00923B80"/>
    <w:rsid w:val="009271EE"/>
    <w:rsid w:val="00935B68"/>
    <w:rsid w:val="009B024A"/>
    <w:rsid w:val="009B2DF8"/>
    <w:rsid w:val="009C5D19"/>
    <w:rsid w:val="009C7CAC"/>
    <w:rsid w:val="009E5C97"/>
    <w:rsid w:val="009E6976"/>
    <w:rsid w:val="00A22355"/>
    <w:rsid w:val="00A55192"/>
    <w:rsid w:val="00A6132F"/>
    <w:rsid w:val="00A7084E"/>
    <w:rsid w:val="00A7531D"/>
    <w:rsid w:val="00A82A4E"/>
    <w:rsid w:val="00AB4E8B"/>
    <w:rsid w:val="00AC6CB7"/>
    <w:rsid w:val="00AD5FF8"/>
    <w:rsid w:val="00AD6DFE"/>
    <w:rsid w:val="00AE3158"/>
    <w:rsid w:val="00B004FA"/>
    <w:rsid w:val="00B434EA"/>
    <w:rsid w:val="00B64E72"/>
    <w:rsid w:val="00BA352C"/>
    <w:rsid w:val="00BD3DCF"/>
    <w:rsid w:val="00C32311"/>
    <w:rsid w:val="00C56D2E"/>
    <w:rsid w:val="00CB2B14"/>
    <w:rsid w:val="00CD65D4"/>
    <w:rsid w:val="00DB7D4C"/>
    <w:rsid w:val="00E07E15"/>
    <w:rsid w:val="00E129F7"/>
    <w:rsid w:val="00E41F26"/>
    <w:rsid w:val="00E459EC"/>
    <w:rsid w:val="00E5156B"/>
    <w:rsid w:val="00E55E20"/>
    <w:rsid w:val="00E80B0F"/>
    <w:rsid w:val="00EB7B7A"/>
    <w:rsid w:val="00EE75A7"/>
    <w:rsid w:val="00F13761"/>
    <w:rsid w:val="00F1404B"/>
    <w:rsid w:val="00F60E2F"/>
    <w:rsid w:val="00F64B38"/>
    <w:rsid w:val="00F9635B"/>
    <w:rsid w:val="00FC15B5"/>
    <w:rsid w:val="00FC3900"/>
    <w:rsid w:val="00FE6203"/>
    <w:rsid w:val="00FF3C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A6132F"/>
    <w:pPr>
      <w:numPr>
        <w:numId w:val="1"/>
      </w:numPr>
      <w:tabs>
        <w:tab w:val="left" w:pos="567"/>
      </w:tabs>
      <w:spacing w:after="0" w:line="240" w:lineRule="auto"/>
      <w:ind w:left="0" w:firstLine="0"/>
      <w:jc w:val="both"/>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304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214"/>
    <w:rPr>
      <w:sz w:val="20"/>
      <w:szCs w:val="20"/>
    </w:rPr>
  </w:style>
  <w:style w:type="character" w:styleId="FootnoteReference">
    <w:name w:val="footnote reference"/>
    <w:basedOn w:val="DefaultParagraphFont"/>
    <w:uiPriority w:val="99"/>
    <w:semiHidden/>
    <w:unhideWhenUsed/>
    <w:rsid w:val="00304214"/>
    <w:rPr>
      <w:vertAlign w:val="superscript"/>
    </w:rPr>
  </w:style>
  <w:style w:type="paragraph" w:styleId="ListParagraph">
    <w:name w:val="List Paragraph"/>
    <w:basedOn w:val="Normal"/>
    <w:uiPriority w:val="34"/>
    <w:qFormat/>
    <w:rsid w:val="00E129F7"/>
    <w:pPr>
      <w:spacing w:after="200" w:line="276" w:lineRule="auto"/>
      <w:ind w:left="720"/>
      <w:contextualSpacing/>
    </w:pPr>
  </w:style>
  <w:style w:type="paragraph" w:styleId="BalloonText">
    <w:name w:val="Balloon Text"/>
    <w:basedOn w:val="Normal"/>
    <w:link w:val="BalloonTextChar"/>
    <w:uiPriority w:val="99"/>
    <w:semiHidden/>
    <w:unhideWhenUsed/>
    <w:rsid w:val="005F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8C"/>
    <w:rPr>
      <w:rFonts w:ascii="Tahoma" w:hAnsi="Tahoma" w:cs="Tahoma"/>
      <w:sz w:val="16"/>
      <w:szCs w:val="16"/>
    </w:rPr>
  </w:style>
  <w:style w:type="character" w:styleId="CommentReference">
    <w:name w:val="annotation reference"/>
    <w:basedOn w:val="DefaultParagraphFont"/>
    <w:uiPriority w:val="99"/>
    <w:semiHidden/>
    <w:unhideWhenUsed/>
    <w:rsid w:val="000A2444"/>
    <w:rPr>
      <w:sz w:val="16"/>
      <w:szCs w:val="16"/>
    </w:rPr>
  </w:style>
  <w:style w:type="paragraph" w:styleId="CommentText">
    <w:name w:val="annotation text"/>
    <w:basedOn w:val="Normal"/>
    <w:link w:val="CommentTextChar"/>
    <w:uiPriority w:val="99"/>
    <w:unhideWhenUsed/>
    <w:rsid w:val="000A2444"/>
    <w:pPr>
      <w:spacing w:line="240" w:lineRule="auto"/>
    </w:pPr>
    <w:rPr>
      <w:sz w:val="20"/>
      <w:szCs w:val="20"/>
    </w:rPr>
  </w:style>
  <w:style w:type="character" w:customStyle="1" w:styleId="CommentTextChar">
    <w:name w:val="Comment Text Char"/>
    <w:basedOn w:val="DefaultParagraphFont"/>
    <w:link w:val="CommentText"/>
    <w:uiPriority w:val="99"/>
    <w:rsid w:val="000A2444"/>
    <w:rPr>
      <w:sz w:val="20"/>
      <w:szCs w:val="20"/>
    </w:rPr>
  </w:style>
  <w:style w:type="paragraph" w:styleId="CommentSubject">
    <w:name w:val="annotation subject"/>
    <w:basedOn w:val="CommentText"/>
    <w:next w:val="CommentText"/>
    <w:link w:val="CommentSubjectChar"/>
    <w:uiPriority w:val="99"/>
    <w:semiHidden/>
    <w:unhideWhenUsed/>
    <w:rsid w:val="000A2444"/>
    <w:rPr>
      <w:b/>
      <w:bCs/>
    </w:rPr>
  </w:style>
  <w:style w:type="character" w:customStyle="1" w:styleId="CommentSubjectChar">
    <w:name w:val="Comment Subject Char"/>
    <w:basedOn w:val="CommentTextChar"/>
    <w:link w:val="CommentSubject"/>
    <w:uiPriority w:val="99"/>
    <w:semiHidden/>
    <w:rsid w:val="000A2444"/>
    <w:rPr>
      <w:b/>
      <w:bCs/>
      <w:sz w:val="20"/>
      <w:szCs w:val="20"/>
    </w:rPr>
  </w:style>
  <w:style w:type="paragraph" w:styleId="Header">
    <w:name w:val="header"/>
    <w:basedOn w:val="Normal"/>
    <w:link w:val="HeaderChar"/>
    <w:uiPriority w:val="99"/>
    <w:unhideWhenUsed/>
    <w:rsid w:val="0055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026"/>
  </w:style>
  <w:style w:type="paragraph" w:styleId="Footer">
    <w:name w:val="footer"/>
    <w:basedOn w:val="Normal"/>
    <w:link w:val="FooterChar"/>
    <w:uiPriority w:val="99"/>
    <w:unhideWhenUsed/>
    <w:rsid w:val="0055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A6132F"/>
    <w:pPr>
      <w:numPr>
        <w:numId w:val="1"/>
      </w:numPr>
      <w:tabs>
        <w:tab w:val="left" w:pos="567"/>
      </w:tabs>
      <w:spacing w:after="0" w:line="240" w:lineRule="auto"/>
      <w:ind w:left="0" w:firstLine="0"/>
      <w:jc w:val="both"/>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304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214"/>
    <w:rPr>
      <w:sz w:val="20"/>
      <w:szCs w:val="20"/>
    </w:rPr>
  </w:style>
  <w:style w:type="character" w:styleId="FootnoteReference">
    <w:name w:val="footnote reference"/>
    <w:basedOn w:val="DefaultParagraphFont"/>
    <w:uiPriority w:val="99"/>
    <w:semiHidden/>
    <w:unhideWhenUsed/>
    <w:rsid w:val="00304214"/>
    <w:rPr>
      <w:vertAlign w:val="superscript"/>
    </w:rPr>
  </w:style>
  <w:style w:type="paragraph" w:styleId="ListParagraph">
    <w:name w:val="List Paragraph"/>
    <w:basedOn w:val="Normal"/>
    <w:uiPriority w:val="34"/>
    <w:qFormat/>
    <w:rsid w:val="00E129F7"/>
    <w:pPr>
      <w:spacing w:after="200" w:line="276" w:lineRule="auto"/>
      <w:ind w:left="720"/>
      <w:contextualSpacing/>
    </w:pPr>
  </w:style>
  <w:style w:type="paragraph" w:styleId="BalloonText">
    <w:name w:val="Balloon Text"/>
    <w:basedOn w:val="Normal"/>
    <w:link w:val="BalloonTextChar"/>
    <w:uiPriority w:val="99"/>
    <w:semiHidden/>
    <w:unhideWhenUsed/>
    <w:rsid w:val="005F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8C"/>
    <w:rPr>
      <w:rFonts w:ascii="Tahoma" w:hAnsi="Tahoma" w:cs="Tahoma"/>
      <w:sz w:val="16"/>
      <w:szCs w:val="16"/>
    </w:rPr>
  </w:style>
  <w:style w:type="character" w:styleId="CommentReference">
    <w:name w:val="annotation reference"/>
    <w:basedOn w:val="DefaultParagraphFont"/>
    <w:uiPriority w:val="99"/>
    <w:semiHidden/>
    <w:unhideWhenUsed/>
    <w:rsid w:val="000A2444"/>
    <w:rPr>
      <w:sz w:val="16"/>
      <w:szCs w:val="16"/>
    </w:rPr>
  </w:style>
  <w:style w:type="paragraph" w:styleId="CommentText">
    <w:name w:val="annotation text"/>
    <w:basedOn w:val="Normal"/>
    <w:link w:val="CommentTextChar"/>
    <w:uiPriority w:val="99"/>
    <w:unhideWhenUsed/>
    <w:rsid w:val="000A2444"/>
    <w:pPr>
      <w:spacing w:line="240" w:lineRule="auto"/>
    </w:pPr>
    <w:rPr>
      <w:sz w:val="20"/>
      <w:szCs w:val="20"/>
    </w:rPr>
  </w:style>
  <w:style w:type="character" w:customStyle="1" w:styleId="CommentTextChar">
    <w:name w:val="Comment Text Char"/>
    <w:basedOn w:val="DefaultParagraphFont"/>
    <w:link w:val="CommentText"/>
    <w:uiPriority w:val="99"/>
    <w:rsid w:val="000A2444"/>
    <w:rPr>
      <w:sz w:val="20"/>
      <w:szCs w:val="20"/>
    </w:rPr>
  </w:style>
  <w:style w:type="paragraph" w:styleId="CommentSubject">
    <w:name w:val="annotation subject"/>
    <w:basedOn w:val="CommentText"/>
    <w:next w:val="CommentText"/>
    <w:link w:val="CommentSubjectChar"/>
    <w:uiPriority w:val="99"/>
    <w:semiHidden/>
    <w:unhideWhenUsed/>
    <w:rsid w:val="000A2444"/>
    <w:rPr>
      <w:b/>
      <w:bCs/>
    </w:rPr>
  </w:style>
  <w:style w:type="character" w:customStyle="1" w:styleId="CommentSubjectChar">
    <w:name w:val="Comment Subject Char"/>
    <w:basedOn w:val="CommentTextChar"/>
    <w:link w:val="CommentSubject"/>
    <w:uiPriority w:val="99"/>
    <w:semiHidden/>
    <w:rsid w:val="000A2444"/>
    <w:rPr>
      <w:b/>
      <w:bCs/>
      <w:sz w:val="20"/>
      <w:szCs w:val="20"/>
    </w:rPr>
  </w:style>
  <w:style w:type="paragraph" w:styleId="Header">
    <w:name w:val="header"/>
    <w:basedOn w:val="Normal"/>
    <w:link w:val="HeaderChar"/>
    <w:uiPriority w:val="99"/>
    <w:unhideWhenUsed/>
    <w:rsid w:val="0055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026"/>
  </w:style>
  <w:style w:type="paragraph" w:styleId="Footer">
    <w:name w:val="footer"/>
    <w:basedOn w:val="Normal"/>
    <w:link w:val="FooterChar"/>
    <w:uiPriority w:val="99"/>
    <w:unhideWhenUsed/>
    <w:rsid w:val="0055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066D-1079-4D9A-84B5-629F0389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11983</Characters>
  <Application>Microsoft Office Word</Application>
  <DocSecurity>0</DocSecurity>
  <Lines>386</Lines>
  <Paragraphs>94</Paragraphs>
  <ScaleCrop>false</ScaleCrop>
  <HeadingPairs>
    <vt:vector size="2" baseType="variant">
      <vt:variant>
        <vt:lpstr>Title</vt:lpstr>
      </vt:variant>
      <vt:variant>
        <vt:i4>1</vt:i4>
      </vt:variant>
    </vt:vector>
  </HeadingPairs>
  <TitlesOfParts>
    <vt:vector size="1" baseType="lpstr">
      <vt:lpstr>Regulatory impact statement - Aircraft overhaul expenses: deductibility and timing (August 2015)</vt:lpstr>
    </vt:vector>
  </TitlesOfParts>
  <Company>Inland Revenue</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Aircraft overhaul expenses: deductibility and timing (August 2015)</dc:title>
  <dc:creator>Policy and Strategy</dc:creator>
  <dc:description>Published May 2016.</dc:description>
  <cp:lastModifiedBy>David Nind</cp:lastModifiedBy>
  <cp:revision>2</cp:revision>
  <dcterms:created xsi:type="dcterms:W3CDTF">2016-05-02T21:34:00Z</dcterms:created>
  <dcterms:modified xsi:type="dcterms:W3CDTF">2016-05-02T21:34:00Z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