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4601ED">
      <w:pPr>
        <w:pStyle w:val="RISheading"/>
        <w:rPr>
          <w:w w:val="100"/>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rPr>
        <w:t>Regulatory Impact Statement</w:t>
      </w:r>
      <w:bookmarkEnd w:id="1"/>
      <w:bookmarkEnd w:id="2"/>
      <w:bookmarkEnd w:id="3"/>
      <w:bookmarkEnd w:id="4"/>
      <w:bookmarkEnd w:id="5"/>
    </w:p>
    <w:p w:rsidR="000545DC" w:rsidRPr="004342F0" w:rsidRDefault="00756496" w:rsidP="004601ED">
      <w:pPr>
        <w:pStyle w:val="RISheading"/>
        <w:rPr>
          <w:w w:val="100"/>
        </w:rPr>
      </w:pPr>
      <w:r>
        <w:rPr>
          <w:w w:val="100"/>
        </w:rPr>
        <w:t>Aircraft overhaul expenses: deductibility and timing</w:t>
      </w:r>
    </w:p>
    <w:p w:rsidR="000A2CB9" w:rsidRDefault="001C6912" w:rsidP="004601ED">
      <w:pPr>
        <w:pStyle w:val="RISheading"/>
        <w:rPr>
          <w:w w:val="100"/>
        </w:rPr>
      </w:pPr>
      <w:r w:rsidRPr="004342F0">
        <w:rPr>
          <w:w w:val="100"/>
        </w:rPr>
        <w:t xml:space="preserve">Agency </w:t>
      </w:r>
      <w:r w:rsidR="000545DC" w:rsidRPr="004342F0">
        <w:rPr>
          <w:w w:val="100"/>
        </w:rPr>
        <w:t xml:space="preserve">Disclosure Statement </w:t>
      </w:r>
    </w:p>
    <w:p w:rsidR="000545DC" w:rsidRPr="00774D82" w:rsidRDefault="000545DC" w:rsidP="00C40792">
      <w:r w:rsidRPr="00774D82">
        <w:t xml:space="preserve">This Regulatory Impact Statement has been prepared by </w:t>
      </w:r>
      <w:r w:rsidR="009F7B9A" w:rsidRPr="00774D82">
        <w:t>Inland Revenue</w:t>
      </w:r>
      <w:r w:rsidR="009A23EE" w:rsidRPr="00774D82">
        <w:t>.</w:t>
      </w:r>
    </w:p>
    <w:p w:rsidR="004342F0" w:rsidRPr="00774D82" w:rsidRDefault="004342F0" w:rsidP="00C40792"/>
    <w:p w:rsidR="00BA33F8" w:rsidRPr="00774D82" w:rsidRDefault="000545DC" w:rsidP="00C40792">
      <w:r w:rsidRPr="00774D82">
        <w:t xml:space="preserve">It provides an analysis of options to </w:t>
      </w:r>
      <w:r w:rsidR="00111F23">
        <w:t xml:space="preserve">address timing issues </w:t>
      </w:r>
      <w:r w:rsidR="009E238B">
        <w:t>about</w:t>
      </w:r>
      <w:r w:rsidR="00756496" w:rsidRPr="00774D82">
        <w:t xml:space="preserve"> </w:t>
      </w:r>
      <w:r w:rsidR="00111F23">
        <w:t>d</w:t>
      </w:r>
      <w:r w:rsidR="00756496" w:rsidRPr="00774D82">
        <w:t>eductions for aircraft overhaul expenses</w:t>
      </w:r>
      <w:r w:rsidR="00111F23">
        <w:t>.</w:t>
      </w:r>
      <w:r w:rsidR="006F2065" w:rsidRPr="00774D82">
        <w:t xml:space="preserve">  </w:t>
      </w:r>
      <w:r w:rsidR="00111F23">
        <w:t>As the issues relate to timing of deductions, t</w:t>
      </w:r>
      <w:r w:rsidR="006F2065" w:rsidRPr="00774D82">
        <w:t xml:space="preserve">he options are not intended to alter the total tax payable by </w:t>
      </w:r>
      <w:r w:rsidR="001B6A4D">
        <w:t xml:space="preserve">commercial </w:t>
      </w:r>
      <w:r w:rsidR="006F2065" w:rsidRPr="00774D82">
        <w:t>aircraft operators</w:t>
      </w:r>
      <w:r w:rsidR="00111F23">
        <w:t xml:space="preserve"> over the period of time an aircraft is owned by a taxpayer</w:t>
      </w:r>
      <w:r w:rsidR="006F2065" w:rsidRPr="00774D82">
        <w:t>.</w:t>
      </w:r>
    </w:p>
    <w:p w:rsidR="00BA33F8" w:rsidRPr="00774D82" w:rsidRDefault="00BA33F8" w:rsidP="00C40792"/>
    <w:p w:rsidR="00E77884" w:rsidRDefault="00111F23" w:rsidP="00C40792">
      <w:r>
        <w:t xml:space="preserve">The options are considered in the light of the </w:t>
      </w:r>
      <w:r w:rsidR="00675E73" w:rsidRPr="00774D82">
        <w:t>Civil Aviation Authority</w:t>
      </w:r>
      <w:r>
        <w:t xml:space="preserve">’s </w:t>
      </w:r>
      <w:r w:rsidR="0083473F">
        <w:t>rules</w:t>
      </w:r>
      <w:r w:rsidR="009A23A9">
        <w:t xml:space="preserve"> for managing</w:t>
      </w:r>
      <w:r>
        <w:t xml:space="preserve"> safety risks </w:t>
      </w:r>
      <w:r w:rsidR="009A23A9">
        <w:t>in the aviation sector</w:t>
      </w:r>
      <w:r>
        <w:t xml:space="preserve">.  The </w:t>
      </w:r>
      <w:r w:rsidR="0083473F">
        <w:t>rules</w:t>
      </w:r>
      <w:r w:rsidR="00E010C2" w:rsidRPr="00774D82">
        <w:t xml:space="preserve"> require aircraft components to be regularly overhauled if the aircraft owner wishes</w:t>
      </w:r>
      <w:r w:rsidR="00E65FF7">
        <w:t xml:space="preserve"> to</w:t>
      </w:r>
      <w:r w:rsidR="00E010C2" w:rsidRPr="00774D82">
        <w:t xml:space="preserve"> retain the aircraft</w:t>
      </w:r>
      <w:r w:rsidR="00E77884">
        <w:t xml:space="preserve">’s certificate of airworthiness. </w:t>
      </w:r>
      <w:r>
        <w:t xml:space="preserve">The length of the overhaul period is normally determined by </w:t>
      </w:r>
      <w:r w:rsidR="0083473F">
        <w:t>time in service</w:t>
      </w:r>
      <w:r w:rsidR="00E1765A">
        <w:t xml:space="preserve"> and is usually termed the overhaul cycle</w:t>
      </w:r>
      <w:r>
        <w:t xml:space="preserve">.  </w:t>
      </w:r>
      <w:r w:rsidR="00E77884">
        <w:t>It is illegal to operate an aircraft without a current certificate of airworthiness.</w:t>
      </w:r>
    </w:p>
    <w:p w:rsidR="00E010C2" w:rsidRPr="00774D82" w:rsidRDefault="00E010C2" w:rsidP="00C40792"/>
    <w:p w:rsidR="00774D82" w:rsidRDefault="0027260A" w:rsidP="00C40792">
      <w:r w:rsidRPr="00774D82">
        <w:t xml:space="preserve">For the purpose of </w:t>
      </w:r>
      <w:r w:rsidR="00067AA9" w:rsidRPr="00774D82">
        <w:t>our</w:t>
      </w:r>
      <w:r w:rsidRPr="00774D82">
        <w:t xml:space="preserve"> analysis, we assumed that the review relates to </w:t>
      </w:r>
      <w:r w:rsidR="00774D82" w:rsidRPr="00774D82">
        <w:t xml:space="preserve">significant </w:t>
      </w:r>
      <w:r w:rsidR="00067AA9" w:rsidRPr="00774D82">
        <w:t xml:space="preserve">aircraft operations </w:t>
      </w:r>
      <w:r w:rsidR="00774D82" w:rsidRPr="00774D82">
        <w:t xml:space="preserve">such as commercial passenger and freight services, tourism operators, and commercial agricultural uses.  </w:t>
      </w:r>
      <w:r w:rsidR="00067AA9" w:rsidRPr="00774D82">
        <w:t>Our analysis</w:t>
      </w:r>
      <w:r w:rsidR="00555872">
        <w:t xml:space="preserve"> of the options</w:t>
      </w:r>
      <w:r w:rsidR="00067AA9" w:rsidRPr="00774D82">
        <w:t xml:space="preserve"> </w:t>
      </w:r>
      <w:r w:rsidR="00E1765A">
        <w:t>is</w:t>
      </w:r>
      <w:r w:rsidR="00067AA9" w:rsidRPr="00774D82">
        <w:t xml:space="preserve"> based on</w:t>
      </w:r>
      <w:r w:rsidR="00774D82" w:rsidRPr="00774D82">
        <w:t xml:space="preserve"> </w:t>
      </w:r>
      <w:r w:rsidR="00067AA9" w:rsidRPr="00774D82">
        <w:t xml:space="preserve">submissions on </w:t>
      </w:r>
      <w:r w:rsidR="00774D82" w:rsidRPr="00774D82">
        <w:t xml:space="preserve">the consultation </w:t>
      </w:r>
      <w:r w:rsidR="00E1765A">
        <w:t>letter,</w:t>
      </w:r>
      <w:r w:rsidR="00774D82" w:rsidRPr="00774D82">
        <w:t xml:space="preserve"> and the </w:t>
      </w:r>
      <w:r w:rsidR="00555872">
        <w:t xml:space="preserve">economic and fiscal </w:t>
      </w:r>
      <w:r w:rsidR="00774D82" w:rsidRPr="00774D82">
        <w:t>obje</w:t>
      </w:r>
      <w:r w:rsidR="00555872">
        <w:t>ctives of a coherent tax system.</w:t>
      </w:r>
    </w:p>
    <w:p w:rsidR="00774D82" w:rsidRPr="00774D82" w:rsidRDefault="00774D82" w:rsidP="00C40792"/>
    <w:p w:rsidR="0027260A" w:rsidRPr="00774D82" w:rsidRDefault="0027260A" w:rsidP="00291DE3">
      <w:r w:rsidRPr="00774D82">
        <w:t>The estimate of the potential fiscal effect</w:t>
      </w:r>
      <w:r w:rsidR="00555872">
        <w:t xml:space="preserve"> for the timing options</w:t>
      </w:r>
      <w:r w:rsidRPr="00774D82">
        <w:t xml:space="preserve"> is uncertain as it is based on </w:t>
      </w:r>
      <w:r w:rsidR="009A23A9">
        <w:t>a</w:t>
      </w:r>
      <w:r w:rsidR="00322E97">
        <w:t xml:space="preserve"> sample of cost data</w:t>
      </w:r>
      <w:r w:rsidRPr="00774D82">
        <w:t xml:space="preserve"> </w:t>
      </w:r>
      <w:r w:rsidR="00555872">
        <w:t>drawn from</w:t>
      </w:r>
      <w:r w:rsidRPr="00774D82">
        <w:t xml:space="preserve"> large</w:t>
      </w:r>
      <w:r w:rsidR="00291DE3">
        <w:t>r</w:t>
      </w:r>
      <w:r w:rsidRPr="00774D82">
        <w:t xml:space="preserve"> aircraft operators and also an estimate of accrued provisions for</w:t>
      </w:r>
      <w:r w:rsidR="00555872">
        <w:t xml:space="preserve"> future</w:t>
      </w:r>
      <w:r w:rsidRPr="00774D82">
        <w:t xml:space="preserve"> aircraft overhaul expenses </w:t>
      </w:r>
      <w:r w:rsidR="00555872">
        <w:t>drawn</w:t>
      </w:r>
      <w:r w:rsidRPr="00774D82">
        <w:t xml:space="preserve"> from a sample of </w:t>
      </w:r>
      <w:r w:rsidR="00291DE3">
        <w:t xml:space="preserve">small and medium sized </w:t>
      </w:r>
      <w:r w:rsidRPr="00774D82">
        <w:t>aircraft operators.</w:t>
      </w:r>
      <w:r w:rsidR="00555872">
        <w:t xml:space="preserve">  </w:t>
      </w:r>
      <w:r w:rsidRPr="00774D82">
        <w:t>Because of data limitations it is not possible to identify the age profile of all aircraft held by aircraft operators.</w:t>
      </w:r>
    </w:p>
    <w:p w:rsidR="00B117E8" w:rsidRPr="00774D82" w:rsidRDefault="00B117E8" w:rsidP="00291DE3">
      <w:pPr>
        <w:rPr>
          <w:lang w:val="en-NZ"/>
        </w:rPr>
      </w:pPr>
    </w:p>
    <w:p w:rsidR="00B117E8" w:rsidRPr="00774D82" w:rsidRDefault="0022569B" w:rsidP="00291DE3">
      <w:pPr>
        <w:rPr>
          <w:lang w:val="en-NZ"/>
        </w:rPr>
      </w:pPr>
      <w:r>
        <w:rPr>
          <w:lang w:val="en-NZ"/>
        </w:rPr>
        <w:t xml:space="preserve">None of the policy options had </w:t>
      </w:r>
      <w:r w:rsidR="00B117E8" w:rsidRPr="00774D82">
        <w:rPr>
          <w:lang w:val="en-NZ"/>
        </w:rPr>
        <w:t>environmental or cultural impacts</w:t>
      </w:r>
      <w:r>
        <w:rPr>
          <w:lang w:val="en-NZ"/>
        </w:rPr>
        <w:t xml:space="preserve">, and nor were there any </w:t>
      </w:r>
      <w:r w:rsidR="00B117E8" w:rsidRPr="00774D82">
        <w:rPr>
          <w:lang w:val="en-NZ"/>
        </w:rPr>
        <w:t>other significant constraints, caveats and uncertainties concerning the regulatory impact analysis.</w:t>
      </w:r>
    </w:p>
    <w:p w:rsidR="00B117E8" w:rsidRPr="00774D82" w:rsidRDefault="00B117E8" w:rsidP="00291DE3">
      <w:pPr>
        <w:rPr>
          <w:lang w:val="en-NZ"/>
        </w:rPr>
      </w:pPr>
    </w:p>
    <w:p w:rsidR="00B117E8" w:rsidRPr="00774D82" w:rsidRDefault="007F0101" w:rsidP="00291DE3">
      <w:pPr>
        <w:rPr>
          <w:lang w:val="en-NZ"/>
        </w:rPr>
      </w:pPr>
      <w:r w:rsidRPr="00774D82">
        <w:rPr>
          <w:lang w:val="en-NZ"/>
        </w:rPr>
        <w:t xml:space="preserve">None of the policy options considered would restrict market </w:t>
      </w:r>
      <w:proofErr w:type="gramStart"/>
      <w:r>
        <w:rPr>
          <w:lang w:val="en-NZ"/>
        </w:rPr>
        <w:t>competition,</w:t>
      </w:r>
      <w:proofErr w:type="gramEnd"/>
      <w:r w:rsidRPr="00774D82">
        <w:rPr>
          <w:lang w:val="en-NZ"/>
        </w:rPr>
        <w:t xml:space="preserve"> reduce the incentives for businesses to innovate and invest, unduly impair private property rights or override fundamental common law principles.</w:t>
      </w:r>
    </w:p>
    <w:p w:rsidR="00B117E8" w:rsidRDefault="00B117E8" w:rsidP="00291DE3">
      <w:pPr>
        <w:pStyle w:val="Text"/>
        <w:rPr>
          <w:lang w:val="en-NZ"/>
        </w:rPr>
      </w:pPr>
    </w:p>
    <w:p w:rsidR="00085660" w:rsidRDefault="00085660" w:rsidP="00291DE3">
      <w:pPr>
        <w:pStyle w:val="Text"/>
        <w:rPr>
          <w:lang w:val="en-NZ"/>
        </w:rPr>
      </w:pPr>
    </w:p>
    <w:p w:rsidR="00085660" w:rsidRPr="004342F0" w:rsidRDefault="00085660" w:rsidP="00291DE3">
      <w:pPr>
        <w:pStyle w:val="Text"/>
        <w:rPr>
          <w:lang w:val="en-NZ"/>
        </w:rPr>
      </w:pPr>
    </w:p>
    <w:p w:rsidR="00085660" w:rsidRPr="004342F0" w:rsidRDefault="0022569B" w:rsidP="00291DE3">
      <w:pPr>
        <w:pStyle w:val="Text"/>
        <w:rPr>
          <w:lang w:val="en-NZ"/>
        </w:rPr>
      </w:pPr>
      <w:r>
        <w:rPr>
          <w:lang w:val="en-NZ"/>
        </w:rPr>
        <w:t>Peter Frawley</w:t>
      </w:r>
    </w:p>
    <w:p w:rsidR="00B117E8" w:rsidRDefault="0022569B" w:rsidP="00291DE3">
      <w:pPr>
        <w:pStyle w:val="Text"/>
        <w:rPr>
          <w:lang w:val="en-NZ"/>
        </w:rPr>
      </w:pPr>
      <w:r>
        <w:rPr>
          <w:lang w:val="en-NZ"/>
        </w:rPr>
        <w:t>Policy Manager</w:t>
      </w:r>
      <w:r w:rsidR="005A62E6">
        <w:rPr>
          <w:lang w:val="en-NZ"/>
        </w:rPr>
        <w:t xml:space="preserve">, </w:t>
      </w:r>
    </w:p>
    <w:p w:rsidR="009F7B9A" w:rsidRPr="004342F0" w:rsidRDefault="005A62E6" w:rsidP="00291DE3">
      <w:pPr>
        <w:pStyle w:val="Text"/>
        <w:rPr>
          <w:lang w:val="en-NZ"/>
        </w:rPr>
      </w:pPr>
      <w:r>
        <w:rPr>
          <w:lang w:val="en-NZ"/>
        </w:rPr>
        <w:t>Policy and Strategy</w:t>
      </w:r>
    </w:p>
    <w:p w:rsidR="001C6912" w:rsidRPr="004342F0" w:rsidRDefault="001C6912" w:rsidP="00291DE3">
      <w:pPr>
        <w:pStyle w:val="Text"/>
        <w:rPr>
          <w:lang w:val="en-NZ"/>
        </w:rPr>
      </w:pPr>
      <w:r w:rsidRPr="004342F0">
        <w:rPr>
          <w:lang w:val="en-NZ"/>
        </w:rPr>
        <w:t>Inland Revenue</w:t>
      </w:r>
    </w:p>
    <w:p w:rsidR="000545DC" w:rsidRPr="004342F0" w:rsidRDefault="00371772" w:rsidP="00291DE3">
      <w:pPr>
        <w:pStyle w:val="Text"/>
        <w:rPr>
          <w:lang w:val="en-NZ"/>
        </w:rPr>
      </w:pPr>
      <w:r>
        <w:rPr>
          <w:lang w:val="en-NZ"/>
        </w:rPr>
        <w:t>21</w:t>
      </w:r>
      <w:r w:rsidR="00B117E8">
        <w:rPr>
          <w:lang w:val="en-NZ"/>
        </w:rPr>
        <w:t>/</w:t>
      </w:r>
      <w:r w:rsidR="009A23A9">
        <w:rPr>
          <w:lang w:val="en-NZ"/>
        </w:rPr>
        <w:t>08</w:t>
      </w:r>
      <w:r w:rsidR="0022569B">
        <w:rPr>
          <w:lang w:val="en-NZ"/>
        </w:rPr>
        <w:t>/</w:t>
      </w:r>
      <w:r w:rsidR="00555872">
        <w:rPr>
          <w:lang w:val="en-NZ"/>
        </w:rPr>
        <w:t>2015</w:t>
      </w:r>
    </w:p>
    <w:p w:rsidR="006B5480" w:rsidRDefault="001C6912" w:rsidP="00AD1120">
      <w:pPr>
        <w:pStyle w:val="RISmajorheading"/>
      </w:pPr>
      <w:bookmarkStart w:id="7" w:name="_Toc244580363"/>
      <w:bookmarkStart w:id="8" w:name="_Toc244587039"/>
      <w:bookmarkStart w:id="9" w:name="_Toc244857273"/>
      <w:bookmarkStart w:id="10" w:name="_Toc244912538"/>
      <w:bookmarkStart w:id="11" w:name="_Toc244916995"/>
      <w:r w:rsidRPr="004342F0">
        <w:br w:type="page"/>
      </w:r>
      <w:r w:rsidR="006B5480">
        <w:lastRenderedPageBreak/>
        <w:t>EXECUTIVE SUMMARY</w:t>
      </w:r>
    </w:p>
    <w:p w:rsidR="006B5480" w:rsidRPr="00774D82" w:rsidRDefault="006B5480" w:rsidP="006B5480">
      <w:r>
        <w:t xml:space="preserve">This </w:t>
      </w:r>
      <w:r w:rsidR="00E65FF7">
        <w:t>RIS</w:t>
      </w:r>
      <w:r w:rsidR="00E65FF7" w:rsidRPr="00774D82">
        <w:t xml:space="preserve"> </w:t>
      </w:r>
      <w:r w:rsidRPr="00774D82">
        <w:t xml:space="preserve">provides an analysis of options to </w:t>
      </w:r>
      <w:r>
        <w:t>address timing issues relating to</w:t>
      </w:r>
      <w:r w:rsidRPr="00774D82">
        <w:t xml:space="preserve"> </w:t>
      </w:r>
      <w:r>
        <w:t>d</w:t>
      </w:r>
      <w:r w:rsidRPr="00774D82">
        <w:t>eductions for aircraft overhaul expenses</w:t>
      </w:r>
      <w:r>
        <w:t>.</w:t>
      </w:r>
      <w:r w:rsidRPr="00774D82">
        <w:t xml:space="preserve">  </w:t>
      </w:r>
      <w:r>
        <w:t>As the issues relate to timing of deductions, t</w:t>
      </w:r>
      <w:r w:rsidRPr="00774D82">
        <w:t xml:space="preserve">he options are not intended to alter the total tax payable by </w:t>
      </w:r>
      <w:r>
        <w:t xml:space="preserve">commercial </w:t>
      </w:r>
      <w:r w:rsidRPr="00774D82">
        <w:t>aircraft operators</w:t>
      </w:r>
      <w:r>
        <w:t xml:space="preserve"> over the period of time an aircraft is owned by a taxpayer</w:t>
      </w:r>
      <w:r w:rsidRPr="00774D82">
        <w:t>.</w:t>
      </w:r>
    </w:p>
    <w:p w:rsidR="006B5480" w:rsidRPr="00774D82" w:rsidRDefault="006B5480" w:rsidP="006B5480"/>
    <w:p w:rsidR="006B5480" w:rsidRDefault="006B5480" w:rsidP="006B5480">
      <w:r>
        <w:t xml:space="preserve">The options are considered in the light of the </w:t>
      </w:r>
      <w:r w:rsidRPr="00774D82">
        <w:t>Civil Aviation Authority</w:t>
      </w:r>
      <w:r>
        <w:t>’s rules concerned with the management of safety risks for operating an aircraft.  These rules</w:t>
      </w:r>
      <w:r w:rsidRPr="00774D82">
        <w:t xml:space="preserve"> require aircraft components to be regularly overhauled if the aircraft owner wishes</w:t>
      </w:r>
      <w:r w:rsidR="00E65FF7">
        <w:t xml:space="preserve"> to</w:t>
      </w:r>
      <w:r w:rsidRPr="00774D82">
        <w:t xml:space="preserve"> retain the aircraft</w:t>
      </w:r>
      <w:r>
        <w:t>’s certificate of airworthiness. The length of the overhaul period is normally determined by time in service and is usually termed the overhaul cycle.  It is illegal to operate an aircraft without a current certificate of airworthiness.</w:t>
      </w:r>
    </w:p>
    <w:p w:rsidR="006B5480" w:rsidRDefault="006B5480" w:rsidP="006B5480"/>
    <w:p w:rsidR="006B5480" w:rsidRDefault="006B5480" w:rsidP="006B5480">
      <w:r w:rsidRPr="00774D82">
        <w:t>The policy proposals in this RIS are intended to</w:t>
      </w:r>
      <w:r>
        <w:t>:</w:t>
      </w:r>
    </w:p>
    <w:p w:rsidR="006B5480" w:rsidRDefault="006B5480" w:rsidP="006B5480"/>
    <w:p w:rsidR="006B5480" w:rsidRDefault="006B5480" w:rsidP="006B5480">
      <w:pPr>
        <w:pStyle w:val="RISbulletlist"/>
      </w:pPr>
      <w:r w:rsidRPr="00774D82">
        <w:t xml:space="preserve"> be straight-forward to administer and </w:t>
      </w:r>
      <w:r>
        <w:t xml:space="preserve">to </w:t>
      </w:r>
      <w:r w:rsidRPr="00774D82">
        <w:t>implement</w:t>
      </w:r>
      <w:r>
        <w:t>;</w:t>
      </w:r>
      <w:r w:rsidRPr="00774D82">
        <w:t xml:space="preserve"> and </w:t>
      </w:r>
    </w:p>
    <w:p w:rsidR="006B5480" w:rsidRDefault="006B5480" w:rsidP="006B5480">
      <w:pPr>
        <w:pStyle w:val="RISbulletlist"/>
      </w:pPr>
      <w:proofErr w:type="gramStart"/>
      <w:r w:rsidRPr="00774D82">
        <w:t>maintain</w:t>
      </w:r>
      <w:proofErr w:type="gramEnd"/>
      <w:r w:rsidRPr="00774D82">
        <w:t xml:space="preserve"> the integrity and coherence of the tax system, including minimising impacts </w:t>
      </w:r>
      <w:r>
        <w:t>on tax payments.</w:t>
      </w:r>
      <w:r w:rsidRPr="00774D82">
        <w:t xml:space="preserve"> </w:t>
      </w:r>
    </w:p>
    <w:p w:rsidR="006B5480" w:rsidRDefault="006B5480" w:rsidP="00AD1120">
      <w:r w:rsidRPr="00774D82">
        <w:t xml:space="preserve">The options discussed in this RIS were released for consultation in a targeted </w:t>
      </w:r>
      <w:r>
        <w:t>letter</w:t>
      </w:r>
      <w:r w:rsidR="007612BE">
        <w:t xml:space="preserve">.  This consultation letter </w:t>
      </w:r>
      <w:r w:rsidR="006313E1">
        <w:t>sought comment on a range of options</w:t>
      </w:r>
      <w:r w:rsidR="00E65FF7">
        <w:t>.  The options all related to</w:t>
      </w:r>
      <w:r w:rsidRPr="00774D82">
        <w:t xml:space="preserve"> timing </w:t>
      </w:r>
      <w:r w:rsidR="00E65FF7">
        <w:t xml:space="preserve">of deductions for </w:t>
      </w:r>
      <w:r w:rsidRPr="00774D82">
        <w:t xml:space="preserve">aircraft overhaul expenses </w:t>
      </w:r>
      <w:r w:rsidR="00E65FF7">
        <w:t>and whether the timing was</w:t>
      </w:r>
      <w:r w:rsidRPr="00774D82">
        <w:t xml:space="preserve"> consistent with the</w:t>
      </w:r>
      <w:r w:rsidR="00E65FF7">
        <w:t xml:space="preserve"> policy</w:t>
      </w:r>
      <w:r w:rsidRPr="00774D82">
        <w:t xml:space="preserve"> objective </w:t>
      </w:r>
      <w:r>
        <w:t>of imposing tax on t</w:t>
      </w:r>
      <w:r w:rsidRPr="00774D82">
        <w:t>he best approximation of economic income</w:t>
      </w:r>
      <w:r>
        <w:t xml:space="preserve"> of taxpayers.</w:t>
      </w:r>
    </w:p>
    <w:p w:rsidR="006B5480" w:rsidRDefault="006B5480" w:rsidP="00AD1120"/>
    <w:p w:rsidR="006B5480" w:rsidRDefault="006B5480" w:rsidP="006B5480">
      <w:r>
        <w:t xml:space="preserve">Three submitters commented on </w:t>
      </w:r>
      <w:r w:rsidRPr="00774D82">
        <w:t xml:space="preserve">the </w:t>
      </w:r>
      <w:r>
        <w:t xml:space="preserve">options set out in the </w:t>
      </w:r>
      <w:r w:rsidRPr="00774D82">
        <w:t xml:space="preserve">consultation </w:t>
      </w:r>
      <w:r>
        <w:t>letter</w:t>
      </w:r>
      <w:r w:rsidRPr="00774D82">
        <w:t>.  All submitters agreed that the selected policy option should:</w:t>
      </w:r>
    </w:p>
    <w:p w:rsidR="006B5480" w:rsidRPr="00774D82" w:rsidRDefault="006B5480" w:rsidP="006B5480"/>
    <w:p w:rsidR="006B5480" w:rsidRPr="00774D82" w:rsidRDefault="006B5480" w:rsidP="006B5480">
      <w:pPr>
        <w:pStyle w:val="RISbulletlist"/>
      </w:pPr>
      <w:r w:rsidRPr="00774D82">
        <w:t>give a reasonable approximation of economic income</w:t>
      </w:r>
      <w:r>
        <w:t xml:space="preserve"> arising from aircraft operations</w:t>
      </w:r>
      <w:r w:rsidRPr="00774D82">
        <w:t>;</w:t>
      </w:r>
    </w:p>
    <w:p w:rsidR="006B5480" w:rsidRDefault="006B5480" w:rsidP="006B5480">
      <w:pPr>
        <w:pStyle w:val="RISbulletlist"/>
      </w:pPr>
      <w:r w:rsidRPr="00774D82">
        <w:t>be consis</w:t>
      </w:r>
      <w:r>
        <w:t>tent with accounting principles;</w:t>
      </w:r>
    </w:p>
    <w:p w:rsidR="006B5480" w:rsidRPr="00774D82" w:rsidRDefault="006B5480" w:rsidP="006B5480">
      <w:pPr>
        <w:pStyle w:val="RISbulletlist"/>
      </w:pPr>
      <w:r w:rsidRPr="00774D82">
        <w:t xml:space="preserve">provide suitable transitional rules that minimised potential adverse impacts on </w:t>
      </w:r>
      <w:proofErr w:type="spellStart"/>
      <w:r w:rsidRPr="00774D82">
        <w:t>cashflows</w:t>
      </w:r>
      <w:proofErr w:type="spellEnd"/>
      <w:r w:rsidRPr="00774D82">
        <w:t>; and</w:t>
      </w:r>
    </w:p>
    <w:p w:rsidR="006B5480" w:rsidRPr="00774D82" w:rsidRDefault="006B5480" w:rsidP="006B5480">
      <w:pPr>
        <w:pStyle w:val="RISbulletlist"/>
      </w:pPr>
      <w:proofErr w:type="gramStart"/>
      <w:r w:rsidRPr="00774D82">
        <w:t>address</w:t>
      </w:r>
      <w:proofErr w:type="gramEnd"/>
      <w:r w:rsidRPr="00774D82">
        <w:t xml:space="preserve"> the relationship between the policy proposals and other specific rules in the Income Tax Act.</w:t>
      </w:r>
    </w:p>
    <w:p w:rsidR="006B5480" w:rsidRDefault="006B5480" w:rsidP="006B5480">
      <w:r w:rsidRPr="00774D82">
        <w:t>Submitters</w:t>
      </w:r>
      <w:r>
        <w:t xml:space="preserve"> considered that the cost of aircraft engine overhauls was a major expense for aircraft operators and that economically the cost of an engine overhaul relates to income earned over the years from one overhaul to the next overhaul.  However, submitters considered that the cost of other types of aircraft overhaul was not material relative to the value of the aircraft.</w:t>
      </w:r>
    </w:p>
    <w:p w:rsidR="006B5480" w:rsidRDefault="006B5480" w:rsidP="006B5480"/>
    <w:p w:rsidR="006B5480" w:rsidRDefault="006B5480" w:rsidP="006B5480">
      <w:r w:rsidRPr="00774D82">
        <w:t xml:space="preserve">Some </w:t>
      </w:r>
      <w:r w:rsidR="00931CAC">
        <w:t>submitters</w:t>
      </w:r>
      <w:r w:rsidR="00931CAC" w:rsidRPr="00774D82">
        <w:t xml:space="preserve"> </w:t>
      </w:r>
      <w:r w:rsidRPr="00774D82">
        <w:t>noted that in the longer term, compliance costs would not be impacted significantly</w:t>
      </w:r>
      <w:r>
        <w:t>.  However, submitters considered</w:t>
      </w:r>
      <w:r w:rsidRPr="00774D82">
        <w:t xml:space="preserve"> it was</w:t>
      </w:r>
      <w:r w:rsidR="00931CAC">
        <w:t xml:space="preserve"> also</w:t>
      </w:r>
      <w:r w:rsidRPr="00774D82">
        <w:t xml:space="preserve"> important to ensure that transitional measures did not adversely impact on compliance costs.</w:t>
      </w:r>
      <w:r>
        <w:t xml:space="preserve"> </w:t>
      </w:r>
    </w:p>
    <w:p w:rsidR="006B5480" w:rsidRPr="00774D82" w:rsidRDefault="006B5480" w:rsidP="006B5480"/>
    <w:p w:rsidR="00931CAC" w:rsidRDefault="006B5480" w:rsidP="006B5480">
      <w:r>
        <w:t>F</w:t>
      </w:r>
      <w:r w:rsidRPr="00774D82">
        <w:t xml:space="preserve">ollowing </w:t>
      </w:r>
      <w:r>
        <w:t>consideration of submissions received, our</w:t>
      </w:r>
      <w:r w:rsidRPr="00774D82">
        <w:t xml:space="preserve"> preferred option is to use the </w:t>
      </w:r>
      <w:r>
        <w:t xml:space="preserve">spreading method for aircraft engine overhauls, with full transitional adjustments </w:t>
      </w:r>
      <w:r w:rsidR="00931CAC">
        <w:t>(transitional alternative 1</w:t>
      </w:r>
      <w:r w:rsidR="00CC053D">
        <w:t xml:space="preserve"> – see paragraph </w:t>
      </w:r>
      <w:r w:rsidR="00CC053D">
        <w:fldChar w:fldCharType="begin"/>
      </w:r>
      <w:r w:rsidR="00CC053D">
        <w:instrText xml:space="preserve"> REF _Ref427675191 \r \h </w:instrText>
      </w:r>
      <w:r w:rsidR="00CC053D">
        <w:fldChar w:fldCharType="separate"/>
      </w:r>
      <w:r w:rsidR="00371772">
        <w:t>55</w:t>
      </w:r>
      <w:r w:rsidR="00CC053D">
        <w:fldChar w:fldCharType="end"/>
      </w:r>
      <w:r w:rsidR="00CC053D">
        <w:t xml:space="preserve"> on page </w:t>
      </w:r>
      <w:r w:rsidR="00CC053D">
        <w:fldChar w:fldCharType="begin"/>
      </w:r>
      <w:r w:rsidR="00CC053D">
        <w:instrText xml:space="preserve"> PAGEREF _Ref427675191 \h </w:instrText>
      </w:r>
      <w:r w:rsidR="00CC053D">
        <w:fldChar w:fldCharType="separate"/>
      </w:r>
      <w:r w:rsidR="00371772">
        <w:rPr>
          <w:noProof/>
        </w:rPr>
        <w:t>17</w:t>
      </w:r>
      <w:r w:rsidR="00CC053D">
        <w:fldChar w:fldCharType="end"/>
      </w:r>
      <w:r w:rsidR="00CC053D">
        <w:t>)</w:t>
      </w:r>
      <w:r w:rsidR="00931CAC">
        <w:t xml:space="preserve">.  </w:t>
      </w:r>
      <w:r w:rsidR="000A3815">
        <w:t>F</w:t>
      </w:r>
      <w:r>
        <w:t xml:space="preserve">or </w:t>
      </w:r>
      <w:r w:rsidR="00931CAC">
        <w:t xml:space="preserve">compliance cost reasons, </w:t>
      </w:r>
      <w:r w:rsidR="000A3815">
        <w:t xml:space="preserve">an exception is proposed </w:t>
      </w:r>
      <w:r w:rsidR="00931CAC">
        <w:t xml:space="preserve">for </w:t>
      </w:r>
      <w:r>
        <w:t>taxpayers</w:t>
      </w:r>
      <w:r w:rsidR="00931CAC">
        <w:t xml:space="preserve"> required to prepare general purpose financial reports using International Financial Reporting Standards (IFRS) and also for single-aircraft operators. </w:t>
      </w:r>
      <w:r>
        <w:t xml:space="preserve"> </w:t>
      </w:r>
    </w:p>
    <w:p w:rsidR="006B5480" w:rsidRDefault="006B5480" w:rsidP="006B5480">
      <w:r>
        <w:lastRenderedPageBreak/>
        <w:t>The main impacts on the timing of deductions for engine overhauls under the spreading</w:t>
      </w:r>
      <w:r w:rsidRPr="00774D82">
        <w:t xml:space="preserve"> method </w:t>
      </w:r>
      <w:r>
        <w:t>are:</w:t>
      </w:r>
    </w:p>
    <w:p w:rsidR="006B5480" w:rsidRDefault="006B5480" w:rsidP="006B5480"/>
    <w:p w:rsidR="006B5480" w:rsidRDefault="006B5480" w:rsidP="006B5480">
      <w:pPr>
        <w:pStyle w:val="RISbulletlist"/>
      </w:pPr>
      <w:r>
        <w:t xml:space="preserve">A faster rate of deduction for the original cost of the overhaul component of an aircraft engine.  This cost is spread across the overhaul cycle following acquisition </w:t>
      </w:r>
      <w:r w:rsidR="00CC053D">
        <w:t>(</w:t>
      </w:r>
      <w:r>
        <w:t xml:space="preserve">instead </w:t>
      </w:r>
      <w:r w:rsidR="00CC053D">
        <w:t xml:space="preserve">of </w:t>
      </w:r>
      <w:r>
        <w:t>over the estimated useful life of the aircraft</w:t>
      </w:r>
      <w:r w:rsidRPr="00774D82">
        <w:t xml:space="preserve"> taxpayers</w:t>
      </w:r>
      <w:r>
        <w:t xml:space="preserve"> </w:t>
      </w:r>
      <w:r w:rsidR="00CC053D">
        <w:t>– a taxpayer favourable result</w:t>
      </w:r>
      <w:r>
        <w:t>); and</w:t>
      </w:r>
    </w:p>
    <w:p w:rsidR="006B5480" w:rsidRDefault="006B5480" w:rsidP="006B5480">
      <w:pPr>
        <w:pStyle w:val="RISbulletlist"/>
      </w:pPr>
      <w:r>
        <w:t>Aircraft overhaul expenses are spread across</w:t>
      </w:r>
      <w:r w:rsidR="00122072">
        <w:t xml:space="preserve"> the </w:t>
      </w:r>
      <w:r>
        <w:t>next overhaul cycle instead of being deducted under the “as incurred basis” or under the provisioning practice, in advance of the deduction being incurred (</w:t>
      </w:r>
      <w:r w:rsidR="00CC053D">
        <w:t>a taxpayer adverse result</w:t>
      </w:r>
      <w:r>
        <w:t>).</w:t>
      </w:r>
    </w:p>
    <w:p w:rsidR="006B5480" w:rsidRDefault="006B5480" w:rsidP="006B5480">
      <w:r>
        <w:t>We also recommend that:</w:t>
      </w:r>
    </w:p>
    <w:p w:rsidR="006B5480" w:rsidRDefault="006B5480" w:rsidP="006B5480"/>
    <w:p w:rsidR="006B5480" w:rsidRDefault="006313E1" w:rsidP="006B5480">
      <w:pPr>
        <w:pStyle w:val="RISbulletlist"/>
      </w:pPr>
      <w:r>
        <w:t>I</w:t>
      </w:r>
      <w:r w:rsidR="006B5480">
        <w:t>f</w:t>
      </w:r>
      <w:r>
        <w:t xml:space="preserve"> a</w:t>
      </w:r>
      <w:r w:rsidR="006B5480">
        <w:t xml:space="preserve"> non-engine overhaul is a significant cost relative to the value of the aircraft the spreading method should also apply, otherwise </w:t>
      </w:r>
      <w:r>
        <w:t>non-engine</w:t>
      </w:r>
      <w:r w:rsidR="006B5480">
        <w:t xml:space="preserve"> overhauls would be </w:t>
      </w:r>
      <w:r w:rsidR="00122072">
        <w:t xml:space="preserve">deductible </w:t>
      </w:r>
      <w:r w:rsidR="006B5480">
        <w:t>as repairs and maintenance</w:t>
      </w:r>
      <w:r w:rsidR="00CC053D">
        <w:t>.</w:t>
      </w:r>
      <w:r w:rsidR="006B5480">
        <w:t xml:space="preserve"> </w:t>
      </w:r>
    </w:p>
    <w:p w:rsidR="00CC053D" w:rsidRDefault="00CC053D" w:rsidP="006B5480">
      <w:pPr>
        <w:pStyle w:val="RISbulletlist"/>
      </w:pPr>
      <w:r>
        <w:t>Fo</w:t>
      </w:r>
      <w:r w:rsidR="006B5480">
        <w:t xml:space="preserve">r simplicity and compliance cost reasons, </w:t>
      </w:r>
      <w:r>
        <w:t>IFRS taxpayers be permitted to use for income tax purposes, the IFRS accounting method for on-balance aircraft and to agree with the Commissioner a methodology for making appropriate tax adjustments to the IFRS accounting treatment for off-balance sheet aircraft.</w:t>
      </w:r>
    </w:p>
    <w:p w:rsidR="006B5480" w:rsidRDefault="00CC053D" w:rsidP="006B5480">
      <w:pPr>
        <w:pStyle w:val="RISbulletlist"/>
      </w:pPr>
      <w:r>
        <w:t xml:space="preserve">For simplicity and compliance cost reasons, </w:t>
      </w:r>
      <w:r w:rsidR="006B5480">
        <w:t xml:space="preserve">single-aircraft operators </w:t>
      </w:r>
      <w:r>
        <w:t xml:space="preserve">be permitted </w:t>
      </w:r>
      <w:r w:rsidR="006B5480">
        <w:t>to elect to time deductions for aircraft overhaul expenses under the “as incurred basis”.</w:t>
      </w:r>
    </w:p>
    <w:p w:rsidR="00737B05" w:rsidRDefault="00737B05" w:rsidP="000A3815">
      <w:pPr>
        <w:pStyle w:val="RISmajorheading"/>
      </w:pPr>
    </w:p>
    <w:p w:rsidR="000545DC" w:rsidRDefault="001C6912" w:rsidP="000A3815">
      <w:pPr>
        <w:pStyle w:val="RISmajorheading"/>
      </w:pPr>
      <w:r w:rsidRPr="004342F0">
        <w:t>STATUS QUO AND PROBLEM DEFINITION</w:t>
      </w:r>
      <w:bookmarkEnd w:id="7"/>
      <w:bookmarkEnd w:id="8"/>
      <w:bookmarkEnd w:id="9"/>
      <w:bookmarkEnd w:id="10"/>
      <w:bookmarkEnd w:id="11"/>
    </w:p>
    <w:p w:rsidR="00E03740" w:rsidRPr="004342F0" w:rsidRDefault="00122072" w:rsidP="0070613B">
      <w:pPr>
        <w:pStyle w:val="RISheading2"/>
      </w:pPr>
      <w:r>
        <w:t>Background: current regulatory environment</w:t>
      </w:r>
    </w:p>
    <w:p w:rsidR="006801E4" w:rsidRDefault="00A9518E" w:rsidP="00201E93">
      <w:pPr>
        <w:pStyle w:val="RISnumberlist"/>
      </w:pPr>
      <w:r>
        <w:t xml:space="preserve">Under Civil Aviation Authority </w:t>
      </w:r>
      <w:r w:rsidR="00A82123">
        <w:t xml:space="preserve">(CAA) </w:t>
      </w:r>
      <w:r w:rsidR="0083473F">
        <w:t>rules</w:t>
      </w:r>
      <w:r>
        <w:t xml:space="preserve"> for managing safety risks, an aircraft is not permitted to be in service unless it has a current airworthiness certificate.  </w:t>
      </w:r>
      <w:r w:rsidR="006801E4">
        <w:t xml:space="preserve">It is illegal to operate an aircraft without </w:t>
      </w:r>
      <w:r w:rsidR="00FC631B">
        <w:t>it having a</w:t>
      </w:r>
      <w:r w:rsidR="006801E4">
        <w:t xml:space="preserve"> current certificate of airworthiness.  </w:t>
      </w:r>
    </w:p>
    <w:p w:rsidR="006801E4" w:rsidRDefault="006801E4" w:rsidP="00201E93">
      <w:pPr>
        <w:pStyle w:val="RISnumberlist"/>
        <w:numPr>
          <w:ilvl w:val="0"/>
          <w:numId w:val="0"/>
        </w:numPr>
        <w:ind w:left="360"/>
      </w:pPr>
    </w:p>
    <w:p w:rsidR="001F6E89" w:rsidRDefault="00A9518E" w:rsidP="00201E93">
      <w:pPr>
        <w:pStyle w:val="RISnumberlist"/>
      </w:pPr>
      <w:r>
        <w:t>To retain airworthiness status for an aircraft</w:t>
      </w:r>
      <w:r w:rsidR="001B6A4D">
        <w:t>,</w:t>
      </w:r>
      <w:r>
        <w:t xml:space="preserve"> a </w:t>
      </w:r>
      <w:r w:rsidR="001B6A4D">
        <w:t xml:space="preserve">commercial </w:t>
      </w:r>
      <w:r>
        <w:t xml:space="preserve">aircraft operator must undertake a </w:t>
      </w:r>
      <w:r w:rsidR="00A82123">
        <w:t>range</w:t>
      </w:r>
      <w:r>
        <w:t xml:space="preserve"> of</w:t>
      </w:r>
      <w:r w:rsidR="0083473F">
        <w:t xml:space="preserve"> scheduled</w:t>
      </w:r>
      <w:r>
        <w:t xml:space="preserve"> </w:t>
      </w:r>
      <w:r w:rsidR="001F6E89">
        <w:t xml:space="preserve">maintenance </w:t>
      </w:r>
      <w:r>
        <w:t xml:space="preserve">activities from time to time based </w:t>
      </w:r>
      <w:r w:rsidR="0083473F">
        <w:t xml:space="preserve">on time in </w:t>
      </w:r>
      <w:r w:rsidR="00322E97">
        <w:t>service</w:t>
      </w:r>
      <w:r w:rsidR="0083473F">
        <w:t xml:space="preserve">.  Scheduled maintenance activities are set out </w:t>
      </w:r>
      <w:r w:rsidR="00F26EAA">
        <w:t xml:space="preserve"> in</w:t>
      </w:r>
      <w:r w:rsidR="001F6E89">
        <w:t xml:space="preserve"> either</w:t>
      </w:r>
      <w:r>
        <w:t xml:space="preserve"> </w:t>
      </w:r>
      <w:r w:rsidR="006148F3">
        <w:t>:</w:t>
      </w:r>
    </w:p>
    <w:p w:rsidR="001F6E89" w:rsidRDefault="001F6E89" w:rsidP="00201E93">
      <w:pPr>
        <w:pStyle w:val="RISnumberlist"/>
        <w:numPr>
          <w:ilvl w:val="0"/>
          <w:numId w:val="0"/>
        </w:numPr>
        <w:ind w:left="360"/>
      </w:pPr>
    </w:p>
    <w:p w:rsidR="001F6E89" w:rsidRDefault="006148F3" w:rsidP="001F6E89">
      <w:pPr>
        <w:pStyle w:val="RISbulletlist"/>
      </w:pPr>
      <w:r>
        <w:t xml:space="preserve">the </w:t>
      </w:r>
      <w:r w:rsidR="001F6E89">
        <w:t>m</w:t>
      </w:r>
      <w:r w:rsidR="001F6E89" w:rsidRPr="001F6E89">
        <w:t>anuf</w:t>
      </w:r>
      <w:r w:rsidR="001F6E89">
        <w:t>acturer’s maintenance programme; or</w:t>
      </w:r>
    </w:p>
    <w:p w:rsidR="001F6E89" w:rsidRPr="001F6E89" w:rsidRDefault="00A82123" w:rsidP="001F6E89">
      <w:pPr>
        <w:pStyle w:val="RISbulletlist"/>
      </w:pPr>
      <w:r>
        <w:t xml:space="preserve">CAA </w:t>
      </w:r>
      <w:r w:rsidR="001F6E89">
        <w:t xml:space="preserve">approved variations from the manufacturer’s maintenance programme </w:t>
      </w:r>
      <w:r w:rsidR="001F6E89" w:rsidRPr="001F6E89">
        <w:t xml:space="preserve">for the aircraft, </w:t>
      </w:r>
      <w:r w:rsidR="00555872">
        <w:t xml:space="preserve">and its various sub-components, including </w:t>
      </w:r>
      <w:r w:rsidR="001F6E89" w:rsidRPr="001F6E89">
        <w:t>aircraft engines, propellers, rotors, appliances,</w:t>
      </w:r>
      <w:r w:rsidR="001F6E89">
        <w:t xml:space="preserve"> emergency equipment, and parts.</w:t>
      </w:r>
    </w:p>
    <w:p w:rsidR="001709A5" w:rsidRDefault="00555872" w:rsidP="00201E93">
      <w:pPr>
        <w:pStyle w:val="RISnumberlist"/>
      </w:pPr>
      <w:r>
        <w:t>The</w:t>
      </w:r>
      <w:r w:rsidR="00322E97">
        <w:t xml:space="preserve"> scheduled</w:t>
      </w:r>
      <w:r>
        <w:t xml:space="preserve"> maintenance programme consists of replacement of parts after stated periods of </w:t>
      </w:r>
      <w:r w:rsidR="0083473F">
        <w:t xml:space="preserve">time in service </w:t>
      </w:r>
      <w:r>
        <w:t>(airworthiness limitations), hard-time maintenance when the aircraft or aircraft component is withdrawn from services (overhauls), and on-aircraft inspection.   The overhaul of aircraft and aircraft sub-components are an essential part of the maintenance programme</w:t>
      </w:r>
      <w:r w:rsidR="0083473F">
        <w:t xml:space="preserve"> </w:t>
      </w:r>
      <w:r w:rsidR="00322E97">
        <w:t xml:space="preserve">but an overhaul may also be required on an unscheduled basis, </w:t>
      </w:r>
      <w:r w:rsidR="0083473F">
        <w:t>such as an aircraft engine overhaul that is required after a bird strike</w:t>
      </w:r>
      <w:r>
        <w:t xml:space="preserve">.  </w:t>
      </w:r>
    </w:p>
    <w:p w:rsidR="001709A5" w:rsidRDefault="001709A5" w:rsidP="00201E93">
      <w:pPr>
        <w:pStyle w:val="RISnumberlist"/>
        <w:numPr>
          <w:ilvl w:val="0"/>
          <w:numId w:val="0"/>
        </w:numPr>
        <w:ind w:left="360"/>
      </w:pPr>
    </w:p>
    <w:p w:rsidR="00555872" w:rsidRDefault="00846145" w:rsidP="00201E93">
      <w:pPr>
        <w:pStyle w:val="RISnumberlist"/>
      </w:pPr>
      <w:r>
        <w:t xml:space="preserve">An overhaul </w:t>
      </w:r>
      <w:r w:rsidR="001933A5">
        <w:t xml:space="preserve">of a sub-component </w:t>
      </w:r>
      <w:r>
        <w:t xml:space="preserve">is a </w:t>
      </w:r>
      <w:r w:rsidR="00A82123">
        <w:t>major work ca</w:t>
      </w:r>
      <w:r w:rsidR="001933A5">
        <w:t xml:space="preserve">rried out on </w:t>
      </w:r>
      <w:r>
        <w:t xml:space="preserve">specific </w:t>
      </w:r>
      <w:r w:rsidRPr="00846145">
        <w:t>instrument</w:t>
      </w:r>
      <w:r>
        <w:t>s</w:t>
      </w:r>
      <w:r w:rsidRPr="00846145">
        <w:t>, mechanism</w:t>
      </w:r>
      <w:r>
        <w:t>s</w:t>
      </w:r>
      <w:r w:rsidRPr="00846145">
        <w:t>, equipment, part, or accessory</w:t>
      </w:r>
      <w:r>
        <w:t xml:space="preserve"> (including airframe, aircraft engine, and propellers</w:t>
      </w:r>
      <w:r w:rsidR="001933A5">
        <w:t>)</w:t>
      </w:r>
      <w:r w:rsidR="00555872">
        <w:t>:</w:t>
      </w:r>
    </w:p>
    <w:p w:rsidR="00555872" w:rsidRDefault="00555872" w:rsidP="00201E93">
      <w:pPr>
        <w:pStyle w:val="RISnumberlist"/>
        <w:numPr>
          <w:ilvl w:val="0"/>
          <w:numId w:val="0"/>
        </w:numPr>
        <w:ind w:left="360"/>
      </w:pPr>
    </w:p>
    <w:p w:rsidR="00846145" w:rsidRDefault="00FC631B" w:rsidP="00846145">
      <w:pPr>
        <w:pStyle w:val="RISbulletlist"/>
      </w:pPr>
      <w:r>
        <w:t xml:space="preserve">that are </w:t>
      </w:r>
      <w:r w:rsidR="00846145">
        <w:t>used in operating or controlling an aircraft ; and</w:t>
      </w:r>
    </w:p>
    <w:p w:rsidR="00846145" w:rsidRDefault="00846145" w:rsidP="00846145">
      <w:pPr>
        <w:pStyle w:val="RISbulletlist"/>
      </w:pPr>
      <w:r>
        <w:t xml:space="preserve">which are identifiable by part number or serial number.  </w:t>
      </w:r>
    </w:p>
    <w:p w:rsidR="00555872" w:rsidRDefault="00555872" w:rsidP="00201E93">
      <w:pPr>
        <w:pStyle w:val="RISnumberlist"/>
      </w:pPr>
      <w:r w:rsidRPr="006801E4">
        <w:t>An overhaul is defined by the CAA as</w:t>
      </w:r>
      <w:r>
        <w:t xml:space="preserve"> a major maintenance work</w:t>
      </w:r>
      <w:r w:rsidRPr="006801E4">
        <w:t xml:space="preserve"> in relation to an aircraft or aircraft component, </w:t>
      </w:r>
      <w:r>
        <w:t>which involves</w:t>
      </w:r>
      <w:r w:rsidRPr="006801E4">
        <w:t xml:space="preserve"> the “… </w:t>
      </w:r>
      <w:r w:rsidRPr="006801E4">
        <w:rPr>
          <w:i/>
        </w:rPr>
        <w:t>dismantling and complete testing to specification and renewal of operational life</w:t>
      </w:r>
      <w:r w:rsidRPr="006801E4">
        <w:t>.”   This definition indicates that</w:t>
      </w:r>
      <w:r>
        <w:t>:</w:t>
      </w:r>
    </w:p>
    <w:p w:rsidR="00555872" w:rsidRDefault="00555872" w:rsidP="00201E93">
      <w:pPr>
        <w:pStyle w:val="RISnumberlist"/>
        <w:numPr>
          <w:ilvl w:val="0"/>
          <w:numId w:val="0"/>
        </w:numPr>
        <w:ind w:left="360"/>
      </w:pPr>
    </w:p>
    <w:p w:rsidR="00555872" w:rsidRDefault="00555872" w:rsidP="00555872">
      <w:pPr>
        <w:pStyle w:val="RISbulletlist"/>
      </w:pPr>
      <w:r w:rsidRPr="006801E4">
        <w:t xml:space="preserve">each </w:t>
      </w:r>
      <w:r>
        <w:t xml:space="preserve">major </w:t>
      </w:r>
      <w:r w:rsidRPr="006801E4">
        <w:t xml:space="preserve">aircraft sub-component could be regarded as a separately identifiable asset rather than as a sub-component of </w:t>
      </w:r>
      <w:r>
        <w:t>a</w:t>
      </w:r>
      <w:r w:rsidRPr="006801E4">
        <w:t xml:space="preserve"> </w:t>
      </w:r>
      <w:r>
        <w:t xml:space="preserve">single </w:t>
      </w:r>
      <w:r w:rsidRPr="006801E4">
        <w:t>wider asset, the aircraf</w:t>
      </w:r>
      <w:r>
        <w:t xml:space="preserve">t; and </w:t>
      </w:r>
    </w:p>
    <w:p w:rsidR="00555872" w:rsidRPr="006801E4" w:rsidRDefault="00555872" w:rsidP="00555872">
      <w:pPr>
        <w:pStyle w:val="RISbulletlist"/>
      </w:pPr>
      <w:r>
        <w:t>overhaul expenses relate to the period following the overhaul (overhaul cycle).</w:t>
      </w:r>
    </w:p>
    <w:p w:rsidR="00A82123" w:rsidRDefault="00846145" w:rsidP="00201E93">
      <w:pPr>
        <w:pStyle w:val="RISnumberlist"/>
      </w:pPr>
      <w:r>
        <w:t>An overhaul involving the airframe</w:t>
      </w:r>
      <w:r w:rsidR="001933A5">
        <w:t xml:space="preserve"> and </w:t>
      </w:r>
      <w:r>
        <w:t xml:space="preserve">aircraft engines </w:t>
      </w:r>
      <w:r w:rsidR="00F26EAA">
        <w:t xml:space="preserve">will normally result in </w:t>
      </w:r>
      <w:r w:rsidR="00A82123">
        <w:t>either:</w:t>
      </w:r>
    </w:p>
    <w:p w:rsidR="00A82123" w:rsidRDefault="00A82123" w:rsidP="00201E93">
      <w:pPr>
        <w:pStyle w:val="RISnumberlist"/>
        <w:numPr>
          <w:ilvl w:val="0"/>
          <w:numId w:val="0"/>
        </w:numPr>
        <w:ind w:left="360"/>
      </w:pPr>
    </w:p>
    <w:p w:rsidR="00A82123" w:rsidRDefault="00FC631B" w:rsidP="00201E93">
      <w:pPr>
        <w:pStyle w:val="RISnumberlist"/>
        <w:numPr>
          <w:ilvl w:val="0"/>
          <w:numId w:val="24"/>
        </w:numPr>
      </w:pPr>
      <w:r>
        <w:t>the aircraft being removed</w:t>
      </w:r>
      <w:r w:rsidR="00A82123">
        <w:t xml:space="preserve"> from service while the overhaul is performed </w:t>
      </w:r>
      <w:r>
        <w:t xml:space="preserve">in the engineering workshop </w:t>
      </w:r>
      <w:r w:rsidR="00A82123">
        <w:t>(workshop visit); or</w:t>
      </w:r>
    </w:p>
    <w:p w:rsidR="00A82123" w:rsidRDefault="00A82123" w:rsidP="00201E93">
      <w:pPr>
        <w:pStyle w:val="RISnumberlist"/>
        <w:numPr>
          <w:ilvl w:val="0"/>
          <w:numId w:val="0"/>
        </w:numPr>
        <w:ind w:left="360"/>
      </w:pPr>
    </w:p>
    <w:p w:rsidR="00846145" w:rsidRDefault="00846145" w:rsidP="00201E93">
      <w:pPr>
        <w:pStyle w:val="RISnumberlist"/>
        <w:numPr>
          <w:ilvl w:val="0"/>
          <w:numId w:val="24"/>
        </w:numPr>
      </w:pPr>
      <w:r>
        <w:t xml:space="preserve">larger aircraft operators may replace </w:t>
      </w:r>
      <w:r w:rsidR="00A82123">
        <w:t>a specific</w:t>
      </w:r>
      <w:r w:rsidR="00F26EAA">
        <w:t xml:space="preserve"> major sub-</w:t>
      </w:r>
      <w:r w:rsidR="00A82123">
        <w:t xml:space="preserve">component of the aircraft (aircraft component) so the aircraft can be returned to service </w:t>
      </w:r>
      <w:r>
        <w:t>at an earlier stage.  For example some larger operators carr</w:t>
      </w:r>
      <w:r w:rsidR="00FC631B">
        <w:t>y spare engines for this purpose</w:t>
      </w:r>
      <w:r>
        <w:t>.</w:t>
      </w:r>
    </w:p>
    <w:p w:rsidR="001709A5" w:rsidRDefault="001709A5">
      <w:pPr>
        <w:rPr>
          <w:szCs w:val="24"/>
          <w:lang w:val="en-AU" w:eastAsia="en-US"/>
        </w:rPr>
      </w:pPr>
    </w:p>
    <w:p w:rsidR="004D7E3D" w:rsidRDefault="0062784E" w:rsidP="00201E93">
      <w:pPr>
        <w:pStyle w:val="RISnumberlist"/>
      </w:pPr>
      <w:r>
        <w:t>Out-of-cycle maintenance occurs when a part requires repair or replacement at earlier times than scheduled, and is generally treated as ordinary repairs and maintenance.  Out-of-cycle maintenance may also involve an overhaul,</w:t>
      </w:r>
      <w:r w:rsidRPr="0062784E">
        <w:t xml:space="preserve"> </w:t>
      </w:r>
      <w:r>
        <w:t xml:space="preserve">such as an overhaul of an engine after a bird strike.  </w:t>
      </w:r>
    </w:p>
    <w:p w:rsidR="00846145" w:rsidRDefault="00EE2E95" w:rsidP="00201E93">
      <w:pPr>
        <w:pStyle w:val="RISmajorheading"/>
      </w:pPr>
      <w:r>
        <w:t>Status q</w:t>
      </w:r>
      <w:r w:rsidR="00122072">
        <w:t>uo</w:t>
      </w:r>
      <w:r w:rsidR="001709A5">
        <w:t xml:space="preserve">: </w:t>
      </w:r>
      <w:r>
        <w:t>timing rules</w:t>
      </w:r>
    </w:p>
    <w:p w:rsidR="00555872" w:rsidRDefault="00F26EAA" w:rsidP="00201E93">
      <w:pPr>
        <w:pStyle w:val="RISnumberlist"/>
      </w:pPr>
      <w:r>
        <w:t xml:space="preserve">Under current tax </w:t>
      </w:r>
      <w:r w:rsidR="006148F3">
        <w:t>law</w:t>
      </w:r>
      <w:r>
        <w:t>, aircraft overhaul expenses are normally</w:t>
      </w:r>
      <w:r w:rsidR="006801E4">
        <w:t xml:space="preserve"> treated as</w:t>
      </w:r>
      <w:r>
        <w:t xml:space="preserve"> an allowable deduction, unless there is some major modification carried</w:t>
      </w:r>
      <w:r w:rsidR="006148F3">
        <w:t xml:space="preserve"> out</w:t>
      </w:r>
      <w:r>
        <w:t xml:space="preserve"> that improves the performan</w:t>
      </w:r>
      <w:r w:rsidR="00510B9A">
        <w:t>ce of the aircraft component</w:t>
      </w:r>
      <w:r w:rsidR="00491251">
        <w:t>.  A major modification of this nature would usually be a capital expense and depreciated.</w:t>
      </w:r>
      <w:r w:rsidR="00510B9A">
        <w:t xml:space="preserve">   </w:t>
      </w:r>
    </w:p>
    <w:p w:rsidR="0062784E" w:rsidRDefault="0062784E" w:rsidP="00201E93">
      <w:pPr>
        <w:pStyle w:val="RISnumberlist"/>
        <w:numPr>
          <w:ilvl w:val="0"/>
          <w:numId w:val="0"/>
        </w:numPr>
        <w:ind w:left="360"/>
      </w:pPr>
    </w:p>
    <w:p w:rsidR="00122072" w:rsidRDefault="00122072" w:rsidP="00201E93">
      <w:pPr>
        <w:pStyle w:val="RISnumberlist"/>
      </w:pPr>
      <w:r>
        <w:t>An overhaul of some subcomponents, in particular the engine, is normally a material cost for any aircraft operator.  Consequently, the timing of deductions for overhaul expenses impacts on the amount and timing of payments of income tax.</w:t>
      </w:r>
    </w:p>
    <w:p w:rsidR="006148F3" w:rsidRDefault="006148F3" w:rsidP="00201E93">
      <w:pPr>
        <w:pStyle w:val="RISnumberlist"/>
        <w:numPr>
          <w:ilvl w:val="0"/>
          <w:numId w:val="0"/>
        </w:numPr>
        <w:ind w:left="360"/>
      </w:pPr>
    </w:p>
    <w:p w:rsidR="00122072" w:rsidRDefault="00122072">
      <w:pPr>
        <w:pStyle w:val="RISnumberlist"/>
      </w:pPr>
      <w:r>
        <w:t>Current</w:t>
      </w:r>
      <w:r w:rsidR="006148F3">
        <w:t>ly, the main</w:t>
      </w:r>
      <w:r>
        <w:t xml:space="preserve"> timing practices </w:t>
      </w:r>
      <w:r w:rsidR="0062784E">
        <w:t xml:space="preserve">used in the aviation sector to </w:t>
      </w:r>
      <w:r w:rsidR="006148F3">
        <w:t>allocate deductions for aircraft overhaul expenses</w:t>
      </w:r>
      <w:r>
        <w:t xml:space="preserve"> either</w:t>
      </w:r>
      <w:r w:rsidR="0062784E">
        <w:t xml:space="preserve"> time deductions</w:t>
      </w:r>
      <w:r>
        <w:t>:</w:t>
      </w:r>
    </w:p>
    <w:p w:rsidR="00122072" w:rsidRDefault="00122072" w:rsidP="00201E93">
      <w:pPr>
        <w:pStyle w:val="RISnumberlist"/>
        <w:numPr>
          <w:ilvl w:val="0"/>
          <w:numId w:val="0"/>
        </w:numPr>
        <w:ind w:left="360"/>
      </w:pPr>
    </w:p>
    <w:p w:rsidR="00122072" w:rsidRPr="00CB66F3" w:rsidRDefault="00122072" w:rsidP="00122072">
      <w:pPr>
        <w:pStyle w:val="RISbulletlist"/>
      </w:pPr>
      <w:r>
        <w:t>on the basi</w:t>
      </w:r>
      <w:r w:rsidRPr="00CB66F3">
        <w:t>s of future estimated overhaul expenses relating to each relevant sub-component</w:t>
      </w:r>
      <w:r w:rsidR="006148F3">
        <w:t>.  This practice is referred to as the “</w:t>
      </w:r>
      <w:r w:rsidR="006148F3" w:rsidRPr="00CB66F3">
        <w:t>provisioning accounting practice</w:t>
      </w:r>
      <w:r w:rsidR="006148F3">
        <w:t>” and</w:t>
      </w:r>
      <w:r w:rsidRPr="00CB66F3">
        <w:t xml:space="preserve"> is based on a now-withdrawn technical ruling </w:t>
      </w:r>
      <w:r w:rsidR="006148F3">
        <w:t>of the Commissioner</w:t>
      </w:r>
      <w:r w:rsidR="004F3A01">
        <w:t xml:space="preserve"> of Inland Revenue</w:t>
      </w:r>
      <w:r w:rsidR="006148F3">
        <w:t xml:space="preserve">.  </w:t>
      </w:r>
      <w:r w:rsidRPr="00CB66F3">
        <w:t>Under this technical ruling, aircraft operators claimed overhaul deductions for future estimated expenses for each component rather than for historic cost of the last overhau</w:t>
      </w:r>
      <w:r w:rsidR="006148F3">
        <w:t xml:space="preserve">l. </w:t>
      </w:r>
      <w:r w:rsidR="006148F3" w:rsidRPr="006148F3">
        <w:t xml:space="preserve"> </w:t>
      </w:r>
      <w:r w:rsidR="006148F3">
        <w:t>The provisioning accounting practice had</w:t>
      </w:r>
      <w:r w:rsidR="006148F3" w:rsidRPr="00CB66F3">
        <w:t xml:space="preserve"> been followed by approximately 60% of aircraft operators</w:t>
      </w:r>
      <w:r w:rsidRPr="00CB66F3">
        <w:t>; or</w:t>
      </w:r>
    </w:p>
    <w:p w:rsidR="00122072" w:rsidRDefault="00122072" w:rsidP="00122072">
      <w:pPr>
        <w:pStyle w:val="RISbulletlist"/>
      </w:pPr>
      <w:r w:rsidRPr="00CB66F3">
        <w:t xml:space="preserve">to the year </w:t>
      </w:r>
      <w:r>
        <w:t>in which the overhaul expense is incurred</w:t>
      </w:r>
      <w:r w:rsidR="006148F3">
        <w:t>.  This is referred to as the “</w:t>
      </w:r>
      <w:r>
        <w:t>as incurred</w:t>
      </w:r>
      <w:r w:rsidR="006148F3">
        <w:t>”</w:t>
      </w:r>
      <w:r>
        <w:t xml:space="preserve"> basis.  This practice is adopted by approximately 40% of aircraft operators and treats overhaul expenses as repairs and maintenance of a single operational asset.</w:t>
      </w:r>
    </w:p>
    <w:p w:rsidR="00122072" w:rsidRDefault="00122072" w:rsidP="00201E93">
      <w:pPr>
        <w:pStyle w:val="RISmajorheading"/>
      </w:pPr>
      <w:r>
        <w:t>The problem</w:t>
      </w:r>
    </w:p>
    <w:p w:rsidR="0062784E" w:rsidRDefault="0062784E" w:rsidP="00201E93">
      <w:pPr>
        <w:pStyle w:val="RISnumberlist"/>
      </w:pPr>
      <w:r>
        <w:t>In general the tax system seeks to impose tax on the best app</w:t>
      </w:r>
      <w:r w:rsidR="00EE2E95">
        <w:t>roximation of economic income.  However, t</w:t>
      </w:r>
      <w:r>
        <w:t xml:space="preserve">he two main timing practices used by aircraft operators are not consistent with this objective (provisioning accounting practice and the “as incurred” basis).  </w:t>
      </w:r>
    </w:p>
    <w:p w:rsidR="0062784E" w:rsidRDefault="0062784E" w:rsidP="00201E93">
      <w:pPr>
        <w:pStyle w:val="RISnumberlist"/>
        <w:numPr>
          <w:ilvl w:val="0"/>
          <w:numId w:val="0"/>
        </w:numPr>
        <w:ind w:left="360"/>
      </w:pPr>
    </w:p>
    <w:p w:rsidR="0057596D" w:rsidRDefault="00EE2E95" w:rsidP="00201E93">
      <w:pPr>
        <w:pStyle w:val="RISnumberlist"/>
      </w:pPr>
      <w:r>
        <w:t xml:space="preserve">Because an overhaul of an aircraft component is essential for </w:t>
      </w:r>
      <w:r w:rsidR="0057596D">
        <w:t xml:space="preserve">allowing </w:t>
      </w:r>
      <w:r>
        <w:t>an</w:t>
      </w:r>
      <w:r w:rsidR="0057596D">
        <w:t xml:space="preserve"> aircraft to continue in service after the overhaul, economically, the costs of the overhaul relate to the period following the overhaul (overhaul cycle).  The spreading forward of those deductions to match the income generated from the use of the aircraft would then give the best approximation of economic income. </w:t>
      </w:r>
    </w:p>
    <w:p w:rsidR="0057596D" w:rsidRDefault="0057596D" w:rsidP="00201E93">
      <w:pPr>
        <w:pStyle w:val="RISnumberlist"/>
        <w:numPr>
          <w:ilvl w:val="0"/>
          <w:numId w:val="0"/>
        </w:numPr>
        <w:ind w:left="360"/>
      </w:pPr>
    </w:p>
    <w:p w:rsidR="0062784E" w:rsidRDefault="0057596D" w:rsidP="00201E93">
      <w:pPr>
        <w:pStyle w:val="RISnumberlist"/>
      </w:pPr>
      <w:r>
        <w:t>The key problems for the</w:t>
      </w:r>
      <w:r w:rsidR="001709A5">
        <w:t>se</w:t>
      </w:r>
      <w:r>
        <w:t xml:space="preserve"> two main timing practices are as follows:</w:t>
      </w:r>
    </w:p>
    <w:p w:rsidR="0062784E" w:rsidRDefault="0062784E" w:rsidP="00201E93">
      <w:pPr>
        <w:pStyle w:val="RISnumberlist"/>
        <w:numPr>
          <w:ilvl w:val="0"/>
          <w:numId w:val="0"/>
        </w:numPr>
        <w:ind w:left="360"/>
      </w:pPr>
    </w:p>
    <w:p w:rsidR="0062784E" w:rsidRDefault="0062784E" w:rsidP="0062784E">
      <w:pPr>
        <w:pStyle w:val="RISbulletlist"/>
      </w:pPr>
      <w:r>
        <w:t>The provisioning accounting practice does not spread an incurred expense.  Instead it values aircraft overhaul expenses on the basis of estimated future overhaul costs that have not been incurred.  This results in deductions being timed in advance of the expense being incurred and so does not match the cost of an aircraft overhaul with the income generated from using the overhauled aircraft component.</w:t>
      </w:r>
    </w:p>
    <w:p w:rsidR="0062784E" w:rsidRDefault="0062784E" w:rsidP="0062784E">
      <w:pPr>
        <w:pStyle w:val="RISbulletlist"/>
      </w:pPr>
      <w:r>
        <w:t xml:space="preserve">The as incurred basis does not appropriately match the cost of an aircraft overhaul with the income generated from using the overhauled aircraft component. </w:t>
      </w:r>
    </w:p>
    <w:p w:rsidR="0057596D" w:rsidRDefault="0057596D">
      <w:pPr>
        <w:rPr>
          <w:szCs w:val="24"/>
          <w:lang w:val="en-AU" w:eastAsia="en-US"/>
        </w:rPr>
      </w:pPr>
    </w:p>
    <w:p w:rsidR="00F675C9" w:rsidRDefault="0057596D" w:rsidP="00201E93">
      <w:pPr>
        <w:pStyle w:val="RISnumberlist"/>
      </w:pPr>
      <w:r>
        <w:t>In addition, t</w:t>
      </w:r>
      <w:r w:rsidR="00F675C9">
        <w:t>he technical ruling allowing the provisioning accounting practice to be used for income tax purposes has been withdrawn because Inland Revenue now considers the technical ruling is inconsistent with:</w:t>
      </w:r>
    </w:p>
    <w:p w:rsidR="00F675C9" w:rsidRDefault="00F675C9" w:rsidP="00201E93">
      <w:pPr>
        <w:pStyle w:val="RISnumberlist"/>
        <w:numPr>
          <w:ilvl w:val="0"/>
          <w:numId w:val="0"/>
        </w:numPr>
        <w:ind w:left="360"/>
      </w:pPr>
    </w:p>
    <w:p w:rsidR="00F675C9" w:rsidRDefault="00F675C9" w:rsidP="00201E93">
      <w:pPr>
        <w:pStyle w:val="RISbulletlist"/>
      </w:pPr>
      <w:r>
        <w:t>the legal tests for deductibility of expenses.</w:t>
      </w:r>
    </w:p>
    <w:p w:rsidR="00F675C9" w:rsidRDefault="00F675C9">
      <w:pPr>
        <w:pStyle w:val="RISbulletlist"/>
      </w:pPr>
      <w:r>
        <w:t>the general policy setting that deductions should not be allowed for provisions for future expenses.</w:t>
      </w:r>
    </w:p>
    <w:p w:rsidR="00F675C9" w:rsidRDefault="00F675C9" w:rsidP="00201E93">
      <w:pPr>
        <w:pStyle w:val="RISnumberlist"/>
      </w:pPr>
      <w:r>
        <w:t>Following the withdrawal of the technical ruling, Inland Revenue’s current view of the law is that the as incurred basis would be the only timing method available for allocating deductions for aircraft overhaul expenses.</w:t>
      </w:r>
    </w:p>
    <w:p w:rsidR="00F675C9" w:rsidRDefault="00F675C9" w:rsidP="00201E93">
      <w:pPr>
        <w:pStyle w:val="RISnumberlist"/>
        <w:numPr>
          <w:ilvl w:val="0"/>
          <w:numId w:val="0"/>
        </w:numPr>
        <w:ind w:left="360"/>
      </w:pPr>
    </w:p>
    <w:p w:rsidR="0057596D" w:rsidRDefault="0057596D" w:rsidP="00201E93">
      <w:pPr>
        <w:pStyle w:val="RISnumberlist"/>
      </w:pPr>
      <w:r>
        <w:t xml:space="preserve">Each of these two timing practices gives rise to tax compliance </w:t>
      </w:r>
      <w:r w:rsidR="004F3A01">
        <w:t xml:space="preserve">costs for taxpayers </w:t>
      </w:r>
      <w:r>
        <w:t>and administration costs</w:t>
      </w:r>
      <w:r w:rsidR="004F3A01">
        <w:t xml:space="preserve"> for Inland Revenue</w:t>
      </w:r>
      <w:r>
        <w:t>, and distortions as follows</w:t>
      </w:r>
      <w:r w:rsidR="004F3A01">
        <w:t>:</w:t>
      </w:r>
    </w:p>
    <w:p w:rsidR="0057596D" w:rsidRDefault="0057596D" w:rsidP="00201E93">
      <w:pPr>
        <w:pStyle w:val="RISnumberlist"/>
        <w:numPr>
          <w:ilvl w:val="0"/>
          <w:numId w:val="0"/>
        </w:numPr>
        <w:ind w:left="360"/>
      </w:pPr>
    </w:p>
    <w:p w:rsidR="00122072" w:rsidRDefault="00122072">
      <w:pPr>
        <w:pStyle w:val="RISbulletlist"/>
      </w:pPr>
      <w:r>
        <w:t>Under the as incurred basis for timing deductions, aircraft overhaul expenses gives rise to peaks and troughs in taxable income that are more closely aligned to net cash flows of the business than with the economic income of the business.  This results in income tax being underpaid in some years (usually the year of overhaul), and overpaid in other years (the years between the overhauls).</w:t>
      </w:r>
    </w:p>
    <w:p w:rsidR="00122072" w:rsidRDefault="00122072">
      <w:pPr>
        <w:pStyle w:val="RISbulletlist"/>
      </w:pPr>
      <w:r>
        <w:t>Under the provisioning accounting practice income tax is underpaid in most years because overhaul expenses are based on estimates of future expenses.  This underpayment of tax occurs because the estimate of future expenses is revised annually by reference to current costs, which typically increase over the period between overhauls.  This type of accounting results in a form of inflation-proofing in valuing overhaul expenses.  The income tax system does not generally recognise the effect of inflation as a deductible expense.</w:t>
      </w:r>
    </w:p>
    <w:p w:rsidR="00122072" w:rsidRDefault="00122072" w:rsidP="00122072">
      <w:pPr>
        <w:pStyle w:val="RISbulletlist"/>
      </w:pPr>
      <w:r>
        <w:t>For small and medium sized enterprises (SMEs) using the as incurred basis, compliance costs include recording and tracking tax losses</w:t>
      </w:r>
      <w:r w:rsidR="0057596D">
        <w:t xml:space="preserve">. </w:t>
      </w:r>
    </w:p>
    <w:p w:rsidR="00122072" w:rsidRDefault="00122072" w:rsidP="00122072">
      <w:pPr>
        <w:pStyle w:val="RISbulletlist"/>
      </w:pPr>
      <w:r>
        <w:t>For IFRS taxpayers using the as incurred basis, compliance costs include making ongoing adjustments between the timing treatment under IFRS and the as incurred basis.</w:t>
      </w:r>
    </w:p>
    <w:p w:rsidR="00122072" w:rsidRDefault="00122072" w:rsidP="00122072">
      <w:pPr>
        <w:pStyle w:val="RISbulletlist"/>
      </w:pPr>
      <w:r>
        <w:t xml:space="preserve">For companies using the provisioning accounting practice, the accruing provision must be recorded, updated each year, and ultimately adjusted against actual aircraft overhaul expenses incurred. </w:t>
      </w:r>
    </w:p>
    <w:p w:rsidR="00122072" w:rsidRDefault="00122072" w:rsidP="00122072">
      <w:pPr>
        <w:pStyle w:val="RISbulletlist"/>
      </w:pPr>
      <w:r>
        <w:t>As there is no common approach to timing deductions for aircraft overhaul expenses, all other things being equal, this can lead to aircraft operators not being treated equally in the same circumstances.  This is a horizontal equity concern.</w:t>
      </w:r>
    </w:p>
    <w:p w:rsidR="00122072" w:rsidRDefault="00122072" w:rsidP="00122072">
      <w:pPr>
        <w:pStyle w:val="RISbulletlist"/>
      </w:pPr>
      <w:r>
        <w:t>The difference in timing rules also makes it more difficult for Inland Revenue to develop consistent and uniform risk assessment tools for the aviation sector.  That may lead to a higher than necessary level of audit review in the sector.</w:t>
      </w:r>
    </w:p>
    <w:p w:rsidR="00122072" w:rsidRDefault="00122072" w:rsidP="00122072">
      <w:pPr>
        <w:pStyle w:val="RISbulletlist"/>
      </w:pPr>
      <w:r>
        <w:t>When contrasted against other existing timing rules for deductions relating to the cost of assets, the provisioning accounting practice provides an advantage to the aviation sector that is not permitted in other sectors of the economy.</w:t>
      </w:r>
    </w:p>
    <w:p w:rsidR="0057596D" w:rsidRDefault="0057596D" w:rsidP="00201E93">
      <w:pPr>
        <w:pStyle w:val="RISnumberlist"/>
        <w:numPr>
          <w:ilvl w:val="0"/>
          <w:numId w:val="0"/>
        </w:numPr>
        <w:ind w:left="360"/>
      </w:pPr>
    </w:p>
    <w:p w:rsidR="001F398A" w:rsidRDefault="00367A31" w:rsidP="00201E93">
      <w:pPr>
        <w:pStyle w:val="RISnumberlist"/>
      </w:pPr>
      <w:r>
        <w:t>These inconsistencies</w:t>
      </w:r>
      <w:r w:rsidR="001933A5">
        <w:t xml:space="preserve"> can give rise to </w:t>
      </w:r>
      <w:r w:rsidR="00491251">
        <w:t>both</w:t>
      </w:r>
      <w:r w:rsidR="0085039F">
        <w:t xml:space="preserve"> </w:t>
      </w:r>
      <w:r w:rsidR="00510B9A">
        <w:t>economic distortions</w:t>
      </w:r>
      <w:r w:rsidR="00491251">
        <w:t xml:space="preserve"> and</w:t>
      </w:r>
      <w:r w:rsidR="0085039F">
        <w:t xml:space="preserve"> </w:t>
      </w:r>
      <w:r w:rsidR="00491251">
        <w:t xml:space="preserve">fiscal </w:t>
      </w:r>
      <w:r w:rsidR="00174E82">
        <w:t>impacts</w:t>
      </w:r>
      <w:r w:rsidR="00491251">
        <w:t>.</w:t>
      </w:r>
      <w:r w:rsidR="00EE2E95">
        <w:t xml:space="preserve">  </w:t>
      </w:r>
      <w:r w:rsidR="00491251">
        <w:t xml:space="preserve">An example of </w:t>
      </w:r>
      <w:r w:rsidR="001F398A">
        <w:t xml:space="preserve">an </w:t>
      </w:r>
      <w:r w:rsidR="00491251">
        <w:t xml:space="preserve">economic distortion </w:t>
      </w:r>
      <w:r w:rsidR="001F398A">
        <w:t>that could</w:t>
      </w:r>
      <w:r w:rsidR="008818A7">
        <w:t xml:space="preserve"> arise </w:t>
      </w:r>
      <w:r w:rsidR="001F398A">
        <w:t>for small and medium size enterprise</w:t>
      </w:r>
      <w:r w:rsidR="0057596D">
        <w:t>s</w:t>
      </w:r>
      <w:r w:rsidR="001F398A">
        <w:t xml:space="preserve"> occurs when </w:t>
      </w:r>
      <w:r w:rsidR="00B27941">
        <w:t xml:space="preserve">special purpose </w:t>
      </w:r>
      <w:r w:rsidR="008818A7">
        <w:t xml:space="preserve">financial reports </w:t>
      </w:r>
      <w:r w:rsidR="001F398A">
        <w:t xml:space="preserve">are prepared </w:t>
      </w:r>
      <w:r w:rsidR="00B27941">
        <w:t xml:space="preserve">for income tax purposes rather than being </w:t>
      </w:r>
      <w:r w:rsidR="008818A7">
        <w:t xml:space="preserve">general purpose financial reports.  </w:t>
      </w:r>
      <w:r w:rsidR="00B27941">
        <w:t>The</w:t>
      </w:r>
      <w:r w:rsidR="0057596D">
        <w:t xml:space="preserve"> inappropriate timing </w:t>
      </w:r>
      <w:r w:rsidR="00EE2E95">
        <w:t xml:space="preserve">treatment </w:t>
      </w:r>
      <w:r w:rsidR="0057596D">
        <w:t xml:space="preserve">of overhaul expenses </w:t>
      </w:r>
      <w:r w:rsidR="00B27941">
        <w:t xml:space="preserve">contained in such a special purpose report </w:t>
      </w:r>
      <w:r w:rsidR="00EE2E95">
        <w:t xml:space="preserve">that is also used to make financing and investment </w:t>
      </w:r>
      <w:r w:rsidR="00B27941">
        <w:t>decisions</w:t>
      </w:r>
      <w:r w:rsidR="0057596D">
        <w:t xml:space="preserve"> </w:t>
      </w:r>
      <w:r w:rsidR="00EE2E95">
        <w:t>may result in those decisions being</w:t>
      </w:r>
      <w:r w:rsidR="0057596D">
        <w:t xml:space="preserve"> </w:t>
      </w:r>
      <w:r w:rsidR="00EE2E95">
        <w:t>based</w:t>
      </w:r>
      <w:r w:rsidR="0057596D">
        <w:t xml:space="preserve"> on inappropriate information</w:t>
      </w:r>
      <w:r w:rsidR="00B27941">
        <w:t>.</w:t>
      </w:r>
      <w:r w:rsidR="008818A7">
        <w:t xml:space="preserve"> </w:t>
      </w:r>
    </w:p>
    <w:p w:rsidR="008818A7" w:rsidRDefault="008818A7" w:rsidP="00201E93">
      <w:pPr>
        <w:pStyle w:val="RISnumberlist"/>
        <w:numPr>
          <w:ilvl w:val="0"/>
          <w:numId w:val="0"/>
        </w:numPr>
        <w:ind w:left="360"/>
      </w:pPr>
    </w:p>
    <w:p w:rsidR="008818A7" w:rsidRDefault="001F398A" w:rsidP="00201E93">
      <w:pPr>
        <w:pStyle w:val="RISnumberlist"/>
      </w:pPr>
      <w:r>
        <w:t>A</w:t>
      </w:r>
      <w:r w:rsidR="003B7F00">
        <w:t xml:space="preserve"> fiscal impact </w:t>
      </w:r>
      <w:r w:rsidR="0085039F">
        <w:t xml:space="preserve">arising </w:t>
      </w:r>
      <w:r>
        <w:t>from</w:t>
      </w:r>
      <w:r w:rsidR="003B7F00">
        <w:t xml:space="preserve"> both timing practices is that </w:t>
      </w:r>
      <w:r w:rsidR="0057596D">
        <w:t>income tax</w:t>
      </w:r>
      <w:r w:rsidR="003B7F00">
        <w:t xml:space="preserve"> is underpaid in some years and overpaid in other years within </w:t>
      </w:r>
      <w:r>
        <w:t>each</w:t>
      </w:r>
      <w:r w:rsidR="003B7F00">
        <w:t xml:space="preserve"> overhaul cycle</w:t>
      </w:r>
      <w:r w:rsidR="0085039F">
        <w:t xml:space="preserve">.  </w:t>
      </w:r>
      <w:r w:rsidR="003B7F00">
        <w:t>In addition</w:t>
      </w:r>
      <w:r w:rsidR="008818A7">
        <w:t xml:space="preserve">, taxpayers are more likely to be exposed to penalties in which </w:t>
      </w:r>
      <w:r w:rsidR="00D125F4">
        <w:t>overpayment</w:t>
      </w:r>
      <w:r w:rsidR="008818A7">
        <w:t xml:space="preserve"> of tax occurs</w:t>
      </w:r>
      <w:r w:rsidR="00D125F4">
        <w:t xml:space="preserve"> because there is an increased risk of underestimating the amount of provisional tax payable</w:t>
      </w:r>
      <w:r w:rsidR="008818A7">
        <w:t>.</w:t>
      </w:r>
    </w:p>
    <w:p w:rsidR="00174E82" w:rsidRDefault="00174E82" w:rsidP="00201E93">
      <w:pPr>
        <w:pStyle w:val="RISnumberlist"/>
        <w:numPr>
          <w:ilvl w:val="0"/>
          <w:numId w:val="0"/>
        </w:numPr>
        <w:ind w:left="360"/>
      </w:pPr>
    </w:p>
    <w:p w:rsidR="003B7F00" w:rsidRDefault="00174E82" w:rsidP="00201E93">
      <w:pPr>
        <w:pStyle w:val="RISnumberlist"/>
      </w:pPr>
      <w:r>
        <w:t xml:space="preserve">The </w:t>
      </w:r>
      <w:r w:rsidR="006801E4">
        <w:t xml:space="preserve">timing </w:t>
      </w:r>
      <w:r w:rsidR="003B7F00">
        <w:t>problem is significant for the aviation sector because aircraft overhaul expenses, particularly for engines, is a major cost for any aircraft operator irrespective of the size of the business.</w:t>
      </w:r>
    </w:p>
    <w:p w:rsidR="00583616" w:rsidRPr="00583616" w:rsidRDefault="00583616" w:rsidP="0070613B">
      <w:pPr>
        <w:pStyle w:val="RISmajorheading"/>
      </w:pPr>
      <w:r>
        <w:t>OBJECTIVES</w:t>
      </w:r>
      <w:r w:rsidR="001709A5">
        <w:t xml:space="preserve"> OF THE REVIEW</w:t>
      </w:r>
    </w:p>
    <w:p w:rsidR="0019152F" w:rsidRDefault="004F3A01">
      <w:pPr>
        <w:pStyle w:val="RISnumberlist"/>
      </w:pPr>
      <w:r>
        <w:t>The review is aimed at considering</w:t>
      </w:r>
      <w:r w:rsidR="0057596D">
        <w:t>:</w:t>
      </w:r>
    </w:p>
    <w:p w:rsidR="0019152F" w:rsidRDefault="0019152F" w:rsidP="00201E93">
      <w:pPr>
        <w:pStyle w:val="RISnumberlist"/>
        <w:numPr>
          <w:ilvl w:val="0"/>
          <w:numId w:val="0"/>
        </w:numPr>
        <w:ind w:left="360"/>
      </w:pPr>
    </w:p>
    <w:p w:rsidR="0019152F" w:rsidRPr="004F3A01" w:rsidRDefault="0019152F" w:rsidP="004F3A01">
      <w:pPr>
        <w:pStyle w:val="RISbulletlist"/>
      </w:pPr>
      <w:r w:rsidRPr="004F3A01">
        <w:t xml:space="preserve">the policy </w:t>
      </w:r>
      <w:r w:rsidR="003D3690" w:rsidRPr="004F3A01">
        <w:t>and legislative</w:t>
      </w:r>
      <w:r w:rsidRPr="004F3A01">
        <w:t xml:space="preserve"> implications of </w:t>
      </w:r>
      <w:r w:rsidR="00B5647F" w:rsidRPr="004F3A01">
        <w:t>Inland Revenue’s</w:t>
      </w:r>
      <w:r w:rsidRPr="004F3A01">
        <w:t xml:space="preserve"> view that the provisioning accounting practice does not give rise to an allowable deduction for the accruing provision;  </w:t>
      </w:r>
    </w:p>
    <w:p w:rsidR="0019152F" w:rsidRPr="004F3A01" w:rsidRDefault="0019152F" w:rsidP="004F3A01">
      <w:pPr>
        <w:pStyle w:val="RISbulletlist"/>
      </w:pPr>
      <w:r w:rsidRPr="004F3A01">
        <w:t>the administrative and compliance costs of potential alternative treatments of dealing with these o</w:t>
      </w:r>
      <w:r w:rsidR="0091041B" w:rsidRPr="004F3A01">
        <w:t>verhauls for taxation purposes; and</w:t>
      </w:r>
    </w:p>
    <w:p w:rsidR="000A17A8" w:rsidRDefault="007378E8" w:rsidP="004F3A01">
      <w:pPr>
        <w:pStyle w:val="RISbulletlist"/>
      </w:pPr>
      <w:r w:rsidRPr="00A51195">
        <w:t>a range of</w:t>
      </w:r>
      <w:r w:rsidR="00EE2E95" w:rsidRPr="004F3A01">
        <w:t xml:space="preserve"> </w:t>
      </w:r>
      <w:r w:rsidR="00583616" w:rsidRPr="004F3A01">
        <w:t>timing rule</w:t>
      </w:r>
      <w:r w:rsidR="00EE2E95" w:rsidRPr="004F3A01">
        <w:t xml:space="preserve">s </w:t>
      </w:r>
      <w:r w:rsidRPr="004F3A01">
        <w:t>for</w:t>
      </w:r>
      <w:r w:rsidR="00583616" w:rsidRPr="004F3A01">
        <w:t xml:space="preserve"> deductions of aircraft overhaul expenses </w:t>
      </w:r>
      <w:r w:rsidRPr="004F3A01">
        <w:t>in relation to the</w:t>
      </w:r>
      <w:r w:rsidR="00583616" w:rsidRPr="004F3A01">
        <w:t xml:space="preserve"> overall efficiency</w:t>
      </w:r>
      <w:r w:rsidR="0085039F" w:rsidRPr="004F3A01">
        <w:t xml:space="preserve"> and coherency</w:t>
      </w:r>
      <w:r w:rsidR="00583616" w:rsidRPr="004F3A01">
        <w:t xml:space="preserve"> of the tax system</w:t>
      </w:r>
      <w:r w:rsidR="000A17A8" w:rsidRPr="004F3A01">
        <w:t>; and</w:t>
      </w:r>
    </w:p>
    <w:p w:rsidR="00583616" w:rsidRDefault="000A17A8" w:rsidP="004F3A01">
      <w:pPr>
        <w:pStyle w:val="RISbulletlist"/>
      </w:pPr>
      <w:r>
        <w:t>views of significant stakeholders in the aviation sector</w:t>
      </w:r>
      <w:r w:rsidR="0085039F" w:rsidRPr="004F3A01">
        <w:t>.</w:t>
      </w:r>
    </w:p>
    <w:p w:rsidR="00583616" w:rsidRDefault="004F3A01" w:rsidP="00201E93">
      <w:pPr>
        <w:pStyle w:val="RISnumberlist"/>
      </w:pPr>
      <w:bookmarkStart w:id="12" w:name="_Ref427854973"/>
      <w:r>
        <w:t>O</w:t>
      </w:r>
      <w:r w:rsidR="00B5647F">
        <w:t>ption</w:t>
      </w:r>
      <w:r>
        <w:t>s</w:t>
      </w:r>
      <w:r w:rsidR="00B5647F">
        <w:t xml:space="preserve"> </w:t>
      </w:r>
      <w:r w:rsidR="001709A5">
        <w:t>for</w:t>
      </w:r>
      <w:r w:rsidR="00B5647F">
        <w:t xml:space="preserve"> timing deductions of aircraft overhaul expenses </w:t>
      </w:r>
      <w:r>
        <w:t>will be evaluated against the following objectives</w:t>
      </w:r>
      <w:r w:rsidR="00B5647F">
        <w:t>:</w:t>
      </w:r>
      <w:bookmarkEnd w:id="12"/>
    </w:p>
    <w:p w:rsidR="00583616" w:rsidRDefault="00583616" w:rsidP="00201E93">
      <w:pPr>
        <w:pStyle w:val="RISnumberlist"/>
        <w:numPr>
          <w:ilvl w:val="0"/>
          <w:numId w:val="0"/>
        </w:numPr>
        <w:ind w:left="360"/>
      </w:pPr>
    </w:p>
    <w:p w:rsidR="003B7F00" w:rsidRDefault="004F3A01" w:rsidP="00201E93">
      <w:pPr>
        <w:pStyle w:val="RISbulletlist"/>
        <w:numPr>
          <w:ilvl w:val="1"/>
          <w:numId w:val="35"/>
        </w:numPr>
      </w:pPr>
      <w:r>
        <w:t xml:space="preserve">maintaining </w:t>
      </w:r>
      <w:r w:rsidR="00716539">
        <w:t>the efficiency</w:t>
      </w:r>
      <w:r w:rsidR="00B5647F">
        <w:t xml:space="preserve"> and coherency</w:t>
      </w:r>
      <w:r w:rsidR="00716539">
        <w:t xml:space="preserve"> of the tax system;</w:t>
      </w:r>
    </w:p>
    <w:p w:rsidR="00583616" w:rsidRDefault="000A17A8" w:rsidP="00201E93">
      <w:pPr>
        <w:pStyle w:val="RISbulletlist"/>
        <w:numPr>
          <w:ilvl w:val="1"/>
          <w:numId w:val="35"/>
        </w:numPr>
      </w:pPr>
      <w:r>
        <w:t>consistency with</w:t>
      </w:r>
      <w:r w:rsidR="004F3A01">
        <w:t xml:space="preserve"> </w:t>
      </w:r>
      <w:r w:rsidR="0085039F">
        <w:t>the economic effect of the transaction;</w:t>
      </w:r>
    </w:p>
    <w:p w:rsidR="00583616" w:rsidRDefault="00B5647F" w:rsidP="00201E93">
      <w:pPr>
        <w:pStyle w:val="RISbulletlist"/>
        <w:numPr>
          <w:ilvl w:val="1"/>
          <w:numId w:val="35"/>
        </w:numPr>
      </w:pPr>
      <w:r>
        <w:t>minimising tax and</w:t>
      </w:r>
      <w:r w:rsidR="00583616">
        <w:t xml:space="preserve"> compliance costs for taxpayers;</w:t>
      </w:r>
    </w:p>
    <w:p w:rsidR="00583616" w:rsidRDefault="00B5647F" w:rsidP="00201E93">
      <w:pPr>
        <w:pStyle w:val="RISbulletlist"/>
        <w:numPr>
          <w:ilvl w:val="1"/>
          <w:numId w:val="35"/>
        </w:numPr>
      </w:pPr>
      <w:r>
        <w:t>minimising</w:t>
      </w:r>
      <w:r w:rsidR="002B68CF">
        <w:t xml:space="preserve"> </w:t>
      </w:r>
      <w:r w:rsidR="00583616">
        <w:t>administration costs for Inland Revenue;</w:t>
      </w:r>
    </w:p>
    <w:p w:rsidR="00B5647F" w:rsidRDefault="00B5647F" w:rsidP="00201E93">
      <w:pPr>
        <w:pStyle w:val="RISbulletlist"/>
        <w:numPr>
          <w:ilvl w:val="1"/>
          <w:numId w:val="35"/>
        </w:numPr>
      </w:pPr>
      <w:r>
        <w:t>minimising</w:t>
      </w:r>
      <w:r w:rsidR="00760B47">
        <w:t xml:space="preserve"> the risk of non-compliance </w:t>
      </w:r>
      <w:r>
        <w:t>with CAA rules; and</w:t>
      </w:r>
    </w:p>
    <w:p w:rsidR="002B68CF" w:rsidRDefault="004F3A01" w:rsidP="00201E93">
      <w:pPr>
        <w:pStyle w:val="RISbulletlist"/>
        <w:numPr>
          <w:ilvl w:val="1"/>
          <w:numId w:val="35"/>
        </w:numPr>
      </w:pPr>
      <w:r>
        <w:t xml:space="preserve">maintaining </w:t>
      </w:r>
      <w:r w:rsidR="002B68CF">
        <w:t xml:space="preserve">fiscal neutrality over </w:t>
      </w:r>
      <w:r w:rsidR="00B5647F">
        <w:t>the time the aircraft is owned</w:t>
      </w:r>
      <w:r w:rsidR="002B68CF">
        <w:t>.</w:t>
      </w:r>
    </w:p>
    <w:p w:rsidR="0085039F" w:rsidRDefault="00760B47" w:rsidP="00201E93">
      <w:pPr>
        <w:pStyle w:val="RISnumberlist"/>
      </w:pPr>
      <w:r>
        <w:t xml:space="preserve">This review is not intended to alter the general </w:t>
      </w:r>
      <w:r w:rsidR="00B5647F">
        <w:t xml:space="preserve">tax </w:t>
      </w:r>
      <w:r>
        <w:t xml:space="preserve">treatment </w:t>
      </w:r>
      <w:r w:rsidR="00B5647F">
        <w:t>for</w:t>
      </w:r>
      <w:r w:rsidR="0085039F">
        <w:t>:</w:t>
      </w:r>
    </w:p>
    <w:p w:rsidR="0085039F" w:rsidRDefault="0085039F" w:rsidP="00201E93">
      <w:pPr>
        <w:pStyle w:val="RISnumberlist"/>
        <w:numPr>
          <w:ilvl w:val="0"/>
          <w:numId w:val="0"/>
        </w:numPr>
        <w:ind w:left="360"/>
      </w:pPr>
    </w:p>
    <w:p w:rsidR="0091041B" w:rsidRDefault="00B5647F">
      <w:pPr>
        <w:pStyle w:val="RISbulletlist"/>
      </w:pPr>
      <w:r>
        <w:t xml:space="preserve"> </w:t>
      </w:r>
      <w:r w:rsidR="00760B47">
        <w:t>depreciable assets as a single operational unit</w:t>
      </w:r>
      <w:r w:rsidR="003B7F00">
        <w:t xml:space="preserve"> </w:t>
      </w:r>
      <w:r w:rsidR="00760B47">
        <w:t xml:space="preserve">but recognises some special characteristics of </w:t>
      </w:r>
      <w:r w:rsidR="0091041B">
        <w:t>the aviation sector in relation to the overhaul of major sub-components of an aircraft</w:t>
      </w:r>
      <w:r w:rsidR="0085039F">
        <w:t>; or</w:t>
      </w:r>
    </w:p>
    <w:p w:rsidR="0085039F" w:rsidRDefault="00760B47">
      <w:pPr>
        <w:pStyle w:val="RISbulletlist"/>
      </w:pPr>
      <w:r>
        <w:t>regular maintenance of aircraft</w:t>
      </w:r>
      <w:r w:rsidR="0085039F">
        <w:t>; or</w:t>
      </w:r>
    </w:p>
    <w:p w:rsidR="00760B47" w:rsidRDefault="00760B47">
      <w:pPr>
        <w:pStyle w:val="RISbulletlist"/>
      </w:pPr>
      <w:r>
        <w:t>the capital revenue boundary in relation to an overhauled aircraft sub-component.</w:t>
      </w:r>
    </w:p>
    <w:p w:rsidR="0019152F" w:rsidRDefault="00760B47" w:rsidP="00201E93">
      <w:pPr>
        <w:pStyle w:val="RISnumberlist"/>
      </w:pPr>
      <w:r>
        <w:t xml:space="preserve">We also note that trade-offs will inevitably be made across the various objectives.  For example, </w:t>
      </w:r>
      <w:r w:rsidR="0019152F">
        <w:t>a solution that mandates one particular timing practice inevitably will result, during transition, in a minor increase in compliance cost for some taxpayers to ensure the overall objective of improving the efficiency</w:t>
      </w:r>
      <w:r w:rsidR="003D3690">
        <w:t xml:space="preserve"> of the tax system is achieved.</w:t>
      </w:r>
    </w:p>
    <w:p w:rsidR="002010B0" w:rsidRPr="00737B05" w:rsidRDefault="002010B0" w:rsidP="00201E93">
      <w:pPr>
        <w:pStyle w:val="RISnumberlist"/>
        <w:numPr>
          <w:ilvl w:val="0"/>
          <w:numId w:val="0"/>
        </w:numPr>
        <w:ind w:left="360"/>
      </w:pPr>
    </w:p>
    <w:p w:rsidR="002010B0" w:rsidRPr="000A3815" w:rsidRDefault="00C32D92" w:rsidP="00201E93">
      <w:pPr>
        <w:pStyle w:val="RISnumberlist"/>
        <w:rPr>
          <w:spacing w:val="20"/>
        </w:rPr>
      </w:pPr>
      <w:r w:rsidRPr="00737B05">
        <w:t xml:space="preserve">The question addressed in </w:t>
      </w:r>
      <w:r w:rsidR="0085039F" w:rsidRPr="00737B05">
        <w:t xml:space="preserve">this RIS </w:t>
      </w:r>
      <w:r w:rsidRPr="00737B05">
        <w:t xml:space="preserve">is </w:t>
      </w:r>
      <w:r w:rsidR="0085039F" w:rsidRPr="00737B05">
        <w:t xml:space="preserve">whether </w:t>
      </w:r>
      <w:r w:rsidR="004F3A01" w:rsidRPr="00737B05">
        <w:t xml:space="preserve">the </w:t>
      </w:r>
      <w:r w:rsidR="0085039F" w:rsidRPr="00737B05">
        <w:t xml:space="preserve">current </w:t>
      </w:r>
      <w:r w:rsidR="002010B0" w:rsidRPr="00737B05">
        <w:t xml:space="preserve">timing rules </w:t>
      </w:r>
      <w:r w:rsidR="00B27941" w:rsidRPr="00737B05">
        <w:t xml:space="preserve">for </w:t>
      </w:r>
      <w:r w:rsidR="002010B0" w:rsidRPr="00737B05">
        <w:t>deductible aircraft overhaul expenses</w:t>
      </w:r>
      <w:r w:rsidR="0085039F" w:rsidRPr="00737B05">
        <w:t xml:space="preserve"> align with the policy objectives for imposing tax on the best approximation of economic income and</w:t>
      </w:r>
      <w:r w:rsidR="004F3A01" w:rsidRPr="00737B05">
        <w:t xml:space="preserve">, </w:t>
      </w:r>
      <w:r w:rsidR="0085039F" w:rsidRPr="00737B05">
        <w:t>if not, how these timing rules can be improved.</w:t>
      </w:r>
      <w:r w:rsidRPr="00737B05">
        <w:t xml:space="preserve"> </w:t>
      </w:r>
      <w:bookmarkStart w:id="13" w:name="_Toc244580365"/>
      <w:bookmarkStart w:id="14" w:name="_Toc244587041"/>
      <w:bookmarkStart w:id="15" w:name="_Toc244857275"/>
      <w:bookmarkStart w:id="16" w:name="_Toc244912540"/>
      <w:bookmarkStart w:id="17" w:name="_Toc244916997"/>
    </w:p>
    <w:p w:rsidR="001709A5" w:rsidRDefault="001709A5">
      <w:pPr>
        <w:rPr>
          <w:b/>
          <w:spacing w:val="20"/>
          <w:szCs w:val="24"/>
        </w:rPr>
      </w:pPr>
      <w:r>
        <w:br w:type="page"/>
      </w:r>
    </w:p>
    <w:p w:rsidR="00320A3C" w:rsidRPr="00193EBC" w:rsidRDefault="00D943DD" w:rsidP="0070613B">
      <w:pPr>
        <w:pStyle w:val="RISmajorheading"/>
      </w:pPr>
      <w:r w:rsidRPr="00193EBC">
        <w:t>REGULATORY IMPACT ANALYSIS</w:t>
      </w:r>
      <w:bookmarkEnd w:id="13"/>
      <w:bookmarkEnd w:id="14"/>
      <w:bookmarkEnd w:id="15"/>
      <w:bookmarkEnd w:id="16"/>
      <w:bookmarkEnd w:id="17"/>
    </w:p>
    <w:p w:rsidR="00122072" w:rsidRDefault="00122072" w:rsidP="00201E93">
      <w:pPr>
        <w:pStyle w:val="RISnumberlist"/>
      </w:pPr>
      <w:r>
        <w:t xml:space="preserve">Five options (including </w:t>
      </w:r>
      <w:r w:rsidR="004F3A01">
        <w:t xml:space="preserve">the status quo) </w:t>
      </w:r>
      <w:r>
        <w:t xml:space="preserve">are considered in this RIS for addressing the problem.  </w:t>
      </w:r>
      <w:r w:rsidR="004F3A01">
        <w:t>They are:</w:t>
      </w:r>
    </w:p>
    <w:p w:rsidR="0035624C" w:rsidRDefault="0035624C" w:rsidP="0035624C">
      <w:pPr>
        <w:pStyle w:val="Bullet-list"/>
        <w:spacing w:after="0" w:line="240" w:lineRule="auto"/>
        <w:rPr>
          <w:rFonts w:ascii="Times New Roman" w:hAnsi="Times New Roman"/>
          <w:sz w:val="24"/>
          <w:szCs w:val="24"/>
        </w:rPr>
      </w:pPr>
    </w:p>
    <w:p w:rsidR="00DD238D" w:rsidRPr="0035624C" w:rsidRDefault="00DD238D" w:rsidP="00DD238D">
      <w:pPr>
        <w:pStyle w:val="RISbulletlist"/>
      </w:pPr>
      <w:r>
        <w:t xml:space="preserve">Option 1: As incurred </w:t>
      </w:r>
      <w:r w:rsidR="00190AA8">
        <w:t xml:space="preserve">method.  </w:t>
      </w:r>
      <w:r w:rsidRPr="0035624C">
        <w:t>The general deductibility and timing rules of the Income Tax Act 2007 are applied to determine deductibility and timing of aircraft overhaul expenses</w:t>
      </w:r>
      <w:r>
        <w:t xml:space="preserve">. </w:t>
      </w:r>
    </w:p>
    <w:p w:rsidR="00190AA8" w:rsidRDefault="008746CF" w:rsidP="001F6E89">
      <w:pPr>
        <w:pStyle w:val="RISbulletlist"/>
      </w:pPr>
      <w:r>
        <w:t xml:space="preserve">Option </w:t>
      </w:r>
      <w:r w:rsidR="00DD238D">
        <w:t>2</w:t>
      </w:r>
      <w:r>
        <w:t xml:space="preserve">: </w:t>
      </w:r>
      <w:r w:rsidR="0035624C" w:rsidRPr="0035624C">
        <w:t>Spreading</w:t>
      </w:r>
      <w:r w:rsidR="0035624C">
        <w:t xml:space="preserve"> method</w:t>
      </w:r>
      <w:r w:rsidR="00190AA8">
        <w:t xml:space="preserve">.  </w:t>
      </w:r>
      <w:r w:rsidR="0035624C" w:rsidRPr="0035624C">
        <w:t>The deductible costs for an overhaul of an aircraft (for example, an engine) are spread forward</w:t>
      </w:r>
      <w:r w:rsidR="007378E8">
        <w:t xml:space="preserve"> over the period</w:t>
      </w:r>
      <w:r w:rsidR="0035624C" w:rsidRPr="0035624C">
        <w:t xml:space="preserve"> </w:t>
      </w:r>
      <w:r w:rsidR="0035624C">
        <w:t>from the time of the overhaul to the next overhaul,</w:t>
      </w:r>
      <w:r w:rsidR="007378E8">
        <w:t xml:space="preserve"> </w:t>
      </w:r>
      <w:r w:rsidR="0035624C" w:rsidRPr="0035624C">
        <w:t>on a usage basis (</w:t>
      </w:r>
      <w:r w:rsidR="0083473F">
        <w:t>time in service</w:t>
      </w:r>
      <w:r w:rsidR="0035624C" w:rsidRPr="0035624C">
        <w:t>).</w:t>
      </w:r>
      <w:r w:rsidR="00EC2321">
        <w:t xml:space="preserve">  Within this option, we considered three possible transitional approaches.</w:t>
      </w:r>
    </w:p>
    <w:p w:rsidR="0035624C" w:rsidRDefault="008746CF" w:rsidP="001F6E89">
      <w:pPr>
        <w:pStyle w:val="RISbulletlist"/>
      </w:pPr>
      <w:r>
        <w:t xml:space="preserve">Option 3: </w:t>
      </w:r>
      <w:r w:rsidR="0035624C" w:rsidRPr="0035624C">
        <w:t>IFRS</w:t>
      </w:r>
      <w:r>
        <w:t xml:space="preserve"> </w:t>
      </w:r>
      <w:r w:rsidR="00190AA8">
        <w:t xml:space="preserve">method.  </w:t>
      </w:r>
      <w:r w:rsidR="0035624C" w:rsidRPr="0035624C">
        <w:t xml:space="preserve">The accounting treatment of overhaul costs under generally accepted financial accounting practice (IFRS) would be acceptable for income tax purposes. </w:t>
      </w:r>
      <w:r w:rsidR="0035624C">
        <w:t xml:space="preserve">For owned assets, this </w:t>
      </w:r>
      <w:r w:rsidR="0035624C" w:rsidRPr="0035624C">
        <w:t>method is similar to the spreading method but</w:t>
      </w:r>
      <w:r w:rsidR="0035624C">
        <w:t xml:space="preserve"> for assets treated as operating leases for IFRS purposes, this method is similar to the provisioning accounting method.</w:t>
      </w:r>
    </w:p>
    <w:p w:rsidR="0035624C" w:rsidRPr="0035624C" w:rsidRDefault="008746CF" w:rsidP="001F6E89">
      <w:pPr>
        <w:pStyle w:val="RISbulletlist"/>
      </w:pPr>
      <w:r>
        <w:t xml:space="preserve">Option 4: </w:t>
      </w:r>
      <w:r w:rsidR="00190AA8">
        <w:t>P</w:t>
      </w:r>
      <w:r w:rsidR="0035624C" w:rsidRPr="0035624C">
        <w:t xml:space="preserve">rovisioning accounting </w:t>
      </w:r>
      <w:r w:rsidR="00190AA8">
        <w:t xml:space="preserve">method.  </w:t>
      </w:r>
      <w:r w:rsidR="0035624C">
        <w:t>Legislation would a</w:t>
      </w:r>
      <w:r w:rsidR="0035624C" w:rsidRPr="0035624C">
        <w:t>uthorise the provisioning tax accounting practice</w:t>
      </w:r>
      <w:r>
        <w:t xml:space="preserve"> to allow deductions for provisions for future expenses</w:t>
      </w:r>
      <w:r w:rsidR="009962BE">
        <w:t xml:space="preserve">. </w:t>
      </w:r>
    </w:p>
    <w:p w:rsidR="0035624C" w:rsidRDefault="008746CF" w:rsidP="001F6E89">
      <w:pPr>
        <w:pStyle w:val="RISbulletlist"/>
      </w:pPr>
      <w:r>
        <w:t xml:space="preserve">Option </w:t>
      </w:r>
      <w:r w:rsidR="007378E8">
        <w:t>5</w:t>
      </w:r>
      <w:r>
        <w:t xml:space="preserve">: </w:t>
      </w:r>
      <w:r w:rsidR="0035624C" w:rsidRPr="0035624C">
        <w:t>Equalisation</w:t>
      </w:r>
      <w:r>
        <w:t xml:space="preserve"> </w:t>
      </w:r>
      <w:r w:rsidR="00190AA8">
        <w:t xml:space="preserve">method.  </w:t>
      </w:r>
      <w:r w:rsidR="00B56159">
        <w:t xml:space="preserve">This method is based on the provisioning accounting practice.  </w:t>
      </w:r>
      <w:r w:rsidR="0035624C" w:rsidRPr="0035624C">
        <w:t>An aircraft operator makes tax deductible cash deposits into an aircraft overhaul account administered by the Commissioner</w:t>
      </w:r>
      <w:r w:rsidR="00871578">
        <w:t xml:space="preserve"> of Inland Revenue</w:t>
      </w:r>
      <w:r w:rsidR="0035624C" w:rsidRPr="0035624C">
        <w:t xml:space="preserve">. Withdrawals from the account would be offset against the cost of the actual overhaul. </w:t>
      </w:r>
    </w:p>
    <w:p w:rsidR="00DA4E46" w:rsidRPr="00DA4E46" w:rsidRDefault="008746CF" w:rsidP="00201E93">
      <w:pPr>
        <w:pStyle w:val="RISnumberlist"/>
      </w:pPr>
      <w:r>
        <w:t>All options</w:t>
      </w:r>
      <w:r w:rsidR="00C32BA2">
        <w:t xml:space="preserve"> other than option 1</w:t>
      </w:r>
      <w:r>
        <w:t xml:space="preserve"> </w:t>
      </w:r>
      <w:r w:rsidR="00C32BA2">
        <w:t>(the status quo) would</w:t>
      </w:r>
      <w:r w:rsidR="00871578">
        <w:t xml:space="preserve"> </w:t>
      </w:r>
      <w:r>
        <w:t xml:space="preserve">require amendments to the </w:t>
      </w:r>
      <w:r w:rsidR="00871578">
        <w:t xml:space="preserve">Income Tax Act 2007.  </w:t>
      </w:r>
      <w:r w:rsidR="007378E8">
        <w:t xml:space="preserve">This is discussed later in this RIS under </w:t>
      </w:r>
      <w:r w:rsidR="00871578">
        <w:t>the section “I</w:t>
      </w:r>
      <w:r w:rsidR="007378E8">
        <w:t>mplementation</w:t>
      </w:r>
      <w:r w:rsidR="00871578">
        <w:t>”</w:t>
      </w:r>
      <w:r w:rsidR="007378E8">
        <w:t>.</w:t>
      </w:r>
    </w:p>
    <w:p w:rsidR="00716539" w:rsidRDefault="00716539" w:rsidP="000A3815">
      <w:pPr>
        <w:pStyle w:val="Bullet-list"/>
        <w:spacing w:after="0" w:line="240" w:lineRule="auto"/>
        <w:ind w:left="0" w:firstLine="0"/>
        <w:jc w:val="center"/>
        <w:rPr>
          <w:rFonts w:ascii="Times New Roman" w:hAnsi="Times New Roman"/>
          <w:sz w:val="24"/>
          <w:szCs w:val="24"/>
        </w:rPr>
      </w:pPr>
    </w:p>
    <w:p w:rsidR="00716539" w:rsidRDefault="003D446A" w:rsidP="00201E93">
      <w:pPr>
        <w:pStyle w:val="RISnumberlist"/>
      </w:pPr>
      <w:r>
        <w:t>As an integrity measure, o</w:t>
      </w:r>
      <w:r w:rsidR="00716539">
        <w:t xml:space="preserve">ptions 1, 2, and 3 </w:t>
      </w:r>
      <w:r>
        <w:t>also propose</w:t>
      </w:r>
      <w:r w:rsidR="00716539">
        <w:t xml:space="preserve"> a claw-back of past provisions to ensure that a taxpayer would </w:t>
      </w:r>
      <w:r>
        <w:t>not</w:t>
      </w:r>
      <w:r w:rsidR="00716539">
        <w:t xml:space="preserve"> have two deductions for the same expense</w:t>
      </w:r>
      <w:r>
        <w:t xml:space="preserve">.  </w:t>
      </w:r>
      <w:r w:rsidR="00B27941">
        <w:t xml:space="preserve">Under </w:t>
      </w:r>
      <w:r w:rsidR="007378E8">
        <w:t xml:space="preserve">this </w:t>
      </w:r>
      <w:r w:rsidR="00B27941">
        <w:t>accounting practice, the accumulated</w:t>
      </w:r>
      <w:r>
        <w:t xml:space="preserve"> provision for future expenses is always reversed (netted off) against the actual expense</w:t>
      </w:r>
      <w:r w:rsidR="00B27941">
        <w:t xml:space="preserve"> when it is incurred</w:t>
      </w:r>
      <w:r>
        <w:t>.  Options 1, 2, and 3 propose stopping provisioning, and therefore, it would be necessary to ensure that past deductible provisions were reversed</w:t>
      </w:r>
      <w:r w:rsidR="00DA4E46">
        <w:t xml:space="preserve"> against the actual overhaul expenses</w:t>
      </w:r>
      <w:r>
        <w:t xml:space="preserve"> to give the same effect</w:t>
      </w:r>
      <w:r w:rsidR="007378E8">
        <w:t xml:space="preserve"> and ensure a second deduction is not allowed for that future overhaul expense</w:t>
      </w:r>
      <w:r>
        <w:t>.</w:t>
      </w:r>
    </w:p>
    <w:p w:rsidR="00716539" w:rsidRDefault="00716539" w:rsidP="00716539">
      <w:pPr>
        <w:pStyle w:val="Bullet-list"/>
        <w:spacing w:after="0" w:line="240" w:lineRule="auto"/>
        <w:ind w:left="0" w:firstLine="0"/>
        <w:rPr>
          <w:rFonts w:ascii="Times New Roman" w:hAnsi="Times New Roman"/>
          <w:sz w:val="24"/>
          <w:szCs w:val="24"/>
        </w:rPr>
      </w:pPr>
    </w:p>
    <w:p w:rsidR="0035624C" w:rsidRDefault="008746CF" w:rsidP="00201E93">
      <w:pPr>
        <w:pStyle w:val="RISnumberlist"/>
      </w:pPr>
      <w:r>
        <w:t xml:space="preserve">Option </w:t>
      </w:r>
      <w:r w:rsidR="00D023F3">
        <w:t xml:space="preserve">5 </w:t>
      </w:r>
      <w:r>
        <w:t>would require the Commissioner</w:t>
      </w:r>
      <w:r w:rsidR="00D023F3">
        <w:t xml:space="preserve"> of Inland Revenue</w:t>
      </w:r>
      <w:r>
        <w:t xml:space="preserve"> to establish a system to receive and pay out deposits.</w:t>
      </w:r>
      <w:r w:rsidR="003D446A">
        <w:t xml:space="preserve">  </w:t>
      </w:r>
    </w:p>
    <w:p w:rsidR="009962BE" w:rsidRDefault="009962BE" w:rsidP="009962BE">
      <w:pPr>
        <w:pStyle w:val="Bullet-list"/>
        <w:spacing w:after="0" w:line="240" w:lineRule="auto"/>
        <w:ind w:left="0" w:firstLine="0"/>
        <w:rPr>
          <w:rFonts w:ascii="Times New Roman" w:hAnsi="Times New Roman"/>
          <w:sz w:val="24"/>
          <w:szCs w:val="24"/>
        </w:rPr>
      </w:pPr>
    </w:p>
    <w:p w:rsidR="007378E8" w:rsidRDefault="007378E8" w:rsidP="00201E93">
      <w:pPr>
        <w:pStyle w:val="RISnumberlist"/>
      </w:pPr>
      <w:r w:rsidRPr="007378E8">
        <w:t xml:space="preserve">If the Government decides not to </w:t>
      </w:r>
      <w:r w:rsidR="00D023F3">
        <w:t>pursue a legislative solution</w:t>
      </w:r>
      <w:r w:rsidRPr="007378E8">
        <w:t xml:space="preserve">, </w:t>
      </w:r>
      <w:r>
        <w:t>taxpayers will</w:t>
      </w:r>
      <w:r w:rsidRPr="007378E8">
        <w:t xml:space="preserve"> be obliged to apply the current deductibility and timing rules (</w:t>
      </w:r>
      <w:r w:rsidR="00737B05">
        <w:t>Option</w:t>
      </w:r>
      <w:r w:rsidR="00D023F3">
        <w:t xml:space="preserve"> 1</w:t>
      </w:r>
      <w:r w:rsidRPr="007378E8">
        <w:t xml:space="preserve">).  </w:t>
      </w:r>
    </w:p>
    <w:p w:rsidR="00DD238D" w:rsidRDefault="00DD238D" w:rsidP="00201E93">
      <w:pPr>
        <w:pStyle w:val="RISheading2"/>
      </w:pPr>
      <w:r>
        <w:t xml:space="preserve">Analysis of options against </w:t>
      </w:r>
      <w:r w:rsidR="009C7302">
        <w:t xml:space="preserve">the </w:t>
      </w:r>
      <w:r>
        <w:t>objectives of the review</w:t>
      </w:r>
    </w:p>
    <w:p w:rsidR="00DD238D" w:rsidRDefault="00DD238D" w:rsidP="00201E93">
      <w:pPr>
        <w:pStyle w:val="RISsubheading"/>
      </w:pPr>
      <w:r>
        <w:t>Option 1</w:t>
      </w:r>
      <w:r w:rsidR="007427D6">
        <w:t>: as incurred method</w:t>
      </w:r>
    </w:p>
    <w:p w:rsidR="0079629A" w:rsidRDefault="00737B05" w:rsidP="00201E93">
      <w:pPr>
        <w:pStyle w:val="RISsubparagraph"/>
      </w:pPr>
      <w:r w:rsidRPr="00201E93">
        <w:rPr>
          <w:i/>
        </w:rPr>
        <w:t>The</w:t>
      </w:r>
      <w:r w:rsidR="00DD238D" w:rsidRPr="00201E93">
        <w:rPr>
          <w:i/>
        </w:rPr>
        <w:t xml:space="preserve"> efficiency and coherency of the tax system</w:t>
      </w:r>
      <w:r w:rsidR="005E41A9">
        <w:t xml:space="preserve">: </w:t>
      </w:r>
      <w:r w:rsidR="007378E8">
        <w:t xml:space="preserve">Option 1 is </w:t>
      </w:r>
      <w:r w:rsidR="005E41A9">
        <w:t>consistent with the general deductibility and timing rules of the Income Tax Act 2007</w:t>
      </w:r>
      <w:r w:rsidR="0079629A">
        <w:t xml:space="preserve"> (the Act) and is well known and understood by taxpayers</w:t>
      </w:r>
      <w:r w:rsidR="005E41A9">
        <w:t xml:space="preserve">.  However, the general deductibility and timing rules </w:t>
      </w:r>
      <w:r w:rsidR="0079629A">
        <w:t xml:space="preserve">do not always result in an appropriate timing effect. </w:t>
      </w:r>
      <w:r w:rsidR="0079629A" w:rsidRPr="0079629A">
        <w:t xml:space="preserve"> </w:t>
      </w:r>
      <w:r w:rsidR="0079629A">
        <w:t xml:space="preserve">In particular, </w:t>
      </w:r>
      <w:r w:rsidR="00D26625">
        <w:t>for SMEs, o</w:t>
      </w:r>
      <w:r w:rsidR="0079629A">
        <w:t xml:space="preserve">ption 1 gives rise to large variations in taxable income that are more closely aligned to the cash flows of the business rather than being aligned with the economic income of an aviation business.  </w:t>
      </w:r>
    </w:p>
    <w:p w:rsidR="005E41A9" w:rsidRDefault="0079629A" w:rsidP="00201E93">
      <w:pPr>
        <w:pStyle w:val="RISnumberlist"/>
        <w:numPr>
          <w:ilvl w:val="0"/>
          <w:numId w:val="0"/>
        </w:numPr>
        <w:ind w:left="720"/>
      </w:pPr>
      <w:r>
        <w:tab/>
      </w:r>
    </w:p>
    <w:p w:rsidR="00DD238D" w:rsidRDefault="00737B05" w:rsidP="00201E93">
      <w:pPr>
        <w:pStyle w:val="RISsubparagraph"/>
      </w:pPr>
      <w:r w:rsidRPr="00201E93">
        <w:rPr>
          <w:i/>
        </w:rPr>
        <w:t>The</w:t>
      </w:r>
      <w:r w:rsidR="00DD238D" w:rsidRPr="00201E93">
        <w:rPr>
          <w:i/>
        </w:rPr>
        <w:t xml:space="preserve"> econ</w:t>
      </w:r>
      <w:r w:rsidR="0079629A" w:rsidRPr="00201E93">
        <w:rPr>
          <w:i/>
        </w:rPr>
        <w:t>omic effect of the transaction</w:t>
      </w:r>
      <w:r w:rsidR="0079629A">
        <w:t>: Option 1 is inconsistent with the economic effect of an aircraft engine overhaul, as an overhaul enables an aircraft to return to service.  Deductions should be matched to the income generated after the aircraft returns to service following the overhaul.</w:t>
      </w:r>
    </w:p>
    <w:p w:rsidR="0079629A" w:rsidRDefault="0079629A" w:rsidP="00201E93">
      <w:pPr>
        <w:pStyle w:val="RISnumberlist"/>
        <w:numPr>
          <w:ilvl w:val="0"/>
          <w:numId w:val="0"/>
        </w:numPr>
        <w:ind w:left="720"/>
      </w:pPr>
    </w:p>
    <w:p w:rsidR="00DD238D" w:rsidRDefault="00737B05" w:rsidP="00201E93">
      <w:pPr>
        <w:pStyle w:val="RISsubparagraph"/>
      </w:pPr>
      <w:r w:rsidRPr="00201E93">
        <w:rPr>
          <w:i/>
        </w:rPr>
        <w:t>Minimising</w:t>
      </w:r>
      <w:r w:rsidR="00DD238D" w:rsidRPr="00201E93">
        <w:rPr>
          <w:i/>
        </w:rPr>
        <w:t xml:space="preserve"> tax and compliance costs for taxpayers</w:t>
      </w:r>
      <w:r w:rsidR="0079629A" w:rsidRPr="00F27BFD">
        <w:t>:</w:t>
      </w:r>
      <w:r w:rsidR="0079629A">
        <w:rPr>
          <w:i/>
        </w:rPr>
        <w:t xml:space="preserve"> </w:t>
      </w:r>
      <w:r w:rsidR="0079629A">
        <w:t>Option 1 is well understood by taxpayers</w:t>
      </w:r>
      <w:r w:rsidR="00D26625">
        <w:t xml:space="preserve"> and would not give rise to material impacts on compliance costs</w:t>
      </w:r>
      <w:r w:rsidR="0079629A">
        <w:t xml:space="preserve">.  However, as it gives rise to large variations in taxable income, tax is underpaid in some years and overpaid in other years.  This also increases the exposure of </w:t>
      </w:r>
      <w:r w:rsidR="00D26625">
        <w:t>aircraft operators</w:t>
      </w:r>
      <w:r w:rsidR="0079629A">
        <w:t xml:space="preserve"> to penalties and interest.</w:t>
      </w:r>
    </w:p>
    <w:p w:rsidR="0079629A" w:rsidRDefault="0079629A" w:rsidP="00201E93">
      <w:pPr>
        <w:pStyle w:val="RISnumberlist"/>
        <w:numPr>
          <w:ilvl w:val="0"/>
          <w:numId w:val="0"/>
        </w:numPr>
        <w:ind w:left="720"/>
      </w:pPr>
    </w:p>
    <w:p w:rsidR="00DD238D" w:rsidRDefault="00737B05" w:rsidP="00201E93">
      <w:pPr>
        <w:pStyle w:val="RISsubparagraph"/>
      </w:pPr>
      <w:r w:rsidRPr="00201E93">
        <w:rPr>
          <w:i/>
        </w:rPr>
        <w:t>Minimising</w:t>
      </w:r>
      <w:r w:rsidR="00DD238D" w:rsidRPr="00201E93">
        <w:rPr>
          <w:i/>
        </w:rPr>
        <w:t xml:space="preserve"> administ</w:t>
      </w:r>
      <w:r w:rsidR="00D26625" w:rsidRPr="00201E93">
        <w:rPr>
          <w:i/>
        </w:rPr>
        <w:t>ration costs for Inland Revenue</w:t>
      </w:r>
      <w:r w:rsidR="00D26625">
        <w:t xml:space="preserve">: Option 1 is well understood by Inland Revenue and would not give rise to any material effects on administration costs. </w:t>
      </w:r>
    </w:p>
    <w:p w:rsidR="00D26625" w:rsidRDefault="00D26625" w:rsidP="00201E93">
      <w:pPr>
        <w:pStyle w:val="RISnumberlist"/>
        <w:numPr>
          <w:ilvl w:val="0"/>
          <w:numId w:val="0"/>
        </w:numPr>
        <w:ind w:left="720"/>
      </w:pPr>
    </w:p>
    <w:p w:rsidR="007427D6" w:rsidRDefault="00737B05" w:rsidP="00D26625">
      <w:pPr>
        <w:pStyle w:val="ListParagraph"/>
        <w:numPr>
          <w:ilvl w:val="0"/>
          <w:numId w:val="39"/>
        </w:numPr>
        <w:rPr>
          <w:szCs w:val="24"/>
          <w:lang w:val="en-AU"/>
        </w:rPr>
      </w:pPr>
      <w:r w:rsidRPr="00201E93">
        <w:rPr>
          <w:i/>
        </w:rPr>
        <w:t>Minimising</w:t>
      </w:r>
      <w:r w:rsidR="00DD238D" w:rsidRPr="00201E93">
        <w:rPr>
          <w:i/>
        </w:rPr>
        <w:t xml:space="preserve"> the risk of non-compliance with CAA rules</w:t>
      </w:r>
      <w:r w:rsidR="00D26625">
        <w:t>:</w:t>
      </w:r>
      <w:r w:rsidR="00DD238D">
        <w:t xml:space="preserve"> </w:t>
      </w:r>
      <w:r w:rsidR="00D26625">
        <w:t>The economic returns in some aviation sectors are insufficient to provide for aircraft replacement, and the aircraft fleet in those sectors are aging.  Compliance with CAA rules is a risk identified by a number of economic commentators and CAA itself.  It is recognised that preparation of financial reports is a significant cost for smaller enterprises and that as m</w:t>
      </w:r>
      <w:r w:rsidR="00D26625" w:rsidRPr="00D26625">
        <w:rPr>
          <w:szCs w:val="24"/>
          <w:lang w:val="en-AU"/>
        </w:rPr>
        <w:t xml:space="preserve">any smaller-sized </w:t>
      </w:r>
      <w:r w:rsidR="00D26625">
        <w:rPr>
          <w:szCs w:val="24"/>
          <w:lang w:val="en-AU"/>
        </w:rPr>
        <w:t>aircraft operators</w:t>
      </w:r>
      <w:r w:rsidR="00D26625" w:rsidRPr="00D26625">
        <w:rPr>
          <w:szCs w:val="24"/>
          <w:lang w:val="en-AU"/>
        </w:rPr>
        <w:t xml:space="preserve"> already use the current deductibility and timing rules little change in compliance cost would be expected if </w:t>
      </w:r>
      <w:r w:rsidR="00D26625">
        <w:rPr>
          <w:szCs w:val="24"/>
          <w:lang w:val="en-AU"/>
        </w:rPr>
        <w:t>these</w:t>
      </w:r>
      <w:r w:rsidR="007427D6">
        <w:rPr>
          <w:szCs w:val="24"/>
          <w:lang w:val="en-AU"/>
        </w:rPr>
        <w:t xml:space="preserve"> taxpayers were permitted to elect to use option 1.</w:t>
      </w:r>
    </w:p>
    <w:p w:rsidR="007427D6" w:rsidRPr="007427D6" w:rsidRDefault="007427D6" w:rsidP="00201E93">
      <w:pPr>
        <w:pStyle w:val="ListParagraph"/>
        <w:rPr>
          <w:szCs w:val="24"/>
          <w:lang w:val="en-AU"/>
        </w:rPr>
      </w:pPr>
    </w:p>
    <w:p w:rsidR="00DD238D" w:rsidRPr="00F27BFD" w:rsidRDefault="00737B05" w:rsidP="00201E93">
      <w:pPr>
        <w:pStyle w:val="RISsubparagraph"/>
      </w:pPr>
      <w:r w:rsidRPr="00201E93">
        <w:rPr>
          <w:i/>
        </w:rPr>
        <w:t>Fiscal</w:t>
      </w:r>
      <w:r w:rsidR="00DD238D" w:rsidRPr="00201E93">
        <w:rPr>
          <w:i/>
        </w:rPr>
        <w:t xml:space="preserve"> neutrality over the time the aircraft is owned</w:t>
      </w:r>
      <w:r w:rsidR="00DD238D" w:rsidRPr="00F27BFD">
        <w:t>.</w:t>
      </w:r>
      <w:r w:rsidR="007427D6" w:rsidRPr="00F27BFD">
        <w:t xml:space="preserve"> All deductions</w:t>
      </w:r>
      <w:r w:rsidR="00B56159">
        <w:t xml:space="preserve"> for aircraft overhaul expenses</w:t>
      </w:r>
      <w:r w:rsidR="007427D6" w:rsidRPr="00F27BFD">
        <w:t xml:space="preserve"> would be taken into account over the time the aircraft is owned.</w:t>
      </w:r>
    </w:p>
    <w:p w:rsidR="007427D6" w:rsidRDefault="007427D6" w:rsidP="00201E93">
      <w:pPr>
        <w:pStyle w:val="RISsubheading"/>
      </w:pPr>
      <w:r>
        <w:t>Option 2: spreading method</w:t>
      </w:r>
    </w:p>
    <w:p w:rsidR="0079629A" w:rsidRDefault="00737B05" w:rsidP="00201E93">
      <w:pPr>
        <w:pStyle w:val="RISsubparagraph"/>
        <w:numPr>
          <w:ilvl w:val="0"/>
          <w:numId w:val="43"/>
        </w:numPr>
      </w:pPr>
      <w:r w:rsidRPr="00201E93">
        <w:rPr>
          <w:i/>
        </w:rPr>
        <w:t>The</w:t>
      </w:r>
      <w:r w:rsidR="0079629A" w:rsidRPr="00201E93">
        <w:rPr>
          <w:i/>
        </w:rPr>
        <w:t xml:space="preserve"> efficiency and </w:t>
      </w:r>
      <w:r w:rsidR="007427D6" w:rsidRPr="00201E93">
        <w:rPr>
          <w:i/>
        </w:rPr>
        <w:t>coherency of the tax system</w:t>
      </w:r>
      <w:r>
        <w:t>; Option</w:t>
      </w:r>
      <w:r w:rsidR="007427D6">
        <w:t xml:space="preserve"> 2 is consistent with the policy objective that tax is imposed on the best approximation of economic income.</w:t>
      </w:r>
    </w:p>
    <w:p w:rsidR="007427D6" w:rsidRDefault="007427D6" w:rsidP="00201E93">
      <w:pPr>
        <w:pStyle w:val="RISsubparagraph"/>
        <w:numPr>
          <w:ilvl w:val="0"/>
          <w:numId w:val="0"/>
        </w:numPr>
        <w:ind w:left="720"/>
      </w:pPr>
    </w:p>
    <w:p w:rsidR="0079629A" w:rsidRDefault="00737B05" w:rsidP="00201E93">
      <w:pPr>
        <w:pStyle w:val="RISsubparagraph"/>
        <w:numPr>
          <w:ilvl w:val="0"/>
          <w:numId w:val="43"/>
        </w:numPr>
      </w:pPr>
      <w:r w:rsidRPr="00201E93">
        <w:rPr>
          <w:i/>
        </w:rPr>
        <w:t>The</w:t>
      </w:r>
      <w:r w:rsidR="0079629A" w:rsidRPr="00201E93">
        <w:rPr>
          <w:i/>
        </w:rPr>
        <w:t xml:space="preserve"> eco</w:t>
      </w:r>
      <w:r w:rsidR="007427D6" w:rsidRPr="00201E93">
        <w:rPr>
          <w:i/>
        </w:rPr>
        <w:t>nomic effect of the transaction</w:t>
      </w:r>
      <w:r w:rsidR="007427D6">
        <w:t xml:space="preserve">: Option 2 is consistent with the economics of an aircraft engine overhaul. </w:t>
      </w:r>
    </w:p>
    <w:p w:rsidR="007427D6" w:rsidRDefault="007427D6" w:rsidP="00201E93">
      <w:pPr>
        <w:pStyle w:val="RISsubparagraph"/>
        <w:numPr>
          <w:ilvl w:val="0"/>
          <w:numId w:val="0"/>
        </w:numPr>
        <w:ind w:left="720"/>
      </w:pPr>
    </w:p>
    <w:p w:rsidR="00347DA2" w:rsidRDefault="00737B05" w:rsidP="00201E93">
      <w:pPr>
        <w:pStyle w:val="RISsubparagraph"/>
        <w:numPr>
          <w:ilvl w:val="0"/>
          <w:numId w:val="43"/>
        </w:numPr>
      </w:pPr>
      <w:r w:rsidRPr="00201E93">
        <w:rPr>
          <w:i/>
        </w:rPr>
        <w:t>Minimising</w:t>
      </w:r>
      <w:r w:rsidR="0079629A" w:rsidRPr="00201E93">
        <w:rPr>
          <w:i/>
        </w:rPr>
        <w:t xml:space="preserve"> tax and</w:t>
      </w:r>
      <w:r w:rsidR="007427D6" w:rsidRPr="00201E93">
        <w:rPr>
          <w:i/>
        </w:rPr>
        <w:t xml:space="preserve"> compliance costs for taxpayers</w:t>
      </w:r>
      <w:r w:rsidR="007427D6">
        <w:t xml:space="preserve">: </w:t>
      </w:r>
      <w:r w:rsidR="00142B27">
        <w:t>Some increase in compliance cost</w:t>
      </w:r>
      <w:r w:rsidR="009C7302">
        <w:t>s</w:t>
      </w:r>
      <w:r w:rsidR="00142B27">
        <w:t xml:space="preserve"> would be anticipated for taxpayers currently using option 1.  In general, n</w:t>
      </w:r>
      <w:r w:rsidR="00347DA2">
        <w:t xml:space="preserve">o material effect on compliance costs is expected because the information </w:t>
      </w:r>
      <w:r w:rsidR="00B56159">
        <w:t xml:space="preserve">is </w:t>
      </w:r>
      <w:r w:rsidR="00347DA2">
        <w:t xml:space="preserve">either already required under </w:t>
      </w:r>
      <w:r w:rsidR="007427D6">
        <w:t xml:space="preserve">CAA rules </w:t>
      </w:r>
      <w:r w:rsidR="00B56159">
        <w:t>and the cost information is readily available and is already used by many taxpayers.</w:t>
      </w:r>
      <w:r w:rsidR="00347DA2">
        <w:t xml:space="preserve">  The timing of payments of income tax will change due to an incurred cost being spread over the period between overhauls.</w:t>
      </w:r>
    </w:p>
    <w:p w:rsidR="0079629A" w:rsidRDefault="0079629A" w:rsidP="00201E93">
      <w:pPr>
        <w:pStyle w:val="RISsubparagraph"/>
        <w:numPr>
          <w:ilvl w:val="0"/>
          <w:numId w:val="0"/>
        </w:numPr>
        <w:ind w:left="720"/>
      </w:pPr>
    </w:p>
    <w:p w:rsidR="00FA0DF0" w:rsidRDefault="00737B05" w:rsidP="00201E93">
      <w:pPr>
        <w:pStyle w:val="RISsubparagraph"/>
        <w:numPr>
          <w:ilvl w:val="0"/>
          <w:numId w:val="43"/>
        </w:numPr>
      </w:pPr>
      <w:r w:rsidRPr="00201E93">
        <w:rPr>
          <w:i/>
        </w:rPr>
        <w:t>Minimising</w:t>
      </w:r>
      <w:r w:rsidR="0079629A" w:rsidRPr="00201E93">
        <w:rPr>
          <w:i/>
        </w:rPr>
        <w:t xml:space="preserve"> administration costs</w:t>
      </w:r>
      <w:r w:rsidR="00347DA2" w:rsidRPr="00201E93">
        <w:rPr>
          <w:i/>
        </w:rPr>
        <w:t xml:space="preserve"> for Inland Revenue</w:t>
      </w:r>
      <w:r w:rsidR="00347DA2">
        <w:t xml:space="preserve">: </w:t>
      </w:r>
      <w:r w:rsidR="00FA0DF0">
        <w:t xml:space="preserve">Option 2 is expected to result in better information for Inland Revenue, enabling better targeting of audit activity, and a resulting reduction in </w:t>
      </w:r>
      <w:r w:rsidR="00B56159">
        <w:t>administration</w:t>
      </w:r>
      <w:r w:rsidR="00FA0DF0">
        <w:t xml:space="preserve"> costs.</w:t>
      </w:r>
    </w:p>
    <w:p w:rsidR="00347DA2" w:rsidRDefault="00347DA2" w:rsidP="00201E93">
      <w:pPr>
        <w:pStyle w:val="RISsubparagraph"/>
        <w:numPr>
          <w:ilvl w:val="0"/>
          <w:numId w:val="0"/>
        </w:numPr>
        <w:ind w:left="720"/>
      </w:pPr>
    </w:p>
    <w:p w:rsidR="0079629A" w:rsidRDefault="00737B05" w:rsidP="00201E93">
      <w:pPr>
        <w:pStyle w:val="RISsubparagraph"/>
        <w:numPr>
          <w:ilvl w:val="0"/>
          <w:numId w:val="43"/>
        </w:numPr>
      </w:pPr>
      <w:r w:rsidRPr="00201E93">
        <w:rPr>
          <w:i/>
        </w:rPr>
        <w:t>Minimising</w:t>
      </w:r>
      <w:r w:rsidR="0079629A" w:rsidRPr="00201E93">
        <w:rPr>
          <w:i/>
        </w:rPr>
        <w:t xml:space="preserve"> the risk of</w:t>
      </w:r>
      <w:r w:rsidR="00347DA2" w:rsidRPr="00201E93">
        <w:rPr>
          <w:i/>
        </w:rPr>
        <w:t xml:space="preserve"> non-compliance with CAA rules</w:t>
      </w:r>
      <w:r w:rsidR="00347DA2">
        <w:t>: The compliance cost</w:t>
      </w:r>
      <w:r w:rsidR="009C7302">
        <w:t>s</w:t>
      </w:r>
      <w:r w:rsidR="00347DA2">
        <w:t xml:space="preserve"> for option 2 would be expected to be significant for small operators, particularly in the agricultural sector.  </w:t>
      </w:r>
      <w:r w:rsidR="009C7302">
        <w:t>Consequently a</w:t>
      </w:r>
      <w:r w:rsidR="00347DA2">
        <w:t>n election</w:t>
      </w:r>
      <w:r w:rsidR="00FA0DF0">
        <w:t xml:space="preserve"> to use option 1</w:t>
      </w:r>
      <w:r w:rsidR="00347DA2">
        <w:t xml:space="preserve"> is proposed to overcome this problem</w:t>
      </w:r>
      <w:r w:rsidR="009C7302">
        <w:t xml:space="preserve"> and thereby minimise the risk of non-compliance with the CAA rules</w:t>
      </w:r>
      <w:r w:rsidR="00347DA2">
        <w:t>.</w:t>
      </w:r>
    </w:p>
    <w:p w:rsidR="00347DA2" w:rsidRDefault="00347DA2" w:rsidP="00201E93">
      <w:pPr>
        <w:pStyle w:val="RISsubparagraph"/>
        <w:numPr>
          <w:ilvl w:val="0"/>
          <w:numId w:val="0"/>
        </w:numPr>
        <w:ind w:left="720"/>
      </w:pPr>
    </w:p>
    <w:p w:rsidR="0079629A" w:rsidRDefault="00737B05" w:rsidP="00201E93">
      <w:pPr>
        <w:pStyle w:val="RISsubparagraph"/>
        <w:numPr>
          <w:ilvl w:val="0"/>
          <w:numId w:val="43"/>
        </w:numPr>
      </w:pPr>
      <w:r w:rsidRPr="00201E93">
        <w:rPr>
          <w:i/>
        </w:rPr>
        <w:t>Fiscal</w:t>
      </w:r>
      <w:r w:rsidR="0079629A" w:rsidRPr="00201E93">
        <w:rPr>
          <w:i/>
        </w:rPr>
        <w:t xml:space="preserve"> neutrality over the time the aircraft is owned</w:t>
      </w:r>
      <w:r w:rsidR="0079629A">
        <w:t>.</w:t>
      </w:r>
      <w:r w:rsidR="00347DA2">
        <w:t xml:space="preserve"> </w:t>
      </w:r>
      <w:r w:rsidR="00347DA2" w:rsidRPr="00634A71">
        <w:t>All deductions</w:t>
      </w:r>
      <w:r w:rsidR="00B56159">
        <w:t xml:space="preserve"> for aircraft overhaul expenses</w:t>
      </w:r>
      <w:r w:rsidR="00347DA2" w:rsidRPr="00634A71">
        <w:t xml:space="preserve"> would be taken into account over the time the aircraft is owned</w:t>
      </w:r>
      <w:r w:rsidR="00FA0DF0">
        <w:t>.</w:t>
      </w:r>
    </w:p>
    <w:p w:rsidR="007427D6" w:rsidRDefault="00FA0DF0" w:rsidP="00201E93">
      <w:pPr>
        <w:pStyle w:val="RISsubheading"/>
      </w:pPr>
      <w:r>
        <w:t>Option 3: IFRS</w:t>
      </w:r>
    </w:p>
    <w:p w:rsidR="007427D6" w:rsidRDefault="00737B05" w:rsidP="00201E93">
      <w:pPr>
        <w:pStyle w:val="RISsubparagraph"/>
        <w:numPr>
          <w:ilvl w:val="0"/>
          <w:numId w:val="44"/>
        </w:numPr>
      </w:pPr>
      <w:r w:rsidRPr="00201E93">
        <w:rPr>
          <w:i/>
        </w:rPr>
        <w:t>The</w:t>
      </w:r>
      <w:r w:rsidR="007427D6" w:rsidRPr="00201E93">
        <w:rPr>
          <w:i/>
        </w:rPr>
        <w:t xml:space="preserve"> efficiency </w:t>
      </w:r>
      <w:r w:rsidR="00FA0DF0" w:rsidRPr="00201E93">
        <w:rPr>
          <w:i/>
        </w:rPr>
        <w:t>and coherency of the tax system</w:t>
      </w:r>
      <w:r w:rsidR="00FA0DF0">
        <w:t>: Option 3 is consistent with the policy objective that tax is imposed on the best approximation of economic income.</w:t>
      </w:r>
    </w:p>
    <w:p w:rsidR="00FA0DF0" w:rsidRDefault="00FA0DF0" w:rsidP="00201E93">
      <w:pPr>
        <w:pStyle w:val="RISsubparagraph"/>
        <w:numPr>
          <w:ilvl w:val="0"/>
          <w:numId w:val="0"/>
        </w:numPr>
        <w:ind w:left="720"/>
      </w:pPr>
    </w:p>
    <w:p w:rsidR="007427D6" w:rsidRDefault="00737B05" w:rsidP="00201E93">
      <w:pPr>
        <w:pStyle w:val="RISsubparagraph"/>
      </w:pPr>
      <w:r w:rsidRPr="00201E93">
        <w:rPr>
          <w:i/>
        </w:rPr>
        <w:t>The</w:t>
      </w:r>
      <w:r w:rsidR="007427D6" w:rsidRPr="00201E93">
        <w:rPr>
          <w:i/>
        </w:rPr>
        <w:t xml:space="preserve"> eco</w:t>
      </w:r>
      <w:r w:rsidR="00FA0DF0" w:rsidRPr="00201E93">
        <w:rPr>
          <w:i/>
        </w:rPr>
        <w:t>nomic effect of the transaction</w:t>
      </w:r>
      <w:r w:rsidR="00FA0DF0">
        <w:t>: Option 3 is consistent with the economics of an aircraft engine overhaul.</w:t>
      </w:r>
    </w:p>
    <w:p w:rsidR="00FA0DF0" w:rsidRDefault="00FA0DF0" w:rsidP="00201E93">
      <w:pPr>
        <w:pStyle w:val="RISsubparagraph"/>
        <w:numPr>
          <w:ilvl w:val="0"/>
          <w:numId w:val="0"/>
        </w:numPr>
        <w:ind w:left="720"/>
      </w:pPr>
    </w:p>
    <w:p w:rsidR="007427D6" w:rsidRDefault="00737B05" w:rsidP="00201E93">
      <w:pPr>
        <w:pStyle w:val="RISsubparagraph"/>
      </w:pPr>
      <w:r w:rsidRPr="00201E93">
        <w:rPr>
          <w:i/>
        </w:rPr>
        <w:t>Minimising</w:t>
      </w:r>
      <w:r w:rsidR="007427D6" w:rsidRPr="00201E93">
        <w:rPr>
          <w:i/>
        </w:rPr>
        <w:t xml:space="preserve"> tax and</w:t>
      </w:r>
      <w:r w:rsidR="00FA0DF0" w:rsidRPr="00201E93">
        <w:rPr>
          <w:i/>
        </w:rPr>
        <w:t xml:space="preserve"> compliance costs for taxpayers</w:t>
      </w:r>
      <w:r w:rsidR="00FA0DF0">
        <w:t>: No material effect on compliance costs is expected for IFRS taxpayers, although their compliance costs would reduce.  However, a significant increase in compliance costs would arise for non-IFRS taxpayers as recent reforms have removed the need for these taxpayers to prepare general purpose financial reports.  The timing of payments of income tax will change due to an incurred cost being spread over the period between overhauls.</w:t>
      </w:r>
    </w:p>
    <w:p w:rsidR="00FA0DF0" w:rsidRDefault="00FA0DF0" w:rsidP="00201E93">
      <w:pPr>
        <w:pStyle w:val="RISsubparagraph"/>
        <w:numPr>
          <w:ilvl w:val="0"/>
          <w:numId w:val="0"/>
        </w:numPr>
        <w:ind w:left="720"/>
      </w:pPr>
    </w:p>
    <w:p w:rsidR="007427D6" w:rsidRDefault="00737B05" w:rsidP="00201E93">
      <w:pPr>
        <w:pStyle w:val="RISsubparagraph"/>
      </w:pPr>
      <w:r w:rsidRPr="00201E93">
        <w:rPr>
          <w:i/>
        </w:rPr>
        <w:t>Minimising</w:t>
      </w:r>
      <w:r w:rsidR="007427D6" w:rsidRPr="00201E93">
        <w:rPr>
          <w:i/>
        </w:rPr>
        <w:t xml:space="preserve"> administration costs for Inland Revenue</w:t>
      </w:r>
      <w:r w:rsidR="007427D6">
        <w:t>;</w:t>
      </w:r>
      <w:r w:rsidR="00FA0DF0">
        <w:t xml:space="preserve"> Option 3 </w:t>
      </w:r>
      <w:r w:rsidR="00FA0DF0" w:rsidRPr="00FA0DF0">
        <w:t xml:space="preserve">is expected to result in better information for Inland Revenue, enabling better targeting of audit activity, and a resulting reduction in </w:t>
      </w:r>
      <w:r w:rsidR="00C32BA2">
        <w:t>administration</w:t>
      </w:r>
      <w:r w:rsidR="00FA0DF0" w:rsidRPr="00FA0DF0">
        <w:t xml:space="preserve"> costs.</w:t>
      </w:r>
    </w:p>
    <w:p w:rsidR="00FA0DF0" w:rsidRDefault="00FA0DF0" w:rsidP="00201E93">
      <w:pPr>
        <w:pStyle w:val="RISsubparagraph"/>
        <w:numPr>
          <w:ilvl w:val="0"/>
          <w:numId w:val="0"/>
        </w:numPr>
        <w:ind w:left="720"/>
      </w:pPr>
    </w:p>
    <w:p w:rsidR="007427D6" w:rsidRDefault="00737B05" w:rsidP="00201E93">
      <w:pPr>
        <w:pStyle w:val="RISsubparagraph"/>
      </w:pPr>
      <w:r w:rsidRPr="00201E93">
        <w:rPr>
          <w:i/>
        </w:rPr>
        <w:t>Minimising</w:t>
      </w:r>
      <w:r w:rsidR="007427D6" w:rsidRPr="00201E93">
        <w:rPr>
          <w:i/>
        </w:rPr>
        <w:t xml:space="preserve"> the risk of non-compliance with CAA rules</w:t>
      </w:r>
      <w:r w:rsidR="007427D6">
        <w:t xml:space="preserve">; </w:t>
      </w:r>
      <w:r>
        <w:t>the</w:t>
      </w:r>
      <w:r w:rsidR="00FA0DF0">
        <w:t xml:space="preserve"> compliance cost</w:t>
      </w:r>
      <w:r w:rsidR="009C7302">
        <w:t>s</w:t>
      </w:r>
      <w:r w:rsidR="00FA0DF0">
        <w:t xml:space="preserve"> for option 3</w:t>
      </w:r>
      <w:r w:rsidR="00FA0DF0" w:rsidRPr="00FA0DF0">
        <w:t xml:space="preserve"> would be expected to be significant for small operators, particularly in the agricultural sector.  </w:t>
      </w:r>
      <w:r w:rsidR="009C7302">
        <w:t>Like option 2, a</w:t>
      </w:r>
      <w:r w:rsidR="00FA0DF0" w:rsidRPr="00FA0DF0">
        <w:t>n election to use option 1 is proposed to overcome this problem</w:t>
      </w:r>
      <w:r w:rsidR="00FA0DF0">
        <w:t>.</w:t>
      </w:r>
    </w:p>
    <w:p w:rsidR="00FA0DF0" w:rsidRDefault="00FA0DF0" w:rsidP="00201E93">
      <w:pPr>
        <w:pStyle w:val="RISsubparagraph"/>
        <w:numPr>
          <w:ilvl w:val="0"/>
          <w:numId w:val="0"/>
        </w:numPr>
        <w:ind w:left="720"/>
      </w:pPr>
    </w:p>
    <w:p w:rsidR="007427D6" w:rsidRDefault="00737B05" w:rsidP="00201E93">
      <w:pPr>
        <w:pStyle w:val="RISsubparagraph"/>
      </w:pPr>
      <w:r w:rsidRPr="00201E93">
        <w:rPr>
          <w:i/>
        </w:rPr>
        <w:t>Fiscal</w:t>
      </w:r>
      <w:r w:rsidR="007427D6" w:rsidRPr="00201E93">
        <w:rPr>
          <w:i/>
        </w:rPr>
        <w:t xml:space="preserve"> neutrality over the time the aircraft is owned</w:t>
      </w:r>
      <w:r w:rsidR="007427D6">
        <w:t>.</w:t>
      </w:r>
      <w:r w:rsidR="00FA0DF0">
        <w:t xml:space="preserve"> </w:t>
      </w:r>
      <w:r w:rsidR="00FA0DF0" w:rsidRPr="00634A71">
        <w:t xml:space="preserve">All deductions </w:t>
      </w:r>
      <w:r w:rsidR="00B56159">
        <w:t>for aircraft overhaul expenses</w:t>
      </w:r>
      <w:r w:rsidR="00B56159" w:rsidRPr="00634A71">
        <w:t xml:space="preserve"> </w:t>
      </w:r>
      <w:r w:rsidR="00FA0DF0" w:rsidRPr="00634A71">
        <w:t>would be taken into account over the time the aircraft is owned</w:t>
      </w:r>
      <w:r w:rsidR="00FA0DF0">
        <w:t>.</w:t>
      </w:r>
    </w:p>
    <w:p w:rsidR="007427D6" w:rsidRDefault="00FA0DF0" w:rsidP="00201E93">
      <w:pPr>
        <w:pStyle w:val="RISsubheading"/>
      </w:pPr>
      <w:r>
        <w:t xml:space="preserve">Option 4: </w:t>
      </w:r>
      <w:r w:rsidR="009C7302">
        <w:t>P</w:t>
      </w:r>
      <w:r>
        <w:t xml:space="preserve">rovisioning accounting </w:t>
      </w:r>
      <w:r w:rsidR="009C7302">
        <w:t>method</w:t>
      </w:r>
    </w:p>
    <w:p w:rsidR="007427D6" w:rsidRDefault="00737B05" w:rsidP="00201E93">
      <w:pPr>
        <w:pStyle w:val="RISsubparagraph"/>
        <w:numPr>
          <w:ilvl w:val="0"/>
          <w:numId w:val="45"/>
        </w:numPr>
      </w:pPr>
      <w:r w:rsidRPr="00201E93">
        <w:rPr>
          <w:i/>
        </w:rPr>
        <w:t>The</w:t>
      </w:r>
      <w:r w:rsidR="007427D6" w:rsidRPr="00201E93">
        <w:rPr>
          <w:i/>
        </w:rPr>
        <w:t xml:space="preserve"> efficiency </w:t>
      </w:r>
      <w:r w:rsidR="00142B27" w:rsidRPr="00201E93">
        <w:rPr>
          <w:i/>
        </w:rPr>
        <w:t>and coherency of the tax system</w:t>
      </w:r>
      <w:r w:rsidR="00142B27">
        <w:t xml:space="preserve">: Option 4 is inconsistent with the coherency of the tax system In </w:t>
      </w:r>
      <w:r>
        <w:t>particular;</w:t>
      </w:r>
      <w:r w:rsidR="00142B27">
        <w:t xml:space="preserve"> the estimates of future expenses under the provisioning accounting practice </w:t>
      </w:r>
      <w:r w:rsidR="00142B27" w:rsidRPr="00142B27">
        <w:t>are revised annually and so include an inflationary element.  Current tax policy settings do not allow deductions for inflation adjusted amounts, nor do they allow a deduction for provisions for future expenses that have not been incurred.  Allowing option 4 would create an incentive for other sect</w:t>
      </w:r>
      <w:r w:rsidR="00142B27">
        <w:t>ors to seek similar treatment.</w:t>
      </w:r>
    </w:p>
    <w:p w:rsidR="00142B27" w:rsidRDefault="00142B27" w:rsidP="00201E93">
      <w:pPr>
        <w:pStyle w:val="RISsubparagraph"/>
        <w:numPr>
          <w:ilvl w:val="0"/>
          <w:numId w:val="0"/>
        </w:numPr>
        <w:ind w:left="720"/>
      </w:pPr>
    </w:p>
    <w:p w:rsidR="00142B27" w:rsidRDefault="00737B05" w:rsidP="00201E93">
      <w:pPr>
        <w:pStyle w:val="RISsubparagraph"/>
        <w:numPr>
          <w:ilvl w:val="0"/>
          <w:numId w:val="45"/>
        </w:numPr>
      </w:pPr>
      <w:r w:rsidRPr="00201E93">
        <w:rPr>
          <w:i/>
        </w:rPr>
        <w:t>The</w:t>
      </w:r>
      <w:r w:rsidR="007427D6" w:rsidRPr="00201E93">
        <w:rPr>
          <w:i/>
        </w:rPr>
        <w:t xml:space="preserve"> eco</w:t>
      </w:r>
      <w:r w:rsidR="00142B27" w:rsidRPr="00201E93">
        <w:rPr>
          <w:i/>
        </w:rPr>
        <w:t>nomic effect of the transaction</w:t>
      </w:r>
      <w:r w:rsidR="00142B27">
        <w:t>:  The valuation of the expense (estimated future expenses) is inconsistent with the economic effect of the transaction which would normally seek to match the value of the expense with the income generated from the aircraft after it is returned to service.</w:t>
      </w:r>
    </w:p>
    <w:p w:rsidR="00737B05" w:rsidRDefault="00737B05" w:rsidP="000A3815">
      <w:pPr>
        <w:pStyle w:val="RISsubparagraph"/>
        <w:numPr>
          <w:ilvl w:val="0"/>
          <w:numId w:val="0"/>
        </w:numPr>
        <w:ind w:left="720"/>
      </w:pPr>
    </w:p>
    <w:p w:rsidR="007427D6" w:rsidRDefault="00737B05">
      <w:pPr>
        <w:pStyle w:val="RISsubparagraph"/>
        <w:numPr>
          <w:ilvl w:val="0"/>
          <w:numId w:val="45"/>
        </w:numPr>
      </w:pPr>
      <w:r w:rsidRPr="00201E93">
        <w:rPr>
          <w:i/>
        </w:rPr>
        <w:t>Minimising</w:t>
      </w:r>
      <w:r w:rsidR="007427D6" w:rsidRPr="00201E93">
        <w:rPr>
          <w:i/>
        </w:rPr>
        <w:t xml:space="preserve"> tax and</w:t>
      </w:r>
      <w:r w:rsidR="00142B27" w:rsidRPr="00201E93">
        <w:rPr>
          <w:i/>
        </w:rPr>
        <w:t xml:space="preserve"> compliance costs for taxpayers</w:t>
      </w:r>
      <w:r w:rsidR="00142B27">
        <w:t xml:space="preserve">: This method would increase compliance </w:t>
      </w:r>
      <w:r>
        <w:t>costs for</w:t>
      </w:r>
      <w:r w:rsidR="00142B27">
        <w:t xml:space="preserve"> taxpayers currently using option 1.</w:t>
      </w:r>
      <w:r w:rsidR="00B56159" w:rsidRPr="00B56159">
        <w:t xml:space="preserve">  In general, no material effect on compliance costs is expected because the information is either already required under CAA rules and the cost information is readily available and is already used by many taxpayers.  The timing of payments of income tax will change due to an incurred cost being spread over the period between overhauls.</w:t>
      </w:r>
    </w:p>
    <w:p w:rsidR="00B56159" w:rsidRDefault="00B56159" w:rsidP="00201E93">
      <w:pPr>
        <w:pStyle w:val="RISsubparagraph"/>
        <w:numPr>
          <w:ilvl w:val="0"/>
          <w:numId w:val="0"/>
        </w:numPr>
        <w:ind w:left="720"/>
      </w:pPr>
    </w:p>
    <w:p w:rsidR="007427D6" w:rsidRDefault="007427D6" w:rsidP="00201E93">
      <w:pPr>
        <w:pStyle w:val="RISsubparagraph"/>
        <w:numPr>
          <w:ilvl w:val="0"/>
          <w:numId w:val="45"/>
        </w:numPr>
      </w:pPr>
      <w:r w:rsidRPr="00201E93">
        <w:rPr>
          <w:i/>
        </w:rPr>
        <w:t>minimising administ</w:t>
      </w:r>
      <w:r w:rsidR="00B56159" w:rsidRPr="00201E93">
        <w:rPr>
          <w:i/>
        </w:rPr>
        <w:t>ration costs for Inland Revenue</w:t>
      </w:r>
      <w:r w:rsidR="00B56159">
        <w:t xml:space="preserve">: </w:t>
      </w:r>
      <w:r w:rsidR="00B56159" w:rsidRPr="00B56159">
        <w:t xml:space="preserve">Option </w:t>
      </w:r>
      <w:r w:rsidR="00B56159">
        <w:t>4</w:t>
      </w:r>
      <w:r w:rsidR="00B56159" w:rsidRPr="00B56159">
        <w:t xml:space="preserve">is expected to result in better information for Inland Revenue, enabling better targeting of audit activity, and a resulting reduction in </w:t>
      </w:r>
      <w:r w:rsidR="00B56159">
        <w:t>administration</w:t>
      </w:r>
      <w:r w:rsidR="00B56159" w:rsidRPr="00B56159">
        <w:t xml:space="preserve"> costs</w:t>
      </w:r>
    </w:p>
    <w:p w:rsidR="00B56159" w:rsidRDefault="00B56159" w:rsidP="00201E93">
      <w:pPr>
        <w:pStyle w:val="RISsubparagraph"/>
        <w:numPr>
          <w:ilvl w:val="0"/>
          <w:numId w:val="0"/>
        </w:numPr>
        <w:ind w:left="720"/>
      </w:pPr>
    </w:p>
    <w:p w:rsidR="007427D6" w:rsidRDefault="00737B05" w:rsidP="00201E93">
      <w:pPr>
        <w:pStyle w:val="RISsubparagraph"/>
        <w:numPr>
          <w:ilvl w:val="0"/>
          <w:numId w:val="45"/>
        </w:numPr>
      </w:pPr>
      <w:r w:rsidRPr="00201E93">
        <w:rPr>
          <w:i/>
        </w:rPr>
        <w:t>Minimising</w:t>
      </w:r>
      <w:r w:rsidR="007427D6" w:rsidRPr="00201E93">
        <w:rPr>
          <w:i/>
        </w:rPr>
        <w:t xml:space="preserve"> the risk of non-compliance with CAA rules</w:t>
      </w:r>
      <w:r w:rsidR="007427D6">
        <w:t xml:space="preserve">; </w:t>
      </w:r>
      <w:r w:rsidRPr="00B56159">
        <w:t>the</w:t>
      </w:r>
      <w:r w:rsidR="00B56159" w:rsidRPr="00B56159">
        <w:t xml:space="preserve"> compliance cost for option 3 would be expected to be significant for small operators, particularly in the agricultural sector.  An election to use option 1 is proposed to overcome this problem</w:t>
      </w:r>
      <w:r w:rsidR="00086459">
        <w:t>.</w:t>
      </w:r>
    </w:p>
    <w:p w:rsidR="00086459" w:rsidRDefault="00086459" w:rsidP="00201E93">
      <w:pPr>
        <w:pStyle w:val="RISsubparagraph"/>
        <w:numPr>
          <w:ilvl w:val="0"/>
          <w:numId w:val="0"/>
        </w:numPr>
        <w:ind w:left="720"/>
      </w:pPr>
      <w:r>
        <w:tab/>
      </w:r>
    </w:p>
    <w:p w:rsidR="007427D6" w:rsidRDefault="00737B05" w:rsidP="00201E93">
      <w:pPr>
        <w:pStyle w:val="RISsubparagraph"/>
        <w:numPr>
          <w:ilvl w:val="0"/>
          <w:numId w:val="45"/>
        </w:numPr>
      </w:pPr>
      <w:r w:rsidRPr="00201E93">
        <w:rPr>
          <w:i/>
        </w:rPr>
        <w:t>Fiscal</w:t>
      </w:r>
      <w:r w:rsidR="007427D6" w:rsidRPr="00201E93">
        <w:rPr>
          <w:i/>
        </w:rPr>
        <w:t xml:space="preserve"> neutrality over</w:t>
      </w:r>
      <w:r w:rsidR="00B56159" w:rsidRPr="00201E93">
        <w:rPr>
          <w:i/>
        </w:rPr>
        <w:t xml:space="preserve"> the time the aircraft is owned</w:t>
      </w:r>
      <w:r w:rsidR="00B56159">
        <w:t xml:space="preserve">: </w:t>
      </w:r>
      <w:r w:rsidR="00B56159" w:rsidRPr="00634A71">
        <w:t>All deductions</w:t>
      </w:r>
      <w:r w:rsidR="00B56159">
        <w:t xml:space="preserve"> for aircraft overhaul expenses</w:t>
      </w:r>
      <w:r w:rsidR="00B56159" w:rsidRPr="00634A71">
        <w:t xml:space="preserve"> would be taken into account over the time the aircraft is owned</w:t>
      </w:r>
      <w:r w:rsidR="00B56159">
        <w:t>.</w:t>
      </w:r>
    </w:p>
    <w:p w:rsidR="007427D6" w:rsidRDefault="00B56159" w:rsidP="00201E93">
      <w:pPr>
        <w:pStyle w:val="RISsubheading"/>
      </w:pPr>
      <w:r>
        <w:t>Option 5: Equalisation</w:t>
      </w:r>
      <w:r w:rsidR="009C7302">
        <w:t xml:space="preserve"> method</w:t>
      </w:r>
    </w:p>
    <w:p w:rsidR="00B56159" w:rsidRDefault="00B56159" w:rsidP="00201E93">
      <w:pPr>
        <w:pStyle w:val="RISnumberlist"/>
      </w:pPr>
      <w:r>
        <w:t>The same observations regarding option 4 apply equally to option 5.  Other observations on the objectives of the review that are specific to option 5 are set out below.</w:t>
      </w:r>
    </w:p>
    <w:p w:rsidR="00B56159" w:rsidRDefault="00B56159" w:rsidP="00201E93">
      <w:pPr>
        <w:pStyle w:val="RISnumberlist"/>
        <w:numPr>
          <w:ilvl w:val="0"/>
          <w:numId w:val="0"/>
        </w:numPr>
        <w:ind w:left="360"/>
      </w:pPr>
    </w:p>
    <w:p w:rsidR="007427D6" w:rsidRDefault="00737B05" w:rsidP="00201E93">
      <w:pPr>
        <w:pStyle w:val="RISsubparagraph"/>
        <w:numPr>
          <w:ilvl w:val="0"/>
          <w:numId w:val="46"/>
        </w:numPr>
      </w:pPr>
      <w:r w:rsidRPr="00201E93">
        <w:rPr>
          <w:i/>
        </w:rPr>
        <w:t>The</w:t>
      </w:r>
      <w:r w:rsidR="007427D6" w:rsidRPr="00201E93">
        <w:rPr>
          <w:i/>
        </w:rPr>
        <w:t xml:space="preserve"> efficiency an</w:t>
      </w:r>
      <w:r w:rsidR="00B56159" w:rsidRPr="00201E93">
        <w:rPr>
          <w:i/>
        </w:rPr>
        <w:t>d coherency of the tax system</w:t>
      </w:r>
      <w:r w:rsidR="00B56159">
        <w:t>: This option increases the complexity in the tax system.</w:t>
      </w:r>
      <w:r w:rsidR="00B56159" w:rsidRPr="00B56159">
        <w:t xml:space="preserve"> </w:t>
      </w:r>
      <w:r w:rsidR="00B56159">
        <w:t xml:space="preserve"> Cash deposits made represent an increase in a sinking fund to provide financing for the next overhaul.  .</w:t>
      </w:r>
    </w:p>
    <w:p w:rsidR="00B56159" w:rsidRDefault="00B56159" w:rsidP="00201E93">
      <w:pPr>
        <w:pStyle w:val="RISsubparagraph"/>
        <w:numPr>
          <w:ilvl w:val="0"/>
          <w:numId w:val="0"/>
        </w:numPr>
        <w:ind w:left="720"/>
      </w:pPr>
    </w:p>
    <w:p w:rsidR="007427D6" w:rsidRDefault="00737B05" w:rsidP="00201E93">
      <w:pPr>
        <w:pStyle w:val="RISsubparagraph"/>
        <w:numPr>
          <w:ilvl w:val="0"/>
          <w:numId w:val="46"/>
        </w:numPr>
      </w:pPr>
      <w:r w:rsidRPr="00201E93">
        <w:rPr>
          <w:i/>
        </w:rPr>
        <w:t>The</w:t>
      </w:r>
      <w:r w:rsidR="007427D6" w:rsidRPr="00201E93">
        <w:rPr>
          <w:i/>
        </w:rPr>
        <w:t xml:space="preserve"> eco</w:t>
      </w:r>
      <w:r w:rsidR="00B56159" w:rsidRPr="00201E93">
        <w:rPr>
          <w:i/>
        </w:rPr>
        <w:t>nomic effect of the transaction</w:t>
      </w:r>
      <w:r w:rsidR="00B56159">
        <w:t xml:space="preserve">:  Depositing cash up to the level of the provision made is inconsistent with the economics of the overhaul process.  </w:t>
      </w:r>
    </w:p>
    <w:p w:rsidR="00B56159" w:rsidRDefault="00B56159" w:rsidP="00201E93">
      <w:pPr>
        <w:pStyle w:val="RISsubparagraph"/>
        <w:numPr>
          <w:ilvl w:val="0"/>
          <w:numId w:val="0"/>
        </w:numPr>
        <w:ind w:left="720"/>
      </w:pPr>
    </w:p>
    <w:p w:rsidR="00086459" w:rsidRDefault="00737B05" w:rsidP="00201E93">
      <w:pPr>
        <w:pStyle w:val="RISsubparagraph"/>
        <w:numPr>
          <w:ilvl w:val="0"/>
          <w:numId w:val="46"/>
        </w:numPr>
      </w:pPr>
      <w:r w:rsidRPr="00201E93">
        <w:rPr>
          <w:i/>
        </w:rPr>
        <w:t>Minimising</w:t>
      </w:r>
      <w:r w:rsidR="007427D6" w:rsidRPr="00201E93">
        <w:rPr>
          <w:i/>
        </w:rPr>
        <w:t xml:space="preserve"> tax and</w:t>
      </w:r>
      <w:r w:rsidR="00B56159" w:rsidRPr="00201E93">
        <w:rPr>
          <w:i/>
        </w:rPr>
        <w:t xml:space="preserve"> compliance costs for taxpayers</w:t>
      </w:r>
      <w:r w:rsidR="00B56159">
        <w:t xml:space="preserve">: </w:t>
      </w:r>
      <w:r w:rsidR="00086459">
        <w:t>option 5 would increase compliance costs for taxpayers currently using Option 1.  Tax payments for taxpayers using the provisioning accounting practice would be unaffected if cash deposits were made.  However, it was recognised that there had been little uptake within o</w:t>
      </w:r>
      <w:r w:rsidR="00086459" w:rsidRPr="00086459">
        <w:t xml:space="preserve">ther equalisation schemes </w:t>
      </w:r>
      <w:r w:rsidR="00086459">
        <w:t>introduced to allow deductions for cash deposits backed by provisions recorded in general purpose financial reports.</w:t>
      </w:r>
    </w:p>
    <w:p w:rsidR="00086459" w:rsidRDefault="00086459" w:rsidP="00201E93">
      <w:pPr>
        <w:pStyle w:val="RISsubparagraph"/>
        <w:numPr>
          <w:ilvl w:val="0"/>
          <w:numId w:val="0"/>
        </w:numPr>
        <w:ind w:left="720"/>
      </w:pPr>
    </w:p>
    <w:p w:rsidR="007427D6" w:rsidRDefault="00737B05" w:rsidP="00201E93">
      <w:pPr>
        <w:pStyle w:val="RISsubparagraph"/>
        <w:numPr>
          <w:ilvl w:val="0"/>
          <w:numId w:val="46"/>
        </w:numPr>
      </w:pPr>
      <w:r w:rsidRPr="00201E93">
        <w:rPr>
          <w:i/>
        </w:rPr>
        <w:t>Minimising</w:t>
      </w:r>
      <w:r w:rsidR="007427D6" w:rsidRPr="00201E93">
        <w:rPr>
          <w:i/>
        </w:rPr>
        <w:t xml:space="preserve"> administ</w:t>
      </w:r>
      <w:r w:rsidR="00086459" w:rsidRPr="00201E93">
        <w:rPr>
          <w:i/>
        </w:rPr>
        <w:t>ration costs for Inland Revenue</w:t>
      </w:r>
      <w:r w:rsidR="00086459">
        <w:t>.  This option would increase administration costs for Inland Revenue as a system would need to be established for option 5.</w:t>
      </w:r>
    </w:p>
    <w:p w:rsidR="007427D6" w:rsidRDefault="00737B05">
      <w:pPr>
        <w:pStyle w:val="RISsubparagraph"/>
        <w:numPr>
          <w:ilvl w:val="0"/>
          <w:numId w:val="46"/>
        </w:numPr>
      </w:pPr>
      <w:r w:rsidRPr="00201E93">
        <w:rPr>
          <w:i/>
        </w:rPr>
        <w:t>Minimising</w:t>
      </w:r>
      <w:r w:rsidR="007427D6" w:rsidRPr="00201E93">
        <w:rPr>
          <w:i/>
        </w:rPr>
        <w:t xml:space="preserve"> the risk of non-compliance with CAA rules</w:t>
      </w:r>
      <w:r w:rsidR="00086459">
        <w:t xml:space="preserve">: </w:t>
      </w:r>
      <w:r w:rsidR="00086459" w:rsidRPr="00086459">
        <w:t>The compliance cost for option 3 would be expected to be significant for small operators, particularly in the agricultural sector.  An election to use option 1 is proposed to overcome this problem</w:t>
      </w:r>
      <w:r w:rsidR="00086459">
        <w:t>.</w:t>
      </w:r>
    </w:p>
    <w:p w:rsidR="00086459" w:rsidRDefault="00086459" w:rsidP="00201E93">
      <w:pPr>
        <w:pStyle w:val="RISsubparagraph"/>
        <w:numPr>
          <w:ilvl w:val="0"/>
          <w:numId w:val="0"/>
        </w:numPr>
        <w:ind w:left="720"/>
      </w:pPr>
    </w:p>
    <w:p w:rsidR="007427D6" w:rsidRDefault="00737B05" w:rsidP="00201E93">
      <w:pPr>
        <w:pStyle w:val="RISsubparagraph"/>
        <w:numPr>
          <w:ilvl w:val="0"/>
          <w:numId w:val="46"/>
        </w:numPr>
      </w:pPr>
      <w:r w:rsidRPr="00201E93">
        <w:rPr>
          <w:i/>
        </w:rPr>
        <w:t>Fiscal</w:t>
      </w:r>
      <w:r w:rsidR="007427D6" w:rsidRPr="00201E93">
        <w:rPr>
          <w:i/>
        </w:rPr>
        <w:t xml:space="preserve"> neutrality over the time the aircraft is owned</w:t>
      </w:r>
      <w:r w:rsidR="00086459">
        <w:t xml:space="preserve">: </w:t>
      </w:r>
      <w:r w:rsidR="00086459" w:rsidRPr="00634A71">
        <w:t>All deductions</w:t>
      </w:r>
      <w:r w:rsidR="00086459">
        <w:t xml:space="preserve"> for aircraft overhaul expenses</w:t>
      </w:r>
      <w:r w:rsidR="00086459" w:rsidRPr="00634A71">
        <w:t xml:space="preserve"> would be taken into account over the time the aircraft is owned</w:t>
      </w:r>
      <w:r w:rsidR="00086459">
        <w:t>.</w:t>
      </w:r>
    </w:p>
    <w:p w:rsidR="0070613B" w:rsidRDefault="0070613B" w:rsidP="0070613B">
      <w:pPr>
        <w:pStyle w:val="RISmajorheading"/>
      </w:pPr>
      <w:r>
        <w:t xml:space="preserve">Impacts of each feasible option: </w:t>
      </w:r>
    </w:p>
    <w:p w:rsidR="00DD238D" w:rsidRDefault="00086459" w:rsidP="00201E93">
      <w:pPr>
        <w:pStyle w:val="RISnumberlist"/>
        <w:numPr>
          <w:ilvl w:val="0"/>
          <w:numId w:val="0"/>
        </w:numPr>
      </w:pPr>
      <w:r>
        <w:t xml:space="preserve">The analysis of each option against the objectives of the review and </w:t>
      </w:r>
      <w:r w:rsidR="00EC5718">
        <w:t>the economic</w:t>
      </w:r>
      <w:r w:rsidR="00DD238D">
        <w:t>,</w:t>
      </w:r>
      <w:r w:rsidR="00EC5718">
        <w:t xml:space="preserve"> fiscal,</w:t>
      </w:r>
      <w:r w:rsidR="00DD238D">
        <w:t xml:space="preserve"> </w:t>
      </w:r>
      <w:r w:rsidR="00737B05">
        <w:t>compliance and</w:t>
      </w:r>
      <w:r w:rsidR="00EC5718">
        <w:t xml:space="preserve"> administrative</w:t>
      </w:r>
      <w:r w:rsidR="00851D8C">
        <w:t xml:space="preserve"> impacts are </w:t>
      </w:r>
      <w:r>
        <w:t>summarised in table 1</w:t>
      </w:r>
      <w:r w:rsidR="000F1E7F">
        <w:t xml:space="preserve">: </w:t>
      </w:r>
      <w:r w:rsidR="000F1E7F" w:rsidRPr="00F27BFD">
        <w:rPr>
          <w:i/>
        </w:rPr>
        <w:t xml:space="preserve">Summary of </w:t>
      </w:r>
      <w:r w:rsidR="005A571D">
        <w:rPr>
          <w:i/>
        </w:rPr>
        <w:t>analysis:</w:t>
      </w:r>
      <w:r w:rsidR="000F1E7F" w:rsidRPr="00F27BFD">
        <w:rPr>
          <w:i/>
        </w:rPr>
        <w:t xml:space="preserve"> objectives and impacts.</w:t>
      </w:r>
      <w:r w:rsidR="00DD238D">
        <w:t xml:space="preserve"> </w:t>
      </w:r>
      <w:r w:rsidR="000F1E7F">
        <w:t xml:space="preserve">  </w:t>
      </w:r>
      <w:r>
        <w:t xml:space="preserve">Some further specific observations on economic and </w:t>
      </w:r>
      <w:r w:rsidR="000F1E7F">
        <w:t>compliance</w:t>
      </w:r>
      <w:r>
        <w:t xml:space="preserve"> impacts follow table 1. </w:t>
      </w:r>
    </w:p>
    <w:p w:rsidR="00DD238D" w:rsidRDefault="00DD238D" w:rsidP="00201E93">
      <w:pPr>
        <w:pStyle w:val="RISnumberlist"/>
        <w:sectPr w:rsidR="00DD238D" w:rsidSect="00371772">
          <w:footerReference w:type="even" r:id="rId9"/>
          <w:footerReference w:type="default" r:id="rId10"/>
          <w:pgSz w:w="11907" w:h="16840" w:code="9"/>
          <w:pgMar w:top="1134" w:right="1418" w:bottom="1134" w:left="1418" w:header="567" w:footer="567" w:gutter="0"/>
          <w:pgNumType w:start="1"/>
          <w:cols w:space="720"/>
          <w:titlePg/>
          <w:docGrid w:linePitch="360"/>
        </w:sectPr>
      </w:pPr>
    </w:p>
    <w:p w:rsidR="00DD238D" w:rsidRPr="00AD1120" w:rsidRDefault="00DD238D" w:rsidP="00DD238D">
      <w:pPr>
        <w:pStyle w:val="RISheading2"/>
        <w:rPr>
          <w:i/>
        </w:rPr>
      </w:pPr>
      <w:r w:rsidRPr="00AD1120">
        <w:rPr>
          <w:i/>
        </w:rPr>
        <w:t xml:space="preserve">Table </w:t>
      </w:r>
      <w:r>
        <w:rPr>
          <w:i/>
        </w:rPr>
        <w:t xml:space="preserve">1 Summary </w:t>
      </w:r>
      <w:r w:rsidR="009C7302">
        <w:rPr>
          <w:i/>
        </w:rPr>
        <w:t>of analysis</w:t>
      </w:r>
      <w:r w:rsidR="005A571D">
        <w:rPr>
          <w:i/>
        </w:rPr>
        <w:t>:</w:t>
      </w:r>
      <w:r w:rsidR="009C7302">
        <w:rPr>
          <w:i/>
        </w:rPr>
        <w:t xml:space="preserve"> objectives and impacts</w:t>
      </w:r>
    </w:p>
    <w:tbl>
      <w:tblPr>
        <w:tblStyle w:val="TableGrid"/>
        <w:tblW w:w="15593" w:type="dxa"/>
        <w:tblInd w:w="-459" w:type="dxa"/>
        <w:tblLayout w:type="fixed"/>
        <w:tblLook w:val="04A0" w:firstRow="1" w:lastRow="0" w:firstColumn="1" w:lastColumn="0" w:noHBand="0" w:noVBand="1"/>
      </w:tblPr>
      <w:tblGrid>
        <w:gridCol w:w="1560"/>
        <w:gridCol w:w="1134"/>
        <w:gridCol w:w="2551"/>
        <w:gridCol w:w="1134"/>
        <w:gridCol w:w="2268"/>
        <w:gridCol w:w="42"/>
        <w:gridCol w:w="2226"/>
        <w:gridCol w:w="1843"/>
        <w:gridCol w:w="2835"/>
      </w:tblGrid>
      <w:tr w:rsidR="00DD238D" w:rsidRPr="001709A5" w:rsidTr="00201E93">
        <w:trPr>
          <w:cantSplit/>
          <w:tblHeader/>
        </w:trPr>
        <w:tc>
          <w:tcPr>
            <w:tcW w:w="1560" w:type="dxa"/>
            <w:vMerge w:val="restart"/>
            <w:tcBorders>
              <w:top w:val="threeDEngrave" w:sz="24" w:space="0" w:color="auto"/>
              <w:left w:val="threeDEngrave" w:sz="2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Description</w:t>
            </w:r>
          </w:p>
        </w:tc>
        <w:tc>
          <w:tcPr>
            <w:tcW w:w="1134" w:type="dxa"/>
            <w:vMerge w:val="restart"/>
            <w:tcBorders>
              <w:top w:val="threeDEngrave" w:sz="24" w:space="0" w:color="auto"/>
              <w:left w:val="dotted" w:sz="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Meets</w:t>
            </w:r>
          </w:p>
          <w:p w:rsidR="00DD238D" w:rsidRPr="00201E93" w:rsidRDefault="00DD238D">
            <w:pPr>
              <w:pStyle w:val="RIStabletextbold"/>
              <w:rPr>
                <w:sz w:val="16"/>
              </w:rPr>
            </w:pPr>
            <w:r w:rsidRPr="00201E93">
              <w:rPr>
                <w:sz w:val="16"/>
              </w:rPr>
              <w:t>objectives</w:t>
            </w:r>
          </w:p>
        </w:tc>
        <w:tc>
          <w:tcPr>
            <w:tcW w:w="10064" w:type="dxa"/>
            <w:gridSpan w:val="6"/>
            <w:tcBorders>
              <w:top w:val="threeDEngrave" w:sz="24" w:space="0" w:color="auto"/>
              <w:left w:val="dotted" w:sz="4" w:space="0" w:color="auto"/>
              <w:bottom w:val="single" w:sz="4" w:space="0" w:color="auto"/>
              <w:right w:val="dotted" w:sz="4" w:space="0" w:color="auto"/>
            </w:tcBorders>
            <w:shd w:val="clear" w:color="auto" w:fill="D9D9D9" w:themeFill="background1" w:themeFillShade="D9"/>
            <w:vAlign w:val="center"/>
          </w:tcPr>
          <w:p w:rsidR="00DD238D" w:rsidRPr="00201E93" w:rsidRDefault="00DD238D">
            <w:pPr>
              <w:pStyle w:val="RIStabletextbold"/>
              <w:rPr>
                <w:sz w:val="16"/>
              </w:rPr>
            </w:pPr>
            <w:r w:rsidRPr="00201E93">
              <w:rPr>
                <w:sz w:val="16"/>
              </w:rPr>
              <w:t>IMPACTS</w:t>
            </w:r>
          </w:p>
        </w:tc>
        <w:tc>
          <w:tcPr>
            <w:tcW w:w="2835" w:type="dxa"/>
            <w:vMerge w:val="restart"/>
            <w:tcBorders>
              <w:top w:val="threeDEngrave" w:sz="24" w:space="0" w:color="auto"/>
              <w:left w:val="dotted" w:sz="4" w:space="0" w:color="auto"/>
              <w:right w:val="threeDEmboss" w:sz="24" w:space="0" w:color="auto"/>
            </w:tcBorders>
            <w:shd w:val="clear" w:color="auto" w:fill="auto"/>
            <w:vAlign w:val="center"/>
          </w:tcPr>
          <w:p w:rsidR="00DD238D" w:rsidRPr="00201E93" w:rsidRDefault="00DD238D">
            <w:pPr>
              <w:pStyle w:val="RIStabletextbold"/>
              <w:rPr>
                <w:sz w:val="16"/>
              </w:rPr>
            </w:pPr>
            <w:r w:rsidRPr="00201E93">
              <w:rPr>
                <w:sz w:val="16"/>
              </w:rPr>
              <w:t>Net impact</w:t>
            </w:r>
          </w:p>
        </w:tc>
      </w:tr>
      <w:tr w:rsidR="00DD238D" w:rsidRPr="001709A5" w:rsidTr="00201E93">
        <w:trPr>
          <w:cantSplit/>
          <w:trHeight w:val="643"/>
          <w:tblHeader/>
        </w:trPr>
        <w:tc>
          <w:tcPr>
            <w:tcW w:w="1560" w:type="dxa"/>
            <w:vMerge/>
            <w:tcBorders>
              <w:left w:val="threeDEngrave" w:sz="24" w:space="0" w:color="auto"/>
              <w:bottom w:val="threeDEmboss" w:sz="24" w:space="0" w:color="auto"/>
              <w:right w:val="dotted" w:sz="4" w:space="0" w:color="auto"/>
            </w:tcBorders>
            <w:shd w:val="clear" w:color="auto" w:fill="auto"/>
            <w:vAlign w:val="center"/>
          </w:tcPr>
          <w:p w:rsidR="00DD238D" w:rsidRPr="00201E93" w:rsidRDefault="00DD238D" w:rsidP="00201E93">
            <w:pPr>
              <w:pStyle w:val="RIStabletext"/>
              <w:rPr>
                <w:sz w:val="16"/>
              </w:rPr>
            </w:pPr>
          </w:p>
        </w:tc>
        <w:tc>
          <w:tcPr>
            <w:tcW w:w="1134" w:type="dxa"/>
            <w:vMerge/>
            <w:tcBorders>
              <w:left w:val="dotted" w:sz="4" w:space="0" w:color="auto"/>
              <w:bottom w:val="threeDEmboss" w:sz="24" w:space="0" w:color="auto"/>
              <w:right w:val="dotted" w:sz="4" w:space="0" w:color="auto"/>
            </w:tcBorders>
            <w:shd w:val="clear" w:color="auto" w:fill="auto"/>
            <w:vAlign w:val="center"/>
          </w:tcPr>
          <w:p w:rsidR="00DD238D" w:rsidRPr="00201E93" w:rsidRDefault="00DD238D" w:rsidP="00201E93">
            <w:pPr>
              <w:pStyle w:val="RIStabletext"/>
              <w:rPr>
                <w:sz w:val="16"/>
              </w:rPr>
            </w:pPr>
          </w:p>
        </w:tc>
        <w:tc>
          <w:tcPr>
            <w:tcW w:w="2551" w:type="dxa"/>
            <w:tcBorders>
              <w:top w:val="single" w:sz="4" w:space="0" w:color="auto"/>
              <w:left w:val="dotted" w:sz="4" w:space="0" w:color="auto"/>
              <w:bottom w:val="threeDEmboss" w:sz="2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Economic impact</w:t>
            </w:r>
          </w:p>
        </w:tc>
        <w:tc>
          <w:tcPr>
            <w:tcW w:w="1134" w:type="dxa"/>
            <w:tcBorders>
              <w:top w:val="single" w:sz="4" w:space="0" w:color="auto"/>
              <w:left w:val="dotted" w:sz="4" w:space="0" w:color="auto"/>
              <w:bottom w:val="threeDEmboss" w:sz="2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Fiscal impact over five years</w:t>
            </w:r>
          </w:p>
        </w:tc>
        <w:tc>
          <w:tcPr>
            <w:tcW w:w="2268" w:type="dxa"/>
            <w:tcBorders>
              <w:top w:val="single" w:sz="4" w:space="0" w:color="auto"/>
              <w:left w:val="dotted" w:sz="4" w:space="0" w:color="auto"/>
              <w:bottom w:val="threeDEmboss" w:sz="2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Compliance impacts</w:t>
            </w:r>
          </w:p>
        </w:tc>
        <w:tc>
          <w:tcPr>
            <w:tcW w:w="2268" w:type="dxa"/>
            <w:gridSpan w:val="2"/>
            <w:tcBorders>
              <w:top w:val="single" w:sz="4" w:space="0" w:color="auto"/>
              <w:left w:val="dotted" w:sz="4" w:space="0" w:color="auto"/>
              <w:bottom w:val="threeDEmboss" w:sz="2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Administration impacts</w:t>
            </w:r>
          </w:p>
        </w:tc>
        <w:tc>
          <w:tcPr>
            <w:tcW w:w="1843" w:type="dxa"/>
            <w:tcBorders>
              <w:top w:val="single" w:sz="4" w:space="0" w:color="auto"/>
              <w:left w:val="dotted" w:sz="4" w:space="0" w:color="auto"/>
              <w:bottom w:val="threeDEmboss" w:sz="24" w:space="0" w:color="auto"/>
              <w:right w:val="dotted" w:sz="4" w:space="0" w:color="auto"/>
            </w:tcBorders>
            <w:shd w:val="clear" w:color="auto" w:fill="auto"/>
            <w:vAlign w:val="center"/>
          </w:tcPr>
          <w:p w:rsidR="00DD238D" w:rsidRPr="00201E93" w:rsidRDefault="00DD238D">
            <w:pPr>
              <w:pStyle w:val="RIStabletextbold"/>
              <w:rPr>
                <w:sz w:val="16"/>
              </w:rPr>
            </w:pPr>
            <w:r w:rsidRPr="00201E93">
              <w:rPr>
                <w:sz w:val="16"/>
              </w:rPr>
              <w:t>Risks</w:t>
            </w:r>
          </w:p>
        </w:tc>
        <w:tc>
          <w:tcPr>
            <w:tcW w:w="2835" w:type="dxa"/>
            <w:vMerge/>
            <w:tcBorders>
              <w:left w:val="dotted" w:sz="4" w:space="0" w:color="auto"/>
              <w:bottom w:val="threeDEmboss" w:sz="24" w:space="0" w:color="auto"/>
              <w:right w:val="threeDEmboss" w:sz="24" w:space="0" w:color="auto"/>
            </w:tcBorders>
            <w:shd w:val="clear" w:color="auto" w:fill="auto"/>
            <w:vAlign w:val="center"/>
          </w:tcPr>
          <w:p w:rsidR="00DD238D" w:rsidRPr="00201E93" w:rsidRDefault="00DD238D" w:rsidP="00201E93">
            <w:pPr>
              <w:pStyle w:val="RIStabletext"/>
              <w:rPr>
                <w:sz w:val="16"/>
              </w:rPr>
            </w:pPr>
          </w:p>
        </w:tc>
      </w:tr>
      <w:tr w:rsidR="00DD238D" w:rsidRPr="001709A5" w:rsidTr="00201E93">
        <w:trPr>
          <w:cantSplit/>
        </w:trPr>
        <w:tc>
          <w:tcPr>
            <w:tcW w:w="1560" w:type="dxa"/>
            <w:tcBorders>
              <w:top w:val="threeDEngrave" w:sz="24" w:space="0" w:color="auto"/>
              <w:left w:val="threeDEngrave" w:sz="24" w:space="0" w:color="auto"/>
              <w:bottom w:val="threeDEngrave" w:sz="24" w:space="0" w:color="auto"/>
              <w:right w:val="dotted" w:sz="4" w:space="0" w:color="auto"/>
            </w:tcBorders>
            <w:vAlign w:val="center"/>
          </w:tcPr>
          <w:p w:rsidR="00DD238D" w:rsidRPr="00201E93" w:rsidRDefault="00DD238D" w:rsidP="009C7302">
            <w:pPr>
              <w:pStyle w:val="RIStabletext"/>
              <w:jc w:val="left"/>
              <w:rPr>
                <w:sz w:val="16"/>
              </w:rPr>
            </w:pPr>
            <w:r w:rsidRPr="00201E93">
              <w:rPr>
                <w:sz w:val="16"/>
              </w:rPr>
              <w:t xml:space="preserve">Option </w:t>
            </w:r>
            <w:r w:rsidR="00B16A10" w:rsidRPr="00201E93">
              <w:rPr>
                <w:sz w:val="16"/>
              </w:rPr>
              <w:t>1</w:t>
            </w:r>
            <w:r w:rsidRPr="00201E93">
              <w:rPr>
                <w:sz w:val="16"/>
              </w:rPr>
              <w:t xml:space="preserve">: As incurred </w:t>
            </w:r>
            <w:r w:rsidR="009C7302">
              <w:rPr>
                <w:sz w:val="16"/>
              </w:rPr>
              <w:t>method</w:t>
            </w:r>
          </w:p>
        </w:tc>
        <w:tc>
          <w:tcPr>
            <w:tcW w:w="1134" w:type="dxa"/>
            <w:tcBorders>
              <w:top w:val="threeDEngrave" w:sz="24" w:space="0" w:color="auto"/>
              <w:left w:val="dotted" w:sz="4" w:space="0" w:color="auto"/>
              <w:bottom w:val="threeDEngrave" w:sz="24" w:space="0" w:color="auto"/>
              <w:right w:val="dotted" w:sz="4" w:space="0" w:color="auto"/>
            </w:tcBorders>
            <w:vAlign w:val="center"/>
          </w:tcPr>
          <w:p w:rsidR="00B27900" w:rsidRPr="00201E93" w:rsidRDefault="00B27900" w:rsidP="00201E93">
            <w:pPr>
              <w:pStyle w:val="RIStabletext"/>
              <w:rPr>
                <w:sz w:val="16"/>
              </w:rPr>
            </w:pPr>
            <w:r w:rsidRPr="00201E93">
              <w:rPr>
                <w:sz w:val="16"/>
              </w:rPr>
              <w:t>(a) and (c)) partly,</w:t>
            </w:r>
          </w:p>
          <w:p w:rsidR="00B27900" w:rsidRPr="00201E93" w:rsidRDefault="00B27900" w:rsidP="00201E93">
            <w:pPr>
              <w:pStyle w:val="RIStabletext"/>
              <w:rPr>
                <w:sz w:val="16"/>
              </w:rPr>
            </w:pPr>
            <w:r w:rsidRPr="00201E93">
              <w:rPr>
                <w:sz w:val="16"/>
              </w:rPr>
              <w:t>(b) no</w:t>
            </w:r>
          </w:p>
          <w:p w:rsidR="00DD238D" w:rsidRPr="00201E93" w:rsidRDefault="00B27900" w:rsidP="00201E93">
            <w:pPr>
              <w:pStyle w:val="RIStabletext"/>
              <w:rPr>
                <w:sz w:val="16"/>
              </w:rPr>
            </w:pPr>
            <w:r w:rsidRPr="00201E93">
              <w:rPr>
                <w:sz w:val="16"/>
              </w:rPr>
              <w:t>(d),(e), and (f) yes</w:t>
            </w:r>
          </w:p>
        </w:tc>
        <w:tc>
          <w:tcPr>
            <w:tcW w:w="2551"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Understates income in year of overhaul. Overstates income in other years</w:t>
            </w:r>
            <w:r w:rsidR="009C7302">
              <w:rPr>
                <w:sz w:val="16"/>
              </w:rPr>
              <w:t>.</w:t>
            </w:r>
          </w:p>
          <w:p w:rsidR="00DD238D" w:rsidRPr="00201E93" w:rsidRDefault="00DD238D">
            <w:pPr>
              <w:pStyle w:val="RIStabletext"/>
              <w:jc w:val="left"/>
              <w:rPr>
                <w:sz w:val="16"/>
              </w:rPr>
            </w:pPr>
            <w:r w:rsidRPr="00201E93">
              <w:rPr>
                <w:sz w:val="16"/>
              </w:rPr>
              <w:t>Inconsistent with economics of overhauls for aircraft engines.</w:t>
            </w:r>
          </w:p>
        </w:tc>
        <w:tc>
          <w:tcPr>
            <w:tcW w:w="1134"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$11 million positive</w:t>
            </w:r>
            <w:r w:rsidR="005A571D">
              <w:rPr>
                <w:sz w:val="16"/>
              </w:rPr>
              <w:t>.</w:t>
            </w:r>
          </w:p>
        </w:tc>
        <w:tc>
          <w:tcPr>
            <w:tcW w:w="2310" w:type="dxa"/>
            <w:gridSpan w:val="2"/>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Tax accounting practice is inconsistent with business management and investment decision needs.</w:t>
            </w:r>
          </w:p>
          <w:p w:rsidR="00DD238D" w:rsidRPr="00201E93" w:rsidRDefault="00DD238D">
            <w:pPr>
              <w:pStyle w:val="RIStabletext"/>
              <w:jc w:val="left"/>
              <w:rPr>
                <w:sz w:val="16"/>
              </w:rPr>
            </w:pPr>
          </w:p>
        </w:tc>
        <w:tc>
          <w:tcPr>
            <w:tcW w:w="2226"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Impact on provisional tax flows potentially affects risk assessment models</w:t>
            </w:r>
          </w:p>
        </w:tc>
        <w:tc>
          <w:tcPr>
            <w:tcW w:w="1843"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Potential exposure to penalties.</w:t>
            </w:r>
          </w:p>
        </w:tc>
        <w:tc>
          <w:tcPr>
            <w:tcW w:w="2835" w:type="dxa"/>
            <w:tcBorders>
              <w:top w:val="threeDEngrave" w:sz="24" w:space="0" w:color="auto"/>
              <w:left w:val="dotted" w:sz="4" w:space="0" w:color="auto"/>
              <w:bottom w:val="threeDEngrave" w:sz="24" w:space="0" w:color="auto"/>
              <w:right w:val="threeDEmboss" w:sz="24" w:space="0" w:color="auto"/>
            </w:tcBorders>
            <w:vAlign w:val="center"/>
          </w:tcPr>
          <w:p w:rsidR="00DD238D" w:rsidRDefault="00DD238D">
            <w:pPr>
              <w:pStyle w:val="RIStabletext"/>
              <w:jc w:val="left"/>
              <w:rPr>
                <w:sz w:val="16"/>
              </w:rPr>
            </w:pPr>
            <w:r w:rsidRPr="00201E93">
              <w:rPr>
                <w:sz w:val="16"/>
              </w:rPr>
              <w:t>Does not address the problem.</w:t>
            </w:r>
          </w:p>
          <w:p w:rsidR="005A571D" w:rsidRPr="00201E93" w:rsidRDefault="005A571D">
            <w:pPr>
              <w:pStyle w:val="RIStabletext"/>
              <w:jc w:val="left"/>
              <w:rPr>
                <w:sz w:val="16"/>
              </w:rPr>
            </w:pPr>
            <w:r>
              <w:rPr>
                <w:sz w:val="16"/>
              </w:rPr>
              <w:t>Not recommended.</w:t>
            </w:r>
          </w:p>
          <w:p w:rsidR="00DD238D" w:rsidRPr="00201E93" w:rsidRDefault="00DD238D">
            <w:pPr>
              <w:pStyle w:val="RIStabletext"/>
              <w:jc w:val="left"/>
              <w:rPr>
                <w:sz w:val="16"/>
              </w:rPr>
            </w:pPr>
          </w:p>
        </w:tc>
      </w:tr>
      <w:tr w:rsidR="00B16A10" w:rsidRPr="001709A5" w:rsidTr="00201E93">
        <w:trPr>
          <w:cantSplit/>
        </w:trPr>
        <w:tc>
          <w:tcPr>
            <w:tcW w:w="1560" w:type="dxa"/>
            <w:tcBorders>
              <w:top w:val="threeDEmboss" w:sz="24" w:space="0" w:color="auto"/>
              <w:left w:val="threeDEngrave" w:sz="24" w:space="0" w:color="auto"/>
              <w:bottom w:val="dotted" w:sz="4" w:space="0" w:color="auto"/>
              <w:right w:val="dotted" w:sz="4" w:space="0" w:color="auto"/>
            </w:tcBorders>
            <w:shd w:val="clear" w:color="auto" w:fill="auto"/>
            <w:vAlign w:val="center"/>
          </w:tcPr>
          <w:p w:rsidR="00B16A10" w:rsidRPr="00201E93" w:rsidRDefault="00B16A10" w:rsidP="00201E93">
            <w:pPr>
              <w:pStyle w:val="RIStabletext"/>
              <w:jc w:val="left"/>
              <w:rPr>
                <w:sz w:val="16"/>
              </w:rPr>
            </w:pPr>
            <w:r w:rsidRPr="00201E93">
              <w:rPr>
                <w:sz w:val="16"/>
              </w:rPr>
              <w:t>Option 2:</w:t>
            </w:r>
          </w:p>
          <w:p w:rsidR="00B16A10" w:rsidRPr="00201E93" w:rsidRDefault="00B16A10" w:rsidP="00201E93">
            <w:pPr>
              <w:pStyle w:val="RIStabletext"/>
              <w:jc w:val="left"/>
              <w:rPr>
                <w:sz w:val="16"/>
              </w:rPr>
            </w:pPr>
            <w:r w:rsidRPr="00201E93">
              <w:rPr>
                <w:sz w:val="16"/>
              </w:rPr>
              <w:t xml:space="preserve">Spreading </w:t>
            </w:r>
            <w:r w:rsidR="009C7302">
              <w:rPr>
                <w:sz w:val="16"/>
              </w:rPr>
              <w:t>method</w:t>
            </w:r>
          </w:p>
        </w:tc>
        <w:tc>
          <w:tcPr>
            <w:tcW w:w="1134" w:type="dxa"/>
            <w:tcBorders>
              <w:top w:val="threeDEmboss" w:sz="24" w:space="0" w:color="auto"/>
              <w:left w:val="dotted" w:sz="4" w:space="0" w:color="auto"/>
              <w:bottom w:val="dotted" w:sz="4" w:space="0" w:color="auto"/>
              <w:right w:val="dotted" w:sz="4" w:space="0" w:color="auto"/>
            </w:tcBorders>
            <w:shd w:val="clear" w:color="auto" w:fill="auto"/>
            <w:vAlign w:val="center"/>
          </w:tcPr>
          <w:p w:rsidR="00B16A10" w:rsidRPr="00201E93" w:rsidRDefault="006F541E">
            <w:pPr>
              <w:pStyle w:val="RIStabletext"/>
              <w:rPr>
                <w:sz w:val="16"/>
              </w:rPr>
            </w:pPr>
            <w:r w:rsidRPr="00201E93">
              <w:rPr>
                <w:sz w:val="16"/>
              </w:rPr>
              <w:t xml:space="preserve">(a), (b), </w:t>
            </w:r>
            <w:r w:rsidR="00B27900" w:rsidRPr="00201E93">
              <w:rPr>
                <w:sz w:val="16"/>
              </w:rPr>
              <w:t>(d)</w:t>
            </w:r>
            <w:r w:rsidR="00C32BA2">
              <w:rPr>
                <w:sz w:val="16"/>
              </w:rPr>
              <w:t>, (e)</w:t>
            </w:r>
            <w:r w:rsidRPr="00201E93">
              <w:rPr>
                <w:sz w:val="16"/>
              </w:rPr>
              <w:t xml:space="preserve"> and (f)</w:t>
            </w:r>
            <w:r w:rsidR="00B27900" w:rsidRPr="00201E93">
              <w:rPr>
                <w:sz w:val="16"/>
              </w:rPr>
              <w:t xml:space="preserve"> yes</w:t>
            </w:r>
          </w:p>
          <w:p w:rsidR="00B27900" w:rsidRPr="00201E93" w:rsidRDefault="00B27900">
            <w:pPr>
              <w:pStyle w:val="RIStabletext"/>
              <w:rPr>
                <w:sz w:val="16"/>
              </w:rPr>
            </w:pPr>
            <w:r w:rsidRPr="00201E93">
              <w:rPr>
                <w:sz w:val="16"/>
              </w:rPr>
              <w:t>(c)mostly</w:t>
            </w:r>
          </w:p>
          <w:p w:rsidR="00B27900" w:rsidRPr="00201E93" w:rsidRDefault="00B27900">
            <w:pPr>
              <w:pStyle w:val="RIStabletext"/>
              <w:rPr>
                <w:sz w:val="16"/>
              </w:rPr>
            </w:pPr>
          </w:p>
        </w:tc>
        <w:tc>
          <w:tcPr>
            <w:tcW w:w="2551" w:type="dxa"/>
            <w:tcBorders>
              <w:top w:val="threeDEmboss" w:sz="24" w:space="0" w:color="auto"/>
              <w:left w:val="dotted" w:sz="4" w:space="0" w:color="auto"/>
              <w:bottom w:val="dotted" w:sz="4" w:space="0" w:color="auto"/>
              <w:right w:val="dotted" w:sz="4" w:space="0" w:color="auto"/>
            </w:tcBorders>
            <w:shd w:val="clear" w:color="auto" w:fill="auto"/>
            <w:vAlign w:val="center"/>
          </w:tcPr>
          <w:p w:rsidR="00B16A10" w:rsidRPr="000A3815" w:rsidRDefault="00B16A10" w:rsidP="00201E93">
            <w:pPr>
              <w:pStyle w:val="RIStabletext"/>
              <w:jc w:val="left"/>
              <w:rPr>
                <w:i w:val="0"/>
                <w:sz w:val="16"/>
              </w:rPr>
            </w:pPr>
            <w:r w:rsidRPr="000A3815">
              <w:rPr>
                <w:i w:val="0"/>
                <w:sz w:val="16"/>
              </w:rPr>
              <w:t>C</w:t>
            </w:r>
            <w:r w:rsidRPr="000A3815">
              <w:rPr>
                <w:rStyle w:val="RIStabletextChar"/>
                <w:rFonts w:ascii="Times New Roman" w:hAnsi="Times New Roman"/>
                <w:i/>
                <w:sz w:val="16"/>
                <w:szCs w:val="16"/>
              </w:rPr>
              <w:t>onsistent with economics of overhauls</w:t>
            </w:r>
            <w:r w:rsidRPr="000A3815">
              <w:rPr>
                <w:i w:val="0"/>
                <w:sz w:val="16"/>
              </w:rPr>
              <w:t>.</w:t>
            </w:r>
          </w:p>
          <w:p w:rsidR="00B16A10" w:rsidRPr="000A3815" w:rsidRDefault="00B16A10" w:rsidP="00201E93">
            <w:pPr>
              <w:pStyle w:val="RIStabletext"/>
              <w:jc w:val="left"/>
              <w:rPr>
                <w:i w:val="0"/>
                <w:sz w:val="16"/>
              </w:rPr>
            </w:pPr>
            <w:r w:rsidRPr="005A571D">
              <w:rPr>
                <w:sz w:val="16"/>
              </w:rPr>
              <w:t>Removes potential for distortions in business and financing decisions inherent in existing practices</w:t>
            </w:r>
            <w:r w:rsidRPr="000A3815">
              <w:rPr>
                <w:i w:val="0"/>
                <w:sz w:val="16"/>
              </w:rPr>
              <w:t>.</w:t>
            </w:r>
          </w:p>
        </w:tc>
        <w:tc>
          <w:tcPr>
            <w:tcW w:w="1134" w:type="dxa"/>
            <w:tcBorders>
              <w:top w:val="threeDEmboss" w:sz="24" w:space="0" w:color="auto"/>
              <w:left w:val="dotted" w:sz="4" w:space="0" w:color="auto"/>
              <w:bottom w:val="dotted" w:sz="4" w:space="0" w:color="auto"/>
              <w:right w:val="dotted" w:sz="4" w:space="0" w:color="auto"/>
            </w:tcBorders>
            <w:shd w:val="clear" w:color="auto" w:fill="auto"/>
            <w:vAlign w:val="center"/>
          </w:tcPr>
          <w:p w:rsidR="00B16A10" w:rsidRPr="00201E93" w:rsidRDefault="00B16A10" w:rsidP="00201E93">
            <w:pPr>
              <w:pStyle w:val="RIStabletext"/>
              <w:jc w:val="left"/>
              <w:rPr>
                <w:sz w:val="16"/>
              </w:rPr>
            </w:pPr>
            <w:r w:rsidRPr="00201E93">
              <w:rPr>
                <w:sz w:val="16"/>
              </w:rPr>
              <w:t xml:space="preserve">$30 million </w:t>
            </w:r>
            <w:r w:rsidR="005A571D" w:rsidRPr="00201E93">
              <w:rPr>
                <w:sz w:val="16"/>
              </w:rPr>
              <w:t>positive.</w:t>
            </w:r>
          </w:p>
        </w:tc>
        <w:tc>
          <w:tcPr>
            <w:tcW w:w="2310" w:type="dxa"/>
            <w:gridSpan w:val="2"/>
            <w:tcBorders>
              <w:top w:val="threeDEmboss" w:sz="24" w:space="0" w:color="auto"/>
              <w:left w:val="dotted" w:sz="4" w:space="0" w:color="auto"/>
              <w:bottom w:val="dotted" w:sz="4" w:space="0" w:color="auto"/>
              <w:right w:val="dotted" w:sz="4" w:space="0" w:color="auto"/>
            </w:tcBorders>
            <w:shd w:val="clear" w:color="auto" w:fill="auto"/>
            <w:vAlign w:val="center"/>
          </w:tcPr>
          <w:p w:rsidR="00B16A10" w:rsidRPr="00201E93" w:rsidRDefault="00B16A10" w:rsidP="00201E93">
            <w:pPr>
              <w:pStyle w:val="RIStabletext"/>
              <w:jc w:val="left"/>
              <w:rPr>
                <w:sz w:val="16"/>
              </w:rPr>
            </w:pPr>
            <w:r w:rsidRPr="00201E93">
              <w:rPr>
                <w:sz w:val="16"/>
              </w:rPr>
              <w:t xml:space="preserve">Negligible impact for most taxpayers as </w:t>
            </w:r>
            <w:r w:rsidR="009C7302">
              <w:rPr>
                <w:sz w:val="16"/>
              </w:rPr>
              <w:t xml:space="preserve">it </w:t>
            </w:r>
            <w:r w:rsidR="00737B05">
              <w:rPr>
                <w:sz w:val="16"/>
              </w:rPr>
              <w:t xml:space="preserve">is </w:t>
            </w:r>
            <w:r w:rsidR="00737B05" w:rsidRPr="00201E93">
              <w:rPr>
                <w:sz w:val="16"/>
              </w:rPr>
              <w:t>consistent</w:t>
            </w:r>
            <w:r w:rsidRPr="00201E93">
              <w:rPr>
                <w:sz w:val="16"/>
              </w:rPr>
              <w:t xml:space="preserve"> with general accounting principles. </w:t>
            </w:r>
          </w:p>
          <w:p w:rsidR="00B16A10" w:rsidRPr="00201E93" w:rsidRDefault="00B16A10" w:rsidP="00201E93">
            <w:pPr>
              <w:pStyle w:val="RIStabletext"/>
              <w:jc w:val="left"/>
              <w:rPr>
                <w:sz w:val="16"/>
              </w:rPr>
            </w:pPr>
            <w:r w:rsidRPr="00201E93">
              <w:rPr>
                <w:sz w:val="16"/>
              </w:rPr>
              <w:t>Minor cost in transition in calculating transitional adjustments.</w:t>
            </w:r>
          </w:p>
        </w:tc>
        <w:tc>
          <w:tcPr>
            <w:tcW w:w="2226" w:type="dxa"/>
            <w:tcBorders>
              <w:top w:val="threeDEmboss" w:sz="24" w:space="0" w:color="auto"/>
              <w:left w:val="dotted" w:sz="4" w:space="0" w:color="auto"/>
              <w:bottom w:val="dotted" w:sz="4" w:space="0" w:color="auto"/>
              <w:right w:val="dotted" w:sz="4" w:space="0" w:color="auto"/>
            </w:tcBorders>
            <w:shd w:val="clear" w:color="auto" w:fill="auto"/>
            <w:vAlign w:val="center"/>
          </w:tcPr>
          <w:p w:rsidR="00B16A10" w:rsidRPr="00201E93" w:rsidRDefault="00B16A10" w:rsidP="00201E93">
            <w:pPr>
              <w:pStyle w:val="RIStabletext"/>
              <w:jc w:val="left"/>
              <w:rPr>
                <w:sz w:val="16"/>
              </w:rPr>
            </w:pPr>
            <w:r w:rsidRPr="00201E93">
              <w:rPr>
                <w:sz w:val="16"/>
              </w:rPr>
              <w:t>Post-implementation review of compliance</w:t>
            </w:r>
            <w:r w:rsidR="00C32BA2">
              <w:rPr>
                <w:sz w:val="16"/>
              </w:rPr>
              <w:t xml:space="preserve"> by Inland Revenue</w:t>
            </w:r>
          </w:p>
          <w:p w:rsidR="00B16A10" w:rsidRPr="00201E93" w:rsidRDefault="00B16A10" w:rsidP="00201E93">
            <w:pPr>
              <w:pStyle w:val="RIStabletext"/>
              <w:jc w:val="left"/>
              <w:rPr>
                <w:sz w:val="16"/>
              </w:rPr>
            </w:pPr>
          </w:p>
        </w:tc>
        <w:tc>
          <w:tcPr>
            <w:tcW w:w="1843" w:type="dxa"/>
            <w:tcBorders>
              <w:top w:val="threeDEmboss" w:sz="24" w:space="0" w:color="auto"/>
              <w:left w:val="dotted" w:sz="4" w:space="0" w:color="auto"/>
              <w:bottom w:val="dotted" w:sz="4" w:space="0" w:color="auto"/>
              <w:right w:val="dotted" w:sz="4" w:space="0" w:color="auto"/>
            </w:tcBorders>
            <w:shd w:val="clear" w:color="auto" w:fill="auto"/>
            <w:vAlign w:val="center"/>
          </w:tcPr>
          <w:p w:rsidR="00B16A10" w:rsidRPr="00201E93" w:rsidRDefault="00B16A10" w:rsidP="00201E93">
            <w:pPr>
              <w:pStyle w:val="RIStabletext"/>
              <w:jc w:val="left"/>
              <w:rPr>
                <w:sz w:val="16"/>
              </w:rPr>
            </w:pPr>
            <w:r w:rsidRPr="00201E93">
              <w:rPr>
                <w:sz w:val="16"/>
              </w:rPr>
              <w:t xml:space="preserve">Potential for non-compliance by smaller sized SMEs </w:t>
            </w:r>
          </w:p>
        </w:tc>
        <w:tc>
          <w:tcPr>
            <w:tcW w:w="2835" w:type="dxa"/>
            <w:tcBorders>
              <w:top w:val="threeDEmboss" w:sz="24" w:space="0" w:color="auto"/>
              <w:left w:val="dotted" w:sz="4" w:space="0" w:color="auto"/>
              <w:bottom w:val="dotted" w:sz="4" w:space="0" w:color="auto"/>
              <w:right w:val="threeDEmboss" w:sz="24" w:space="0" w:color="auto"/>
            </w:tcBorders>
            <w:shd w:val="clear" w:color="auto" w:fill="auto"/>
            <w:vAlign w:val="center"/>
          </w:tcPr>
          <w:p w:rsidR="00B16A10" w:rsidRPr="00201E93" w:rsidRDefault="00B16A10" w:rsidP="00201E93">
            <w:pPr>
              <w:pStyle w:val="RIStabletext"/>
              <w:jc w:val="left"/>
              <w:rPr>
                <w:sz w:val="16"/>
              </w:rPr>
            </w:pPr>
            <w:r w:rsidRPr="00201E93">
              <w:rPr>
                <w:sz w:val="16"/>
              </w:rPr>
              <w:t>Addresses the problem.</w:t>
            </w:r>
          </w:p>
          <w:p w:rsidR="00B16A10" w:rsidRPr="00201E93" w:rsidRDefault="00B16A10" w:rsidP="00201E93">
            <w:pPr>
              <w:pStyle w:val="RIStabletext"/>
              <w:jc w:val="left"/>
              <w:rPr>
                <w:sz w:val="16"/>
              </w:rPr>
            </w:pPr>
            <w:r w:rsidRPr="00201E93">
              <w:rPr>
                <w:sz w:val="16"/>
              </w:rPr>
              <w:t>Consistent with policy objectives and with information needs for business management.</w:t>
            </w:r>
          </w:p>
          <w:p w:rsidR="00B16A10" w:rsidRDefault="00B16A10" w:rsidP="00201E93">
            <w:pPr>
              <w:pStyle w:val="RIStabletext"/>
              <w:jc w:val="left"/>
              <w:rPr>
                <w:sz w:val="16"/>
              </w:rPr>
            </w:pPr>
            <w:r w:rsidRPr="00201E93">
              <w:rPr>
                <w:sz w:val="16"/>
              </w:rPr>
              <w:t>Specific concerns about compliance costs for single aircraft operators.</w:t>
            </w:r>
          </w:p>
          <w:p w:rsidR="005A571D" w:rsidRPr="00201E93" w:rsidRDefault="005A571D" w:rsidP="00201E93">
            <w:pPr>
              <w:pStyle w:val="RIStabletext"/>
              <w:jc w:val="left"/>
              <w:rPr>
                <w:sz w:val="16"/>
              </w:rPr>
            </w:pPr>
            <w:r>
              <w:rPr>
                <w:sz w:val="16"/>
              </w:rPr>
              <w:t>Recommended method.</w:t>
            </w:r>
          </w:p>
        </w:tc>
      </w:tr>
      <w:tr w:rsidR="00DD238D" w:rsidRPr="001709A5" w:rsidTr="00201E93">
        <w:trPr>
          <w:cantSplit/>
        </w:trPr>
        <w:tc>
          <w:tcPr>
            <w:tcW w:w="1560" w:type="dxa"/>
            <w:tcBorders>
              <w:top w:val="threeDEngrave" w:sz="24" w:space="0" w:color="auto"/>
              <w:left w:val="threeDEngrave" w:sz="24" w:space="0" w:color="auto"/>
              <w:bottom w:val="threeDEngrave" w:sz="24" w:space="0" w:color="auto"/>
              <w:right w:val="dotted" w:sz="4" w:space="0" w:color="auto"/>
            </w:tcBorders>
            <w:vAlign w:val="center"/>
          </w:tcPr>
          <w:p w:rsidR="00DD238D" w:rsidRPr="00201E93" w:rsidRDefault="00DD238D" w:rsidP="009C7302">
            <w:pPr>
              <w:pStyle w:val="RIStabletext"/>
              <w:jc w:val="left"/>
              <w:rPr>
                <w:sz w:val="16"/>
              </w:rPr>
            </w:pPr>
            <w:r w:rsidRPr="00201E93">
              <w:rPr>
                <w:sz w:val="16"/>
              </w:rPr>
              <w:t xml:space="preserve">Option 3: IFRS </w:t>
            </w:r>
            <w:r w:rsidR="009C7302">
              <w:rPr>
                <w:sz w:val="16"/>
              </w:rPr>
              <w:t>method</w:t>
            </w:r>
          </w:p>
        </w:tc>
        <w:tc>
          <w:tcPr>
            <w:tcW w:w="1134" w:type="dxa"/>
            <w:tcBorders>
              <w:top w:val="threeDEngrave" w:sz="24" w:space="0" w:color="auto"/>
              <w:left w:val="dotted" w:sz="4" w:space="0" w:color="auto"/>
              <w:bottom w:val="threeDEngrave" w:sz="24" w:space="0" w:color="auto"/>
              <w:right w:val="dotted" w:sz="4" w:space="0" w:color="auto"/>
            </w:tcBorders>
            <w:vAlign w:val="center"/>
          </w:tcPr>
          <w:p w:rsidR="00B27900" w:rsidRPr="00201E93" w:rsidRDefault="00B27900" w:rsidP="00201E93">
            <w:pPr>
              <w:pStyle w:val="RIStabletext"/>
              <w:rPr>
                <w:sz w:val="16"/>
              </w:rPr>
            </w:pPr>
            <w:r w:rsidRPr="00201E93">
              <w:rPr>
                <w:sz w:val="16"/>
              </w:rPr>
              <w:t>(a), (b) and (d) yes</w:t>
            </w:r>
          </w:p>
          <w:p w:rsidR="00B27900" w:rsidRPr="00201E93" w:rsidRDefault="00B27900" w:rsidP="00201E93">
            <w:pPr>
              <w:pStyle w:val="RIStabletext"/>
              <w:rPr>
                <w:sz w:val="16"/>
              </w:rPr>
            </w:pPr>
            <w:r w:rsidRPr="00201E93">
              <w:rPr>
                <w:sz w:val="16"/>
              </w:rPr>
              <w:t>(c) partly</w:t>
            </w:r>
          </w:p>
          <w:p w:rsidR="00B27900" w:rsidRPr="00201E93" w:rsidRDefault="00B27900" w:rsidP="00201E93">
            <w:pPr>
              <w:pStyle w:val="RIStabletext"/>
              <w:rPr>
                <w:sz w:val="16"/>
              </w:rPr>
            </w:pPr>
            <w:r w:rsidRPr="00201E93">
              <w:rPr>
                <w:sz w:val="16"/>
              </w:rPr>
              <w:t>(e) yes</w:t>
            </w:r>
          </w:p>
          <w:p w:rsidR="00DD238D" w:rsidRPr="00201E93" w:rsidRDefault="00B27900" w:rsidP="00201E93">
            <w:pPr>
              <w:pStyle w:val="RIStabletext"/>
              <w:rPr>
                <w:sz w:val="16"/>
              </w:rPr>
            </w:pPr>
            <w:r w:rsidRPr="00201E93">
              <w:rPr>
                <w:sz w:val="16"/>
              </w:rPr>
              <w:t>(f) yes</w:t>
            </w:r>
          </w:p>
        </w:tc>
        <w:tc>
          <w:tcPr>
            <w:tcW w:w="2551" w:type="dxa"/>
            <w:tcBorders>
              <w:top w:val="threeDEngrave" w:sz="24" w:space="0" w:color="auto"/>
              <w:left w:val="dotted" w:sz="4" w:space="0" w:color="auto"/>
              <w:bottom w:val="threeDEngrave" w:sz="24" w:space="0" w:color="auto"/>
              <w:right w:val="dotted" w:sz="4" w:space="0" w:color="auto"/>
            </w:tcBorders>
            <w:vAlign w:val="center"/>
          </w:tcPr>
          <w:p w:rsidR="00DD238D" w:rsidRPr="005A571D" w:rsidRDefault="00DD238D">
            <w:pPr>
              <w:pStyle w:val="RIStabletext"/>
              <w:jc w:val="left"/>
              <w:rPr>
                <w:sz w:val="16"/>
              </w:rPr>
            </w:pPr>
            <w:r w:rsidRPr="005A571D">
              <w:rPr>
                <w:sz w:val="16"/>
              </w:rPr>
              <w:t>C</w:t>
            </w:r>
            <w:r w:rsidRPr="000A3815">
              <w:rPr>
                <w:rStyle w:val="RIStabletextChar"/>
                <w:rFonts w:ascii="Times New Roman" w:hAnsi="Times New Roman"/>
                <w:i/>
                <w:sz w:val="16"/>
                <w:szCs w:val="16"/>
              </w:rPr>
              <w:t>onsistent with economics of overhauls</w:t>
            </w:r>
            <w:r w:rsidRPr="005A571D">
              <w:rPr>
                <w:sz w:val="16"/>
              </w:rPr>
              <w:t>.</w:t>
            </w:r>
          </w:p>
          <w:p w:rsidR="00DD238D" w:rsidRPr="005A571D" w:rsidRDefault="00DD238D">
            <w:pPr>
              <w:pStyle w:val="RIStabletext"/>
              <w:jc w:val="left"/>
              <w:rPr>
                <w:sz w:val="16"/>
              </w:rPr>
            </w:pPr>
            <w:r w:rsidRPr="005A571D">
              <w:rPr>
                <w:sz w:val="16"/>
              </w:rPr>
              <w:t xml:space="preserve">Removes potential distortions </w:t>
            </w:r>
            <w:r w:rsidR="00A32E1B" w:rsidRPr="005A571D">
              <w:rPr>
                <w:sz w:val="16"/>
              </w:rPr>
              <w:t xml:space="preserve">in business and financing decisions </w:t>
            </w:r>
            <w:r w:rsidRPr="005A571D">
              <w:rPr>
                <w:sz w:val="16"/>
              </w:rPr>
              <w:t>inherent in existing practices.</w:t>
            </w:r>
          </w:p>
        </w:tc>
        <w:tc>
          <w:tcPr>
            <w:tcW w:w="1134"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$30 million positive</w:t>
            </w:r>
            <w:r w:rsidR="005A571D">
              <w:rPr>
                <w:sz w:val="16"/>
              </w:rPr>
              <w:t>.</w:t>
            </w:r>
          </w:p>
        </w:tc>
        <w:tc>
          <w:tcPr>
            <w:tcW w:w="2310" w:type="dxa"/>
            <w:gridSpan w:val="2"/>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Compliance costs increase significantly for taxpayers not required to prepare general purpose finance reports (most taxpayers in the aviation sector).</w:t>
            </w:r>
          </w:p>
        </w:tc>
        <w:tc>
          <w:tcPr>
            <w:tcW w:w="2226"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Post-implementation review of compliance</w:t>
            </w:r>
            <w:r w:rsidR="00C32BA2">
              <w:rPr>
                <w:sz w:val="16"/>
              </w:rPr>
              <w:t xml:space="preserve"> by Inland Revenue</w:t>
            </w:r>
          </w:p>
          <w:p w:rsidR="00DD238D" w:rsidRPr="00201E93" w:rsidRDefault="00DD238D" w:rsidP="0099039F">
            <w:pPr>
              <w:pStyle w:val="RIStabletext"/>
              <w:jc w:val="left"/>
              <w:rPr>
                <w:sz w:val="16"/>
              </w:rPr>
            </w:pPr>
            <w:r w:rsidRPr="00201E93">
              <w:rPr>
                <w:sz w:val="16"/>
              </w:rPr>
              <w:t>Minor</w:t>
            </w:r>
            <w:r w:rsidR="0099039F">
              <w:rPr>
                <w:sz w:val="16"/>
              </w:rPr>
              <w:t xml:space="preserve"> compliance costs </w:t>
            </w:r>
            <w:r w:rsidRPr="00201E93">
              <w:rPr>
                <w:sz w:val="16"/>
              </w:rPr>
              <w:t xml:space="preserve"> in calculating transitional adjustments</w:t>
            </w:r>
          </w:p>
        </w:tc>
        <w:tc>
          <w:tcPr>
            <w:tcW w:w="1843" w:type="dxa"/>
            <w:tcBorders>
              <w:top w:val="threeDEngrave" w:sz="24" w:space="0" w:color="auto"/>
              <w:left w:val="dotted" w:sz="4" w:space="0" w:color="auto"/>
              <w:bottom w:val="threeDEngrave" w:sz="24" w:space="0" w:color="auto"/>
              <w:right w:val="dotted" w:sz="4" w:space="0" w:color="auto"/>
            </w:tcBorders>
            <w:vAlign w:val="center"/>
          </w:tcPr>
          <w:p w:rsidR="00DD238D" w:rsidRPr="00201E93" w:rsidRDefault="00DD238D">
            <w:pPr>
              <w:pStyle w:val="RIStabletext"/>
              <w:jc w:val="left"/>
              <w:rPr>
                <w:sz w:val="16"/>
              </w:rPr>
            </w:pPr>
            <w:r w:rsidRPr="00201E93">
              <w:rPr>
                <w:sz w:val="16"/>
              </w:rPr>
              <w:t>Potential for non-compliance by smaller sized SMEs</w:t>
            </w:r>
          </w:p>
        </w:tc>
        <w:tc>
          <w:tcPr>
            <w:tcW w:w="2835" w:type="dxa"/>
            <w:tcBorders>
              <w:top w:val="threeDEngrave" w:sz="24" w:space="0" w:color="auto"/>
              <w:left w:val="dotted" w:sz="4" w:space="0" w:color="auto"/>
              <w:bottom w:val="threeDEngrave" w:sz="24" w:space="0" w:color="auto"/>
              <w:right w:val="threeDEmboss" w:sz="24" w:space="0" w:color="auto"/>
            </w:tcBorders>
            <w:vAlign w:val="center"/>
          </w:tcPr>
          <w:p w:rsidR="00DD238D" w:rsidRPr="00201E93" w:rsidRDefault="00DD238D">
            <w:pPr>
              <w:pStyle w:val="RIStabletext"/>
              <w:jc w:val="left"/>
              <w:rPr>
                <w:sz w:val="16"/>
              </w:rPr>
            </w:pPr>
            <w:r w:rsidRPr="00201E93">
              <w:rPr>
                <w:sz w:val="16"/>
              </w:rPr>
              <w:t>Addresses the problem.</w:t>
            </w:r>
          </w:p>
          <w:p w:rsidR="00DD238D" w:rsidRPr="00201E93" w:rsidRDefault="00DD238D">
            <w:pPr>
              <w:pStyle w:val="RIStabletext"/>
              <w:jc w:val="left"/>
              <w:rPr>
                <w:sz w:val="16"/>
              </w:rPr>
            </w:pPr>
            <w:r w:rsidRPr="00201E93">
              <w:rPr>
                <w:sz w:val="16"/>
              </w:rPr>
              <w:t>Consistent with policy objectives and with information needs for business management.</w:t>
            </w:r>
          </w:p>
          <w:p w:rsidR="00DD238D" w:rsidRDefault="00DD238D">
            <w:pPr>
              <w:pStyle w:val="RIStabletext"/>
              <w:jc w:val="left"/>
              <w:rPr>
                <w:sz w:val="16"/>
              </w:rPr>
            </w:pPr>
            <w:r w:rsidRPr="00201E93">
              <w:rPr>
                <w:sz w:val="16"/>
              </w:rPr>
              <w:t>Specific concerns about compliance costs for non-IFRS taxpayers.</w:t>
            </w:r>
          </w:p>
          <w:p w:rsidR="005A571D" w:rsidRPr="00201E93" w:rsidRDefault="005A571D">
            <w:pPr>
              <w:pStyle w:val="RIStabletext"/>
              <w:jc w:val="left"/>
              <w:rPr>
                <w:sz w:val="16"/>
              </w:rPr>
            </w:pPr>
            <w:r>
              <w:rPr>
                <w:sz w:val="16"/>
              </w:rPr>
              <w:t>Not recommended.</w:t>
            </w:r>
          </w:p>
        </w:tc>
      </w:tr>
      <w:tr w:rsidR="00DD238D" w:rsidRPr="001709A5" w:rsidTr="00201E93">
        <w:trPr>
          <w:cantSplit/>
        </w:trPr>
        <w:tc>
          <w:tcPr>
            <w:tcW w:w="1560" w:type="dxa"/>
            <w:tcBorders>
              <w:top w:val="threeDEngrave" w:sz="24" w:space="0" w:color="auto"/>
              <w:left w:val="threeDEngrave" w:sz="24" w:space="0" w:color="auto"/>
              <w:bottom w:val="dotted" w:sz="4" w:space="0" w:color="auto"/>
              <w:right w:val="dotted" w:sz="4" w:space="0" w:color="auto"/>
            </w:tcBorders>
            <w:vAlign w:val="center"/>
          </w:tcPr>
          <w:p w:rsidR="00DD238D" w:rsidRPr="00201E93" w:rsidRDefault="00DD238D" w:rsidP="00201E93">
            <w:pPr>
              <w:pStyle w:val="RIStabletext"/>
              <w:jc w:val="left"/>
              <w:rPr>
                <w:sz w:val="16"/>
              </w:rPr>
            </w:pPr>
            <w:r w:rsidRPr="00201E93">
              <w:rPr>
                <w:sz w:val="16"/>
              </w:rPr>
              <w:t>Option 4:</w:t>
            </w:r>
          </w:p>
          <w:p w:rsidR="00DD238D" w:rsidRPr="00201E93" w:rsidRDefault="00DD238D" w:rsidP="00201E93">
            <w:pPr>
              <w:pStyle w:val="RIStabletext"/>
              <w:jc w:val="left"/>
              <w:rPr>
                <w:sz w:val="16"/>
              </w:rPr>
            </w:pPr>
            <w:r w:rsidRPr="00201E93">
              <w:rPr>
                <w:sz w:val="16"/>
              </w:rPr>
              <w:t>Provisioning</w:t>
            </w:r>
            <w:r w:rsidR="009C7302">
              <w:rPr>
                <w:sz w:val="16"/>
              </w:rPr>
              <w:t xml:space="preserve"> accounting method</w:t>
            </w:r>
          </w:p>
          <w:p w:rsidR="00DD238D" w:rsidRPr="00201E93" w:rsidRDefault="00DD238D" w:rsidP="00201E93">
            <w:pPr>
              <w:pStyle w:val="RIStabletext"/>
              <w:jc w:val="left"/>
              <w:rPr>
                <w:sz w:val="16"/>
              </w:rPr>
            </w:pPr>
          </w:p>
        </w:tc>
        <w:tc>
          <w:tcPr>
            <w:tcW w:w="1134" w:type="dxa"/>
            <w:tcBorders>
              <w:top w:val="threeDEngrave" w:sz="24" w:space="0" w:color="auto"/>
              <w:left w:val="dotted" w:sz="4" w:space="0" w:color="auto"/>
              <w:bottom w:val="dotted" w:sz="4" w:space="0" w:color="auto"/>
              <w:right w:val="dotted" w:sz="4" w:space="0" w:color="auto"/>
            </w:tcBorders>
            <w:vAlign w:val="center"/>
          </w:tcPr>
          <w:p w:rsidR="00B27900" w:rsidRPr="00201E93" w:rsidRDefault="00B27900" w:rsidP="00201E93">
            <w:pPr>
              <w:pStyle w:val="RIStabletext"/>
              <w:rPr>
                <w:sz w:val="16"/>
              </w:rPr>
            </w:pPr>
            <w:r w:rsidRPr="00201E93">
              <w:rPr>
                <w:sz w:val="16"/>
              </w:rPr>
              <w:t>(a,) (b)and (c) no</w:t>
            </w:r>
          </w:p>
          <w:p w:rsidR="00DD238D" w:rsidRPr="00201E93" w:rsidRDefault="00B27900" w:rsidP="00201E93">
            <w:pPr>
              <w:pStyle w:val="RIStabletext"/>
              <w:rPr>
                <w:sz w:val="16"/>
              </w:rPr>
            </w:pPr>
            <w:r w:rsidRPr="00201E93">
              <w:rPr>
                <w:sz w:val="16"/>
              </w:rPr>
              <w:t>(d</w:t>
            </w:r>
            <w:r w:rsidR="006F541E" w:rsidRPr="00201E93">
              <w:rPr>
                <w:sz w:val="16"/>
              </w:rPr>
              <w:t>), (e) and (f)</w:t>
            </w:r>
            <w:r w:rsidRPr="00201E93">
              <w:rPr>
                <w:sz w:val="16"/>
              </w:rPr>
              <w:t xml:space="preserve"> yes</w:t>
            </w:r>
          </w:p>
        </w:tc>
        <w:tc>
          <w:tcPr>
            <w:tcW w:w="2551" w:type="dxa"/>
            <w:tcBorders>
              <w:top w:val="threeDEngrave" w:sz="24" w:space="0" w:color="auto"/>
              <w:left w:val="dotted" w:sz="4" w:space="0" w:color="auto"/>
              <w:bottom w:val="dotted" w:sz="4" w:space="0" w:color="auto"/>
              <w:right w:val="dotted" w:sz="4" w:space="0" w:color="auto"/>
            </w:tcBorders>
            <w:vAlign w:val="center"/>
          </w:tcPr>
          <w:p w:rsidR="00DD238D" w:rsidRPr="005A571D" w:rsidRDefault="009C7302">
            <w:pPr>
              <w:pStyle w:val="RIStabletext"/>
              <w:jc w:val="left"/>
              <w:rPr>
                <w:sz w:val="16"/>
              </w:rPr>
            </w:pPr>
            <w:r w:rsidRPr="005A571D">
              <w:rPr>
                <w:sz w:val="16"/>
              </w:rPr>
              <w:t>C</w:t>
            </w:r>
            <w:r w:rsidR="00DD238D" w:rsidRPr="005A571D">
              <w:rPr>
                <w:sz w:val="16"/>
              </w:rPr>
              <w:t>onsistent with economics of overhauls.</w:t>
            </w:r>
          </w:p>
          <w:p w:rsidR="00DD238D" w:rsidRPr="005A571D" w:rsidRDefault="00DD238D">
            <w:pPr>
              <w:pStyle w:val="RIStabletext"/>
              <w:jc w:val="left"/>
              <w:rPr>
                <w:sz w:val="16"/>
              </w:rPr>
            </w:pPr>
            <w:r w:rsidRPr="005A571D">
              <w:rPr>
                <w:sz w:val="16"/>
              </w:rPr>
              <w:t>Consistently overstates value of overhaul expenses in years between overhauls.</w:t>
            </w:r>
          </w:p>
        </w:tc>
        <w:tc>
          <w:tcPr>
            <w:tcW w:w="1134" w:type="dxa"/>
            <w:tcBorders>
              <w:top w:val="threeDEngrave" w:sz="24" w:space="0" w:color="auto"/>
              <w:left w:val="dotted" w:sz="4" w:space="0" w:color="auto"/>
              <w:bottom w:val="dotted" w:sz="4" w:space="0" w:color="auto"/>
              <w:right w:val="dotted" w:sz="4" w:space="0" w:color="auto"/>
            </w:tcBorders>
            <w:vAlign w:val="center"/>
          </w:tcPr>
          <w:p w:rsidR="00DD238D" w:rsidRPr="00201E93" w:rsidRDefault="00DD238D">
            <w:pPr>
              <w:pStyle w:val="RIStabletext"/>
              <w:jc w:val="left"/>
              <w:rPr>
                <w:sz w:val="16"/>
              </w:rPr>
            </w:pPr>
            <w:r w:rsidRPr="00201E93">
              <w:rPr>
                <w:sz w:val="16"/>
              </w:rPr>
              <w:t>$60 million negative</w:t>
            </w:r>
            <w:r w:rsidR="005A571D">
              <w:rPr>
                <w:sz w:val="16"/>
              </w:rPr>
              <w:t>.</w:t>
            </w:r>
          </w:p>
        </w:tc>
        <w:tc>
          <w:tcPr>
            <w:tcW w:w="2310" w:type="dxa"/>
            <w:gridSpan w:val="2"/>
            <w:tcBorders>
              <w:top w:val="threeDEngrave" w:sz="24" w:space="0" w:color="auto"/>
              <w:left w:val="dotted" w:sz="4" w:space="0" w:color="auto"/>
              <w:bottom w:val="dotted" w:sz="4" w:space="0" w:color="auto"/>
              <w:right w:val="dotted" w:sz="4" w:space="0" w:color="auto"/>
            </w:tcBorders>
            <w:vAlign w:val="center"/>
          </w:tcPr>
          <w:p w:rsidR="00DD238D" w:rsidRPr="00201E93" w:rsidRDefault="00DD238D">
            <w:pPr>
              <w:pStyle w:val="RIStabletext"/>
              <w:jc w:val="left"/>
              <w:rPr>
                <w:sz w:val="16"/>
              </w:rPr>
            </w:pPr>
            <w:r w:rsidRPr="00201E93">
              <w:rPr>
                <w:sz w:val="16"/>
              </w:rPr>
              <w:t xml:space="preserve">High compliance </w:t>
            </w:r>
            <w:r w:rsidR="00737B05" w:rsidRPr="00201E93">
              <w:rPr>
                <w:sz w:val="16"/>
              </w:rPr>
              <w:t>costs</w:t>
            </w:r>
            <w:r w:rsidR="00737B05">
              <w:rPr>
                <w:sz w:val="16"/>
              </w:rPr>
              <w:t xml:space="preserve"> </w:t>
            </w:r>
            <w:r w:rsidR="00737B05" w:rsidRPr="00201E93">
              <w:rPr>
                <w:sz w:val="16"/>
              </w:rPr>
              <w:t>for</w:t>
            </w:r>
            <w:r w:rsidRPr="00201E93">
              <w:rPr>
                <w:sz w:val="16"/>
              </w:rPr>
              <w:t xml:space="preserve"> aircraft operators not required to prepare general purpose financial reports.  . </w:t>
            </w:r>
          </w:p>
        </w:tc>
        <w:tc>
          <w:tcPr>
            <w:tcW w:w="2226" w:type="dxa"/>
            <w:tcBorders>
              <w:top w:val="threeDEngrave" w:sz="24" w:space="0" w:color="auto"/>
              <w:left w:val="dotted" w:sz="4" w:space="0" w:color="auto"/>
              <w:bottom w:val="dotted" w:sz="4" w:space="0" w:color="auto"/>
              <w:right w:val="dotted" w:sz="4" w:space="0" w:color="auto"/>
            </w:tcBorders>
            <w:vAlign w:val="center"/>
          </w:tcPr>
          <w:p w:rsidR="00DD238D" w:rsidRPr="00201E93" w:rsidRDefault="00DD238D">
            <w:pPr>
              <w:pStyle w:val="RIStabletext"/>
              <w:jc w:val="left"/>
              <w:rPr>
                <w:sz w:val="16"/>
              </w:rPr>
            </w:pPr>
            <w:r w:rsidRPr="00201E93">
              <w:rPr>
                <w:sz w:val="16"/>
              </w:rPr>
              <w:t>Post-implementation review of compliance</w:t>
            </w:r>
            <w:r w:rsidR="00C32BA2">
              <w:rPr>
                <w:sz w:val="16"/>
              </w:rPr>
              <w:t xml:space="preserve"> by Inland Revenue</w:t>
            </w:r>
          </w:p>
          <w:p w:rsidR="00DD238D" w:rsidRPr="00201E93" w:rsidRDefault="00DD238D" w:rsidP="0099039F">
            <w:pPr>
              <w:pStyle w:val="RIStabletext"/>
              <w:jc w:val="left"/>
              <w:rPr>
                <w:sz w:val="16"/>
              </w:rPr>
            </w:pPr>
            <w:r w:rsidRPr="00201E93">
              <w:rPr>
                <w:sz w:val="16"/>
              </w:rPr>
              <w:t xml:space="preserve">Minor </w:t>
            </w:r>
            <w:r w:rsidR="0099039F">
              <w:rPr>
                <w:sz w:val="16"/>
              </w:rPr>
              <w:t xml:space="preserve">compliance </w:t>
            </w:r>
            <w:r w:rsidRPr="00201E93">
              <w:rPr>
                <w:sz w:val="16"/>
              </w:rPr>
              <w:t>cost</w:t>
            </w:r>
            <w:r w:rsidR="0099039F">
              <w:rPr>
                <w:sz w:val="16"/>
              </w:rPr>
              <w:t>s</w:t>
            </w:r>
            <w:r w:rsidRPr="00201E93">
              <w:rPr>
                <w:sz w:val="16"/>
              </w:rPr>
              <w:t xml:space="preserve"> in calculating transitional adjustments</w:t>
            </w:r>
          </w:p>
        </w:tc>
        <w:tc>
          <w:tcPr>
            <w:tcW w:w="1843" w:type="dxa"/>
            <w:tcBorders>
              <w:top w:val="threeDEngrave" w:sz="24" w:space="0" w:color="auto"/>
              <w:left w:val="dotted" w:sz="4" w:space="0" w:color="auto"/>
              <w:bottom w:val="dotted" w:sz="4" w:space="0" w:color="auto"/>
              <w:right w:val="dotted" w:sz="4" w:space="0" w:color="auto"/>
            </w:tcBorders>
            <w:vAlign w:val="center"/>
          </w:tcPr>
          <w:p w:rsidR="00DD238D" w:rsidRPr="00201E93" w:rsidRDefault="00DD238D">
            <w:pPr>
              <w:pStyle w:val="RIStabletext"/>
              <w:jc w:val="left"/>
              <w:rPr>
                <w:sz w:val="16"/>
              </w:rPr>
            </w:pPr>
            <w:r w:rsidRPr="00201E93">
              <w:rPr>
                <w:sz w:val="16"/>
              </w:rPr>
              <w:t>Potential for non-compliance by smaller sized SMEs</w:t>
            </w:r>
          </w:p>
        </w:tc>
        <w:tc>
          <w:tcPr>
            <w:tcW w:w="2835" w:type="dxa"/>
            <w:tcBorders>
              <w:top w:val="threeDEngrave" w:sz="24" w:space="0" w:color="auto"/>
              <w:left w:val="dotted" w:sz="4" w:space="0" w:color="auto"/>
              <w:bottom w:val="dotted" w:sz="4" w:space="0" w:color="auto"/>
              <w:right w:val="threeDEmboss" w:sz="24" w:space="0" w:color="auto"/>
            </w:tcBorders>
            <w:vAlign w:val="center"/>
          </w:tcPr>
          <w:p w:rsidR="00DD238D" w:rsidRDefault="00DD238D">
            <w:pPr>
              <w:pStyle w:val="RIStabletext"/>
              <w:jc w:val="left"/>
              <w:rPr>
                <w:sz w:val="16"/>
              </w:rPr>
            </w:pPr>
            <w:r w:rsidRPr="00201E93">
              <w:rPr>
                <w:sz w:val="16"/>
              </w:rPr>
              <w:t>Partly addresses the problem but overstates the value of overhaul expenses.</w:t>
            </w:r>
          </w:p>
          <w:p w:rsidR="005A571D" w:rsidRPr="00201E93" w:rsidRDefault="005A571D">
            <w:pPr>
              <w:pStyle w:val="RIStabletext"/>
              <w:jc w:val="left"/>
              <w:rPr>
                <w:sz w:val="16"/>
              </w:rPr>
            </w:pPr>
            <w:r>
              <w:rPr>
                <w:sz w:val="16"/>
              </w:rPr>
              <w:t>Not recommended.</w:t>
            </w:r>
          </w:p>
        </w:tc>
      </w:tr>
      <w:tr w:rsidR="00DD238D" w:rsidRPr="001709A5" w:rsidTr="00201E93">
        <w:trPr>
          <w:cantSplit/>
        </w:trPr>
        <w:tc>
          <w:tcPr>
            <w:tcW w:w="1560" w:type="dxa"/>
            <w:tcBorders>
              <w:top w:val="threeDEmboss" w:sz="24" w:space="0" w:color="auto"/>
              <w:left w:val="threeDEngrave" w:sz="24" w:space="0" w:color="auto"/>
              <w:bottom w:val="threeDEmboss" w:sz="24" w:space="0" w:color="auto"/>
              <w:right w:val="dotted" w:sz="4" w:space="0" w:color="auto"/>
            </w:tcBorders>
            <w:vAlign w:val="center"/>
          </w:tcPr>
          <w:p w:rsidR="00DD238D" w:rsidRPr="00201E93" w:rsidRDefault="00DD238D" w:rsidP="00201E93">
            <w:pPr>
              <w:pStyle w:val="RIStabletext"/>
              <w:jc w:val="left"/>
              <w:rPr>
                <w:sz w:val="16"/>
              </w:rPr>
            </w:pPr>
            <w:r w:rsidRPr="00201E93">
              <w:rPr>
                <w:sz w:val="16"/>
              </w:rPr>
              <w:t>Option 5; Equalisation</w:t>
            </w:r>
            <w:r w:rsidR="009C7302">
              <w:rPr>
                <w:sz w:val="16"/>
              </w:rPr>
              <w:t xml:space="preserve"> method</w:t>
            </w:r>
          </w:p>
        </w:tc>
        <w:tc>
          <w:tcPr>
            <w:tcW w:w="1134" w:type="dxa"/>
            <w:tcBorders>
              <w:top w:val="threeDEmboss" w:sz="24" w:space="0" w:color="auto"/>
              <w:left w:val="dotted" w:sz="4" w:space="0" w:color="auto"/>
              <w:bottom w:val="threeDEmboss" w:sz="24" w:space="0" w:color="auto"/>
              <w:right w:val="dotted" w:sz="4" w:space="0" w:color="auto"/>
            </w:tcBorders>
            <w:vAlign w:val="center"/>
          </w:tcPr>
          <w:p w:rsidR="00DD238D" w:rsidRPr="00201E93" w:rsidRDefault="006F541E" w:rsidP="00201E93">
            <w:pPr>
              <w:pStyle w:val="RIStabletext"/>
              <w:rPr>
                <w:sz w:val="16"/>
              </w:rPr>
            </w:pPr>
            <w:r w:rsidRPr="00201E93">
              <w:rPr>
                <w:sz w:val="16"/>
              </w:rPr>
              <w:t>(a), (b), (c) and  (d) no</w:t>
            </w:r>
          </w:p>
          <w:p w:rsidR="006F541E" w:rsidRPr="00201E93" w:rsidRDefault="006F541E" w:rsidP="00201E93">
            <w:pPr>
              <w:pStyle w:val="RIStabletext"/>
              <w:rPr>
                <w:sz w:val="16"/>
              </w:rPr>
            </w:pPr>
            <w:r w:rsidRPr="00201E93">
              <w:rPr>
                <w:sz w:val="16"/>
              </w:rPr>
              <w:t>(e) and (f) yes</w:t>
            </w:r>
          </w:p>
        </w:tc>
        <w:tc>
          <w:tcPr>
            <w:tcW w:w="2551" w:type="dxa"/>
            <w:tcBorders>
              <w:top w:val="threeDEmboss" w:sz="24" w:space="0" w:color="auto"/>
              <w:left w:val="dotted" w:sz="4" w:space="0" w:color="auto"/>
              <w:bottom w:val="threeDEmboss" w:sz="24" w:space="0" w:color="auto"/>
              <w:right w:val="dotted" w:sz="4" w:space="0" w:color="auto"/>
            </w:tcBorders>
            <w:vAlign w:val="center"/>
          </w:tcPr>
          <w:p w:rsidR="00DD238D" w:rsidRPr="005A571D" w:rsidRDefault="009C7302">
            <w:pPr>
              <w:pStyle w:val="RIStabletext"/>
              <w:jc w:val="left"/>
              <w:rPr>
                <w:sz w:val="16"/>
              </w:rPr>
            </w:pPr>
            <w:r w:rsidRPr="005A571D">
              <w:rPr>
                <w:sz w:val="16"/>
              </w:rPr>
              <w:t>C</w:t>
            </w:r>
            <w:r w:rsidR="00DD238D" w:rsidRPr="005A571D">
              <w:rPr>
                <w:sz w:val="16"/>
              </w:rPr>
              <w:t>onsistent with economics of overhauls.</w:t>
            </w:r>
          </w:p>
          <w:p w:rsidR="00DD238D" w:rsidRPr="005A571D" w:rsidRDefault="00DD238D">
            <w:pPr>
              <w:pStyle w:val="RIStabletext"/>
              <w:jc w:val="left"/>
              <w:rPr>
                <w:sz w:val="16"/>
              </w:rPr>
            </w:pPr>
            <w:r w:rsidRPr="005A571D">
              <w:rPr>
                <w:sz w:val="16"/>
              </w:rPr>
              <w:t>Consistently overstates value of overhaul expenses in years between overhauls.</w:t>
            </w:r>
          </w:p>
          <w:p w:rsidR="00DD238D" w:rsidRPr="005A571D" w:rsidRDefault="00DD238D" w:rsidP="009C7302">
            <w:pPr>
              <w:pStyle w:val="RIStabletext"/>
              <w:jc w:val="left"/>
              <w:rPr>
                <w:sz w:val="16"/>
              </w:rPr>
            </w:pPr>
            <w:r w:rsidRPr="005A571D">
              <w:rPr>
                <w:sz w:val="16"/>
              </w:rPr>
              <w:t>Cash deposited earns lower rate o</w:t>
            </w:r>
            <w:r w:rsidR="009C7302" w:rsidRPr="005A571D">
              <w:rPr>
                <w:sz w:val="16"/>
              </w:rPr>
              <w:t>f</w:t>
            </w:r>
            <w:r w:rsidRPr="005A571D">
              <w:rPr>
                <w:sz w:val="16"/>
              </w:rPr>
              <w:t xml:space="preserve"> return that when invested in the business, </w:t>
            </w:r>
          </w:p>
        </w:tc>
        <w:tc>
          <w:tcPr>
            <w:tcW w:w="1134" w:type="dxa"/>
            <w:tcBorders>
              <w:top w:val="threeDEmboss" w:sz="24" w:space="0" w:color="auto"/>
              <w:left w:val="dotted" w:sz="4" w:space="0" w:color="auto"/>
              <w:bottom w:val="threeDEmboss" w:sz="24" w:space="0" w:color="auto"/>
              <w:right w:val="dotted" w:sz="4" w:space="0" w:color="auto"/>
            </w:tcBorders>
            <w:vAlign w:val="center"/>
          </w:tcPr>
          <w:p w:rsidR="00DD238D" w:rsidRPr="00201E93" w:rsidRDefault="009C7302">
            <w:pPr>
              <w:pStyle w:val="RIStabletext"/>
              <w:jc w:val="left"/>
              <w:rPr>
                <w:sz w:val="16"/>
              </w:rPr>
            </w:pPr>
            <w:r>
              <w:rPr>
                <w:sz w:val="16"/>
              </w:rPr>
              <w:t>$60 million negative</w:t>
            </w:r>
            <w:r w:rsidR="005A571D">
              <w:rPr>
                <w:sz w:val="16"/>
              </w:rPr>
              <w:t>.</w:t>
            </w:r>
          </w:p>
        </w:tc>
        <w:tc>
          <w:tcPr>
            <w:tcW w:w="2268" w:type="dxa"/>
            <w:tcBorders>
              <w:top w:val="threeDEmboss" w:sz="24" w:space="0" w:color="auto"/>
              <w:left w:val="dotted" w:sz="4" w:space="0" w:color="auto"/>
              <w:bottom w:val="threeDEmboss" w:sz="24" w:space="0" w:color="auto"/>
              <w:right w:val="dotted" w:sz="4" w:space="0" w:color="auto"/>
            </w:tcBorders>
            <w:vAlign w:val="center"/>
          </w:tcPr>
          <w:p w:rsidR="00DD238D" w:rsidRPr="00201E93" w:rsidRDefault="00DD238D">
            <w:pPr>
              <w:pStyle w:val="RIStabletext"/>
              <w:jc w:val="left"/>
              <w:rPr>
                <w:sz w:val="16"/>
              </w:rPr>
            </w:pPr>
            <w:r w:rsidRPr="00201E93">
              <w:rPr>
                <w:sz w:val="16"/>
              </w:rPr>
              <w:t>High compliance cost</w:t>
            </w:r>
            <w:r w:rsidR="009C7302">
              <w:rPr>
                <w:sz w:val="16"/>
              </w:rPr>
              <w:t>s</w:t>
            </w:r>
            <w:r w:rsidRPr="00201E93">
              <w:rPr>
                <w:sz w:val="16"/>
              </w:rPr>
              <w:t xml:space="preserve"> for aircraft operators not required to prepare general purpose financial reports.</w:t>
            </w:r>
          </w:p>
        </w:tc>
        <w:tc>
          <w:tcPr>
            <w:tcW w:w="2268" w:type="dxa"/>
            <w:gridSpan w:val="2"/>
            <w:tcBorders>
              <w:top w:val="threeDEmboss" w:sz="24" w:space="0" w:color="auto"/>
              <w:left w:val="dotted" w:sz="4" w:space="0" w:color="auto"/>
              <w:bottom w:val="threeDEmboss" w:sz="24" w:space="0" w:color="auto"/>
              <w:right w:val="dotted" w:sz="4" w:space="0" w:color="auto"/>
            </w:tcBorders>
            <w:vAlign w:val="center"/>
          </w:tcPr>
          <w:p w:rsidR="00DD238D" w:rsidRPr="00201E93" w:rsidRDefault="00DD238D">
            <w:pPr>
              <w:pStyle w:val="RIStabletext"/>
              <w:jc w:val="left"/>
              <w:rPr>
                <w:sz w:val="16"/>
              </w:rPr>
            </w:pPr>
            <w:r w:rsidRPr="00201E93">
              <w:rPr>
                <w:sz w:val="16"/>
              </w:rPr>
              <w:t>Post-implementation review of compliance</w:t>
            </w:r>
            <w:r w:rsidR="00C32BA2">
              <w:rPr>
                <w:sz w:val="16"/>
              </w:rPr>
              <w:t xml:space="preserve"> by Inland Revenue</w:t>
            </w:r>
          </w:p>
          <w:p w:rsidR="00DD238D" w:rsidRPr="00201E93" w:rsidRDefault="00DD238D" w:rsidP="0099039F">
            <w:pPr>
              <w:pStyle w:val="RIStabletext"/>
              <w:jc w:val="left"/>
              <w:rPr>
                <w:sz w:val="16"/>
              </w:rPr>
            </w:pPr>
            <w:r w:rsidRPr="00201E93">
              <w:rPr>
                <w:sz w:val="16"/>
              </w:rPr>
              <w:t xml:space="preserve">Minor </w:t>
            </w:r>
            <w:r w:rsidR="0099039F">
              <w:rPr>
                <w:sz w:val="16"/>
              </w:rPr>
              <w:t xml:space="preserve">compliance </w:t>
            </w:r>
            <w:r w:rsidRPr="00201E93">
              <w:rPr>
                <w:sz w:val="16"/>
              </w:rPr>
              <w:t>cost</w:t>
            </w:r>
            <w:r w:rsidR="0099039F">
              <w:rPr>
                <w:sz w:val="16"/>
              </w:rPr>
              <w:t>s</w:t>
            </w:r>
            <w:r w:rsidRPr="00201E93">
              <w:rPr>
                <w:sz w:val="16"/>
              </w:rPr>
              <w:t xml:space="preserve"> in calculating transitional adjustments</w:t>
            </w:r>
          </w:p>
        </w:tc>
        <w:tc>
          <w:tcPr>
            <w:tcW w:w="1843" w:type="dxa"/>
            <w:tcBorders>
              <w:top w:val="threeDEmboss" w:sz="24" w:space="0" w:color="auto"/>
              <w:left w:val="dotted" w:sz="4" w:space="0" w:color="auto"/>
              <w:bottom w:val="threeDEmboss" w:sz="24" w:space="0" w:color="auto"/>
              <w:right w:val="dotted" w:sz="4" w:space="0" w:color="auto"/>
            </w:tcBorders>
            <w:vAlign w:val="center"/>
          </w:tcPr>
          <w:p w:rsidR="00DD238D" w:rsidRPr="00201E93" w:rsidRDefault="00DD238D">
            <w:pPr>
              <w:pStyle w:val="RIStabletext"/>
              <w:jc w:val="left"/>
              <w:rPr>
                <w:sz w:val="16"/>
              </w:rPr>
            </w:pPr>
            <w:r w:rsidRPr="00201E93">
              <w:rPr>
                <w:sz w:val="16"/>
              </w:rPr>
              <w:t>Equalisation measures may not be adopted.</w:t>
            </w:r>
          </w:p>
          <w:p w:rsidR="00DD238D" w:rsidRPr="00201E93" w:rsidRDefault="00DD238D">
            <w:pPr>
              <w:pStyle w:val="RIStabletext"/>
              <w:jc w:val="left"/>
              <w:rPr>
                <w:sz w:val="16"/>
              </w:rPr>
            </w:pPr>
            <w:r w:rsidRPr="00201E93">
              <w:rPr>
                <w:sz w:val="16"/>
              </w:rPr>
              <w:t>Potential for non-compliance by smaller sized SMEs.</w:t>
            </w:r>
          </w:p>
        </w:tc>
        <w:tc>
          <w:tcPr>
            <w:tcW w:w="2835" w:type="dxa"/>
            <w:tcBorders>
              <w:top w:val="threeDEmboss" w:sz="24" w:space="0" w:color="auto"/>
              <w:left w:val="dotted" w:sz="4" w:space="0" w:color="auto"/>
              <w:bottom w:val="threeDEmboss" w:sz="24" w:space="0" w:color="auto"/>
              <w:right w:val="threeDEmboss" w:sz="24" w:space="0" w:color="auto"/>
            </w:tcBorders>
            <w:vAlign w:val="center"/>
          </w:tcPr>
          <w:p w:rsidR="00DD238D" w:rsidRDefault="00DD238D">
            <w:pPr>
              <w:pStyle w:val="RIStabletext"/>
              <w:jc w:val="left"/>
              <w:rPr>
                <w:sz w:val="16"/>
              </w:rPr>
            </w:pPr>
            <w:r w:rsidRPr="00201E93">
              <w:rPr>
                <w:sz w:val="16"/>
              </w:rPr>
              <w:t>Partly addresses the problem but overstates the value of overhaul expenses.</w:t>
            </w:r>
          </w:p>
          <w:p w:rsidR="005A571D" w:rsidRPr="00201E93" w:rsidRDefault="005A571D">
            <w:pPr>
              <w:pStyle w:val="RIStabletext"/>
              <w:jc w:val="left"/>
              <w:rPr>
                <w:sz w:val="16"/>
              </w:rPr>
            </w:pPr>
            <w:r>
              <w:rPr>
                <w:sz w:val="16"/>
              </w:rPr>
              <w:t>Not recommended.</w:t>
            </w:r>
          </w:p>
        </w:tc>
      </w:tr>
    </w:tbl>
    <w:p w:rsidR="00DD238D" w:rsidRDefault="00DD238D" w:rsidP="00201E93">
      <w:pPr>
        <w:pStyle w:val="RISnumberlist"/>
        <w:sectPr w:rsidR="00DD238D" w:rsidSect="00201E93">
          <w:pgSz w:w="16840" w:h="11907" w:orient="landscape" w:code="9"/>
          <w:pgMar w:top="709" w:right="1134" w:bottom="568" w:left="1134" w:header="567" w:footer="567" w:gutter="0"/>
          <w:cols w:space="720"/>
          <w:docGrid w:linePitch="360"/>
        </w:sectPr>
      </w:pPr>
    </w:p>
    <w:p w:rsidR="00BA2D4C" w:rsidRDefault="00BA2D4C" w:rsidP="00531240">
      <w:pPr>
        <w:pStyle w:val="RISsubheading"/>
      </w:pPr>
      <w:r>
        <w:t>Economic impacts</w:t>
      </w:r>
    </w:p>
    <w:p w:rsidR="00851D8C" w:rsidRDefault="005A571D" w:rsidP="00201E93">
      <w:pPr>
        <w:pStyle w:val="RISnumberlist"/>
      </w:pPr>
      <w:r>
        <w:t>Options 2 and 3</w:t>
      </w:r>
      <w:r w:rsidR="00851D8C">
        <w:t xml:space="preserve"> were the only options were consistent with policy objective</w:t>
      </w:r>
      <w:r>
        <w:t xml:space="preserve"> that timing of deductions should appropriately reflect the economics of transactions and</w:t>
      </w:r>
      <w:r w:rsidR="00851D8C">
        <w:t xml:space="preserve"> with the objectives of a coherent tax system of using common valuation bases (i.e. the historic cost basis) across timing rules.</w:t>
      </w:r>
      <w:r w:rsidR="00AA0782">
        <w:t xml:space="preserve">  It was also clear that</w:t>
      </w:r>
      <w:r>
        <w:t xml:space="preserve"> option 1</w:t>
      </w:r>
      <w:r w:rsidR="00AA0782">
        <w:t xml:space="preserve"> was not preferred by most submitters.</w:t>
      </w:r>
    </w:p>
    <w:p w:rsidR="008736AB" w:rsidRDefault="008736AB" w:rsidP="00201E93">
      <w:pPr>
        <w:pStyle w:val="RISnumberlist"/>
        <w:numPr>
          <w:ilvl w:val="0"/>
          <w:numId w:val="0"/>
        </w:numPr>
        <w:ind w:left="360"/>
      </w:pPr>
    </w:p>
    <w:p w:rsidR="00AA0782" w:rsidRDefault="00AA0782" w:rsidP="00201E93">
      <w:pPr>
        <w:pStyle w:val="RISnumberlist"/>
      </w:pPr>
      <w:r>
        <w:t>O</w:t>
      </w:r>
      <w:r w:rsidR="00851D8C">
        <w:t>ther</w:t>
      </w:r>
      <w:r w:rsidR="00F944FB">
        <w:t xml:space="preserve"> potential</w:t>
      </w:r>
      <w:r w:rsidR="00851D8C">
        <w:t xml:space="preserve"> economic </w:t>
      </w:r>
      <w:r w:rsidR="005A571D">
        <w:t xml:space="preserve">impacts considered </w:t>
      </w:r>
      <w:r w:rsidR="00F944FB">
        <w:t>were</w:t>
      </w:r>
      <w:r w:rsidR="005A571D">
        <w:t>:</w:t>
      </w:r>
    </w:p>
    <w:p w:rsidR="00AA0782" w:rsidRDefault="00AA0782" w:rsidP="00201E93">
      <w:pPr>
        <w:pStyle w:val="RISnumberlist"/>
        <w:numPr>
          <w:ilvl w:val="0"/>
          <w:numId w:val="0"/>
        </w:numPr>
        <w:ind w:left="360"/>
      </w:pPr>
    </w:p>
    <w:p w:rsidR="005A571D" w:rsidRDefault="005A571D" w:rsidP="000A3815">
      <w:pPr>
        <w:pStyle w:val="RISbulletlist"/>
      </w:pPr>
      <w:r>
        <w:t xml:space="preserve">The </w:t>
      </w:r>
      <w:r w:rsidR="00AA0782">
        <w:t>potential impact on cash flows in transition</w:t>
      </w:r>
      <w:r>
        <w:t xml:space="preserve"> for taxpayers using the provisioning method</w:t>
      </w:r>
      <w:r w:rsidR="00AA0782">
        <w:t xml:space="preserve">.  </w:t>
      </w:r>
      <w:r>
        <w:t>Potential impacts on cash flows in transition are addressed by matching the reversal of the provision to the future expenses for which the provision was made.</w:t>
      </w:r>
    </w:p>
    <w:p w:rsidR="00AA0782" w:rsidRDefault="005A571D" w:rsidP="001F6E89">
      <w:pPr>
        <w:pStyle w:val="RISbulletlist"/>
      </w:pPr>
      <w:r>
        <w:t>W</w:t>
      </w:r>
      <w:r w:rsidR="003D446A">
        <w:t xml:space="preserve">hether </w:t>
      </w:r>
      <w:r>
        <w:t xml:space="preserve">complying </w:t>
      </w:r>
      <w:r w:rsidR="003D446A">
        <w:t xml:space="preserve">with </w:t>
      </w:r>
      <w:r>
        <w:t>the spreading method</w:t>
      </w:r>
      <w:r w:rsidR="00AA0782">
        <w:t xml:space="preserve"> might impose a disproportionate compliance burden on single</w:t>
      </w:r>
      <w:r w:rsidR="00F944FB">
        <w:t>-</w:t>
      </w:r>
      <w:r w:rsidR="00AA0782">
        <w:t>aircraft operators.</w:t>
      </w:r>
      <w:r>
        <w:t xml:space="preserve">  This potential impact is </w:t>
      </w:r>
      <w:r w:rsidR="00F944FB">
        <w:t>addressed by permitting single-aircraft operators to elect to apply option 1 instead of using option 2.</w:t>
      </w:r>
    </w:p>
    <w:p w:rsidR="00BA2D4C" w:rsidRDefault="00BA2D4C" w:rsidP="00AF4E35">
      <w:pPr>
        <w:pStyle w:val="RISsubheading"/>
      </w:pPr>
      <w:r>
        <w:t>Fiscal</w:t>
      </w:r>
      <w:r w:rsidR="00AF4E35">
        <w:t xml:space="preserve"> impacts</w:t>
      </w:r>
    </w:p>
    <w:p w:rsidR="001C2D88" w:rsidRDefault="00737B05" w:rsidP="00201E93">
      <w:pPr>
        <w:pStyle w:val="RISnumberlist"/>
      </w:pPr>
      <w:r>
        <w:t xml:space="preserve">The estimated fiscal impact for each option is based on the same data set and relate to aircraft engine overhauls only.  </w:t>
      </w:r>
      <w:r w:rsidR="000A32A6">
        <w:t xml:space="preserve">The estimated fiscal impacts </w:t>
      </w:r>
      <w:r w:rsidR="00A16566">
        <w:t>are for a period of</w:t>
      </w:r>
      <w:r w:rsidR="003D446A">
        <w:t xml:space="preserve"> five</w:t>
      </w:r>
      <w:r w:rsidR="00A16566">
        <w:t xml:space="preserve"> years following the proposed year of implementation (2017-18 income year)</w:t>
      </w:r>
      <w:r w:rsidR="008A12BF">
        <w:t xml:space="preserve">.  </w:t>
      </w:r>
      <w:r w:rsidR="00A16566">
        <w:t xml:space="preserve">All of the fiscal impacts relate to timing of deductions and would reverse out over the </w:t>
      </w:r>
      <w:r w:rsidR="000A32A6">
        <w:t>period of ownership of</w:t>
      </w:r>
      <w:r w:rsidR="00A16566">
        <w:t xml:space="preserve"> the aircraft.   </w:t>
      </w:r>
    </w:p>
    <w:p w:rsidR="009559FC" w:rsidRDefault="009559FC" w:rsidP="000A3815">
      <w:pPr>
        <w:pStyle w:val="RISsubheading"/>
      </w:pPr>
      <w:r>
        <w:t>Compliance impacts</w:t>
      </w:r>
    </w:p>
    <w:p w:rsidR="00AA4C51" w:rsidRDefault="00AA4C51" w:rsidP="00AA4C51">
      <w:pPr>
        <w:pStyle w:val="Heading6"/>
      </w:pPr>
      <w:r>
        <w:t>Small and medium size enterprise</w:t>
      </w:r>
      <w:r w:rsidR="0051557C">
        <w:t>s</w:t>
      </w:r>
      <w:r>
        <w:t xml:space="preserve"> </w:t>
      </w:r>
    </w:p>
    <w:p w:rsidR="00AA4C51" w:rsidRPr="00AA4C51" w:rsidRDefault="00AA4C51" w:rsidP="00AA4C51"/>
    <w:p w:rsidR="009559FC" w:rsidRDefault="00773288">
      <w:pPr>
        <w:pStyle w:val="RISnumberlist"/>
      </w:pPr>
      <w:r>
        <w:t xml:space="preserve">Permitting smaller sized taxpayers to elect out of the recommended </w:t>
      </w:r>
      <w:r w:rsidR="00F944FB">
        <w:t xml:space="preserve">option (option 2) </w:t>
      </w:r>
      <w:r>
        <w:t>and instead use the current deductibility and timing rules for aircraft overhaul expenses</w:t>
      </w:r>
      <w:r w:rsidR="00F944FB">
        <w:t xml:space="preserve"> (option 1)</w:t>
      </w:r>
      <w:r>
        <w:t xml:space="preserve"> is supported on compliance cost grounds.  Many smaller-sized taxpayers already use the current deductibility and timing rules and little change in compliance cost</w:t>
      </w:r>
      <w:r w:rsidR="00F944FB">
        <w:t>s</w:t>
      </w:r>
      <w:r>
        <w:t xml:space="preserve"> would be expected</w:t>
      </w:r>
      <w:r w:rsidR="00AA4C51">
        <w:t xml:space="preserve"> if this concession </w:t>
      </w:r>
      <w:r w:rsidR="007F0101">
        <w:t>were</w:t>
      </w:r>
      <w:r w:rsidR="00AA4C51">
        <w:t xml:space="preserve"> adopted</w:t>
      </w:r>
      <w:r>
        <w:t>.  Submitters suggested this threshold could be set at single-aircraft taxpayers.</w:t>
      </w:r>
    </w:p>
    <w:p w:rsidR="00AA4C51" w:rsidRDefault="00D4131E" w:rsidP="00D4131E">
      <w:pPr>
        <w:pStyle w:val="Heading6"/>
      </w:pPr>
      <w:r>
        <w:t>IFRS taxpayers</w:t>
      </w:r>
    </w:p>
    <w:p w:rsidR="0051557C" w:rsidRPr="00F27BFD" w:rsidRDefault="0051557C" w:rsidP="00201E93"/>
    <w:p w:rsidR="00D4131E" w:rsidRDefault="00D4131E" w:rsidP="00201E93">
      <w:pPr>
        <w:pStyle w:val="RISnumberlist"/>
      </w:pPr>
      <w:r>
        <w:t xml:space="preserve">IFRS taxpayers are those required to comply with international financial reporting standards.  </w:t>
      </w:r>
      <w:r w:rsidR="00F944FB">
        <w:t>IFRS taxpayers</w:t>
      </w:r>
      <w:r>
        <w:t xml:space="preserve"> required to treat aircraft overhaul expense in two different ways depending on whether the aircraft is on-balance</w:t>
      </w:r>
      <w:r w:rsidR="00F944FB">
        <w:t xml:space="preserve"> sheet</w:t>
      </w:r>
      <w:r>
        <w:t xml:space="preserve"> or off-balance sheet:</w:t>
      </w:r>
    </w:p>
    <w:p w:rsidR="00215C2F" w:rsidRDefault="00215C2F" w:rsidP="00D4131E"/>
    <w:p w:rsidR="00D4131E" w:rsidRDefault="00D4131E" w:rsidP="00D4131E">
      <w:pPr>
        <w:pStyle w:val="RISbulletlist"/>
      </w:pPr>
      <w:r>
        <w:t>For on-balance sheet aircraft, aircraft overhaul expenses are spread evenly across the overhaul cycle.  The original cost of the overhaul component is spread across the first overhaul cycle.</w:t>
      </w:r>
    </w:p>
    <w:p w:rsidR="00D4131E" w:rsidRDefault="00D4131E" w:rsidP="00D4131E">
      <w:pPr>
        <w:pStyle w:val="RISbulletlist"/>
      </w:pPr>
      <w:r>
        <w:t>For off-balance sheet aircraft, aircraft overhaul expenses are spread using the provisioning accounting method.  Off-balance sheet aircraft are leased aircraft that are treated as operating leases under IFRS.</w:t>
      </w:r>
    </w:p>
    <w:p w:rsidR="001D5C03" w:rsidRDefault="00D4131E" w:rsidP="00201E93">
      <w:pPr>
        <w:pStyle w:val="RISnumberlist"/>
      </w:pPr>
      <w:r>
        <w:t xml:space="preserve">For on-balance sheet aircraft, it is considered that compliance costs would be reduced </w:t>
      </w:r>
      <w:r w:rsidR="007F0101">
        <w:t>if their</w:t>
      </w:r>
      <w:r>
        <w:t xml:space="preserve"> treatment of aircraft overhaul expenses under IFRS could be used for income tax purposes. </w:t>
      </w:r>
    </w:p>
    <w:p w:rsidR="00D4131E" w:rsidRDefault="00D4131E" w:rsidP="00201E93">
      <w:pPr>
        <w:pStyle w:val="RISnumberlist"/>
        <w:numPr>
          <w:ilvl w:val="0"/>
          <w:numId w:val="0"/>
        </w:numPr>
        <w:ind w:left="360"/>
      </w:pPr>
    </w:p>
    <w:p w:rsidR="00D4131E" w:rsidRDefault="00D4131E" w:rsidP="00201E93">
      <w:pPr>
        <w:pStyle w:val="RISnumberlist"/>
      </w:pPr>
      <w:r>
        <w:t xml:space="preserve">However, </w:t>
      </w:r>
      <w:r w:rsidR="001D5C03">
        <w:t>leases of</w:t>
      </w:r>
      <w:r w:rsidR="0051557C">
        <w:t xml:space="preserve"> </w:t>
      </w:r>
      <w:r>
        <w:t xml:space="preserve">off-balance sheet aircraft </w:t>
      </w:r>
      <w:r w:rsidR="001D5C03">
        <w:t>are</w:t>
      </w:r>
      <w:r w:rsidR="0051557C">
        <w:t xml:space="preserve"> </w:t>
      </w:r>
      <w:r>
        <w:t>generally</w:t>
      </w:r>
      <w:r w:rsidR="0051557C">
        <w:t xml:space="preserve"> </w:t>
      </w:r>
      <w:r>
        <w:t>finance lease</w:t>
      </w:r>
      <w:r w:rsidR="001D5C03">
        <w:t>s</w:t>
      </w:r>
      <w:r>
        <w:t xml:space="preserve"> for income tax purposes.  </w:t>
      </w:r>
      <w:r w:rsidR="0051557C">
        <w:t>Aircraft leased under a finance lease</w:t>
      </w:r>
      <w:r>
        <w:t xml:space="preserve"> are treated as owned for income tax purposes, irrespective of the treatment under IFRS.  There are significant differences in the treatment of lease expenses for off-balance sheet aircraft between IFRS and the tax finance lease rules.</w:t>
      </w:r>
      <w:r w:rsidR="00CD3ECD">
        <w:t xml:space="preserve">  This is illustrated </w:t>
      </w:r>
      <w:r w:rsidR="00F944FB">
        <w:t>T</w:t>
      </w:r>
      <w:r w:rsidR="00CD3ECD">
        <w:t>able</w:t>
      </w:r>
      <w:r w:rsidR="00F944FB">
        <w:t xml:space="preserve"> 2.</w:t>
      </w:r>
    </w:p>
    <w:p w:rsidR="00CD3ECD" w:rsidRDefault="00CD3ECD" w:rsidP="00201E93">
      <w:pPr>
        <w:pStyle w:val="RISnumberlist"/>
        <w:numPr>
          <w:ilvl w:val="0"/>
          <w:numId w:val="0"/>
        </w:numPr>
        <w:ind w:left="360"/>
      </w:pPr>
    </w:p>
    <w:p w:rsidR="00CD3ECD" w:rsidRPr="00AD1120" w:rsidRDefault="00CD3ECD" w:rsidP="00201E93">
      <w:pPr>
        <w:pStyle w:val="RISsubheading"/>
      </w:pPr>
      <w:r w:rsidRPr="00AD1120">
        <w:t xml:space="preserve">Table </w:t>
      </w:r>
      <w:r w:rsidR="0051557C">
        <w:t>2</w:t>
      </w:r>
      <w:r w:rsidRPr="00AD1120">
        <w:t>: compare IFRS to finance lease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3261"/>
      </w:tblGrid>
      <w:tr w:rsidR="00D4131E" w:rsidRPr="00CD3ECD" w:rsidTr="00AD1120">
        <w:tc>
          <w:tcPr>
            <w:tcW w:w="2660" w:type="dxa"/>
            <w:tcBorders>
              <w:bottom w:val="threeDEngrave" w:sz="24" w:space="0" w:color="auto"/>
              <w:right w:val="threeDEngrave" w:sz="24" w:space="0" w:color="auto"/>
            </w:tcBorders>
            <w:vAlign w:val="center"/>
          </w:tcPr>
          <w:p w:rsidR="00D4131E" w:rsidRPr="00AD1120" w:rsidRDefault="00D4131E" w:rsidP="00201E93">
            <w:pPr>
              <w:pStyle w:val="RIStabletext"/>
            </w:pPr>
          </w:p>
        </w:tc>
        <w:tc>
          <w:tcPr>
            <w:tcW w:w="2551" w:type="dxa"/>
            <w:tcBorders>
              <w:top w:val="threeDEngrave" w:sz="24" w:space="0" w:color="auto"/>
              <w:left w:val="threeDEngrave" w:sz="24" w:space="0" w:color="auto"/>
              <w:bottom w:val="threeDEngrave" w:sz="24" w:space="0" w:color="auto"/>
              <w:right w:val="dotted" w:sz="4" w:space="0" w:color="auto"/>
            </w:tcBorders>
            <w:vAlign w:val="center"/>
          </w:tcPr>
          <w:p w:rsidR="00D4131E" w:rsidRPr="00AD1120" w:rsidRDefault="00D4131E" w:rsidP="00201E93">
            <w:pPr>
              <w:pStyle w:val="RIStabletextbold"/>
            </w:pPr>
            <w:r w:rsidRPr="00AD1120">
              <w:t>IFRS</w:t>
            </w:r>
          </w:p>
        </w:tc>
        <w:tc>
          <w:tcPr>
            <w:tcW w:w="3261" w:type="dxa"/>
            <w:tcBorders>
              <w:top w:val="threeDEngrave" w:sz="24" w:space="0" w:color="auto"/>
              <w:left w:val="dotted" w:sz="4" w:space="0" w:color="auto"/>
              <w:bottom w:val="threeDEngrave" w:sz="24" w:space="0" w:color="auto"/>
              <w:right w:val="threeDEmboss" w:sz="24" w:space="0" w:color="auto"/>
            </w:tcBorders>
            <w:vAlign w:val="center"/>
          </w:tcPr>
          <w:p w:rsidR="00D4131E" w:rsidRPr="00AD1120" w:rsidRDefault="00D4131E" w:rsidP="00201E93">
            <w:pPr>
              <w:pStyle w:val="RIStabletextbold"/>
            </w:pPr>
            <w:r w:rsidRPr="00AD1120">
              <w:t>Tax finance lease rules</w:t>
            </w:r>
          </w:p>
        </w:tc>
      </w:tr>
      <w:tr w:rsidR="00D4131E" w:rsidRPr="00D4131E" w:rsidTr="00AD1120">
        <w:tc>
          <w:tcPr>
            <w:tcW w:w="2660" w:type="dxa"/>
            <w:tcBorders>
              <w:top w:val="threeDEngrave" w:sz="24" w:space="0" w:color="auto"/>
              <w:left w:val="threeDEngrave" w:sz="24" w:space="0" w:color="auto"/>
              <w:bottom w:val="dashSmallGap" w:sz="4" w:space="0" w:color="auto"/>
              <w:right w:val="dashSmallGap" w:sz="4" w:space="0" w:color="auto"/>
            </w:tcBorders>
            <w:vAlign w:val="center"/>
          </w:tcPr>
          <w:p w:rsidR="00D4131E" w:rsidRPr="008B2634" w:rsidRDefault="00D4131E" w:rsidP="00201E93">
            <w:pPr>
              <w:pStyle w:val="RIStabletext"/>
            </w:pPr>
            <w:r w:rsidRPr="008B2634">
              <w:t>Lease payment</w:t>
            </w:r>
          </w:p>
        </w:tc>
        <w:tc>
          <w:tcPr>
            <w:tcW w:w="2551" w:type="dxa"/>
            <w:tcBorders>
              <w:top w:val="threeDEngrave" w:sz="24" w:space="0" w:color="auto"/>
              <w:left w:val="dashSmallGap" w:sz="4" w:space="0" w:color="auto"/>
              <w:bottom w:val="dashSmallGap" w:sz="4" w:space="0" w:color="auto"/>
              <w:right w:val="dashSmallGap" w:sz="4" w:space="0" w:color="auto"/>
            </w:tcBorders>
            <w:vAlign w:val="center"/>
          </w:tcPr>
          <w:p w:rsidR="00D4131E" w:rsidRPr="00D4131E" w:rsidRDefault="00D4131E" w:rsidP="00201E93">
            <w:pPr>
              <w:pStyle w:val="RIStabletext"/>
            </w:pPr>
            <w:r>
              <w:t>Expensed</w:t>
            </w:r>
          </w:p>
        </w:tc>
        <w:tc>
          <w:tcPr>
            <w:tcW w:w="3261" w:type="dxa"/>
            <w:tcBorders>
              <w:top w:val="threeDEngrave" w:sz="24" w:space="0" w:color="auto"/>
              <w:left w:val="dashSmallGap" w:sz="4" w:space="0" w:color="auto"/>
              <w:bottom w:val="dashSmallGap" w:sz="4" w:space="0" w:color="auto"/>
              <w:right w:val="threeDEmboss" w:sz="24" w:space="0" w:color="auto"/>
            </w:tcBorders>
            <w:vAlign w:val="center"/>
          </w:tcPr>
          <w:p w:rsidR="00D4131E" w:rsidRPr="00D4131E" w:rsidRDefault="00D4131E" w:rsidP="00201E93">
            <w:pPr>
              <w:pStyle w:val="RIStabletext"/>
            </w:pPr>
            <w:r>
              <w:t xml:space="preserve">Interest component </w:t>
            </w:r>
            <w:r w:rsidR="00CC49CC">
              <w:t xml:space="preserve">– a </w:t>
            </w:r>
            <w:r>
              <w:t>deduction</w:t>
            </w:r>
          </w:p>
        </w:tc>
      </w:tr>
      <w:tr w:rsidR="00D4131E" w:rsidRPr="00D4131E" w:rsidTr="00AD1120">
        <w:tc>
          <w:tcPr>
            <w:tcW w:w="2660" w:type="dxa"/>
            <w:tcBorders>
              <w:top w:val="dashSmallGap" w:sz="4" w:space="0" w:color="auto"/>
              <w:left w:val="threeDEngrave" w:sz="24" w:space="0" w:color="auto"/>
              <w:bottom w:val="dashSmallGap" w:sz="4" w:space="0" w:color="auto"/>
              <w:right w:val="dashSmallGap" w:sz="4" w:space="0" w:color="auto"/>
            </w:tcBorders>
            <w:vAlign w:val="center"/>
          </w:tcPr>
          <w:p w:rsidR="00D4131E" w:rsidRPr="008B2634" w:rsidRDefault="00D4131E" w:rsidP="00201E93">
            <w:pPr>
              <w:pStyle w:val="RIStabletext"/>
            </w:pPr>
            <w:r w:rsidRPr="008B2634">
              <w:t>Asset</w:t>
            </w:r>
          </w:p>
        </w:tc>
        <w:tc>
          <w:tcPr>
            <w:tcW w:w="2551" w:type="dxa"/>
            <w:tcBorders>
              <w:top w:val="dashSmallGap" w:sz="4" w:space="0" w:color="auto"/>
              <w:left w:val="dashSmallGap" w:sz="4" w:space="0" w:color="auto"/>
              <w:bottom w:val="dashSmallGap" w:sz="4" w:space="0" w:color="auto"/>
              <w:right w:val="dashSmallGap" w:sz="4" w:space="0" w:color="auto"/>
            </w:tcBorders>
            <w:vAlign w:val="center"/>
          </w:tcPr>
          <w:p w:rsidR="00D4131E" w:rsidRDefault="00D4131E" w:rsidP="00201E93">
            <w:pPr>
              <w:pStyle w:val="RIStabletext"/>
            </w:pPr>
            <w:r>
              <w:t>Off-balance sheet</w:t>
            </w:r>
          </w:p>
        </w:tc>
        <w:tc>
          <w:tcPr>
            <w:tcW w:w="3261" w:type="dxa"/>
            <w:tcBorders>
              <w:top w:val="dashSmallGap" w:sz="4" w:space="0" w:color="auto"/>
              <w:left w:val="dashSmallGap" w:sz="4" w:space="0" w:color="auto"/>
              <w:bottom w:val="dashSmallGap" w:sz="4" w:space="0" w:color="auto"/>
              <w:right w:val="threeDEmboss" w:sz="24" w:space="0" w:color="auto"/>
            </w:tcBorders>
            <w:vAlign w:val="center"/>
          </w:tcPr>
          <w:p w:rsidR="00D4131E" w:rsidRDefault="008B2634" w:rsidP="00201E93">
            <w:pPr>
              <w:pStyle w:val="RIStabletext"/>
            </w:pPr>
            <w:r>
              <w:t>Cost of entire asset c</w:t>
            </w:r>
            <w:r w:rsidR="00D4131E">
              <w:t>apitalised and depreciated</w:t>
            </w:r>
            <w:r w:rsidR="00CC49CC">
              <w:t>, capital portion of lease payment treated as loan repayment.</w:t>
            </w:r>
          </w:p>
        </w:tc>
      </w:tr>
      <w:tr w:rsidR="00D4131E" w:rsidRPr="00D4131E" w:rsidTr="00AD1120">
        <w:tc>
          <w:tcPr>
            <w:tcW w:w="2660" w:type="dxa"/>
            <w:tcBorders>
              <w:top w:val="dashSmallGap" w:sz="4" w:space="0" w:color="auto"/>
              <w:left w:val="threeDEngrave" w:sz="24" w:space="0" w:color="auto"/>
              <w:bottom w:val="threeDEmboss" w:sz="24" w:space="0" w:color="auto"/>
              <w:right w:val="dashSmallGap" w:sz="4" w:space="0" w:color="auto"/>
            </w:tcBorders>
            <w:vAlign w:val="center"/>
          </w:tcPr>
          <w:p w:rsidR="00D4131E" w:rsidRPr="008B2634" w:rsidRDefault="00D4131E" w:rsidP="00201E93">
            <w:pPr>
              <w:pStyle w:val="RIStabletext"/>
            </w:pPr>
            <w:r w:rsidRPr="008B2634">
              <w:t>Aircraft overhaul expenses</w:t>
            </w:r>
          </w:p>
        </w:tc>
        <w:tc>
          <w:tcPr>
            <w:tcW w:w="2551" w:type="dxa"/>
            <w:tcBorders>
              <w:top w:val="dashSmallGap" w:sz="4" w:space="0" w:color="auto"/>
              <w:left w:val="dashSmallGap" w:sz="4" w:space="0" w:color="auto"/>
              <w:bottom w:val="threeDEmboss" w:sz="24" w:space="0" w:color="auto"/>
              <w:right w:val="dashSmallGap" w:sz="4" w:space="0" w:color="auto"/>
            </w:tcBorders>
            <w:vAlign w:val="center"/>
          </w:tcPr>
          <w:p w:rsidR="00D4131E" w:rsidRDefault="00D4131E" w:rsidP="000A3815">
            <w:pPr>
              <w:pStyle w:val="RIStabletext"/>
              <w:jc w:val="left"/>
            </w:pPr>
            <w:r>
              <w:t xml:space="preserve">Provisioning </w:t>
            </w:r>
            <w:r w:rsidR="00CC49CC">
              <w:t>accounting practice</w:t>
            </w:r>
          </w:p>
        </w:tc>
        <w:tc>
          <w:tcPr>
            <w:tcW w:w="3261" w:type="dxa"/>
            <w:tcBorders>
              <w:top w:val="dashSmallGap" w:sz="4" w:space="0" w:color="auto"/>
              <w:left w:val="dashSmallGap" w:sz="4" w:space="0" w:color="auto"/>
              <w:bottom w:val="threeDEmboss" w:sz="24" w:space="0" w:color="auto"/>
              <w:right w:val="threeDEmboss" w:sz="24" w:space="0" w:color="auto"/>
            </w:tcBorders>
            <w:vAlign w:val="center"/>
          </w:tcPr>
          <w:p w:rsidR="00D4131E" w:rsidRDefault="008B2634" w:rsidP="000A3815">
            <w:pPr>
              <w:pStyle w:val="RIStabletext"/>
              <w:jc w:val="left"/>
            </w:pPr>
            <w:r>
              <w:t>As incurred</w:t>
            </w:r>
            <w:r>
              <w:br/>
              <w:t>(as stated in annual reports)</w:t>
            </w:r>
          </w:p>
        </w:tc>
      </w:tr>
    </w:tbl>
    <w:p w:rsidR="00D4131E" w:rsidRDefault="00D4131E" w:rsidP="00201E93">
      <w:pPr>
        <w:pStyle w:val="RISnumberlist"/>
        <w:numPr>
          <w:ilvl w:val="0"/>
          <w:numId w:val="0"/>
        </w:numPr>
      </w:pPr>
    </w:p>
    <w:p w:rsidR="001D5C03" w:rsidRDefault="001D5C03">
      <w:pPr>
        <w:pStyle w:val="RISnumberlist"/>
        <w:numPr>
          <w:ilvl w:val="0"/>
          <w:numId w:val="0"/>
        </w:numPr>
      </w:pPr>
    </w:p>
    <w:p w:rsidR="001D5C03" w:rsidRDefault="001D5C03" w:rsidP="00201E93">
      <w:pPr>
        <w:pStyle w:val="RISnumberlist"/>
      </w:pPr>
      <w:r>
        <w:t>Given the differences in accounting treatment for</w:t>
      </w:r>
      <w:r w:rsidRPr="001D5C03">
        <w:t xml:space="preserve"> off-balance sheet aircraft</w:t>
      </w:r>
      <w:r>
        <w:t xml:space="preserve"> between IFRS and tax law, it is considered that </w:t>
      </w:r>
      <w:r w:rsidR="00CC49CC">
        <w:t>Inland Revenue should continue to consult on developing an agreed method for making</w:t>
      </w:r>
      <w:r w:rsidR="00DB379B">
        <w:t xml:space="preserve"> appropriate</w:t>
      </w:r>
      <w:r w:rsidR="00CC49CC">
        <w:t xml:space="preserve"> tax </w:t>
      </w:r>
      <w:r>
        <w:t>adjustments</w:t>
      </w:r>
      <w:r w:rsidR="00DB379B">
        <w:t xml:space="preserve"> relating to off-balance sheet aircraft of IFRS taxpayers</w:t>
      </w:r>
      <w:r w:rsidR="00CC49CC">
        <w:t>.</w:t>
      </w:r>
      <w:r w:rsidRPr="001D5C03">
        <w:t xml:space="preserve">  </w:t>
      </w:r>
    </w:p>
    <w:p w:rsidR="008B2634" w:rsidRDefault="008B2634" w:rsidP="00201E93">
      <w:pPr>
        <w:pStyle w:val="Heading6"/>
        <w:tabs>
          <w:tab w:val="left" w:pos="5985"/>
        </w:tabs>
      </w:pPr>
      <w:r>
        <w:t>Non-engine overhauls</w:t>
      </w:r>
    </w:p>
    <w:p w:rsidR="008B2634" w:rsidRPr="008B2634" w:rsidRDefault="008B2634" w:rsidP="008B2634"/>
    <w:p w:rsidR="00773288" w:rsidRDefault="00773288" w:rsidP="00201E93">
      <w:pPr>
        <w:pStyle w:val="RISnumberlist"/>
      </w:pPr>
      <w:r>
        <w:t xml:space="preserve">Consultation indicated that most taxpayers </w:t>
      </w:r>
      <w:r w:rsidR="00AA4C51">
        <w:t>consider</w:t>
      </w:r>
      <w:r>
        <w:t xml:space="preserve"> overhaul costs </w:t>
      </w:r>
      <w:r w:rsidR="00215C2F">
        <w:t xml:space="preserve">of a non-material nature should be treated as </w:t>
      </w:r>
      <w:r>
        <w:t xml:space="preserve">repairs and maintenance.  </w:t>
      </w:r>
      <w:r w:rsidR="00215C2F">
        <w:t>For compliance cost reasons, it is considered that</w:t>
      </w:r>
      <w:r w:rsidR="00AA4C51">
        <w:t xml:space="preserve"> non-engine overhauls</w:t>
      </w:r>
      <w:r w:rsidR="00215C2F">
        <w:t xml:space="preserve"> that are non-material relative to the value of the aircraft should be</w:t>
      </w:r>
      <w:r>
        <w:t xml:space="preserve"> treated as repairs and maintenance in line with the principles set out in the Commissioner’s Interpretation Statement 12/03: </w:t>
      </w:r>
      <w:r w:rsidRPr="00773288">
        <w:rPr>
          <w:i/>
        </w:rPr>
        <w:t>Income tax – deductibility of repairs and maintenance Expenditure – general principles</w:t>
      </w:r>
      <w:r>
        <w:t>.</w:t>
      </w:r>
    </w:p>
    <w:p w:rsidR="00D12B0A" w:rsidRDefault="00D12B0A" w:rsidP="00D12B0A">
      <w:pPr>
        <w:pStyle w:val="RISmajorheading"/>
      </w:pPr>
      <w:r>
        <w:t>Social, cultural or environmental impacts</w:t>
      </w:r>
    </w:p>
    <w:p w:rsidR="0051557C" w:rsidRDefault="0051557C" w:rsidP="00201E93">
      <w:pPr>
        <w:pStyle w:val="RISnumberlist"/>
      </w:pPr>
      <w:r>
        <w:t>None of the options have social, cultural or environmental impacts.</w:t>
      </w:r>
    </w:p>
    <w:p w:rsidR="000F1E7F" w:rsidRDefault="000F1E7F" w:rsidP="00201E93">
      <w:pPr>
        <w:pStyle w:val="RISnumberlist"/>
        <w:numPr>
          <w:ilvl w:val="0"/>
          <w:numId w:val="0"/>
        </w:numPr>
        <w:ind w:left="360" w:hanging="360"/>
      </w:pPr>
    </w:p>
    <w:p w:rsidR="000F1E7F" w:rsidRDefault="000F1E7F" w:rsidP="00201E93">
      <w:pPr>
        <w:pStyle w:val="RISnumberlist"/>
        <w:numPr>
          <w:ilvl w:val="0"/>
          <w:numId w:val="0"/>
        </w:numPr>
        <w:ind w:left="360" w:hanging="360"/>
      </w:pPr>
    </w:p>
    <w:p w:rsidR="00E93B55" w:rsidRPr="000F1E7F" w:rsidRDefault="000F1E7F" w:rsidP="00201E93">
      <w:pPr>
        <w:pStyle w:val="RISheading2"/>
      </w:pPr>
      <w:r w:rsidRPr="000F1E7F">
        <w:t>C</w:t>
      </w:r>
      <w:r w:rsidR="00E93B55" w:rsidRPr="000F1E7F">
        <w:t>ONSULTATION</w:t>
      </w:r>
    </w:p>
    <w:p w:rsidR="00E93B55" w:rsidRDefault="00E93B55" w:rsidP="00201E93">
      <w:pPr>
        <w:pStyle w:val="RISnumberlist"/>
      </w:pPr>
      <w:r w:rsidRPr="00FF559D">
        <w:t>Policy proposals were provided</w:t>
      </w:r>
      <w:r>
        <w:t xml:space="preserve"> in </w:t>
      </w:r>
      <w:r w:rsidR="007612BE">
        <w:t>a consultation letter</w:t>
      </w:r>
      <w:r w:rsidR="007612BE" w:rsidRPr="00FF559D">
        <w:t xml:space="preserve"> </w:t>
      </w:r>
      <w:r w:rsidRPr="00FF559D">
        <w:t xml:space="preserve">to the Aviation Industry Association of NZ (Inc.), Air New Zealand, Jetstar (New Zealand), the Ministries of Business Innovation and Employment, Primary Industries, Tourism and Transport, Tourism New Zealand, and the New Zealand Institute of Chartered Accountants (now Chartered Accountants Australia and New Zealand). </w:t>
      </w:r>
      <w:r>
        <w:t xml:space="preserve"> The consultation was limited to interested parties on the basis that the proposals related to complex technical aspects relating to tax accounting for aircraft operators.</w:t>
      </w:r>
    </w:p>
    <w:p w:rsidR="00E93B55" w:rsidRDefault="00E93B55" w:rsidP="00201E93">
      <w:pPr>
        <w:pStyle w:val="RISnumberlist"/>
        <w:numPr>
          <w:ilvl w:val="0"/>
          <w:numId w:val="0"/>
        </w:numPr>
        <w:ind w:left="360"/>
      </w:pPr>
    </w:p>
    <w:p w:rsidR="00E93B55" w:rsidRDefault="00E93B55" w:rsidP="00201E93">
      <w:pPr>
        <w:pStyle w:val="RISnumberlist"/>
      </w:pPr>
      <w:r>
        <w:t xml:space="preserve">Written submissions were received and considered, and a series of follow-up meetings held with those submitters who sought to continue the dialogue on a range of complex technical issues.  </w:t>
      </w:r>
    </w:p>
    <w:p w:rsidR="00E93B55" w:rsidRDefault="00E93B55" w:rsidP="00201E93">
      <w:pPr>
        <w:pStyle w:val="RISnumberlist"/>
        <w:numPr>
          <w:ilvl w:val="0"/>
          <w:numId w:val="0"/>
        </w:numPr>
        <w:ind w:left="360"/>
      </w:pPr>
    </w:p>
    <w:p w:rsidR="00E93B55" w:rsidRDefault="00E93B55" w:rsidP="00201E93">
      <w:pPr>
        <w:pStyle w:val="RISnumberlist"/>
      </w:pPr>
      <w:r>
        <w:t>Submitters indicated that a single approach to the deductibility and timing of aircraft overhaul expenses was preferred.  An approach that resulted in financial reports reflecting the economic income of an aircraft operation was considered to be a high priority as this information was relevant to management and financing decisions, as well as for calculating income tax payable.</w:t>
      </w:r>
    </w:p>
    <w:p w:rsidR="00E93B55" w:rsidRDefault="00E93B55" w:rsidP="00201E93">
      <w:pPr>
        <w:pStyle w:val="RISnumberlist"/>
        <w:numPr>
          <w:ilvl w:val="0"/>
          <w:numId w:val="0"/>
        </w:numPr>
        <w:ind w:left="360"/>
      </w:pPr>
    </w:p>
    <w:p w:rsidR="001D5C03" w:rsidRDefault="00E93B55" w:rsidP="00201E93">
      <w:pPr>
        <w:pStyle w:val="RISnumberlist"/>
      </w:pPr>
      <w:r>
        <w:t>The Aviation Industry Association and Chartered Accountants Australia and New Zealand both indicated their first preference was to codify the provisioning accounting practice.  However, both bodies also recognised that adopting this alternative would give rise to a distortion in the tax system by allowing deductions for estimated future expenses that had no relationship with current periods of time.  This distortion could give rise to pressures from other sectors seeking deductibility of provisions for future expenses.</w:t>
      </w:r>
      <w:r w:rsidR="001D5C03" w:rsidDel="001D5C03">
        <w:t xml:space="preserve"> </w:t>
      </w:r>
    </w:p>
    <w:p w:rsidR="00215C2F" w:rsidRDefault="00215C2F" w:rsidP="00201E93">
      <w:pPr>
        <w:pStyle w:val="RISnumberlist"/>
        <w:numPr>
          <w:ilvl w:val="0"/>
          <w:numId w:val="0"/>
        </w:numPr>
        <w:ind w:left="360"/>
      </w:pPr>
    </w:p>
    <w:p w:rsidR="00215C2F" w:rsidRDefault="00215C2F" w:rsidP="00201E93">
      <w:pPr>
        <w:pStyle w:val="RISnumberlist"/>
      </w:pPr>
      <w:r>
        <w:t>Submitters considered that the accounting methodology for the spreading method:</w:t>
      </w:r>
    </w:p>
    <w:p w:rsidR="00215C2F" w:rsidRDefault="00215C2F" w:rsidP="00201E93">
      <w:pPr>
        <w:pStyle w:val="RISnumberlist"/>
        <w:numPr>
          <w:ilvl w:val="0"/>
          <w:numId w:val="0"/>
        </w:numPr>
        <w:ind w:left="360"/>
      </w:pPr>
    </w:p>
    <w:p w:rsidR="00215C2F" w:rsidRDefault="00215C2F" w:rsidP="00215C2F">
      <w:pPr>
        <w:pStyle w:val="RISbulletlist"/>
      </w:pPr>
      <w:r>
        <w:t xml:space="preserve"> is not a new accounting practice;</w:t>
      </w:r>
      <w:r w:rsidR="00737B05">
        <w:t xml:space="preserve"> and</w:t>
      </w:r>
    </w:p>
    <w:p w:rsidR="00215C2F" w:rsidRDefault="00215C2F" w:rsidP="00215C2F">
      <w:pPr>
        <w:pStyle w:val="RISbulletlist"/>
      </w:pPr>
      <w:r>
        <w:t>would be consistent with the objective of providing the best approximation of economic income for the assessment of income tax.</w:t>
      </w:r>
    </w:p>
    <w:p w:rsidR="00E93B55" w:rsidRDefault="00E93B55" w:rsidP="00201E93">
      <w:pPr>
        <w:pStyle w:val="RISnumberlist"/>
      </w:pPr>
      <w:r>
        <w:t xml:space="preserve">The IFRS method was preferred by IFRS users but not by other submitters.  IFRS </w:t>
      </w:r>
      <w:r w:rsidR="00215C2F">
        <w:t>taxpayers</w:t>
      </w:r>
      <w:r>
        <w:t xml:space="preserve"> consider that allowing IFRS to be acceptable for income tax purposes would reduce compliance costs.  The cost of complying with IFRS is significant as it applies to all balance sheet and income statement items, and not just assets.  Non-IFRS submitters considered that its cost would outweigh the benefits of improved financial reporting.  </w:t>
      </w:r>
    </w:p>
    <w:p w:rsidR="00E93B55" w:rsidRDefault="00E93B55" w:rsidP="00201E93">
      <w:pPr>
        <w:pStyle w:val="RISnumberlist"/>
        <w:numPr>
          <w:ilvl w:val="0"/>
          <w:numId w:val="0"/>
        </w:numPr>
        <w:ind w:left="360"/>
      </w:pPr>
    </w:p>
    <w:p w:rsidR="005F525F" w:rsidRDefault="00E93B55" w:rsidP="00201E93">
      <w:pPr>
        <w:pStyle w:val="RISnumberlist"/>
      </w:pPr>
      <w:r>
        <w:t xml:space="preserve">The equalisation method was considered possible but would create an administration overload for taxpayers and for Inland Revenue.  </w:t>
      </w:r>
    </w:p>
    <w:p w:rsidR="005F525F" w:rsidRDefault="005F525F" w:rsidP="00201E93">
      <w:pPr>
        <w:pStyle w:val="RISnumberlist"/>
        <w:numPr>
          <w:ilvl w:val="0"/>
          <w:numId w:val="0"/>
        </w:numPr>
        <w:ind w:left="360"/>
      </w:pPr>
    </w:p>
    <w:p w:rsidR="000D6B00" w:rsidRDefault="004D7E3D" w:rsidP="00201E93">
      <w:pPr>
        <w:pStyle w:val="RISnumberlist"/>
      </w:pPr>
      <w:r>
        <w:t>Submitters also suggested that whether</w:t>
      </w:r>
      <w:r w:rsidR="000D6B00">
        <w:t xml:space="preserve"> all aircraft overhaul costs should be subject to a timing rule </w:t>
      </w:r>
      <w:r>
        <w:t xml:space="preserve">should be </w:t>
      </w:r>
      <w:r w:rsidR="000D6B00">
        <w:t xml:space="preserve">considered in the light of </w:t>
      </w:r>
      <w:r w:rsidR="000F1E7F">
        <w:t xml:space="preserve">Inland Revenue’s </w:t>
      </w:r>
      <w:r w:rsidR="000D6B00">
        <w:t xml:space="preserve">interpretation statement concerning the deductibility of repairs and maintenance </w:t>
      </w:r>
      <w:r w:rsidR="000D6B00" w:rsidRPr="00F45969">
        <w:t>(</w:t>
      </w:r>
      <w:r w:rsidR="000D6B00" w:rsidRPr="00F27BFD">
        <w:rPr>
          <w:i/>
        </w:rPr>
        <w:t>IS12/03: Income tax – deductibility of repairs and maintenance expenditure – general principles</w:t>
      </w:r>
      <w:r w:rsidR="000D6B00" w:rsidRPr="00F45969">
        <w:t>)</w:t>
      </w:r>
      <w:r w:rsidR="000D6B00">
        <w:t xml:space="preserve">.  </w:t>
      </w:r>
      <w:r w:rsidR="000F1E7F">
        <w:t xml:space="preserve">In that interpretation statement, the </w:t>
      </w:r>
      <w:r w:rsidR="000D6B00">
        <w:t xml:space="preserve">materiality of an overhaul expense relative to the aircraft as a whole is an important aspect in determining </w:t>
      </w:r>
      <w:r w:rsidR="00737B05">
        <w:t>whether an</w:t>
      </w:r>
      <w:r w:rsidR="000D6B00">
        <w:t xml:space="preserve"> expense is treated as repairs and maintenance; or treated as a capital expense (and a deduction for that expense spread </w:t>
      </w:r>
      <w:r w:rsidR="000D6B00" w:rsidRPr="000F1E7F">
        <w:t>under a timing rule).</w:t>
      </w:r>
    </w:p>
    <w:p w:rsidR="000545DC" w:rsidRPr="004342F0" w:rsidRDefault="00D943DD" w:rsidP="004601ED">
      <w:pPr>
        <w:pStyle w:val="RISheading"/>
        <w:rPr>
          <w:w w:val="100"/>
        </w:rPr>
      </w:pPr>
      <w:bookmarkStart w:id="18" w:name="_Toc244580367"/>
      <w:bookmarkStart w:id="19" w:name="_Toc244587043"/>
      <w:bookmarkStart w:id="20" w:name="_Toc244857277"/>
      <w:bookmarkStart w:id="21" w:name="_Toc244912542"/>
      <w:bookmarkStart w:id="22" w:name="_Toc244916999"/>
      <w:r w:rsidRPr="004342F0">
        <w:rPr>
          <w:w w:val="100"/>
        </w:rPr>
        <w:t>CONCLUSIONS AND RECOMMENDATIONS</w:t>
      </w:r>
      <w:bookmarkEnd w:id="18"/>
      <w:bookmarkEnd w:id="19"/>
      <w:bookmarkEnd w:id="20"/>
      <w:bookmarkEnd w:id="21"/>
      <w:bookmarkEnd w:id="22"/>
    </w:p>
    <w:p w:rsidR="00AB051F" w:rsidRDefault="00AB051F" w:rsidP="00201E93">
      <w:pPr>
        <w:pStyle w:val="RISnumberlist"/>
      </w:pPr>
      <w:r w:rsidRPr="00AB051F">
        <w:t xml:space="preserve">We </w:t>
      </w:r>
      <w:r>
        <w:t xml:space="preserve">recommend </w:t>
      </w:r>
      <w:r w:rsidR="00CC49CC">
        <w:t>option 2</w:t>
      </w:r>
      <w:r w:rsidRPr="00AB051F">
        <w:t xml:space="preserve"> </w:t>
      </w:r>
      <w:r>
        <w:t>under which:</w:t>
      </w:r>
    </w:p>
    <w:p w:rsidR="00AB051F" w:rsidRDefault="00CC49CC" w:rsidP="000A3815">
      <w:pPr>
        <w:pStyle w:val="RISnumberlist"/>
        <w:numPr>
          <w:ilvl w:val="0"/>
          <w:numId w:val="0"/>
        </w:numPr>
        <w:tabs>
          <w:tab w:val="left" w:pos="2610"/>
        </w:tabs>
        <w:ind w:left="360"/>
      </w:pPr>
      <w:r>
        <w:tab/>
      </w:r>
    </w:p>
    <w:p w:rsidR="00DD4340" w:rsidRDefault="00444AFC" w:rsidP="001F6E89">
      <w:pPr>
        <w:pStyle w:val="RISbulletlist"/>
      </w:pPr>
      <w:r>
        <w:t>N</w:t>
      </w:r>
      <w:r w:rsidR="00AB051F">
        <w:t>on-IFRS taxpayers</w:t>
      </w:r>
      <w:r>
        <w:t xml:space="preserve"> would</w:t>
      </w:r>
      <w:r w:rsidR="00AB051F">
        <w:t xml:space="preserve"> </w:t>
      </w:r>
      <w:r w:rsidR="00AB051F" w:rsidRPr="00AB051F">
        <w:t xml:space="preserve">spread aircraft </w:t>
      </w:r>
      <w:r>
        <w:t xml:space="preserve">engine </w:t>
      </w:r>
      <w:r w:rsidR="00AB051F" w:rsidRPr="00AB051F">
        <w:t xml:space="preserve">overhaul </w:t>
      </w:r>
      <w:r w:rsidR="00AB051F">
        <w:t>deductions</w:t>
      </w:r>
      <w:r w:rsidR="00AB051F" w:rsidRPr="00AB051F">
        <w:t xml:space="preserve"> </w:t>
      </w:r>
      <w:r w:rsidR="002463CC">
        <w:t>over the period following the overhaul up to the next overhaul by reference to the use of the aircraft.</w:t>
      </w:r>
    </w:p>
    <w:p w:rsidR="0073454C" w:rsidRDefault="00AB051F" w:rsidP="001F6E89">
      <w:pPr>
        <w:pStyle w:val="RISbulletlist"/>
      </w:pPr>
      <w:r>
        <w:t>IFRS taxpayers</w:t>
      </w:r>
      <w:r w:rsidR="0073454C">
        <w:t xml:space="preserve"> may use the IFRS treatment for owned aircraft for income tax purposes</w:t>
      </w:r>
      <w:r w:rsidR="007F0101">
        <w:t>.</w:t>
      </w:r>
      <w:r>
        <w:t xml:space="preserve"> </w:t>
      </w:r>
    </w:p>
    <w:p w:rsidR="0073454C" w:rsidRDefault="0073454C" w:rsidP="001F6E89">
      <w:pPr>
        <w:pStyle w:val="RISbulletlist"/>
      </w:pPr>
      <w:r>
        <w:t xml:space="preserve">IFRS taxpayers may </w:t>
      </w:r>
      <w:r w:rsidR="00E76B2E">
        <w:t xml:space="preserve">make </w:t>
      </w:r>
      <w:r>
        <w:t xml:space="preserve">appropriate tax adjustments to their reported IFRS </w:t>
      </w:r>
      <w:r w:rsidR="007F0101">
        <w:t>income for</w:t>
      </w:r>
      <w:r>
        <w:t xml:space="preserve"> aircraft treated as operating leases for financial reporting purposes.</w:t>
      </w:r>
    </w:p>
    <w:p w:rsidR="0073454C" w:rsidRDefault="0073454C" w:rsidP="001F6E89">
      <w:pPr>
        <w:pStyle w:val="RISbulletlist"/>
      </w:pPr>
      <w:r>
        <w:t>For administration cost reasons, the IFRS treatment would apply only in relation to IFRS taxpayers resident in New Zealand or for non-resident IFRS taxpayers, for aircraft registered with the Civil Aviation Authority.</w:t>
      </w:r>
    </w:p>
    <w:p w:rsidR="00AB051F" w:rsidRDefault="007F0101" w:rsidP="001F6E89">
      <w:pPr>
        <w:pStyle w:val="RISbulletlist"/>
      </w:pPr>
      <w:r>
        <w:t xml:space="preserve">Single-aircraft operators could elect to apply Option </w:t>
      </w:r>
      <w:r w:rsidR="00CC49CC">
        <w:t>1.</w:t>
      </w:r>
    </w:p>
    <w:p w:rsidR="0073454C" w:rsidRDefault="0073454C" w:rsidP="001F6E89">
      <w:pPr>
        <w:pStyle w:val="RISbulletlist"/>
      </w:pPr>
      <w:r>
        <w:t>Transitional adjustments would be made to align the tax values of existing aircraft engines with the recommended method.</w:t>
      </w:r>
    </w:p>
    <w:p w:rsidR="0073454C" w:rsidRDefault="0073454C" w:rsidP="001F6E89">
      <w:pPr>
        <w:pStyle w:val="RISbulletlist"/>
      </w:pPr>
      <w:r>
        <w:t>A transitional adjustment would be made to apply the recovery of past provisions for aircraft overhaul expenses against the next aircraft engine overhauls.</w:t>
      </w:r>
    </w:p>
    <w:p w:rsidR="0009271E" w:rsidRDefault="00AB051F" w:rsidP="00201E93">
      <w:pPr>
        <w:pStyle w:val="RISnumberlist"/>
      </w:pPr>
      <w:r>
        <w:t>The proposals would be consistent with</w:t>
      </w:r>
      <w:r w:rsidR="0009271E">
        <w:t>:</w:t>
      </w:r>
    </w:p>
    <w:p w:rsidR="0009271E" w:rsidRDefault="0009271E" w:rsidP="00201E93">
      <w:pPr>
        <w:pStyle w:val="RISnumberlist"/>
        <w:numPr>
          <w:ilvl w:val="0"/>
          <w:numId w:val="0"/>
        </w:numPr>
        <w:ind w:left="360"/>
      </w:pPr>
    </w:p>
    <w:p w:rsidR="00AB051F" w:rsidRDefault="00AB051F" w:rsidP="001F6E89">
      <w:pPr>
        <w:pStyle w:val="RISbulletlist"/>
      </w:pPr>
      <w:r>
        <w:t xml:space="preserve"> the objectives of both general purpose financial reporting (IFRS) and special purpose financial reporting to provide useful management and financing information.</w:t>
      </w:r>
      <w:r w:rsidR="0009271E">
        <w:t>; and</w:t>
      </w:r>
    </w:p>
    <w:p w:rsidR="00DB379B" w:rsidRDefault="0009271E" w:rsidP="000A3815">
      <w:pPr>
        <w:pStyle w:val="RISbulletlist"/>
      </w:pPr>
      <w:r>
        <w:t>The usual matching of deductions for assets used over a period of time with the income generated from the use of the asset.</w:t>
      </w:r>
      <w:r w:rsidR="00DB379B" w:rsidRPr="00DB379B">
        <w:t xml:space="preserve"> </w:t>
      </w:r>
    </w:p>
    <w:p w:rsidR="0009271E" w:rsidRDefault="00DB379B">
      <w:pPr>
        <w:pStyle w:val="RISbulletlist"/>
      </w:pPr>
      <w:r>
        <w:t xml:space="preserve">Aircraft operators be defined to exclude non-commercial, non-powered aircraft, drones, and </w:t>
      </w:r>
      <w:proofErr w:type="spellStart"/>
      <w:r>
        <w:t>microlights</w:t>
      </w:r>
      <w:proofErr w:type="spellEnd"/>
      <w:r>
        <w:t>.</w:t>
      </w:r>
    </w:p>
    <w:p w:rsidR="00DB379B" w:rsidRDefault="0009271E" w:rsidP="000A3815">
      <w:pPr>
        <w:pStyle w:val="RISnumberlist"/>
        <w:numPr>
          <w:ilvl w:val="0"/>
          <w:numId w:val="0"/>
        </w:numPr>
        <w:ind w:left="360"/>
      </w:pPr>
      <w:r>
        <w:t xml:space="preserve">While there may be some increased compliance </w:t>
      </w:r>
      <w:r w:rsidR="007F0101">
        <w:t>costs (</w:t>
      </w:r>
      <w:r>
        <w:t>compared to the status quo) in the transitional period in calculating the one-off deduction for aircraft engines, this is adequately compensated by the deduction in the short term.  There are not expected to be significant additional compliance costs otherwise.</w:t>
      </w:r>
    </w:p>
    <w:p w:rsidR="000545DC" w:rsidRPr="004342F0" w:rsidRDefault="00D943DD" w:rsidP="004601ED">
      <w:pPr>
        <w:pStyle w:val="RISheading"/>
        <w:rPr>
          <w:w w:val="100"/>
        </w:rPr>
      </w:pPr>
      <w:bookmarkStart w:id="23" w:name="_Toc244580368"/>
      <w:bookmarkStart w:id="24" w:name="_Toc244587044"/>
      <w:bookmarkStart w:id="25" w:name="_Toc244857278"/>
      <w:bookmarkStart w:id="26" w:name="_Toc244912543"/>
      <w:bookmarkStart w:id="27" w:name="_Toc244917000"/>
      <w:r w:rsidRPr="004342F0">
        <w:rPr>
          <w:w w:val="100"/>
        </w:rPr>
        <w:t>IMPLEMENTATION</w:t>
      </w:r>
      <w:bookmarkEnd w:id="23"/>
      <w:bookmarkEnd w:id="24"/>
      <w:bookmarkEnd w:id="25"/>
      <w:bookmarkEnd w:id="26"/>
      <w:bookmarkEnd w:id="27"/>
      <w:r w:rsidRPr="004342F0">
        <w:rPr>
          <w:w w:val="100"/>
        </w:rPr>
        <w:t xml:space="preserve"> </w:t>
      </w:r>
    </w:p>
    <w:p w:rsidR="00935881" w:rsidRDefault="00935881" w:rsidP="00201E93">
      <w:pPr>
        <w:pStyle w:val="RISnumberlist"/>
      </w:pPr>
      <w:r w:rsidRPr="00935881">
        <w:t xml:space="preserve">The proposal is intended to work in harmony with the Civil Aviation requirements for aircraft operators.  Aircraft operators must retain logbooks keeping up to date information on the </w:t>
      </w:r>
      <w:r w:rsidR="0083473F">
        <w:t>time in service</w:t>
      </w:r>
      <w:r w:rsidRPr="00935881">
        <w:t xml:space="preserve"> and service of the aircraft, propellers, engines and other airworthiness directives.</w:t>
      </w:r>
    </w:p>
    <w:p w:rsidR="000F1E7F" w:rsidRDefault="000F1E7F">
      <w:pPr>
        <w:rPr>
          <w:szCs w:val="24"/>
          <w:lang w:val="en-AU" w:eastAsia="en-US"/>
        </w:rPr>
      </w:pPr>
    </w:p>
    <w:p w:rsidR="00DB379B" w:rsidRDefault="00F50827" w:rsidP="00201E93">
      <w:pPr>
        <w:pStyle w:val="RISnumberlist"/>
      </w:pPr>
      <w:r w:rsidRPr="003E0D19">
        <w:t xml:space="preserve">We considered three </w:t>
      </w:r>
      <w:r w:rsidR="00DB379B">
        <w:t>approaches</w:t>
      </w:r>
      <w:r w:rsidR="00DB379B" w:rsidRPr="003E0D19">
        <w:t xml:space="preserve"> </w:t>
      </w:r>
      <w:r w:rsidRPr="003E0D19">
        <w:t>for transitioning to the recommended sprea</w:t>
      </w:r>
      <w:r w:rsidR="003E0D19" w:rsidRPr="003E0D19">
        <w:t xml:space="preserve">ding method, including </w:t>
      </w:r>
      <w:r w:rsidR="003E0D19">
        <w:t>whether to allow</w:t>
      </w:r>
      <w:r w:rsidR="003E0D19" w:rsidRPr="003E0D19">
        <w:t xml:space="preserve"> </w:t>
      </w:r>
      <w:r>
        <w:t>a dedu</w:t>
      </w:r>
      <w:r w:rsidR="003E0D19">
        <w:t>ction for a catch-up adjustment</w:t>
      </w:r>
      <w:r w:rsidR="00DB379B">
        <w:t xml:space="preserve"> (see Table 3 following)</w:t>
      </w:r>
      <w:r w:rsidR="003E0D19">
        <w:t xml:space="preserve">.  </w:t>
      </w:r>
    </w:p>
    <w:p w:rsidR="00DB379B" w:rsidRDefault="00DB379B" w:rsidP="000A3815">
      <w:pPr>
        <w:pStyle w:val="RISnumberlist"/>
        <w:numPr>
          <w:ilvl w:val="0"/>
          <w:numId w:val="0"/>
        </w:numPr>
        <w:ind w:left="360"/>
      </w:pPr>
    </w:p>
    <w:p w:rsidR="003E0D19" w:rsidRDefault="003E0D19" w:rsidP="00201E93">
      <w:pPr>
        <w:pStyle w:val="RISnumberlist"/>
      </w:pPr>
      <w:r>
        <w:t>Transitional adjustments include:</w:t>
      </w:r>
    </w:p>
    <w:p w:rsidR="003E0D19" w:rsidRDefault="003E0D19" w:rsidP="003E0D19"/>
    <w:p w:rsidR="003E0D19" w:rsidRDefault="00DB379B" w:rsidP="003E0D19">
      <w:pPr>
        <w:pStyle w:val="RISbulletlist"/>
      </w:pPr>
      <w:r>
        <w:t>A</w:t>
      </w:r>
      <w:r w:rsidR="003E0D19">
        <w:t xml:space="preserve"> catch-up adjustment relating to the undepreciated value of the aircraft ove</w:t>
      </w:r>
      <w:r w:rsidR="00F70F05">
        <w:t>rhaul component at transition</w:t>
      </w:r>
      <w:r>
        <w:t>.</w:t>
      </w:r>
    </w:p>
    <w:p w:rsidR="00F70F05" w:rsidRDefault="00DB379B" w:rsidP="003E0D19">
      <w:pPr>
        <w:pStyle w:val="RISbulletlist"/>
      </w:pPr>
      <w:r>
        <w:t>R</w:t>
      </w:r>
      <w:r w:rsidR="00F70F05">
        <w:t>eversing past provisions for future aircraft overhaul expenses that have previously been allowed as deductions under the administrative ruling given in a now-withdrawn technical ruling.</w:t>
      </w:r>
    </w:p>
    <w:p w:rsidR="00F70F05" w:rsidRDefault="00DB379B" w:rsidP="003E0D19">
      <w:pPr>
        <w:pStyle w:val="RISbulletlist"/>
      </w:pPr>
      <w:r>
        <w:t>D</w:t>
      </w:r>
      <w:r w:rsidR="00F70F05">
        <w:t>epreciation on the component would stop, resulting in reduced depreciation deductions in the future. However, this is because the undepreciated value of the component would have been adjusted in transition.</w:t>
      </w:r>
    </w:p>
    <w:p w:rsidR="003E0D19" w:rsidRDefault="00F70F05">
      <w:pPr>
        <w:pStyle w:val="RISnumberlist"/>
      </w:pPr>
      <w:r>
        <w:t xml:space="preserve">The catch up adjustment relates to depreciation of </w:t>
      </w:r>
      <w:r w:rsidR="003E0D19">
        <w:t>the original cost of acquiring an aircraft engine overhaul component</w:t>
      </w:r>
      <w:r>
        <w:t>.  For example, if that cost</w:t>
      </w:r>
      <w:r w:rsidR="003E0D19">
        <w:t xml:space="preserve"> was $1</w:t>
      </w:r>
      <w:r w:rsidR="00DB379B">
        <w:t xml:space="preserve"> </w:t>
      </w:r>
      <w:r w:rsidR="003E0D19">
        <w:t>million, under current law the cost would be spread</w:t>
      </w:r>
      <w:r w:rsidR="00DB379B" w:rsidRPr="00DB379B">
        <w:t xml:space="preserve"> </w:t>
      </w:r>
      <w:r w:rsidR="00DB379B">
        <w:t>over 15 years</w:t>
      </w:r>
      <w:r w:rsidR="003E0D19">
        <w:t xml:space="preserve"> under the depreciation rules.  Under the proposed spreading method, that cost would be spread over the first overhaul cycle</w:t>
      </w:r>
      <w:r>
        <w:t xml:space="preserve">.  </w:t>
      </w:r>
      <w:r w:rsidR="003E0D19">
        <w:t xml:space="preserve">The catch-up adjustment ensures that any remaining undepreciated value of an existing aircraft overhaul component is </w:t>
      </w:r>
      <w:r>
        <w:t>aligned to the spreading method treatment and is taxpayer friendly.  Assuming this undepreciated value was $600,000 at transition, this value would be</w:t>
      </w:r>
      <w:r w:rsidR="003E0D19">
        <w:t>:</w:t>
      </w:r>
    </w:p>
    <w:p w:rsidR="003E0D19" w:rsidRDefault="003E0D19" w:rsidP="003E0D19"/>
    <w:p w:rsidR="003E0D19" w:rsidRDefault="00F70F05" w:rsidP="003E0D19">
      <w:pPr>
        <w:pStyle w:val="RISbulletlist"/>
      </w:pPr>
      <w:r>
        <w:t xml:space="preserve">an allowable deduction in </w:t>
      </w:r>
      <w:r w:rsidR="003E0D19">
        <w:t>transition</w:t>
      </w:r>
      <w:r>
        <w:t>,</w:t>
      </w:r>
      <w:r w:rsidR="003E0D19">
        <w:t xml:space="preserve"> if the component has completed its first overhaul prior to transition; or</w:t>
      </w:r>
    </w:p>
    <w:p w:rsidR="003E0D19" w:rsidRDefault="00DB379B" w:rsidP="003E0D19">
      <w:pPr>
        <w:pStyle w:val="RISbulletlist"/>
      </w:pPr>
      <w:r>
        <w:t xml:space="preserve">if the component had not been overhauled since acquisition, </w:t>
      </w:r>
      <w:r w:rsidR="003E0D19">
        <w:t xml:space="preserve">spread across the period </w:t>
      </w:r>
      <w:r>
        <w:t xml:space="preserve">from transition up </w:t>
      </w:r>
      <w:r w:rsidR="003E0D19">
        <w:t>to the first overhaul</w:t>
      </w:r>
      <w:r w:rsidR="00F70F05">
        <w:t>.</w:t>
      </w:r>
    </w:p>
    <w:p w:rsidR="000F1E7F" w:rsidRDefault="000F1E7F">
      <w:pPr>
        <w:rPr>
          <w:b/>
          <w:i/>
          <w:szCs w:val="24"/>
          <w:lang w:val="en-AU" w:eastAsia="en-US"/>
        </w:rPr>
      </w:pPr>
    </w:p>
    <w:p w:rsidR="00F50827" w:rsidRPr="00AD1120" w:rsidRDefault="00F50827" w:rsidP="00F50827">
      <w:pPr>
        <w:pStyle w:val="Bullet-list"/>
        <w:spacing w:after="0" w:line="240" w:lineRule="auto"/>
        <w:rPr>
          <w:rFonts w:ascii="Times New Roman" w:hAnsi="Times New Roman"/>
          <w:b/>
          <w:i/>
          <w:sz w:val="24"/>
          <w:szCs w:val="24"/>
        </w:rPr>
      </w:pPr>
      <w:r w:rsidRPr="00AD1120">
        <w:rPr>
          <w:rFonts w:ascii="Times New Roman" w:hAnsi="Times New Roman"/>
          <w:b/>
          <w:i/>
          <w:sz w:val="24"/>
          <w:szCs w:val="24"/>
        </w:rPr>
        <w:t xml:space="preserve">Table </w:t>
      </w:r>
      <w:r w:rsidR="00487A4A" w:rsidRPr="00AD1120">
        <w:rPr>
          <w:rFonts w:ascii="Times New Roman" w:hAnsi="Times New Roman"/>
          <w:b/>
          <w:i/>
          <w:sz w:val="24"/>
          <w:szCs w:val="24"/>
        </w:rPr>
        <w:t>3</w:t>
      </w:r>
      <w:r w:rsidRPr="00AD1120">
        <w:rPr>
          <w:rFonts w:ascii="Times New Roman" w:hAnsi="Times New Roman"/>
          <w:b/>
          <w:i/>
          <w:sz w:val="24"/>
          <w:szCs w:val="24"/>
        </w:rPr>
        <w:t xml:space="preserve">: Transitional </w:t>
      </w:r>
      <w:r w:rsidR="00DB379B">
        <w:rPr>
          <w:rFonts w:ascii="Times New Roman" w:hAnsi="Times New Roman"/>
          <w:b/>
          <w:i/>
          <w:sz w:val="24"/>
          <w:szCs w:val="24"/>
        </w:rPr>
        <w:t>approaches</w:t>
      </w:r>
    </w:p>
    <w:p w:rsidR="00F50827" w:rsidRDefault="00F50827" w:rsidP="00F50827">
      <w:pPr>
        <w:pStyle w:val="Bullet-list"/>
        <w:spacing w:after="0" w:line="240" w:lineRule="auto"/>
        <w:rPr>
          <w:rFonts w:ascii="Times New Roman" w:hAnsi="Times New Roman"/>
          <w:sz w:val="24"/>
          <w:szCs w:val="24"/>
        </w:rPr>
      </w:pPr>
    </w:p>
    <w:tbl>
      <w:tblPr>
        <w:tblStyle w:val="TableGrid"/>
        <w:tblW w:w="9747" w:type="dxa"/>
        <w:tblLayout w:type="fixed"/>
        <w:tblLook w:val="04A0" w:firstRow="1" w:lastRow="0" w:firstColumn="1" w:lastColumn="0" w:noHBand="0" w:noVBand="1"/>
      </w:tblPr>
      <w:tblGrid>
        <w:gridCol w:w="1668"/>
        <w:gridCol w:w="1275"/>
        <w:gridCol w:w="4678"/>
        <w:gridCol w:w="2126"/>
      </w:tblGrid>
      <w:tr w:rsidR="00A0790A" w:rsidRPr="00A0790A" w:rsidTr="000A3815">
        <w:trPr>
          <w:cantSplit/>
          <w:trHeight w:val="947"/>
          <w:tblHeader/>
        </w:trPr>
        <w:tc>
          <w:tcPr>
            <w:tcW w:w="1668" w:type="dxa"/>
            <w:tcBorders>
              <w:top w:val="threeDEngrave" w:sz="24" w:space="0" w:color="auto"/>
              <w:left w:val="threeDEngrave" w:sz="24" w:space="0" w:color="auto"/>
              <w:right w:val="dotted" w:sz="4" w:space="0" w:color="auto"/>
            </w:tcBorders>
            <w:shd w:val="clear" w:color="auto" w:fill="auto"/>
            <w:vAlign w:val="center"/>
          </w:tcPr>
          <w:p w:rsidR="00A0790A" w:rsidRPr="00A0790A" w:rsidRDefault="00A0790A">
            <w:pPr>
              <w:pStyle w:val="RIStabletextbold"/>
            </w:pPr>
          </w:p>
        </w:tc>
        <w:tc>
          <w:tcPr>
            <w:tcW w:w="1275" w:type="dxa"/>
            <w:tcBorders>
              <w:top w:val="threeDEngrave" w:sz="24" w:space="0" w:color="auto"/>
              <w:left w:val="dotted" w:sz="4" w:space="0" w:color="auto"/>
              <w:right w:val="dotted" w:sz="4" w:space="0" w:color="auto"/>
            </w:tcBorders>
            <w:vAlign w:val="center"/>
          </w:tcPr>
          <w:p w:rsidR="00A0790A" w:rsidRPr="00A0790A" w:rsidRDefault="00A0790A">
            <w:pPr>
              <w:pStyle w:val="RIStabletextbold"/>
            </w:pPr>
            <w:r>
              <w:t>Fiscal impact</w:t>
            </w:r>
            <w:r w:rsidR="0045028F">
              <w:t xml:space="preserve"> over 5 years</w:t>
            </w:r>
          </w:p>
        </w:tc>
        <w:tc>
          <w:tcPr>
            <w:tcW w:w="4678" w:type="dxa"/>
            <w:tcBorders>
              <w:top w:val="threeDEngrave" w:sz="24" w:space="0" w:color="auto"/>
              <w:left w:val="dotted" w:sz="4" w:space="0" w:color="auto"/>
              <w:right w:val="dotted" w:sz="4" w:space="0" w:color="auto"/>
            </w:tcBorders>
            <w:shd w:val="clear" w:color="auto" w:fill="D9D9D9" w:themeFill="background1" w:themeFillShade="D9"/>
            <w:vAlign w:val="center"/>
          </w:tcPr>
          <w:p w:rsidR="00A0790A" w:rsidRPr="00A0790A" w:rsidRDefault="00A0790A">
            <w:pPr>
              <w:pStyle w:val="RIStabletextbold"/>
            </w:pPr>
            <w:r w:rsidRPr="00A0790A">
              <w:t>Transitional impact</w:t>
            </w:r>
          </w:p>
        </w:tc>
        <w:tc>
          <w:tcPr>
            <w:tcW w:w="2126" w:type="dxa"/>
            <w:tcBorders>
              <w:top w:val="threeDEngrave" w:sz="24" w:space="0" w:color="auto"/>
              <w:left w:val="dotted" w:sz="4" w:space="0" w:color="auto"/>
              <w:right w:val="threeDEmboss" w:sz="24" w:space="0" w:color="auto"/>
            </w:tcBorders>
            <w:shd w:val="clear" w:color="auto" w:fill="D9D9D9" w:themeFill="background1" w:themeFillShade="D9"/>
            <w:vAlign w:val="center"/>
          </w:tcPr>
          <w:p w:rsidR="00A0790A" w:rsidRPr="00A0790A" w:rsidRDefault="00A0790A">
            <w:pPr>
              <w:pStyle w:val="RIStabletextbold"/>
            </w:pPr>
            <w:r>
              <w:t>Effect on taxpayer</w:t>
            </w:r>
          </w:p>
        </w:tc>
      </w:tr>
      <w:tr w:rsidR="00A0790A" w:rsidRPr="00A0790A" w:rsidTr="000A3815">
        <w:trPr>
          <w:cantSplit/>
        </w:trPr>
        <w:tc>
          <w:tcPr>
            <w:tcW w:w="1668" w:type="dxa"/>
            <w:tcBorders>
              <w:top w:val="threeDEmboss" w:sz="24" w:space="0" w:color="auto"/>
              <w:left w:val="threeDEngrave" w:sz="24" w:space="0" w:color="auto"/>
              <w:bottom w:val="dotted" w:sz="4" w:space="0" w:color="auto"/>
              <w:right w:val="dotted" w:sz="4" w:space="0" w:color="auto"/>
            </w:tcBorders>
            <w:shd w:val="clear" w:color="auto" w:fill="auto"/>
            <w:vAlign w:val="center"/>
          </w:tcPr>
          <w:p w:rsidR="00A0790A" w:rsidRPr="00A0790A" w:rsidRDefault="00DB379B" w:rsidP="00201E93">
            <w:pPr>
              <w:pStyle w:val="RIStabletext"/>
              <w:jc w:val="left"/>
            </w:pPr>
            <w:r>
              <w:t xml:space="preserve">Approach </w:t>
            </w:r>
            <w:r w:rsidR="00A0790A">
              <w:t xml:space="preserve">1: </w:t>
            </w:r>
          </w:p>
        </w:tc>
        <w:tc>
          <w:tcPr>
            <w:tcW w:w="1275" w:type="dxa"/>
            <w:tcBorders>
              <w:top w:val="threeDEmboss" w:sz="24" w:space="0" w:color="auto"/>
              <w:left w:val="dotted" w:sz="4" w:space="0" w:color="auto"/>
              <w:bottom w:val="dotted" w:sz="4" w:space="0" w:color="auto"/>
              <w:right w:val="dotted" w:sz="4" w:space="0" w:color="auto"/>
            </w:tcBorders>
            <w:vAlign w:val="center"/>
          </w:tcPr>
          <w:p w:rsidR="00A0790A" w:rsidRPr="00A0790A" w:rsidRDefault="00AD1D85" w:rsidP="00201E93">
            <w:pPr>
              <w:pStyle w:val="RIStabletext"/>
              <w:jc w:val="left"/>
            </w:pPr>
            <w:r>
              <w:t>$30 million positive</w:t>
            </w:r>
          </w:p>
        </w:tc>
        <w:tc>
          <w:tcPr>
            <w:tcW w:w="4678" w:type="dxa"/>
            <w:tcBorders>
              <w:top w:val="threeDEmboss" w:sz="24" w:space="0" w:color="auto"/>
              <w:left w:val="dotted" w:sz="4" w:space="0" w:color="auto"/>
              <w:bottom w:val="dotted" w:sz="4" w:space="0" w:color="auto"/>
              <w:right w:val="dotted" w:sz="4" w:space="0" w:color="auto"/>
            </w:tcBorders>
            <w:shd w:val="clear" w:color="auto" w:fill="auto"/>
            <w:vAlign w:val="center"/>
          </w:tcPr>
          <w:p w:rsidR="00A0790A" w:rsidRPr="00A0790A" w:rsidRDefault="00A0790A">
            <w:pPr>
              <w:pStyle w:val="RIStabletext"/>
              <w:jc w:val="left"/>
            </w:pPr>
            <w:r w:rsidRPr="00A0790A">
              <w:t>Catch-up deduction allowed</w:t>
            </w:r>
            <w:r w:rsidR="00AD1D85">
              <w:t xml:space="preserve"> for all aircraft.</w:t>
            </w:r>
          </w:p>
          <w:p w:rsidR="00A0790A" w:rsidRPr="00A0790A" w:rsidRDefault="00A0790A">
            <w:pPr>
              <w:pStyle w:val="RIStabletext"/>
              <w:jc w:val="left"/>
              <w:rPr>
                <w:rStyle w:val="RIStabletextChar"/>
                <w:rFonts w:ascii="Times New Roman" w:hAnsi="Times New Roman"/>
                <w:b/>
                <w:i/>
                <w:sz w:val="20"/>
                <w:szCs w:val="16"/>
              </w:rPr>
            </w:pPr>
            <w:r w:rsidRPr="00A0790A">
              <w:rPr>
                <w:rStyle w:val="RIStabletextChar"/>
                <w:rFonts w:ascii="Times New Roman" w:hAnsi="Times New Roman"/>
                <w:sz w:val="20"/>
                <w:szCs w:val="16"/>
              </w:rPr>
              <w:t>Depreciat</w:t>
            </w:r>
            <w:r>
              <w:rPr>
                <w:rStyle w:val="RIStabletextChar"/>
                <w:rFonts w:ascii="Times New Roman" w:hAnsi="Times New Roman"/>
                <w:sz w:val="20"/>
                <w:szCs w:val="16"/>
              </w:rPr>
              <w:t xml:space="preserve">ion stops on overhaul component </w:t>
            </w:r>
            <w:r w:rsidR="00AD1D85">
              <w:rPr>
                <w:rStyle w:val="RIStabletextChar"/>
                <w:rFonts w:ascii="Times New Roman" w:hAnsi="Times New Roman"/>
                <w:sz w:val="20"/>
                <w:szCs w:val="16"/>
              </w:rPr>
              <w:t xml:space="preserve">for all aircraft </w:t>
            </w:r>
            <w:r>
              <w:rPr>
                <w:rStyle w:val="RIStabletextChar"/>
                <w:rFonts w:ascii="Times New Roman" w:hAnsi="Times New Roman"/>
                <w:sz w:val="20"/>
                <w:szCs w:val="16"/>
              </w:rPr>
              <w:t>because depreciation values taken into account in catch-up deduction</w:t>
            </w:r>
            <w:r w:rsidR="00AD1D85">
              <w:rPr>
                <w:rStyle w:val="RIStabletextChar"/>
                <w:rFonts w:ascii="Times New Roman" w:hAnsi="Times New Roman"/>
                <w:sz w:val="20"/>
                <w:szCs w:val="16"/>
              </w:rPr>
              <w:t>.</w:t>
            </w:r>
          </w:p>
          <w:p w:rsidR="00A0790A" w:rsidRDefault="00A0790A">
            <w:pPr>
              <w:pStyle w:val="RIStabletext"/>
              <w:jc w:val="left"/>
              <w:rPr>
                <w:rStyle w:val="RIStabletextChar"/>
                <w:rFonts w:ascii="Times New Roman" w:hAnsi="Times New Roman"/>
                <w:b/>
                <w:i/>
                <w:sz w:val="20"/>
                <w:szCs w:val="16"/>
              </w:rPr>
            </w:pPr>
            <w:r w:rsidRPr="00A0790A">
              <w:rPr>
                <w:rStyle w:val="RIStabletextChar"/>
                <w:rFonts w:ascii="Times New Roman" w:hAnsi="Times New Roman"/>
                <w:sz w:val="20"/>
                <w:szCs w:val="16"/>
              </w:rPr>
              <w:t>Past provisions for future aircraft overhaul expenses are reversed.</w:t>
            </w:r>
          </w:p>
          <w:p w:rsidR="00AD1D85" w:rsidRPr="00A0790A" w:rsidRDefault="00AD1D85">
            <w:pPr>
              <w:pStyle w:val="RIStabletext"/>
              <w:jc w:val="left"/>
            </w:pPr>
            <w:r>
              <w:rPr>
                <w:rStyle w:val="RIStabletextChar"/>
                <w:rFonts w:ascii="Times New Roman" w:hAnsi="Times New Roman"/>
                <w:sz w:val="20"/>
                <w:szCs w:val="16"/>
              </w:rPr>
              <w:t>Future deductions for overhaul expenses spread across overhaul cycle (for all aircraft).</w:t>
            </w:r>
          </w:p>
        </w:tc>
        <w:tc>
          <w:tcPr>
            <w:tcW w:w="2126" w:type="dxa"/>
            <w:tcBorders>
              <w:top w:val="threeDEmboss" w:sz="24" w:space="0" w:color="auto"/>
              <w:left w:val="dotted" w:sz="4" w:space="0" w:color="auto"/>
              <w:bottom w:val="dotted" w:sz="4" w:space="0" w:color="auto"/>
              <w:right w:val="threeDEmboss" w:sz="24" w:space="0" w:color="auto"/>
            </w:tcBorders>
          </w:tcPr>
          <w:p w:rsidR="00DB379B" w:rsidRDefault="00DB379B">
            <w:pPr>
              <w:pStyle w:val="RIStabletext"/>
              <w:jc w:val="left"/>
            </w:pPr>
          </w:p>
          <w:p w:rsidR="00A0790A" w:rsidRDefault="00A0790A">
            <w:pPr>
              <w:pStyle w:val="RIStabletext"/>
              <w:jc w:val="left"/>
            </w:pPr>
            <w:r>
              <w:t>Taxpayer friendly</w:t>
            </w:r>
            <w:r w:rsidR="00DB379B">
              <w:t xml:space="preserve"> result</w:t>
            </w:r>
          </w:p>
          <w:p w:rsidR="006C7B32" w:rsidRDefault="00DB379B">
            <w:pPr>
              <w:pStyle w:val="RIStabletext"/>
              <w:jc w:val="left"/>
            </w:pPr>
            <w:r>
              <w:br/>
            </w:r>
          </w:p>
          <w:p w:rsidR="00A0790A" w:rsidRDefault="00A0790A">
            <w:pPr>
              <w:pStyle w:val="RIStabletext"/>
              <w:jc w:val="left"/>
            </w:pPr>
            <w:r>
              <w:t xml:space="preserve">Taxpayer </w:t>
            </w:r>
            <w:r w:rsidR="00DB379B">
              <w:t>neutral result</w:t>
            </w:r>
          </w:p>
          <w:p w:rsidR="00A0790A" w:rsidRDefault="00A0790A">
            <w:pPr>
              <w:pStyle w:val="RIStabletext"/>
              <w:jc w:val="left"/>
            </w:pPr>
          </w:p>
          <w:p w:rsidR="00A0790A" w:rsidRPr="00A0790A" w:rsidRDefault="00A0790A">
            <w:pPr>
              <w:pStyle w:val="RIStabletext"/>
              <w:jc w:val="left"/>
            </w:pPr>
            <w:r>
              <w:t xml:space="preserve">Taxpayer </w:t>
            </w:r>
            <w:r w:rsidR="006C7B32">
              <w:t>adverse result</w:t>
            </w:r>
          </w:p>
        </w:tc>
      </w:tr>
      <w:tr w:rsidR="00A0790A" w:rsidRPr="00A0790A" w:rsidTr="000A3815">
        <w:trPr>
          <w:cantSplit/>
        </w:trPr>
        <w:tc>
          <w:tcPr>
            <w:tcW w:w="1668" w:type="dxa"/>
            <w:tcBorders>
              <w:top w:val="dotted" w:sz="4" w:space="0" w:color="auto"/>
              <w:left w:val="threeDEngrave" w:sz="24" w:space="0" w:color="auto"/>
              <w:bottom w:val="dotted" w:sz="4" w:space="0" w:color="auto"/>
              <w:right w:val="dotted" w:sz="4" w:space="0" w:color="auto"/>
            </w:tcBorders>
            <w:vAlign w:val="center"/>
          </w:tcPr>
          <w:p w:rsidR="00A0790A" w:rsidRPr="00A0790A" w:rsidRDefault="00DB379B" w:rsidP="00201E93">
            <w:pPr>
              <w:pStyle w:val="RIStabletext"/>
              <w:jc w:val="left"/>
            </w:pPr>
            <w:r>
              <w:t xml:space="preserve">Approach </w:t>
            </w:r>
            <w:r w:rsidR="00A0790A">
              <w:t>2:</w:t>
            </w:r>
          </w:p>
        </w:tc>
        <w:tc>
          <w:tcPr>
            <w:tcW w:w="1275" w:type="dxa"/>
            <w:tcBorders>
              <w:top w:val="dotted" w:sz="4" w:space="0" w:color="auto"/>
              <w:left w:val="dotted" w:sz="4" w:space="0" w:color="auto"/>
              <w:bottom w:val="dotted" w:sz="4" w:space="0" w:color="auto"/>
              <w:right w:val="dotted" w:sz="4" w:space="0" w:color="auto"/>
            </w:tcBorders>
            <w:vAlign w:val="center"/>
          </w:tcPr>
          <w:p w:rsidR="00A0790A" w:rsidRDefault="00AD1D85" w:rsidP="00201E93">
            <w:pPr>
              <w:pStyle w:val="RIStabletext"/>
              <w:jc w:val="left"/>
            </w:pPr>
            <w:r>
              <w:t>$116 million positive</w:t>
            </w:r>
          </w:p>
        </w:tc>
        <w:tc>
          <w:tcPr>
            <w:tcW w:w="4678" w:type="dxa"/>
            <w:tcBorders>
              <w:top w:val="dotted" w:sz="4" w:space="0" w:color="auto"/>
              <w:left w:val="dotted" w:sz="4" w:space="0" w:color="auto"/>
              <w:bottom w:val="dotted" w:sz="4" w:space="0" w:color="auto"/>
              <w:right w:val="dotted" w:sz="4" w:space="0" w:color="auto"/>
            </w:tcBorders>
            <w:vAlign w:val="center"/>
          </w:tcPr>
          <w:p w:rsidR="00A0790A" w:rsidRPr="00A0790A" w:rsidRDefault="00A0790A">
            <w:pPr>
              <w:pStyle w:val="RIStabletext"/>
              <w:jc w:val="left"/>
            </w:pPr>
            <w:r>
              <w:t>No c</w:t>
            </w:r>
            <w:r w:rsidRPr="00A0790A">
              <w:t>atch-up deduction allowed</w:t>
            </w:r>
            <w:r w:rsidR="00AD1D85">
              <w:t xml:space="preserve"> for all aircraft.</w:t>
            </w:r>
          </w:p>
          <w:p w:rsidR="00A0790A" w:rsidRPr="00A0790A" w:rsidRDefault="00A0790A">
            <w:pPr>
              <w:pStyle w:val="RIStabletext"/>
              <w:jc w:val="left"/>
              <w:rPr>
                <w:rStyle w:val="RIStabletextChar"/>
                <w:rFonts w:ascii="Times New Roman" w:hAnsi="Times New Roman"/>
                <w:i/>
                <w:sz w:val="20"/>
                <w:szCs w:val="16"/>
              </w:rPr>
            </w:pPr>
            <w:r w:rsidRPr="00A0790A">
              <w:rPr>
                <w:rStyle w:val="RIStabletextChar"/>
                <w:rFonts w:ascii="Times New Roman" w:hAnsi="Times New Roman"/>
                <w:sz w:val="20"/>
                <w:szCs w:val="16"/>
              </w:rPr>
              <w:t>Depreciat</w:t>
            </w:r>
            <w:r>
              <w:rPr>
                <w:rStyle w:val="RIStabletextChar"/>
                <w:rFonts w:ascii="Times New Roman" w:hAnsi="Times New Roman"/>
                <w:sz w:val="20"/>
                <w:szCs w:val="16"/>
              </w:rPr>
              <w:t xml:space="preserve">ion stops on overhaul </w:t>
            </w:r>
            <w:r w:rsidR="00AD1D85">
              <w:rPr>
                <w:rStyle w:val="RIStabletextChar"/>
                <w:rFonts w:ascii="Times New Roman" w:hAnsi="Times New Roman"/>
                <w:sz w:val="20"/>
                <w:szCs w:val="16"/>
              </w:rPr>
              <w:t>component for all aircraft</w:t>
            </w:r>
            <w:r>
              <w:rPr>
                <w:rStyle w:val="RIStabletextChar"/>
                <w:rFonts w:ascii="Times New Roman" w:hAnsi="Times New Roman"/>
                <w:sz w:val="20"/>
                <w:szCs w:val="16"/>
              </w:rPr>
              <w:t xml:space="preserve">, and undepreciated value taken into account on disposal of the </w:t>
            </w:r>
            <w:r w:rsidR="00AD1D85">
              <w:rPr>
                <w:rStyle w:val="RIStabletextChar"/>
                <w:rFonts w:ascii="Times New Roman" w:hAnsi="Times New Roman"/>
                <w:sz w:val="20"/>
                <w:szCs w:val="16"/>
              </w:rPr>
              <w:t>aircraft.</w:t>
            </w:r>
          </w:p>
          <w:p w:rsidR="00A0790A" w:rsidRPr="00A0790A" w:rsidRDefault="00A0790A">
            <w:pPr>
              <w:pStyle w:val="RIStabletext"/>
              <w:jc w:val="left"/>
            </w:pPr>
            <w:r w:rsidRPr="00A0790A">
              <w:rPr>
                <w:rStyle w:val="RIStabletextChar"/>
                <w:rFonts w:ascii="Times New Roman" w:hAnsi="Times New Roman"/>
                <w:sz w:val="20"/>
                <w:szCs w:val="16"/>
              </w:rPr>
              <w:t>Past provisions for future aircraft overhaul expenses are revers</w:t>
            </w:r>
            <w:r w:rsidR="00AD1D85">
              <w:rPr>
                <w:rStyle w:val="RIStabletextChar"/>
                <w:rFonts w:ascii="Times New Roman" w:hAnsi="Times New Roman"/>
                <w:sz w:val="20"/>
                <w:szCs w:val="16"/>
              </w:rPr>
              <w:t>ed (for all aircraft).</w:t>
            </w:r>
          </w:p>
        </w:tc>
        <w:tc>
          <w:tcPr>
            <w:tcW w:w="2126" w:type="dxa"/>
            <w:tcBorders>
              <w:top w:val="dotted" w:sz="4" w:space="0" w:color="auto"/>
              <w:left w:val="dotted" w:sz="4" w:space="0" w:color="auto"/>
              <w:bottom w:val="dotted" w:sz="4" w:space="0" w:color="auto"/>
              <w:right w:val="threeDEmboss" w:sz="24" w:space="0" w:color="auto"/>
            </w:tcBorders>
            <w:vAlign w:val="center"/>
          </w:tcPr>
          <w:p w:rsidR="00AD1D85" w:rsidRDefault="00A0790A">
            <w:pPr>
              <w:pStyle w:val="RIStabletext"/>
              <w:jc w:val="left"/>
              <w:rPr>
                <w:rStyle w:val="RIStabletextChar"/>
                <w:rFonts w:ascii="Times New Roman" w:hAnsi="Times New Roman"/>
                <w:i/>
                <w:sz w:val="20"/>
                <w:szCs w:val="16"/>
              </w:rPr>
            </w:pPr>
            <w:r>
              <w:t>Taxpayer adverse</w:t>
            </w:r>
            <w:r w:rsidR="006C7B32">
              <w:t xml:space="preserve"> result</w:t>
            </w:r>
          </w:p>
          <w:p w:rsidR="00A0790A" w:rsidRPr="000F1E7F" w:rsidRDefault="00AD1D85">
            <w:pPr>
              <w:pStyle w:val="RIStabletext"/>
              <w:jc w:val="left"/>
            </w:pPr>
            <w:r>
              <w:rPr>
                <w:rStyle w:val="RIStabletextChar"/>
                <w:rFonts w:ascii="Times New Roman" w:hAnsi="Times New Roman"/>
                <w:sz w:val="20"/>
                <w:szCs w:val="16"/>
              </w:rPr>
              <w:br/>
            </w:r>
            <w:r w:rsidR="006C7B32">
              <w:rPr>
                <w:rStyle w:val="RIStabletextChar"/>
                <w:rFonts w:ascii="Times New Roman" w:hAnsi="Times New Roman"/>
                <w:i/>
                <w:szCs w:val="16"/>
              </w:rPr>
              <w:br/>
            </w:r>
            <w:r w:rsidRPr="000A3815">
              <w:rPr>
                <w:rStyle w:val="RIStabletextChar"/>
                <w:rFonts w:ascii="Times New Roman" w:hAnsi="Times New Roman"/>
                <w:i/>
                <w:szCs w:val="16"/>
              </w:rPr>
              <w:t>Taxpayer adverse</w:t>
            </w:r>
            <w:r w:rsidR="006C7B32">
              <w:rPr>
                <w:rStyle w:val="RIStabletextChar"/>
                <w:rFonts w:ascii="Times New Roman" w:hAnsi="Times New Roman"/>
                <w:i/>
                <w:szCs w:val="16"/>
              </w:rPr>
              <w:t xml:space="preserve"> result</w:t>
            </w:r>
          </w:p>
        </w:tc>
      </w:tr>
      <w:tr w:rsidR="00A0790A" w:rsidRPr="00A0790A" w:rsidTr="000A3815">
        <w:trPr>
          <w:cantSplit/>
        </w:trPr>
        <w:tc>
          <w:tcPr>
            <w:tcW w:w="1668" w:type="dxa"/>
            <w:tcBorders>
              <w:top w:val="dotted" w:sz="4" w:space="0" w:color="auto"/>
              <w:left w:val="threeDEngrave" w:sz="24" w:space="0" w:color="auto"/>
              <w:bottom w:val="threeDEmboss" w:sz="24" w:space="0" w:color="auto"/>
              <w:right w:val="dotted" w:sz="4" w:space="0" w:color="auto"/>
            </w:tcBorders>
            <w:vAlign w:val="center"/>
          </w:tcPr>
          <w:p w:rsidR="00A0790A" w:rsidRPr="00A0790A" w:rsidRDefault="00DB379B" w:rsidP="00201E93">
            <w:pPr>
              <w:pStyle w:val="RIStabletext"/>
              <w:jc w:val="left"/>
            </w:pPr>
            <w:r>
              <w:t>Approach</w:t>
            </w:r>
            <w:r w:rsidRPr="00A0790A">
              <w:t xml:space="preserve"> </w:t>
            </w:r>
            <w:r w:rsidR="00A0790A" w:rsidRPr="00A0790A">
              <w:t>3:</w:t>
            </w:r>
          </w:p>
          <w:p w:rsidR="00A0790A" w:rsidRPr="00A0790A" w:rsidRDefault="00A0790A" w:rsidP="00201E93">
            <w:pPr>
              <w:pStyle w:val="RIStabletext"/>
              <w:jc w:val="left"/>
            </w:pPr>
          </w:p>
        </w:tc>
        <w:tc>
          <w:tcPr>
            <w:tcW w:w="1275" w:type="dxa"/>
            <w:tcBorders>
              <w:top w:val="dotted" w:sz="4" w:space="0" w:color="auto"/>
              <w:left w:val="dotted" w:sz="4" w:space="0" w:color="auto"/>
              <w:bottom w:val="threeDEmboss" w:sz="24" w:space="0" w:color="auto"/>
              <w:right w:val="dotted" w:sz="4" w:space="0" w:color="auto"/>
            </w:tcBorders>
            <w:vAlign w:val="center"/>
          </w:tcPr>
          <w:p w:rsidR="00AD1D85" w:rsidRPr="00A0790A" w:rsidRDefault="00AD1D85" w:rsidP="00201E93">
            <w:pPr>
              <w:pStyle w:val="RIStabletext"/>
              <w:jc w:val="left"/>
            </w:pPr>
            <w:r>
              <w:t>$9 million positive</w:t>
            </w:r>
          </w:p>
        </w:tc>
        <w:tc>
          <w:tcPr>
            <w:tcW w:w="4678" w:type="dxa"/>
            <w:tcBorders>
              <w:top w:val="dotted" w:sz="4" w:space="0" w:color="auto"/>
              <w:left w:val="dotted" w:sz="4" w:space="0" w:color="auto"/>
              <w:bottom w:val="threeDEmboss" w:sz="24" w:space="0" w:color="auto"/>
              <w:right w:val="dotted" w:sz="4" w:space="0" w:color="auto"/>
            </w:tcBorders>
            <w:vAlign w:val="center"/>
          </w:tcPr>
          <w:p w:rsidR="00AD1D85" w:rsidRDefault="00AD1D85">
            <w:pPr>
              <w:pStyle w:val="RIStabletext"/>
              <w:jc w:val="left"/>
            </w:pPr>
            <w:r>
              <w:t>Spreading rules apply only to aircraft acquired after implementation.</w:t>
            </w:r>
          </w:p>
          <w:p w:rsidR="00AD1D85" w:rsidRPr="000A3815" w:rsidRDefault="00AD1D85">
            <w:pPr>
              <w:pStyle w:val="RIStabletext"/>
              <w:jc w:val="left"/>
              <w:rPr>
                <w:i w:val="0"/>
                <w:sz w:val="20"/>
              </w:rPr>
            </w:pPr>
            <w:r w:rsidRPr="000A3815">
              <w:rPr>
                <w:i w:val="0"/>
                <w:sz w:val="20"/>
              </w:rPr>
              <w:t xml:space="preserve">No catch-up deduction allowed for all aircraft.  </w:t>
            </w:r>
          </w:p>
          <w:p w:rsidR="00AD1D85" w:rsidRPr="000A3815" w:rsidRDefault="006C7B32">
            <w:pPr>
              <w:pStyle w:val="RIStabletext"/>
              <w:jc w:val="left"/>
              <w:rPr>
                <w:i w:val="0"/>
                <w:sz w:val="20"/>
              </w:rPr>
            </w:pPr>
            <w:r w:rsidRPr="000A3815">
              <w:rPr>
                <w:i w:val="0"/>
                <w:sz w:val="20"/>
              </w:rPr>
              <w:t xml:space="preserve">The cost of the aircraft engine component would </w:t>
            </w:r>
            <w:r w:rsidR="00AD1D85" w:rsidRPr="000A3815">
              <w:rPr>
                <w:i w:val="0"/>
                <w:sz w:val="20"/>
              </w:rPr>
              <w:t xml:space="preserve">be spread across the first overhaul cycle </w:t>
            </w:r>
          </w:p>
          <w:p w:rsidR="00A0790A" w:rsidRPr="000A3815" w:rsidRDefault="00AD1D85">
            <w:pPr>
              <w:pStyle w:val="RIStabletext"/>
              <w:jc w:val="left"/>
              <w:rPr>
                <w:sz w:val="20"/>
                <w:szCs w:val="20"/>
              </w:rPr>
            </w:pPr>
            <w:r w:rsidRPr="000A3815">
              <w:rPr>
                <w:i w:val="0"/>
                <w:sz w:val="20"/>
                <w:szCs w:val="20"/>
              </w:rPr>
              <w:t>Existing aircraft apply the “as incurred basis” and existing depreciation rules.</w:t>
            </w:r>
          </w:p>
        </w:tc>
        <w:tc>
          <w:tcPr>
            <w:tcW w:w="2126" w:type="dxa"/>
            <w:tcBorders>
              <w:top w:val="dotted" w:sz="4" w:space="0" w:color="auto"/>
              <w:left w:val="dotted" w:sz="4" w:space="0" w:color="auto"/>
              <w:bottom w:val="threeDEmboss" w:sz="24" w:space="0" w:color="auto"/>
              <w:right w:val="threeDEmboss" w:sz="24" w:space="0" w:color="auto"/>
            </w:tcBorders>
            <w:vAlign w:val="center"/>
          </w:tcPr>
          <w:p w:rsidR="00AD1D85" w:rsidRDefault="00AD1D85">
            <w:pPr>
              <w:pStyle w:val="RIStabletext"/>
              <w:jc w:val="left"/>
            </w:pPr>
            <w:r>
              <w:br/>
            </w:r>
            <w:r w:rsidR="006C7B32">
              <w:br/>
            </w:r>
            <w:r>
              <w:t>Taxpayer adverse</w:t>
            </w:r>
            <w:r w:rsidR="006C7B32">
              <w:t xml:space="preserve"> result</w:t>
            </w:r>
          </w:p>
          <w:p w:rsidR="00AD1D85" w:rsidRDefault="00AD1D85">
            <w:pPr>
              <w:pStyle w:val="RIStabletext"/>
              <w:jc w:val="left"/>
            </w:pPr>
            <w:r>
              <w:t xml:space="preserve">Taxpayer </w:t>
            </w:r>
            <w:r w:rsidR="006C7B32">
              <w:t>friendly result</w:t>
            </w:r>
          </w:p>
          <w:p w:rsidR="00AD1D85" w:rsidRDefault="00AD1D85">
            <w:pPr>
              <w:pStyle w:val="RIStabletext"/>
              <w:jc w:val="left"/>
            </w:pPr>
          </w:p>
          <w:p w:rsidR="00AD1D85" w:rsidRPr="00A0790A" w:rsidRDefault="00AD1D85">
            <w:pPr>
              <w:pStyle w:val="RIStabletext"/>
              <w:jc w:val="left"/>
            </w:pPr>
            <w:r>
              <w:br/>
              <w:t>Taxpayer adverse</w:t>
            </w:r>
            <w:r w:rsidR="006C7B32">
              <w:t xml:space="preserve"> result</w:t>
            </w:r>
          </w:p>
        </w:tc>
      </w:tr>
    </w:tbl>
    <w:p w:rsidR="00F50827" w:rsidRDefault="00F50827" w:rsidP="00F50827">
      <w:pPr>
        <w:pStyle w:val="Bullet-list"/>
        <w:spacing w:after="0" w:line="240" w:lineRule="auto"/>
        <w:rPr>
          <w:rFonts w:ascii="Times New Roman" w:hAnsi="Times New Roman"/>
          <w:sz w:val="24"/>
          <w:szCs w:val="24"/>
        </w:rPr>
      </w:pPr>
    </w:p>
    <w:p w:rsidR="00AD1D85" w:rsidRDefault="00AD1D85" w:rsidP="00AD1D85">
      <w:pPr>
        <w:pStyle w:val="RISsubheading"/>
      </w:pPr>
      <w:r>
        <w:t xml:space="preserve">Analysis of transitional </w:t>
      </w:r>
      <w:r w:rsidR="006C7B32">
        <w:t>approaches</w:t>
      </w:r>
    </w:p>
    <w:p w:rsidR="00AD1D85" w:rsidRDefault="006C7B32" w:rsidP="00AD1D85">
      <w:pPr>
        <w:pStyle w:val="Heading6"/>
      </w:pPr>
      <w:r>
        <w:t xml:space="preserve">Approach </w:t>
      </w:r>
      <w:r w:rsidR="00AD1D85">
        <w:t>1</w:t>
      </w:r>
    </w:p>
    <w:p w:rsidR="00AD1D85" w:rsidRPr="00AD1D85" w:rsidRDefault="00AD1D85" w:rsidP="00AD1D85"/>
    <w:p w:rsidR="0045028F" w:rsidRDefault="00AD1D85" w:rsidP="00201E93">
      <w:pPr>
        <w:pStyle w:val="RISnumberlist"/>
      </w:pPr>
      <w:bookmarkStart w:id="28" w:name="_Ref427675191"/>
      <w:r>
        <w:t xml:space="preserve">This </w:t>
      </w:r>
      <w:r w:rsidR="006C7B32">
        <w:t xml:space="preserve">approach </w:t>
      </w:r>
      <w:r>
        <w:t>is consistent with the economics of the</w:t>
      </w:r>
      <w:r w:rsidR="0045028F">
        <w:t xml:space="preserve"> overhaul process, and would be consistent with the objective that the tax system should not distort investment decisions</w:t>
      </w:r>
      <w:r w:rsidR="006C7B32">
        <w:t xml:space="preserve"> (objective (a): efficiency and coherency of the tax system)</w:t>
      </w:r>
      <w:r w:rsidR="0045028F">
        <w:t>.</w:t>
      </w:r>
      <w:bookmarkEnd w:id="28"/>
    </w:p>
    <w:p w:rsidR="0045028F" w:rsidRDefault="0045028F" w:rsidP="00201E93">
      <w:pPr>
        <w:pStyle w:val="RISnumberlist"/>
        <w:numPr>
          <w:ilvl w:val="0"/>
          <w:numId w:val="0"/>
        </w:numPr>
        <w:ind w:left="360"/>
      </w:pPr>
    </w:p>
    <w:p w:rsidR="0045028F" w:rsidRDefault="0045028F" w:rsidP="00201E93">
      <w:pPr>
        <w:pStyle w:val="RISnumberlist"/>
      </w:pPr>
      <w:r>
        <w:t xml:space="preserve">There would be one-off compliance costs in transition for calculating the one-off transitional adjustments.  It is considered that these costs are more than outweighed by the benefit of the catch-up adjustment as the fiscal estimate includes a fiscal cost in transition of approximately $33 million which is recovered within 2 years.  Submitters consider this approach is appropriate </w:t>
      </w:r>
      <w:r w:rsidR="006C7B32">
        <w:t xml:space="preserve">if </w:t>
      </w:r>
      <w:r>
        <w:t>the recommended spreading method</w:t>
      </w:r>
      <w:r w:rsidR="006C7B32">
        <w:t xml:space="preserve"> is adopted</w:t>
      </w:r>
      <w:r>
        <w:t>.</w:t>
      </w:r>
    </w:p>
    <w:p w:rsidR="006C7B32" w:rsidRDefault="006C7B32">
      <w:pPr>
        <w:rPr>
          <w:i/>
        </w:rPr>
      </w:pPr>
      <w:r>
        <w:br w:type="page"/>
      </w:r>
    </w:p>
    <w:p w:rsidR="0045028F" w:rsidRDefault="006C7B32" w:rsidP="0045028F">
      <w:pPr>
        <w:pStyle w:val="Heading6"/>
      </w:pPr>
      <w:r>
        <w:t xml:space="preserve">Approaches </w:t>
      </w:r>
      <w:r w:rsidR="0045028F">
        <w:t>2 and 3</w:t>
      </w:r>
    </w:p>
    <w:p w:rsidR="0045028F" w:rsidRPr="0045028F" w:rsidRDefault="0045028F" w:rsidP="0045028F"/>
    <w:p w:rsidR="0045028F" w:rsidRDefault="0045028F">
      <w:pPr>
        <w:pStyle w:val="RISnumberlist"/>
      </w:pPr>
      <w:r>
        <w:t xml:space="preserve">Both of these </w:t>
      </w:r>
      <w:r w:rsidR="006C7B32">
        <w:t xml:space="preserve">approaches </w:t>
      </w:r>
      <w:r>
        <w:t>are inconsistent with the economics of the overhaul process for existing aircraft.  The deferral of the depreciation deductions until disposal of the aircraft may incentivise taxpayers to either replace existing aircraft earlier than anticipated or to enter into sale and leaseback arrangements to obtain the benefit of the accelerated deductions for the overhaul components.</w:t>
      </w:r>
    </w:p>
    <w:p w:rsidR="0045028F" w:rsidRDefault="0045028F" w:rsidP="00201E93">
      <w:pPr>
        <w:pStyle w:val="RISnumberlist"/>
        <w:numPr>
          <w:ilvl w:val="0"/>
          <w:numId w:val="0"/>
        </w:numPr>
        <w:ind w:left="360"/>
      </w:pPr>
    </w:p>
    <w:p w:rsidR="0045028F" w:rsidRDefault="0045028F" w:rsidP="00201E93">
      <w:pPr>
        <w:pStyle w:val="RISnumberlist"/>
      </w:pPr>
      <w:r>
        <w:t>There would be negligible impact on compliance costs in transition as there are no significant transitional adjustments.</w:t>
      </w:r>
    </w:p>
    <w:p w:rsidR="0045028F" w:rsidRDefault="0045028F" w:rsidP="0045028F">
      <w:pPr>
        <w:pStyle w:val="Heading6"/>
      </w:pPr>
      <w:r>
        <w:t xml:space="preserve">Preferred transitional </w:t>
      </w:r>
      <w:r w:rsidR="006C7B32">
        <w:t xml:space="preserve">approach </w:t>
      </w:r>
      <w:r>
        <w:t>- conclusion</w:t>
      </w:r>
    </w:p>
    <w:p w:rsidR="0045028F" w:rsidRPr="0045028F" w:rsidRDefault="0045028F" w:rsidP="0045028F"/>
    <w:p w:rsidR="00935881" w:rsidRDefault="0045028F">
      <w:pPr>
        <w:pStyle w:val="RISnumberlist"/>
      </w:pPr>
      <w:r>
        <w:t xml:space="preserve"> </w:t>
      </w:r>
      <w:bookmarkStart w:id="29" w:name="_Ref427675102"/>
      <w:r>
        <w:t xml:space="preserve">We prefer </w:t>
      </w:r>
      <w:r w:rsidR="006C7B32">
        <w:t xml:space="preserve">approach </w:t>
      </w:r>
      <w:r>
        <w:t>1 because it is consistent with the ec</w:t>
      </w:r>
      <w:r w:rsidR="00935881">
        <w:t xml:space="preserve">onomics of the overhaul process, </w:t>
      </w:r>
      <w:r>
        <w:t>is consistent with the objective</w:t>
      </w:r>
      <w:r w:rsidR="006C7B32">
        <w:t>s</w:t>
      </w:r>
      <w:r>
        <w:t xml:space="preserve"> that the tax system does not </w:t>
      </w:r>
      <w:r w:rsidR="00935881">
        <w:t>distort investment decisions</w:t>
      </w:r>
      <w:r w:rsidR="006C7B32">
        <w:t xml:space="preserve"> (objective (a): efficiency and coherence of the tax system)</w:t>
      </w:r>
      <w:r w:rsidR="00935881">
        <w:t xml:space="preserve">, and </w:t>
      </w:r>
      <w:r w:rsidR="006C7B32">
        <w:t xml:space="preserve">takes into account the concern in submissions </w:t>
      </w:r>
      <w:r w:rsidR="00935881">
        <w:t>that transitional options should not adversely impact on cash flows.</w:t>
      </w:r>
      <w:bookmarkEnd w:id="29"/>
    </w:p>
    <w:p w:rsidR="00935881" w:rsidRDefault="00935881" w:rsidP="00201E93">
      <w:pPr>
        <w:pStyle w:val="RISnumberlist"/>
        <w:numPr>
          <w:ilvl w:val="0"/>
          <w:numId w:val="0"/>
        </w:numPr>
        <w:ind w:left="360"/>
      </w:pPr>
    </w:p>
    <w:p w:rsidR="00F50827" w:rsidRDefault="00935881" w:rsidP="00201E93">
      <w:pPr>
        <w:pStyle w:val="RISnumberlist"/>
      </w:pPr>
      <w:r>
        <w:t xml:space="preserve">All </w:t>
      </w:r>
      <w:r w:rsidR="006C7B32">
        <w:t xml:space="preserve">three approaches </w:t>
      </w:r>
      <w:r>
        <w:t>give timing related fiscal related impacts which all reverse out over the period of ownership of the asset.</w:t>
      </w:r>
    </w:p>
    <w:p w:rsidR="00A0790A" w:rsidRDefault="00935881" w:rsidP="00935881">
      <w:pPr>
        <w:pStyle w:val="RISsubheading"/>
      </w:pPr>
      <w:r>
        <w:t>Further implementation details</w:t>
      </w:r>
    </w:p>
    <w:p w:rsidR="0073454C" w:rsidRDefault="0073454C" w:rsidP="00201E93">
      <w:pPr>
        <w:pStyle w:val="RISnumberlist"/>
      </w:pPr>
      <w:r>
        <w:t xml:space="preserve">The recommended option </w:t>
      </w:r>
      <w:r w:rsidR="006C7B32">
        <w:t xml:space="preserve">and transitional approach </w:t>
      </w:r>
      <w:r>
        <w:t xml:space="preserve">would be included in </w:t>
      </w:r>
      <w:r w:rsidR="00935881">
        <w:t xml:space="preserve">the first </w:t>
      </w:r>
      <w:r w:rsidR="007F0101">
        <w:t>available tax</w:t>
      </w:r>
      <w:r>
        <w:t xml:space="preserve"> bill scheduled for introduction in 2016. </w:t>
      </w:r>
    </w:p>
    <w:p w:rsidR="00A6739B" w:rsidRDefault="00A6739B" w:rsidP="00A6739B">
      <w:pPr>
        <w:pStyle w:val="Bullet-list"/>
        <w:spacing w:after="0" w:line="240" w:lineRule="auto"/>
        <w:ind w:left="0" w:firstLine="0"/>
        <w:rPr>
          <w:rFonts w:ascii="Times New Roman" w:hAnsi="Times New Roman"/>
          <w:sz w:val="24"/>
          <w:szCs w:val="24"/>
        </w:rPr>
      </w:pPr>
    </w:p>
    <w:p w:rsidR="0006203F" w:rsidRDefault="006C7B32" w:rsidP="00201E93">
      <w:pPr>
        <w:pStyle w:val="RISnumberlist"/>
      </w:pPr>
      <w:r>
        <w:t xml:space="preserve">Owing </w:t>
      </w:r>
      <w:r w:rsidR="00A6739B">
        <w:t>to the complex technical nature of the issues, d</w:t>
      </w:r>
      <w:r w:rsidR="0073454C">
        <w:t>raft legislation would be</w:t>
      </w:r>
      <w:r w:rsidR="00A6739B">
        <w:t xml:space="preserve"> </w:t>
      </w:r>
      <w:r w:rsidR="0006203F">
        <w:t xml:space="preserve">provided </w:t>
      </w:r>
      <w:r>
        <w:t xml:space="preserve">to key stakeholders </w:t>
      </w:r>
      <w:r w:rsidR="0006203F">
        <w:t>for comment</w:t>
      </w:r>
      <w:r w:rsidR="000F1E7F">
        <w:t>.</w:t>
      </w:r>
      <w:r w:rsidR="0006203F">
        <w:t xml:space="preserve">  This consultation would be completed later in </w:t>
      </w:r>
      <w:r w:rsidR="00215D42">
        <w:t>2015</w:t>
      </w:r>
      <w:r w:rsidR="0006203F">
        <w:t>.</w:t>
      </w:r>
    </w:p>
    <w:p w:rsidR="00A6739B" w:rsidRDefault="00A6739B" w:rsidP="00A6739B">
      <w:pPr>
        <w:pStyle w:val="Bullet-list"/>
        <w:spacing w:after="0" w:line="240" w:lineRule="auto"/>
        <w:ind w:left="0" w:firstLine="0"/>
        <w:rPr>
          <w:rFonts w:ascii="Times New Roman" w:hAnsi="Times New Roman"/>
          <w:sz w:val="24"/>
          <w:szCs w:val="24"/>
        </w:rPr>
      </w:pPr>
    </w:p>
    <w:p w:rsidR="0006203F" w:rsidRDefault="0006203F" w:rsidP="00201E93">
      <w:pPr>
        <w:pStyle w:val="RISnumberlist"/>
      </w:pPr>
      <w:r>
        <w:t xml:space="preserve">The </w:t>
      </w:r>
      <w:r w:rsidR="006C7B32">
        <w:t>recommended option and transitional approach</w:t>
      </w:r>
      <w:r>
        <w:t xml:space="preserve"> is proposed to apply from the </w:t>
      </w:r>
      <w:r w:rsidR="006C7B32">
        <w:t xml:space="preserve">beginning of the </w:t>
      </w:r>
      <w:r>
        <w:t xml:space="preserve">2017-18 income year.  </w:t>
      </w:r>
      <w:r w:rsidR="00935881">
        <w:t xml:space="preserve">This date is selected to allow taxpayers sufficient time to understand the technical requirements of the recommended </w:t>
      </w:r>
      <w:r w:rsidR="006C7B32">
        <w:t>option and transitional approach</w:t>
      </w:r>
      <w:r w:rsidR="00935881">
        <w:t>.</w:t>
      </w:r>
    </w:p>
    <w:p w:rsidR="0006203F" w:rsidRDefault="0006203F" w:rsidP="0006203F">
      <w:pPr>
        <w:pStyle w:val="Bullet-list"/>
        <w:spacing w:after="0" w:line="240" w:lineRule="auto"/>
        <w:ind w:left="0" w:firstLine="0"/>
        <w:rPr>
          <w:rFonts w:ascii="Times New Roman" w:hAnsi="Times New Roman"/>
          <w:sz w:val="24"/>
          <w:szCs w:val="24"/>
        </w:rPr>
      </w:pPr>
    </w:p>
    <w:p w:rsidR="00935881" w:rsidRDefault="00935881" w:rsidP="00201E93">
      <w:pPr>
        <w:pStyle w:val="RISnumberlist"/>
      </w:pPr>
      <w:r w:rsidRPr="00935881">
        <w:t xml:space="preserve">When introduced into Parliament, commentary will be released explaining the amendments, and further explanation of their effect </w:t>
      </w:r>
      <w:r>
        <w:t>will be contained in</w:t>
      </w:r>
      <w:r w:rsidR="0006203F">
        <w:t xml:space="preserve"> a Technical Information Bulletin item</w:t>
      </w:r>
      <w:r>
        <w:t xml:space="preserve"> to be released shortly after the bill receives Royal assent.</w:t>
      </w:r>
      <w:r w:rsidR="00BA04F4">
        <w:t xml:space="preserve">  Normal submission processes occur when the bill is referred to the Finance and Expenditure Committee.</w:t>
      </w:r>
    </w:p>
    <w:p w:rsidR="00935881" w:rsidRDefault="00935881" w:rsidP="00201E93">
      <w:pPr>
        <w:pStyle w:val="RISnumberlist"/>
        <w:numPr>
          <w:ilvl w:val="0"/>
          <w:numId w:val="0"/>
        </w:numPr>
        <w:ind w:left="360"/>
      </w:pPr>
    </w:p>
    <w:p w:rsidR="00935881" w:rsidRDefault="00935881" w:rsidP="00201E93">
      <w:pPr>
        <w:pStyle w:val="RISnumberlist"/>
      </w:pPr>
      <w:r>
        <w:t>The</w:t>
      </w:r>
      <w:r w:rsidR="00AC26BB">
        <w:t xml:space="preserve"> recommended</w:t>
      </w:r>
      <w:r>
        <w:t xml:space="preserve"> </w:t>
      </w:r>
      <w:r w:rsidR="006C7B32">
        <w:t xml:space="preserve">option and transitional approach </w:t>
      </w:r>
      <w:r>
        <w:t xml:space="preserve">would have no systems implications for Inland Revenue but may result in some additional </w:t>
      </w:r>
      <w:r w:rsidR="00AC26BB">
        <w:t xml:space="preserve">administration </w:t>
      </w:r>
      <w:r>
        <w:t xml:space="preserve">costs, such as costs associated with publications to communicate the changes and to monitor and evaluate compliance with the changes.  However, these costs are expected to be minor and </w:t>
      </w:r>
      <w:r w:rsidR="00BA04F4">
        <w:t xml:space="preserve">would </w:t>
      </w:r>
      <w:r>
        <w:t>be met within existing baselines.</w:t>
      </w:r>
    </w:p>
    <w:p w:rsidR="000545DC" w:rsidRPr="004342F0" w:rsidRDefault="00D943DD" w:rsidP="00BA04F4">
      <w:pPr>
        <w:pStyle w:val="Heading3"/>
        <w:jc w:val="left"/>
      </w:pPr>
      <w:bookmarkStart w:id="30" w:name="_Toc244580369"/>
      <w:bookmarkStart w:id="31" w:name="_Toc244587045"/>
      <w:bookmarkStart w:id="32" w:name="_Toc244857279"/>
      <w:bookmarkStart w:id="33" w:name="_Toc244912544"/>
      <w:bookmarkStart w:id="34" w:name="_Toc244917001"/>
      <w:r w:rsidRPr="004342F0">
        <w:t>MONITORING, EVALUATION AND REVIEW</w:t>
      </w:r>
      <w:bookmarkEnd w:id="30"/>
      <w:bookmarkEnd w:id="31"/>
      <w:bookmarkEnd w:id="32"/>
      <w:bookmarkEnd w:id="33"/>
      <w:bookmarkEnd w:id="34"/>
    </w:p>
    <w:p w:rsidR="00007917" w:rsidRDefault="00BA04F4" w:rsidP="00201E93">
      <w:pPr>
        <w:pStyle w:val="RISnumberlist"/>
      </w:pPr>
      <w:r>
        <w:t xml:space="preserve">In general, Inland Revenue’s monitoring, evaluation, and review of new legislation takes place under the Generic Tax Policy Process (GTPP).  The GTPP is a multi-stage tax policy process that has been used to design and implement tax policy since 1995.  </w:t>
      </w:r>
    </w:p>
    <w:p w:rsidR="00007917" w:rsidRDefault="00007917" w:rsidP="000A3815">
      <w:pPr>
        <w:pStyle w:val="RISnumberlist"/>
        <w:numPr>
          <w:ilvl w:val="0"/>
          <w:numId w:val="0"/>
        </w:numPr>
        <w:ind w:left="360"/>
      </w:pPr>
    </w:p>
    <w:p w:rsidR="00BA04F4" w:rsidRDefault="00BA04F4" w:rsidP="00201E93">
      <w:pPr>
        <w:pStyle w:val="RISnumberlist"/>
      </w:pPr>
      <w:r>
        <w:t>The final stage in the GTPP contemplates the implementation and review stage, which can involve post-implementation review of the legislation and the identification of any remedial issues.  Opportunities for external consultation are also built into this stage.  In practice, any changes identified as necessary for the new legislation to have its intended effect would generally be added to the Tax Policy Work Programme and proposals would go through the GTPP.</w:t>
      </w:r>
    </w:p>
    <w:p w:rsidR="00BA04F4" w:rsidRDefault="00BA04F4" w:rsidP="00BA04F4">
      <w:pPr>
        <w:pStyle w:val="Bullet-list"/>
        <w:spacing w:after="0" w:line="240" w:lineRule="auto"/>
        <w:ind w:left="0" w:firstLine="0"/>
        <w:rPr>
          <w:rFonts w:ascii="Times New Roman" w:hAnsi="Times New Roman"/>
          <w:sz w:val="24"/>
          <w:szCs w:val="24"/>
        </w:rPr>
      </w:pPr>
    </w:p>
    <w:p w:rsidR="00215D42" w:rsidRDefault="00215D42" w:rsidP="00201E93">
      <w:pPr>
        <w:pStyle w:val="RISnumberlist"/>
      </w:pPr>
      <w:r>
        <w:t xml:space="preserve">Inland Revenue’s normal assurance activity will </w:t>
      </w:r>
      <w:r w:rsidR="00935881">
        <w:t>evaluate and review</w:t>
      </w:r>
      <w:r>
        <w:t xml:space="preserve"> that the preferred option achieves its </w:t>
      </w:r>
      <w:r w:rsidR="00007917">
        <w:t xml:space="preserve">intended policy objectives, as set out in paragraph </w:t>
      </w:r>
      <w:r w:rsidR="00007917">
        <w:fldChar w:fldCharType="begin"/>
      </w:r>
      <w:r w:rsidR="00007917">
        <w:instrText xml:space="preserve"> REF _Ref427854973 \r \h </w:instrText>
      </w:r>
      <w:r w:rsidR="00007917">
        <w:fldChar w:fldCharType="separate"/>
      </w:r>
      <w:r w:rsidR="00371772">
        <w:t>21</w:t>
      </w:r>
      <w:r w:rsidR="00007917">
        <w:fldChar w:fldCharType="end"/>
      </w:r>
      <w:r w:rsidR="00007917">
        <w:t xml:space="preserve"> of this </w:t>
      </w:r>
      <w:proofErr w:type="spellStart"/>
      <w:r w:rsidR="00007917">
        <w:t>RIS</w:t>
      </w:r>
      <w:proofErr w:type="spellEnd"/>
      <w:r>
        <w:t>.</w:t>
      </w:r>
    </w:p>
    <w:p w:rsidR="00215D42" w:rsidRPr="004342F0" w:rsidRDefault="00007917" w:rsidP="000A3815">
      <w:pPr>
        <w:pStyle w:val="spacer"/>
        <w:tabs>
          <w:tab w:val="left" w:pos="3570"/>
        </w:tabs>
        <w:rPr>
          <w:lang w:val="en-AU"/>
        </w:rPr>
      </w:pPr>
      <w:r>
        <w:rPr>
          <w:lang w:val="en-AU"/>
        </w:rPr>
        <w:tab/>
      </w:r>
    </w:p>
    <w:sectPr w:rsidR="00215D42" w:rsidRPr="004342F0" w:rsidSect="00371772">
      <w:footerReference w:type="even" r:id="rId11"/>
      <w:footerReference w:type="default" r:id="rId12"/>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72" w:rsidRDefault="00371772" w:rsidP="004601ED">
      <w:r>
        <w:separator/>
      </w:r>
    </w:p>
  </w:endnote>
  <w:endnote w:type="continuationSeparator" w:id="0">
    <w:p w:rsidR="00371772" w:rsidRDefault="00371772" w:rsidP="0046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72" w:rsidRDefault="00371772" w:rsidP="004601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1772" w:rsidRPr="00281580" w:rsidRDefault="00371772" w:rsidP="004601ED">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72" w:rsidRPr="00594805" w:rsidRDefault="00371772" w:rsidP="004601ED">
    <w:pPr>
      <w:pStyle w:val="Footer"/>
      <w:rPr>
        <w:rStyle w:val="PageNumber"/>
        <w:color w:val="auto"/>
        <w:sz w:val="20"/>
        <w:szCs w:val="20"/>
      </w:rPr>
    </w:pPr>
    <w:r w:rsidRPr="00594805">
      <w:rPr>
        <w:rStyle w:val="PageNumber"/>
        <w:color w:val="auto"/>
        <w:sz w:val="20"/>
        <w:szCs w:val="20"/>
      </w:rPr>
      <w:fldChar w:fldCharType="begin"/>
    </w:r>
    <w:r w:rsidRPr="00594805">
      <w:rPr>
        <w:rStyle w:val="PageNumber"/>
        <w:color w:val="auto"/>
        <w:sz w:val="20"/>
        <w:szCs w:val="20"/>
      </w:rPr>
      <w:instrText xml:space="preserve">PAGE  </w:instrText>
    </w:r>
    <w:r w:rsidRPr="00594805">
      <w:rPr>
        <w:rStyle w:val="PageNumber"/>
        <w:color w:val="auto"/>
        <w:sz w:val="20"/>
        <w:szCs w:val="20"/>
      </w:rPr>
      <w:fldChar w:fldCharType="separate"/>
    </w:r>
    <w:r w:rsidR="00832761">
      <w:rPr>
        <w:rStyle w:val="PageNumber"/>
        <w:color w:val="auto"/>
        <w:sz w:val="20"/>
        <w:szCs w:val="20"/>
      </w:rPr>
      <w:t>12</w:t>
    </w:r>
    <w:r w:rsidRPr="00594805">
      <w:rPr>
        <w:rStyle w:val="PageNumber"/>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72" w:rsidRDefault="00371772" w:rsidP="004601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1772" w:rsidRPr="00281580" w:rsidRDefault="00371772" w:rsidP="004601ED">
    <w:pPr>
      <w:pStyle w:val="EvenFooter"/>
      <w:rPr>
        <w:caps/>
      </w:rPr>
    </w:pPr>
    <w:r w:rsidRPr="00281580">
      <w:t xml:space="preserve">   |   </w:t>
    </w:r>
    <w:r>
      <w:t>Regulatory Impact Statement - Template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72" w:rsidRPr="00594805" w:rsidRDefault="00371772" w:rsidP="004601ED">
    <w:pPr>
      <w:pStyle w:val="Footer"/>
      <w:rPr>
        <w:rStyle w:val="PageNumber"/>
        <w:color w:val="auto"/>
        <w:sz w:val="20"/>
        <w:szCs w:val="20"/>
      </w:rPr>
    </w:pPr>
    <w:r w:rsidRPr="00594805">
      <w:rPr>
        <w:rStyle w:val="PageNumber"/>
        <w:color w:val="auto"/>
        <w:sz w:val="20"/>
        <w:szCs w:val="20"/>
      </w:rPr>
      <w:fldChar w:fldCharType="begin"/>
    </w:r>
    <w:r w:rsidRPr="00594805">
      <w:rPr>
        <w:rStyle w:val="PageNumber"/>
        <w:color w:val="auto"/>
        <w:sz w:val="20"/>
        <w:szCs w:val="20"/>
      </w:rPr>
      <w:instrText xml:space="preserve">PAGE  </w:instrText>
    </w:r>
    <w:r w:rsidRPr="00594805">
      <w:rPr>
        <w:rStyle w:val="PageNumber"/>
        <w:color w:val="auto"/>
        <w:sz w:val="20"/>
        <w:szCs w:val="20"/>
      </w:rPr>
      <w:fldChar w:fldCharType="separate"/>
    </w:r>
    <w:r w:rsidR="00832761">
      <w:rPr>
        <w:rStyle w:val="PageNumber"/>
        <w:color w:val="auto"/>
        <w:sz w:val="20"/>
        <w:szCs w:val="20"/>
      </w:rPr>
      <w:t>17</w:t>
    </w:r>
    <w:r w:rsidRPr="00594805">
      <w:rPr>
        <w:rStyle w:val="PageNumber"/>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72" w:rsidRDefault="00371772" w:rsidP="004601ED">
      <w:r>
        <w:separator/>
      </w:r>
    </w:p>
  </w:footnote>
  <w:footnote w:type="continuationSeparator" w:id="0">
    <w:p w:rsidR="00371772" w:rsidRDefault="00371772" w:rsidP="00460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4CE"/>
    <w:multiLevelType w:val="hybridMultilevel"/>
    <w:tmpl w:val="E236BCCC"/>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B0E4B25"/>
    <w:multiLevelType w:val="hybridMultilevel"/>
    <w:tmpl w:val="AB08FCD8"/>
    <w:lvl w:ilvl="0" w:tplc="179C257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D1581D"/>
    <w:multiLevelType w:val="hybridMultilevel"/>
    <w:tmpl w:val="0EF056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09A2127"/>
    <w:multiLevelType w:val="hybridMultilevel"/>
    <w:tmpl w:val="1C900EAC"/>
    <w:lvl w:ilvl="0" w:tplc="21B8F576">
      <w:start w:val="1"/>
      <w:numFmt w:val="bullet"/>
      <w:pStyle w:val="RIS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DB42F9"/>
    <w:multiLevelType w:val="hybridMultilevel"/>
    <w:tmpl w:val="F7702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3985CD0"/>
    <w:multiLevelType w:val="hybridMultilevel"/>
    <w:tmpl w:val="B53C4DC4"/>
    <w:lvl w:ilvl="0" w:tplc="14090001">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670033C"/>
    <w:multiLevelType w:val="hybridMultilevel"/>
    <w:tmpl w:val="DA963136"/>
    <w:lvl w:ilvl="0" w:tplc="14090019">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3E14D9F2">
      <w:numFmt w:val="bullet"/>
      <w:lvlText w:val="•"/>
      <w:lvlJc w:val="left"/>
      <w:pPr>
        <w:ind w:left="2550" w:hanging="570"/>
      </w:pPr>
      <w:rPr>
        <w:rFonts w:ascii="Arial" w:eastAsia="Times New Roman"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D434A18"/>
    <w:multiLevelType w:val="hybridMultilevel"/>
    <w:tmpl w:val="88C694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5DF1E6E"/>
    <w:multiLevelType w:val="multilevel"/>
    <w:tmpl w:val="51DE21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8A9143D"/>
    <w:multiLevelType w:val="multilevel"/>
    <w:tmpl w:val="51DE21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1716C4"/>
    <w:multiLevelType w:val="hybridMultilevel"/>
    <w:tmpl w:val="0AE657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nsid w:val="334B0B18"/>
    <w:multiLevelType w:val="hybridMultilevel"/>
    <w:tmpl w:val="830263E4"/>
    <w:lvl w:ilvl="0" w:tplc="14090019">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3A62A61"/>
    <w:multiLevelType w:val="hybridMultilevel"/>
    <w:tmpl w:val="1996F11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D121B18"/>
    <w:multiLevelType w:val="hybridMultilevel"/>
    <w:tmpl w:val="517203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E825362"/>
    <w:multiLevelType w:val="hybridMultilevel"/>
    <w:tmpl w:val="2E748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1291285"/>
    <w:multiLevelType w:val="hybridMultilevel"/>
    <w:tmpl w:val="B47A38A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1E5017"/>
    <w:multiLevelType w:val="hybridMultilevel"/>
    <w:tmpl w:val="76668DC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0">
    <w:nsid w:val="470F4EA5"/>
    <w:multiLevelType w:val="hybridMultilevel"/>
    <w:tmpl w:val="8D1835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3159F2"/>
    <w:multiLevelType w:val="hybridMultilevel"/>
    <w:tmpl w:val="D70A5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77F5F04"/>
    <w:multiLevelType w:val="hybridMultilevel"/>
    <w:tmpl w:val="E5F0C1D8"/>
    <w:lvl w:ilvl="0" w:tplc="EED4E58C">
      <w:start w:val="1"/>
      <w:numFmt w:val="decimal"/>
      <w:lvlText w:val="%1."/>
      <w:lvlJc w:val="left"/>
      <w:pPr>
        <w:tabs>
          <w:tab w:val="num" w:pos="720"/>
        </w:tabs>
        <w:ind w:left="720" w:hanging="360"/>
      </w:pPr>
      <w:rPr>
        <w:b w:val="0"/>
      </w:rPr>
    </w:lvl>
    <w:lvl w:ilvl="1" w:tplc="14090019">
      <w:start w:val="1"/>
      <w:numFmt w:val="lowerLetter"/>
      <w:lvlText w:val="%2."/>
      <w:lvlJc w:val="left"/>
      <w:pPr>
        <w:tabs>
          <w:tab w:val="num" w:pos="1440"/>
        </w:tabs>
        <w:ind w:left="1440" w:hanging="360"/>
      </w:pPr>
      <w:rPr>
        <w:b w:val="0"/>
      </w:rPr>
    </w:lvl>
    <w:lvl w:ilvl="2" w:tplc="3E14D9F2">
      <w:numFmt w:val="bullet"/>
      <w:lvlText w:val="•"/>
      <w:lvlJc w:val="left"/>
      <w:pPr>
        <w:ind w:left="2550" w:hanging="570"/>
      </w:pPr>
      <w:rPr>
        <w:rFonts w:ascii="Arial" w:eastAsia="Times New Roman"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A717AA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A9F6046"/>
    <w:multiLevelType w:val="hybridMultilevel"/>
    <w:tmpl w:val="E382A81A"/>
    <w:lvl w:ilvl="0" w:tplc="6078354A">
      <w:start w:val="1"/>
      <w:numFmt w:val="lowerLetter"/>
      <w:pStyle w:val="RISsub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2FA6669"/>
    <w:multiLevelType w:val="hybridMultilevel"/>
    <w:tmpl w:val="3C7CDC9A"/>
    <w:lvl w:ilvl="0" w:tplc="179C2570">
      <w:numFmt w:val="bullet"/>
      <w:lvlText w:val="•"/>
      <w:lvlJc w:val="left"/>
      <w:pPr>
        <w:ind w:left="1440" w:hanging="360"/>
      </w:pPr>
      <w:rPr>
        <w:rFonts w:ascii="Times New Roman" w:eastAsia="Times New Roma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6A96527F"/>
    <w:multiLevelType w:val="hybridMultilevel"/>
    <w:tmpl w:val="F5A8CD86"/>
    <w:lvl w:ilvl="0" w:tplc="47B09832">
      <w:start w:val="1"/>
      <w:numFmt w:val="decimal"/>
      <w:pStyle w:val="RISnumberlist"/>
      <w:lvlText w:val="%1."/>
      <w:lvlJc w:val="left"/>
      <w:pPr>
        <w:ind w:left="1778"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6F4F09F3"/>
    <w:multiLevelType w:val="hybridMultilevel"/>
    <w:tmpl w:val="B270FA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06D425F"/>
    <w:multiLevelType w:val="hybridMultilevel"/>
    <w:tmpl w:val="DBC0DD1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nsid w:val="74901AE2"/>
    <w:multiLevelType w:val="hybridMultilevel"/>
    <w:tmpl w:val="EBB298BC"/>
    <w:lvl w:ilvl="0" w:tplc="179C2570">
      <w:numFmt w:val="bullet"/>
      <w:lvlText w:val="•"/>
      <w:lvlJc w:val="left"/>
      <w:pPr>
        <w:ind w:left="780" w:hanging="360"/>
      </w:pPr>
      <w:rPr>
        <w:rFonts w:ascii="Times New Roman" w:eastAsia="Times New Roman" w:hAnsi="Times New Roman" w:cs="Times New Roman"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1">
    <w:nsid w:val="758B387C"/>
    <w:multiLevelType w:val="hybridMultilevel"/>
    <w:tmpl w:val="6EEE00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5D948DE"/>
    <w:multiLevelType w:val="hybridMultilevel"/>
    <w:tmpl w:val="6EB0D37E"/>
    <w:lvl w:ilvl="0" w:tplc="14090001">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3E14D9F2">
      <w:numFmt w:val="bullet"/>
      <w:lvlText w:val="•"/>
      <w:lvlJc w:val="left"/>
      <w:pPr>
        <w:ind w:left="2550" w:hanging="570"/>
      </w:pPr>
      <w:rPr>
        <w:rFonts w:ascii="Arial" w:eastAsia="Times New Roman"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6375E2E"/>
    <w:multiLevelType w:val="hybridMultilevel"/>
    <w:tmpl w:val="BE1027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F066A36"/>
    <w:multiLevelType w:val="hybridMultilevel"/>
    <w:tmpl w:val="0E7C1EDE"/>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abstractNumId w:val="15"/>
  </w:num>
  <w:num w:numId="2">
    <w:abstractNumId w:val="12"/>
  </w:num>
  <w:num w:numId="3">
    <w:abstractNumId w:val="7"/>
  </w:num>
  <w:num w:numId="4">
    <w:abstractNumId w:val="1"/>
  </w:num>
  <w:num w:numId="5">
    <w:abstractNumId w:val="21"/>
  </w:num>
  <w:num w:numId="6">
    <w:abstractNumId w:val="34"/>
  </w:num>
  <w:num w:numId="7">
    <w:abstractNumId w:val="28"/>
  </w:num>
  <w:num w:numId="8">
    <w:abstractNumId w:val="29"/>
  </w:num>
  <w:num w:numId="9">
    <w:abstractNumId w:val="2"/>
  </w:num>
  <w:num w:numId="10">
    <w:abstractNumId w:val="30"/>
  </w:num>
  <w:num w:numId="11">
    <w:abstractNumId w:val="0"/>
  </w:num>
  <w:num w:numId="12">
    <w:abstractNumId w:val="3"/>
  </w:num>
  <w:num w:numId="13">
    <w:abstractNumId w:val="22"/>
  </w:num>
  <w:num w:numId="14">
    <w:abstractNumId w:val="33"/>
  </w:num>
  <w:num w:numId="15">
    <w:abstractNumId w:val="26"/>
  </w:num>
  <w:num w:numId="16">
    <w:abstractNumId w:val="4"/>
  </w:num>
  <w:num w:numId="17">
    <w:abstractNumId w:val="18"/>
  </w:num>
  <w:num w:numId="18">
    <w:abstractNumId w:val="20"/>
  </w:num>
  <w:num w:numId="19">
    <w:abstractNumId w:val="6"/>
  </w:num>
  <w:num w:numId="20">
    <w:abstractNumId w:val="19"/>
  </w:num>
  <w:num w:numId="21">
    <w:abstractNumId w:val="5"/>
  </w:num>
  <w:num w:numId="22">
    <w:abstractNumId w:val="16"/>
  </w:num>
  <w:num w:numId="23">
    <w:abstractNumId w:val="17"/>
  </w:num>
  <w:num w:numId="24">
    <w:abstractNumId w:val="32"/>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num>
  <w:num w:numId="31">
    <w:abstractNumId w:val="7"/>
    <w:lvlOverride w:ilvl="0">
      <w:startOverride w:val="1"/>
    </w:lvlOverride>
  </w:num>
  <w:num w:numId="32">
    <w:abstractNumId w:val="8"/>
  </w:num>
  <w:num w:numId="33">
    <w:abstractNumId w:val="31"/>
  </w:num>
  <w:num w:numId="34">
    <w:abstractNumId w:val="24"/>
  </w:num>
  <w:num w:numId="35">
    <w:abstractNumId w:val="10"/>
  </w:num>
  <w:num w:numId="36">
    <w:abstractNumId w:val="9"/>
  </w:num>
  <w:num w:numId="37">
    <w:abstractNumId w:val="14"/>
  </w:num>
  <w:num w:numId="38">
    <w:abstractNumId w:val="23"/>
  </w:num>
  <w:num w:numId="39">
    <w:abstractNumId w:val="25"/>
  </w:num>
  <w:num w:numId="40">
    <w:abstractNumId w:val="11"/>
  </w:num>
  <w:num w:numId="41">
    <w:abstractNumId w:val="27"/>
  </w:num>
  <w:num w:numId="42">
    <w:abstractNumId w:val="13"/>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72"/>
    <w:rsid w:val="00001539"/>
    <w:rsid w:val="000017EF"/>
    <w:rsid w:val="00002433"/>
    <w:rsid w:val="000037F4"/>
    <w:rsid w:val="00004A8A"/>
    <w:rsid w:val="000050C8"/>
    <w:rsid w:val="00005DC9"/>
    <w:rsid w:val="00007917"/>
    <w:rsid w:val="000079E3"/>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26250"/>
    <w:rsid w:val="000271F9"/>
    <w:rsid w:val="00030890"/>
    <w:rsid w:val="00030DEA"/>
    <w:rsid w:val="00033124"/>
    <w:rsid w:val="00033950"/>
    <w:rsid w:val="00033B71"/>
    <w:rsid w:val="000343E7"/>
    <w:rsid w:val="00035185"/>
    <w:rsid w:val="00036A3D"/>
    <w:rsid w:val="00036EE4"/>
    <w:rsid w:val="00041469"/>
    <w:rsid w:val="00041B31"/>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7AD"/>
    <w:rsid w:val="00056E3D"/>
    <w:rsid w:val="00056F77"/>
    <w:rsid w:val="0005761E"/>
    <w:rsid w:val="00057AC4"/>
    <w:rsid w:val="000606D4"/>
    <w:rsid w:val="00060712"/>
    <w:rsid w:val="00060AAB"/>
    <w:rsid w:val="00060CD3"/>
    <w:rsid w:val="0006203F"/>
    <w:rsid w:val="00062FB9"/>
    <w:rsid w:val="000655B2"/>
    <w:rsid w:val="00067AA9"/>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459"/>
    <w:rsid w:val="00086898"/>
    <w:rsid w:val="0008712F"/>
    <w:rsid w:val="00087C41"/>
    <w:rsid w:val="000903C7"/>
    <w:rsid w:val="00090DBB"/>
    <w:rsid w:val="0009271E"/>
    <w:rsid w:val="00095122"/>
    <w:rsid w:val="00095446"/>
    <w:rsid w:val="00096203"/>
    <w:rsid w:val="00096BFA"/>
    <w:rsid w:val="000A073E"/>
    <w:rsid w:val="000A17A8"/>
    <w:rsid w:val="000A20D1"/>
    <w:rsid w:val="000A2CB9"/>
    <w:rsid w:val="000A32A6"/>
    <w:rsid w:val="000A3815"/>
    <w:rsid w:val="000A39F4"/>
    <w:rsid w:val="000A43F8"/>
    <w:rsid w:val="000A4419"/>
    <w:rsid w:val="000A5028"/>
    <w:rsid w:val="000B005C"/>
    <w:rsid w:val="000B01CC"/>
    <w:rsid w:val="000B0480"/>
    <w:rsid w:val="000B0615"/>
    <w:rsid w:val="000B0C12"/>
    <w:rsid w:val="000B0D42"/>
    <w:rsid w:val="000B16BF"/>
    <w:rsid w:val="000B2052"/>
    <w:rsid w:val="000B49DB"/>
    <w:rsid w:val="000B4DDA"/>
    <w:rsid w:val="000B5B1E"/>
    <w:rsid w:val="000B7529"/>
    <w:rsid w:val="000C0912"/>
    <w:rsid w:val="000C1F61"/>
    <w:rsid w:val="000C2669"/>
    <w:rsid w:val="000C26E9"/>
    <w:rsid w:val="000C3EB5"/>
    <w:rsid w:val="000C43B6"/>
    <w:rsid w:val="000C595E"/>
    <w:rsid w:val="000C684B"/>
    <w:rsid w:val="000C6EED"/>
    <w:rsid w:val="000C79FD"/>
    <w:rsid w:val="000D012A"/>
    <w:rsid w:val="000D0FA0"/>
    <w:rsid w:val="000D2A6B"/>
    <w:rsid w:val="000D31FE"/>
    <w:rsid w:val="000D5E01"/>
    <w:rsid w:val="000D6393"/>
    <w:rsid w:val="000D670A"/>
    <w:rsid w:val="000D6934"/>
    <w:rsid w:val="000D6B00"/>
    <w:rsid w:val="000D7022"/>
    <w:rsid w:val="000D77C0"/>
    <w:rsid w:val="000D7C12"/>
    <w:rsid w:val="000E0036"/>
    <w:rsid w:val="000E2A14"/>
    <w:rsid w:val="000E2E4F"/>
    <w:rsid w:val="000E310A"/>
    <w:rsid w:val="000E3979"/>
    <w:rsid w:val="000E3CE1"/>
    <w:rsid w:val="000E73FF"/>
    <w:rsid w:val="000E7C1C"/>
    <w:rsid w:val="000F03B0"/>
    <w:rsid w:val="000F162C"/>
    <w:rsid w:val="000F1E7F"/>
    <w:rsid w:val="000F3333"/>
    <w:rsid w:val="000F6F99"/>
    <w:rsid w:val="000F7020"/>
    <w:rsid w:val="00101A24"/>
    <w:rsid w:val="00111F23"/>
    <w:rsid w:val="00113146"/>
    <w:rsid w:val="00114F56"/>
    <w:rsid w:val="001158BA"/>
    <w:rsid w:val="00116006"/>
    <w:rsid w:val="00116B51"/>
    <w:rsid w:val="00122072"/>
    <w:rsid w:val="0012410B"/>
    <w:rsid w:val="00125429"/>
    <w:rsid w:val="00125812"/>
    <w:rsid w:val="00125ADD"/>
    <w:rsid w:val="00126CD1"/>
    <w:rsid w:val="00127757"/>
    <w:rsid w:val="00130937"/>
    <w:rsid w:val="00130E8F"/>
    <w:rsid w:val="001336E3"/>
    <w:rsid w:val="001339BB"/>
    <w:rsid w:val="00136EED"/>
    <w:rsid w:val="00141B20"/>
    <w:rsid w:val="00141D39"/>
    <w:rsid w:val="00142051"/>
    <w:rsid w:val="00142B27"/>
    <w:rsid w:val="00143437"/>
    <w:rsid w:val="001437AB"/>
    <w:rsid w:val="00144369"/>
    <w:rsid w:val="00144ADC"/>
    <w:rsid w:val="00144BBB"/>
    <w:rsid w:val="00146FC1"/>
    <w:rsid w:val="00150932"/>
    <w:rsid w:val="00152D49"/>
    <w:rsid w:val="00157E18"/>
    <w:rsid w:val="00161022"/>
    <w:rsid w:val="00161358"/>
    <w:rsid w:val="001620EB"/>
    <w:rsid w:val="00162B14"/>
    <w:rsid w:val="0016538E"/>
    <w:rsid w:val="00166A7A"/>
    <w:rsid w:val="00166C49"/>
    <w:rsid w:val="001674EB"/>
    <w:rsid w:val="00167EE1"/>
    <w:rsid w:val="001705C4"/>
    <w:rsid w:val="001709A5"/>
    <w:rsid w:val="00171281"/>
    <w:rsid w:val="001712D6"/>
    <w:rsid w:val="00171E42"/>
    <w:rsid w:val="001726B0"/>
    <w:rsid w:val="00174E82"/>
    <w:rsid w:val="00175644"/>
    <w:rsid w:val="001767C7"/>
    <w:rsid w:val="001800AF"/>
    <w:rsid w:val="00180A3B"/>
    <w:rsid w:val="00180BD5"/>
    <w:rsid w:val="00180D17"/>
    <w:rsid w:val="00181106"/>
    <w:rsid w:val="00183D99"/>
    <w:rsid w:val="00183EB1"/>
    <w:rsid w:val="00184219"/>
    <w:rsid w:val="00185884"/>
    <w:rsid w:val="00187416"/>
    <w:rsid w:val="00187D8B"/>
    <w:rsid w:val="001901C1"/>
    <w:rsid w:val="00190331"/>
    <w:rsid w:val="00190AA8"/>
    <w:rsid w:val="0019141D"/>
    <w:rsid w:val="0019152F"/>
    <w:rsid w:val="00191B67"/>
    <w:rsid w:val="00191EEC"/>
    <w:rsid w:val="00193072"/>
    <w:rsid w:val="001933A5"/>
    <w:rsid w:val="00193EBC"/>
    <w:rsid w:val="00194873"/>
    <w:rsid w:val="00194B8A"/>
    <w:rsid w:val="00194CF9"/>
    <w:rsid w:val="00197273"/>
    <w:rsid w:val="001A13C8"/>
    <w:rsid w:val="001A1C61"/>
    <w:rsid w:val="001A1DFB"/>
    <w:rsid w:val="001A4D80"/>
    <w:rsid w:val="001A5694"/>
    <w:rsid w:val="001A5BEE"/>
    <w:rsid w:val="001B0726"/>
    <w:rsid w:val="001B0A7A"/>
    <w:rsid w:val="001B0DF0"/>
    <w:rsid w:val="001B1A87"/>
    <w:rsid w:val="001B1BDF"/>
    <w:rsid w:val="001B24D5"/>
    <w:rsid w:val="001B2869"/>
    <w:rsid w:val="001B3F6D"/>
    <w:rsid w:val="001B3F81"/>
    <w:rsid w:val="001B4E6C"/>
    <w:rsid w:val="001B54FC"/>
    <w:rsid w:val="001B6A4D"/>
    <w:rsid w:val="001B7122"/>
    <w:rsid w:val="001C0CF6"/>
    <w:rsid w:val="001C2214"/>
    <w:rsid w:val="001C2524"/>
    <w:rsid w:val="001C2D88"/>
    <w:rsid w:val="001C41C2"/>
    <w:rsid w:val="001C6912"/>
    <w:rsid w:val="001D0A46"/>
    <w:rsid w:val="001D22ED"/>
    <w:rsid w:val="001D28E7"/>
    <w:rsid w:val="001D3440"/>
    <w:rsid w:val="001D37FB"/>
    <w:rsid w:val="001D4D62"/>
    <w:rsid w:val="001D53A8"/>
    <w:rsid w:val="001D5C03"/>
    <w:rsid w:val="001D7325"/>
    <w:rsid w:val="001E12C8"/>
    <w:rsid w:val="001E1A8F"/>
    <w:rsid w:val="001E6AFE"/>
    <w:rsid w:val="001E7D58"/>
    <w:rsid w:val="001F0773"/>
    <w:rsid w:val="001F0DD3"/>
    <w:rsid w:val="001F1711"/>
    <w:rsid w:val="001F1A2D"/>
    <w:rsid w:val="001F21CB"/>
    <w:rsid w:val="001F398A"/>
    <w:rsid w:val="001F6750"/>
    <w:rsid w:val="001F6E89"/>
    <w:rsid w:val="00200311"/>
    <w:rsid w:val="002008D1"/>
    <w:rsid w:val="002010B0"/>
    <w:rsid w:val="00201E93"/>
    <w:rsid w:val="00202E20"/>
    <w:rsid w:val="002036AA"/>
    <w:rsid w:val="00203789"/>
    <w:rsid w:val="00204A66"/>
    <w:rsid w:val="00205334"/>
    <w:rsid w:val="0021127C"/>
    <w:rsid w:val="00211B9D"/>
    <w:rsid w:val="00213B41"/>
    <w:rsid w:val="00215C2F"/>
    <w:rsid w:val="00215D42"/>
    <w:rsid w:val="00216DB5"/>
    <w:rsid w:val="00216F08"/>
    <w:rsid w:val="00217A19"/>
    <w:rsid w:val="00220ABB"/>
    <w:rsid w:val="00222CA5"/>
    <w:rsid w:val="00223298"/>
    <w:rsid w:val="00224A1F"/>
    <w:rsid w:val="00224BD6"/>
    <w:rsid w:val="002253E9"/>
    <w:rsid w:val="0022569B"/>
    <w:rsid w:val="002258FC"/>
    <w:rsid w:val="00226226"/>
    <w:rsid w:val="00227D78"/>
    <w:rsid w:val="00227FE4"/>
    <w:rsid w:val="002317B4"/>
    <w:rsid w:val="002331A0"/>
    <w:rsid w:val="00233DC9"/>
    <w:rsid w:val="0023447D"/>
    <w:rsid w:val="00234FC5"/>
    <w:rsid w:val="0023708B"/>
    <w:rsid w:val="00237318"/>
    <w:rsid w:val="00237FE9"/>
    <w:rsid w:val="0024128C"/>
    <w:rsid w:val="00243E7A"/>
    <w:rsid w:val="00245DA0"/>
    <w:rsid w:val="002463CC"/>
    <w:rsid w:val="00247ADA"/>
    <w:rsid w:val="00251406"/>
    <w:rsid w:val="002521A3"/>
    <w:rsid w:val="00257836"/>
    <w:rsid w:val="00260820"/>
    <w:rsid w:val="00264EEE"/>
    <w:rsid w:val="0026530E"/>
    <w:rsid w:val="00265DED"/>
    <w:rsid w:val="00265E6C"/>
    <w:rsid w:val="00266A30"/>
    <w:rsid w:val="0026794D"/>
    <w:rsid w:val="00267FAB"/>
    <w:rsid w:val="00270CAF"/>
    <w:rsid w:val="002712C8"/>
    <w:rsid w:val="002719ED"/>
    <w:rsid w:val="00271EB7"/>
    <w:rsid w:val="0027239E"/>
    <w:rsid w:val="0027260A"/>
    <w:rsid w:val="00272E82"/>
    <w:rsid w:val="00273D5C"/>
    <w:rsid w:val="00273ECF"/>
    <w:rsid w:val="00275209"/>
    <w:rsid w:val="0027527B"/>
    <w:rsid w:val="00275B26"/>
    <w:rsid w:val="0027706F"/>
    <w:rsid w:val="00281580"/>
    <w:rsid w:val="00282DD1"/>
    <w:rsid w:val="00283259"/>
    <w:rsid w:val="00283AFA"/>
    <w:rsid w:val="00283D22"/>
    <w:rsid w:val="00287942"/>
    <w:rsid w:val="00291DE3"/>
    <w:rsid w:val="00292783"/>
    <w:rsid w:val="0029399F"/>
    <w:rsid w:val="00293E21"/>
    <w:rsid w:val="00295264"/>
    <w:rsid w:val="00295DFA"/>
    <w:rsid w:val="00296404"/>
    <w:rsid w:val="0029649F"/>
    <w:rsid w:val="002A05D3"/>
    <w:rsid w:val="002A06C6"/>
    <w:rsid w:val="002A107A"/>
    <w:rsid w:val="002A535E"/>
    <w:rsid w:val="002A5881"/>
    <w:rsid w:val="002A5E7A"/>
    <w:rsid w:val="002B0025"/>
    <w:rsid w:val="002B0801"/>
    <w:rsid w:val="002B0A3F"/>
    <w:rsid w:val="002B5324"/>
    <w:rsid w:val="002B56E7"/>
    <w:rsid w:val="002B5823"/>
    <w:rsid w:val="002B68CF"/>
    <w:rsid w:val="002B6E6E"/>
    <w:rsid w:val="002B733A"/>
    <w:rsid w:val="002B7F4A"/>
    <w:rsid w:val="002C0074"/>
    <w:rsid w:val="002C097E"/>
    <w:rsid w:val="002C2315"/>
    <w:rsid w:val="002C301D"/>
    <w:rsid w:val="002C49E4"/>
    <w:rsid w:val="002C4A38"/>
    <w:rsid w:val="002C65B8"/>
    <w:rsid w:val="002C734D"/>
    <w:rsid w:val="002C744C"/>
    <w:rsid w:val="002D01BF"/>
    <w:rsid w:val="002D0FAA"/>
    <w:rsid w:val="002D3E81"/>
    <w:rsid w:val="002D4AC3"/>
    <w:rsid w:val="002D52A0"/>
    <w:rsid w:val="002D6691"/>
    <w:rsid w:val="002D6D5E"/>
    <w:rsid w:val="002E0169"/>
    <w:rsid w:val="002E062E"/>
    <w:rsid w:val="002E1226"/>
    <w:rsid w:val="002E1D30"/>
    <w:rsid w:val="002E2678"/>
    <w:rsid w:val="002E28C6"/>
    <w:rsid w:val="002E3C58"/>
    <w:rsid w:val="002E4DB3"/>
    <w:rsid w:val="002E515E"/>
    <w:rsid w:val="002E6D37"/>
    <w:rsid w:val="002E79A6"/>
    <w:rsid w:val="002F10BF"/>
    <w:rsid w:val="002F110D"/>
    <w:rsid w:val="002F32BD"/>
    <w:rsid w:val="002F4407"/>
    <w:rsid w:val="002F5A1A"/>
    <w:rsid w:val="002F6E67"/>
    <w:rsid w:val="002F71F1"/>
    <w:rsid w:val="002F7C03"/>
    <w:rsid w:val="0030111A"/>
    <w:rsid w:val="003020F3"/>
    <w:rsid w:val="003022D4"/>
    <w:rsid w:val="0030353A"/>
    <w:rsid w:val="003038AC"/>
    <w:rsid w:val="00305726"/>
    <w:rsid w:val="00306E9B"/>
    <w:rsid w:val="003076FA"/>
    <w:rsid w:val="00310D70"/>
    <w:rsid w:val="00311236"/>
    <w:rsid w:val="0031214B"/>
    <w:rsid w:val="00313F3E"/>
    <w:rsid w:val="00314A19"/>
    <w:rsid w:val="00315307"/>
    <w:rsid w:val="00315D17"/>
    <w:rsid w:val="00316B54"/>
    <w:rsid w:val="003176BB"/>
    <w:rsid w:val="00317E1A"/>
    <w:rsid w:val="00320A3C"/>
    <w:rsid w:val="00322E97"/>
    <w:rsid w:val="003232C2"/>
    <w:rsid w:val="003237B0"/>
    <w:rsid w:val="0032503F"/>
    <w:rsid w:val="003262CE"/>
    <w:rsid w:val="003264ED"/>
    <w:rsid w:val="00326B8D"/>
    <w:rsid w:val="003308B4"/>
    <w:rsid w:val="0033168D"/>
    <w:rsid w:val="00333209"/>
    <w:rsid w:val="00333CE9"/>
    <w:rsid w:val="00334403"/>
    <w:rsid w:val="00334A4E"/>
    <w:rsid w:val="003352EF"/>
    <w:rsid w:val="00340920"/>
    <w:rsid w:val="003418C0"/>
    <w:rsid w:val="003424A8"/>
    <w:rsid w:val="003425F7"/>
    <w:rsid w:val="0034294D"/>
    <w:rsid w:val="00343012"/>
    <w:rsid w:val="00343233"/>
    <w:rsid w:val="00343B25"/>
    <w:rsid w:val="003441E3"/>
    <w:rsid w:val="003445EA"/>
    <w:rsid w:val="00347113"/>
    <w:rsid w:val="00347DA2"/>
    <w:rsid w:val="00350175"/>
    <w:rsid w:val="00351EC0"/>
    <w:rsid w:val="00352990"/>
    <w:rsid w:val="00353113"/>
    <w:rsid w:val="00353518"/>
    <w:rsid w:val="003554EC"/>
    <w:rsid w:val="00355DAA"/>
    <w:rsid w:val="0035624C"/>
    <w:rsid w:val="00357921"/>
    <w:rsid w:val="00360045"/>
    <w:rsid w:val="003613F4"/>
    <w:rsid w:val="00361819"/>
    <w:rsid w:val="00361F3D"/>
    <w:rsid w:val="00362E2F"/>
    <w:rsid w:val="00362FE1"/>
    <w:rsid w:val="00363121"/>
    <w:rsid w:val="00363DCE"/>
    <w:rsid w:val="00365680"/>
    <w:rsid w:val="00366A1A"/>
    <w:rsid w:val="00367A31"/>
    <w:rsid w:val="00367B6E"/>
    <w:rsid w:val="00370B2E"/>
    <w:rsid w:val="00371772"/>
    <w:rsid w:val="00371FEF"/>
    <w:rsid w:val="00372D68"/>
    <w:rsid w:val="0037447C"/>
    <w:rsid w:val="0037458C"/>
    <w:rsid w:val="00374E9A"/>
    <w:rsid w:val="00375E7C"/>
    <w:rsid w:val="00375FFD"/>
    <w:rsid w:val="00381DB8"/>
    <w:rsid w:val="003826A0"/>
    <w:rsid w:val="00383462"/>
    <w:rsid w:val="00384B58"/>
    <w:rsid w:val="00385117"/>
    <w:rsid w:val="00385683"/>
    <w:rsid w:val="00385EC1"/>
    <w:rsid w:val="00386DD1"/>
    <w:rsid w:val="00387B90"/>
    <w:rsid w:val="00387CA4"/>
    <w:rsid w:val="00390504"/>
    <w:rsid w:val="00391389"/>
    <w:rsid w:val="00391E64"/>
    <w:rsid w:val="00395750"/>
    <w:rsid w:val="0039581F"/>
    <w:rsid w:val="00396861"/>
    <w:rsid w:val="0039783E"/>
    <w:rsid w:val="003A0009"/>
    <w:rsid w:val="003A0E47"/>
    <w:rsid w:val="003A1CE4"/>
    <w:rsid w:val="003A4360"/>
    <w:rsid w:val="003A68AA"/>
    <w:rsid w:val="003A7561"/>
    <w:rsid w:val="003A76E4"/>
    <w:rsid w:val="003B09F2"/>
    <w:rsid w:val="003B1384"/>
    <w:rsid w:val="003B35B8"/>
    <w:rsid w:val="003B3832"/>
    <w:rsid w:val="003B4A9D"/>
    <w:rsid w:val="003B4B13"/>
    <w:rsid w:val="003B4D2C"/>
    <w:rsid w:val="003B53A6"/>
    <w:rsid w:val="003B6B10"/>
    <w:rsid w:val="003B7F00"/>
    <w:rsid w:val="003C0785"/>
    <w:rsid w:val="003C1764"/>
    <w:rsid w:val="003C3AD0"/>
    <w:rsid w:val="003C722C"/>
    <w:rsid w:val="003C7985"/>
    <w:rsid w:val="003C7CAC"/>
    <w:rsid w:val="003C7E67"/>
    <w:rsid w:val="003D20ED"/>
    <w:rsid w:val="003D3690"/>
    <w:rsid w:val="003D446A"/>
    <w:rsid w:val="003D4ED7"/>
    <w:rsid w:val="003D6531"/>
    <w:rsid w:val="003D6C84"/>
    <w:rsid w:val="003E017A"/>
    <w:rsid w:val="003E0D19"/>
    <w:rsid w:val="003E1FAF"/>
    <w:rsid w:val="003E1FC1"/>
    <w:rsid w:val="003E20B9"/>
    <w:rsid w:val="003E2BB2"/>
    <w:rsid w:val="003E3836"/>
    <w:rsid w:val="003E39B9"/>
    <w:rsid w:val="003E4AC8"/>
    <w:rsid w:val="003E4BB4"/>
    <w:rsid w:val="003E5CC5"/>
    <w:rsid w:val="003E68B5"/>
    <w:rsid w:val="003F0A45"/>
    <w:rsid w:val="003F14AC"/>
    <w:rsid w:val="003F1D0D"/>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6227"/>
    <w:rsid w:val="004078FB"/>
    <w:rsid w:val="00407D3B"/>
    <w:rsid w:val="0041352D"/>
    <w:rsid w:val="0041363C"/>
    <w:rsid w:val="00414E9A"/>
    <w:rsid w:val="00415CC4"/>
    <w:rsid w:val="00415FD6"/>
    <w:rsid w:val="0041696F"/>
    <w:rsid w:val="00416B32"/>
    <w:rsid w:val="00420D4C"/>
    <w:rsid w:val="00421F69"/>
    <w:rsid w:val="00422B24"/>
    <w:rsid w:val="00423B79"/>
    <w:rsid w:val="004240D2"/>
    <w:rsid w:val="00424ADF"/>
    <w:rsid w:val="00425A59"/>
    <w:rsid w:val="004303B8"/>
    <w:rsid w:val="00431677"/>
    <w:rsid w:val="004321B9"/>
    <w:rsid w:val="00433183"/>
    <w:rsid w:val="00433AED"/>
    <w:rsid w:val="004342F0"/>
    <w:rsid w:val="004353DD"/>
    <w:rsid w:val="00435F4A"/>
    <w:rsid w:val="00437C49"/>
    <w:rsid w:val="0044117C"/>
    <w:rsid w:val="004418F2"/>
    <w:rsid w:val="00443662"/>
    <w:rsid w:val="00443DF2"/>
    <w:rsid w:val="00444AFC"/>
    <w:rsid w:val="00444E78"/>
    <w:rsid w:val="004455A5"/>
    <w:rsid w:val="00445911"/>
    <w:rsid w:val="00445F4D"/>
    <w:rsid w:val="00446050"/>
    <w:rsid w:val="00446FC1"/>
    <w:rsid w:val="00447C26"/>
    <w:rsid w:val="00447F1A"/>
    <w:rsid w:val="0045028F"/>
    <w:rsid w:val="0045085A"/>
    <w:rsid w:val="00450CBA"/>
    <w:rsid w:val="0045110A"/>
    <w:rsid w:val="00451822"/>
    <w:rsid w:val="00452DA2"/>
    <w:rsid w:val="004532A3"/>
    <w:rsid w:val="00455363"/>
    <w:rsid w:val="00456B8F"/>
    <w:rsid w:val="00457045"/>
    <w:rsid w:val="004574C4"/>
    <w:rsid w:val="00457A91"/>
    <w:rsid w:val="004601ED"/>
    <w:rsid w:val="004604E9"/>
    <w:rsid w:val="00460A55"/>
    <w:rsid w:val="004610FB"/>
    <w:rsid w:val="0046180A"/>
    <w:rsid w:val="00462BC6"/>
    <w:rsid w:val="00463FEB"/>
    <w:rsid w:val="004660F2"/>
    <w:rsid w:val="004704BA"/>
    <w:rsid w:val="00470C11"/>
    <w:rsid w:val="00471759"/>
    <w:rsid w:val="0047175C"/>
    <w:rsid w:val="004721E0"/>
    <w:rsid w:val="00472F9C"/>
    <w:rsid w:val="00473803"/>
    <w:rsid w:val="004755FE"/>
    <w:rsid w:val="004759BF"/>
    <w:rsid w:val="00476857"/>
    <w:rsid w:val="00476B4E"/>
    <w:rsid w:val="0047782F"/>
    <w:rsid w:val="004828C6"/>
    <w:rsid w:val="0048354C"/>
    <w:rsid w:val="004842E7"/>
    <w:rsid w:val="00484675"/>
    <w:rsid w:val="00484F33"/>
    <w:rsid w:val="004869CF"/>
    <w:rsid w:val="00487545"/>
    <w:rsid w:val="00487A4A"/>
    <w:rsid w:val="00490239"/>
    <w:rsid w:val="00490B1D"/>
    <w:rsid w:val="00491251"/>
    <w:rsid w:val="00491DC5"/>
    <w:rsid w:val="004929EC"/>
    <w:rsid w:val="004935F6"/>
    <w:rsid w:val="00493B10"/>
    <w:rsid w:val="00493F24"/>
    <w:rsid w:val="00495017"/>
    <w:rsid w:val="0049615F"/>
    <w:rsid w:val="004971EF"/>
    <w:rsid w:val="00497E1F"/>
    <w:rsid w:val="00497E35"/>
    <w:rsid w:val="004A2043"/>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3F7B"/>
    <w:rsid w:val="004C3FD4"/>
    <w:rsid w:val="004C4916"/>
    <w:rsid w:val="004C6A1A"/>
    <w:rsid w:val="004C7156"/>
    <w:rsid w:val="004C78C4"/>
    <w:rsid w:val="004D2B88"/>
    <w:rsid w:val="004D2EB8"/>
    <w:rsid w:val="004D3A3F"/>
    <w:rsid w:val="004D512D"/>
    <w:rsid w:val="004D58A1"/>
    <w:rsid w:val="004D5D38"/>
    <w:rsid w:val="004D5F74"/>
    <w:rsid w:val="004D6EAE"/>
    <w:rsid w:val="004D6ED4"/>
    <w:rsid w:val="004D7E3D"/>
    <w:rsid w:val="004E10E0"/>
    <w:rsid w:val="004E198A"/>
    <w:rsid w:val="004E2A32"/>
    <w:rsid w:val="004E3061"/>
    <w:rsid w:val="004E3F7E"/>
    <w:rsid w:val="004E67E6"/>
    <w:rsid w:val="004F0E40"/>
    <w:rsid w:val="004F19CD"/>
    <w:rsid w:val="004F1F6E"/>
    <w:rsid w:val="004F245D"/>
    <w:rsid w:val="004F3A01"/>
    <w:rsid w:val="004F5E93"/>
    <w:rsid w:val="004F603D"/>
    <w:rsid w:val="004F6545"/>
    <w:rsid w:val="004F6D32"/>
    <w:rsid w:val="004F6FC8"/>
    <w:rsid w:val="0050046F"/>
    <w:rsid w:val="00500EEF"/>
    <w:rsid w:val="005015CE"/>
    <w:rsid w:val="00501BD9"/>
    <w:rsid w:val="005041A7"/>
    <w:rsid w:val="00504E3C"/>
    <w:rsid w:val="0050620C"/>
    <w:rsid w:val="00506456"/>
    <w:rsid w:val="00506825"/>
    <w:rsid w:val="00506FA2"/>
    <w:rsid w:val="00507196"/>
    <w:rsid w:val="005103B1"/>
    <w:rsid w:val="00510B9A"/>
    <w:rsid w:val="00512D15"/>
    <w:rsid w:val="0051557C"/>
    <w:rsid w:val="00515680"/>
    <w:rsid w:val="00516A2D"/>
    <w:rsid w:val="005173F5"/>
    <w:rsid w:val="00517D7F"/>
    <w:rsid w:val="00517E7D"/>
    <w:rsid w:val="00520779"/>
    <w:rsid w:val="00521E8C"/>
    <w:rsid w:val="00523AAC"/>
    <w:rsid w:val="00523CF5"/>
    <w:rsid w:val="00524211"/>
    <w:rsid w:val="005246FD"/>
    <w:rsid w:val="0052588C"/>
    <w:rsid w:val="00525A4C"/>
    <w:rsid w:val="00525C51"/>
    <w:rsid w:val="005302DA"/>
    <w:rsid w:val="00530417"/>
    <w:rsid w:val="00530B0F"/>
    <w:rsid w:val="00531240"/>
    <w:rsid w:val="00532095"/>
    <w:rsid w:val="005321B7"/>
    <w:rsid w:val="005328C3"/>
    <w:rsid w:val="0053379A"/>
    <w:rsid w:val="005337D5"/>
    <w:rsid w:val="0053393B"/>
    <w:rsid w:val="0053679A"/>
    <w:rsid w:val="00536C66"/>
    <w:rsid w:val="005372E1"/>
    <w:rsid w:val="00537E35"/>
    <w:rsid w:val="0054067C"/>
    <w:rsid w:val="00541C62"/>
    <w:rsid w:val="005428A1"/>
    <w:rsid w:val="0054328F"/>
    <w:rsid w:val="005437B7"/>
    <w:rsid w:val="00543E03"/>
    <w:rsid w:val="00545F4F"/>
    <w:rsid w:val="00545F60"/>
    <w:rsid w:val="00547754"/>
    <w:rsid w:val="0054782B"/>
    <w:rsid w:val="0055051C"/>
    <w:rsid w:val="00550995"/>
    <w:rsid w:val="00550BD7"/>
    <w:rsid w:val="00550F30"/>
    <w:rsid w:val="005520E3"/>
    <w:rsid w:val="005536BC"/>
    <w:rsid w:val="00553CED"/>
    <w:rsid w:val="005544E5"/>
    <w:rsid w:val="00554B2A"/>
    <w:rsid w:val="00554B2F"/>
    <w:rsid w:val="00555872"/>
    <w:rsid w:val="00557118"/>
    <w:rsid w:val="00557B9E"/>
    <w:rsid w:val="00560CC0"/>
    <w:rsid w:val="005612C1"/>
    <w:rsid w:val="00562BC9"/>
    <w:rsid w:val="0056357E"/>
    <w:rsid w:val="00563B07"/>
    <w:rsid w:val="00564874"/>
    <w:rsid w:val="00566834"/>
    <w:rsid w:val="005668F0"/>
    <w:rsid w:val="005677E2"/>
    <w:rsid w:val="0056783D"/>
    <w:rsid w:val="0057019F"/>
    <w:rsid w:val="005704E5"/>
    <w:rsid w:val="00570549"/>
    <w:rsid w:val="0057101F"/>
    <w:rsid w:val="0057128D"/>
    <w:rsid w:val="00571731"/>
    <w:rsid w:val="00571A9D"/>
    <w:rsid w:val="00571BA5"/>
    <w:rsid w:val="00573B85"/>
    <w:rsid w:val="00574342"/>
    <w:rsid w:val="005754DE"/>
    <w:rsid w:val="0057593E"/>
    <w:rsid w:val="0057596D"/>
    <w:rsid w:val="00576798"/>
    <w:rsid w:val="00580450"/>
    <w:rsid w:val="00580CDE"/>
    <w:rsid w:val="00581009"/>
    <w:rsid w:val="005819B2"/>
    <w:rsid w:val="00582409"/>
    <w:rsid w:val="00582DC6"/>
    <w:rsid w:val="00583616"/>
    <w:rsid w:val="00583F9C"/>
    <w:rsid w:val="00585F5E"/>
    <w:rsid w:val="00586DC7"/>
    <w:rsid w:val="005876C4"/>
    <w:rsid w:val="00590BD9"/>
    <w:rsid w:val="00590D92"/>
    <w:rsid w:val="00591D93"/>
    <w:rsid w:val="00593561"/>
    <w:rsid w:val="00594805"/>
    <w:rsid w:val="00596392"/>
    <w:rsid w:val="00596EAD"/>
    <w:rsid w:val="00597DFE"/>
    <w:rsid w:val="00597FAF"/>
    <w:rsid w:val="005A13E7"/>
    <w:rsid w:val="005A196E"/>
    <w:rsid w:val="005A3D06"/>
    <w:rsid w:val="005A3DA9"/>
    <w:rsid w:val="005A571D"/>
    <w:rsid w:val="005A62E6"/>
    <w:rsid w:val="005A6CC1"/>
    <w:rsid w:val="005A6CCD"/>
    <w:rsid w:val="005A7107"/>
    <w:rsid w:val="005B174D"/>
    <w:rsid w:val="005B1762"/>
    <w:rsid w:val="005B29AF"/>
    <w:rsid w:val="005B39D2"/>
    <w:rsid w:val="005B3B36"/>
    <w:rsid w:val="005B545C"/>
    <w:rsid w:val="005B55F8"/>
    <w:rsid w:val="005B5924"/>
    <w:rsid w:val="005B639F"/>
    <w:rsid w:val="005B6561"/>
    <w:rsid w:val="005C0312"/>
    <w:rsid w:val="005C0453"/>
    <w:rsid w:val="005C21D1"/>
    <w:rsid w:val="005C24B6"/>
    <w:rsid w:val="005C29FA"/>
    <w:rsid w:val="005C363D"/>
    <w:rsid w:val="005C3E40"/>
    <w:rsid w:val="005C5F92"/>
    <w:rsid w:val="005C6EDB"/>
    <w:rsid w:val="005D0763"/>
    <w:rsid w:val="005D0FD8"/>
    <w:rsid w:val="005D2C1A"/>
    <w:rsid w:val="005D3DE0"/>
    <w:rsid w:val="005D4C84"/>
    <w:rsid w:val="005D57F3"/>
    <w:rsid w:val="005D67EA"/>
    <w:rsid w:val="005E0B96"/>
    <w:rsid w:val="005E366F"/>
    <w:rsid w:val="005E39C8"/>
    <w:rsid w:val="005E4156"/>
    <w:rsid w:val="005E41A9"/>
    <w:rsid w:val="005E6DB6"/>
    <w:rsid w:val="005E7559"/>
    <w:rsid w:val="005F2C40"/>
    <w:rsid w:val="005F4DCE"/>
    <w:rsid w:val="005F525F"/>
    <w:rsid w:val="005F5FC9"/>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972"/>
    <w:rsid w:val="006148F3"/>
    <w:rsid w:val="006148F7"/>
    <w:rsid w:val="00615615"/>
    <w:rsid w:val="006159F2"/>
    <w:rsid w:val="00615E70"/>
    <w:rsid w:val="006170F2"/>
    <w:rsid w:val="00617398"/>
    <w:rsid w:val="0061761D"/>
    <w:rsid w:val="006207E9"/>
    <w:rsid w:val="00621E70"/>
    <w:rsid w:val="00626B7E"/>
    <w:rsid w:val="0062784E"/>
    <w:rsid w:val="006313E1"/>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6922"/>
    <w:rsid w:val="0065713B"/>
    <w:rsid w:val="0065713C"/>
    <w:rsid w:val="0065773E"/>
    <w:rsid w:val="0066089F"/>
    <w:rsid w:val="00660B1F"/>
    <w:rsid w:val="00660C13"/>
    <w:rsid w:val="00662194"/>
    <w:rsid w:val="006637FA"/>
    <w:rsid w:val="00663B17"/>
    <w:rsid w:val="00664149"/>
    <w:rsid w:val="00666A40"/>
    <w:rsid w:val="00671424"/>
    <w:rsid w:val="006755C1"/>
    <w:rsid w:val="00675A28"/>
    <w:rsid w:val="00675E73"/>
    <w:rsid w:val="00676159"/>
    <w:rsid w:val="006772A7"/>
    <w:rsid w:val="006772CA"/>
    <w:rsid w:val="00677EE9"/>
    <w:rsid w:val="006801E4"/>
    <w:rsid w:val="006804CF"/>
    <w:rsid w:val="006822DA"/>
    <w:rsid w:val="00682473"/>
    <w:rsid w:val="006829A8"/>
    <w:rsid w:val="00682FBC"/>
    <w:rsid w:val="00683A57"/>
    <w:rsid w:val="0068449E"/>
    <w:rsid w:val="00684A4C"/>
    <w:rsid w:val="006873EA"/>
    <w:rsid w:val="00692162"/>
    <w:rsid w:val="00693024"/>
    <w:rsid w:val="00694ABE"/>
    <w:rsid w:val="00694E49"/>
    <w:rsid w:val="006A0E74"/>
    <w:rsid w:val="006A0FE1"/>
    <w:rsid w:val="006A218F"/>
    <w:rsid w:val="006A370C"/>
    <w:rsid w:val="006A3F76"/>
    <w:rsid w:val="006A4054"/>
    <w:rsid w:val="006A40A1"/>
    <w:rsid w:val="006A5C00"/>
    <w:rsid w:val="006A6165"/>
    <w:rsid w:val="006A6392"/>
    <w:rsid w:val="006A6817"/>
    <w:rsid w:val="006A7331"/>
    <w:rsid w:val="006A7E28"/>
    <w:rsid w:val="006B2116"/>
    <w:rsid w:val="006B2982"/>
    <w:rsid w:val="006B35BE"/>
    <w:rsid w:val="006B5480"/>
    <w:rsid w:val="006C0A4C"/>
    <w:rsid w:val="006C17D8"/>
    <w:rsid w:val="006C1B43"/>
    <w:rsid w:val="006C1D7C"/>
    <w:rsid w:val="006C3765"/>
    <w:rsid w:val="006C39BF"/>
    <w:rsid w:val="006C4775"/>
    <w:rsid w:val="006C6FA2"/>
    <w:rsid w:val="006C7000"/>
    <w:rsid w:val="006C7763"/>
    <w:rsid w:val="006C7B32"/>
    <w:rsid w:val="006D012B"/>
    <w:rsid w:val="006D12A7"/>
    <w:rsid w:val="006D2BD5"/>
    <w:rsid w:val="006D3ECE"/>
    <w:rsid w:val="006D4BCD"/>
    <w:rsid w:val="006D4E45"/>
    <w:rsid w:val="006D5350"/>
    <w:rsid w:val="006E0317"/>
    <w:rsid w:val="006E0511"/>
    <w:rsid w:val="006E12C1"/>
    <w:rsid w:val="006E457B"/>
    <w:rsid w:val="006E5580"/>
    <w:rsid w:val="006E607F"/>
    <w:rsid w:val="006E729A"/>
    <w:rsid w:val="006E7DC2"/>
    <w:rsid w:val="006F0D73"/>
    <w:rsid w:val="006F1342"/>
    <w:rsid w:val="006F2065"/>
    <w:rsid w:val="006F3D80"/>
    <w:rsid w:val="006F3EF5"/>
    <w:rsid w:val="006F49F0"/>
    <w:rsid w:val="006F541E"/>
    <w:rsid w:val="0070184A"/>
    <w:rsid w:val="00702E8D"/>
    <w:rsid w:val="0070360B"/>
    <w:rsid w:val="00704726"/>
    <w:rsid w:val="007053E7"/>
    <w:rsid w:val="0070569D"/>
    <w:rsid w:val="00705884"/>
    <w:rsid w:val="00705BD1"/>
    <w:rsid w:val="0070613B"/>
    <w:rsid w:val="007063F2"/>
    <w:rsid w:val="00706E77"/>
    <w:rsid w:val="007075B8"/>
    <w:rsid w:val="00707B2E"/>
    <w:rsid w:val="00710B00"/>
    <w:rsid w:val="00711471"/>
    <w:rsid w:val="00712398"/>
    <w:rsid w:val="00716539"/>
    <w:rsid w:val="00716DEA"/>
    <w:rsid w:val="0072105B"/>
    <w:rsid w:val="00721A30"/>
    <w:rsid w:val="0072284E"/>
    <w:rsid w:val="00723508"/>
    <w:rsid w:val="00724677"/>
    <w:rsid w:val="00725215"/>
    <w:rsid w:val="0072681E"/>
    <w:rsid w:val="0073286C"/>
    <w:rsid w:val="007328CC"/>
    <w:rsid w:val="007330DF"/>
    <w:rsid w:val="00733260"/>
    <w:rsid w:val="007334F5"/>
    <w:rsid w:val="00733C50"/>
    <w:rsid w:val="0073454C"/>
    <w:rsid w:val="00735070"/>
    <w:rsid w:val="00735AD3"/>
    <w:rsid w:val="007364DA"/>
    <w:rsid w:val="007378E8"/>
    <w:rsid w:val="00737B05"/>
    <w:rsid w:val="007409D2"/>
    <w:rsid w:val="00741A1D"/>
    <w:rsid w:val="00742222"/>
    <w:rsid w:val="007427D6"/>
    <w:rsid w:val="00743EA9"/>
    <w:rsid w:val="00744BE1"/>
    <w:rsid w:val="0074529C"/>
    <w:rsid w:val="00747ECC"/>
    <w:rsid w:val="00750BF8"/>
    <w:rsid w:val="00750E2F"/>
    <w:rsid w:val="00751091"/>
    <w:rsid w:val="007515BC"/>
    <w:rsid w:val="00753328"/>
    <w:rsid w:val="00753433"/>
    <w:rsid w:val="00754E11"/>
    <w:rsid w:val="00756097"/>
    <w:rsid w:val="00756496"/>
    <w:rsid w:val="00760B47"/>
    <w:rsid w:val="007612BE"/>
    <w:rsid w:val="00764F3A"/>
    <w:rsid w:val="00765CC1"/>
    <w:rsid w:val="007669BA"/>
    <w:rsid w:val="00770261"/>
    <w:rsid w:val="007712EA"/>
    <w:rsid w:val="00772439"/>
    <w:rsid w:val="00772BFC"/>
    <w:rsid w:val="00773288"/>
    <w:rsid w:val="00773ACD"/>
    <w:rsid w:val="00774D82"/>
    <w:rsid w:val="007768C5"/>
    <w:rsid w:val="00776F76"/>
    <w:rsid w:val="0077715B"/>
    <w:rsid w:val="007773BD"/>
    <w:rsid w:val="00777B72"/>
    <w:rsid w:val="00777EEE"/>
    <w:rsid w:val="007811C0"/>
    <w:rsid w:val="007819CF"/>
    <w:rsid w:val="00781FFE"/>
    <w:rsid w:val="0078263F"/>
    <w:rsid w:val="00783657"/>
    <w:rsid w:val="00786840"/>
    <w:rsid w:val="00790852"/>
    <w:rsid w:val="00790EEE"/>
    <w:rsid w:val="00791304"/>
    <w:rsid w:val="00791677"/>
    <w:rsid w:val="00791E8E"/>
    <w:rsid w:val="007931A9"/>
    <w:rsid w:val="00794E52"/>
    <w:rsid w:val="00794E6C"/>
    <w:rsid w:val="007952A7"/>
    <w:rsid w:val="00795D0C"/>
    <w:rsid w:val="0079629A"/>
    <w:rsid w:val="0079648C"/>
    <w:rsid w:val="00796982"/>
    <w:rsid w:val="007A02C7"/>
    <w:rsid w:val="007A05C6"/>
    <w:rsid w:val="007A2C70"/>
    <w:rsid w:val="007A375D"/>
    <w:rsid w:val="007A5826"/>
    <w:rsid w:val="007A657A"/>
    <w:rsid w:val="007B03FE"/>
    <w:rsid w:val="007B249F"/>
    <w:rsid w:val="007B4330"/>
    <w:rsid w:val="007B435A"/>
    <w:rsid w:val="007B5D7E"/>
    <w:rsid w:val="007B788E"/>
    <w:rsid w:val="007C17B1"/>
    <w:rsid w:val="007C2BCF"/>
    <w:rsid w:val="007C43BB"/>
    <w:rsid w:val="007C4D48"/>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0101"/>
    <w:rsid w:val="007F2BB3"/>
    <w:rsid w:val="007F35FA"/>
    <w:rsid w:val="007F3724"/>
    <w:rsid w:val="007F3AD8"/>
    <w:rsid w:val="007F4330"/>
    <w:rsid w:val="007F45A7"/>
    <w:rsid w:val="007F4C1B"/>
    <w:rsid w:val="007F62A9"/>
    <w:rsid w:val="008022F1"/>
    <w:rsid w:val="0080288A"/>
    <w:rsid w:val="00802E2A"/>
    <w:rsid w:val="00803569"/>
    <w:rsid w:val="008049CE"/>
    <w:rsid w:val="00807058"/>
    <w:rsid w:val="0080739F"/>
    <w:rsid w:val="0080758E"/>
    <w:rsid w:val="00810253"/>
    <w:rsid w:val="0081025E"/>
    <w:rsid w:val="008108CD"/>
    <w:rsid w:val="00812261"/>
    <w:rsid w:val="008124E6"/>
    <w:rsid w:val="00812979"/>
    <w:rsid w:val="00812B72"/>
    <w:rsid w:val="00813360"/>
    <w:rsid w:val="00813620"/>
    <w:rsid w:val="00816F3A"/>
    <w:rsid w:val="008171ED"/>
    <w:rsid w:val="00817517"/>
    <w:rsid w:val="00820A94"/>
    <w:rsid w:val="00822DB3"/>
    <w:rsid w:val="00823B52"/>
    <w:rsid w:val="00823B90"/>
    <w:rsid w:val="008304E8"/>
    <w:rsid w:val="00831ACA"/>
    <w:rsid w:val="00831AD5"/>
    <w:rsid w:val="00831BAA"/>
    <w:rsid w:val="00831E32"/>
    <w:rsid w:val="00832761"/>
    <w:rsid w:val="0083473F"/>
    <w:rsid w:val="00834C7B"/>
    <w:rsid w:val="00836367"/>
    <w:rsid w:val="008375CF"/>
    <w:rsid w:val="00837F91"/>
    <w:rsid w:val="008414B1"/>
    <w:rsid w:val="008425D5"/>
    <w:rsid w:val="00843D20"/>
    <w:rsid w:val="00844454"/>
    <w:rsid w:val="00844C6D"/>
    <w:rsid w:val="00846145"/>
    <w:rsid w:val="00847192"/>
    <w:rsid w:val="0084731D"/>
    <w:rsid w:val="00850142"/>
    <w:rsid w:val="0085039F"/>
    <w:rsid w:val="00850470"/>
    <w:rsid w:val="008511D0"/>
    <w:rsid w:val="00851D8C"/>
    <w:rsid w:val="00857420"/>
    <w:rsid w:val="0085773A"/>
    <w:rsid w:val="008603F1"/>
    <w:rsid w:val="00860CCE"/>
    <w:rsid w:val="00862540"/>
    <w:rsid w:val="00862551"/>
    <w:rsid w:val="0086267A"/>
    <w:rsid w:val="0086294E"/>
    <w:rsid w:val="008630C3"/>
    <w:rsid w:val="00863459"/>
    <w:rsid w:val="008637E1"/>
    <w:rsid w:val="008669BF"/>
    <w:rsid w:val="00866F03"/>
    <w:rsid w:val="00867E68"/>
    <w:rsid w:val="00871578"/>
    <w:rsid w:val="00872CDA"/>
    <w:rsid w:val="0087340F"/>
    <w:rsid w:val="008736AB"/>
    <w:rsid w:val="00873D37"/>
    <w:rsid w:val="00874188"/>
    <w:rsid w:val="008746CF"/>
    <w:rsid w:val="00876879"/>
    <w:rsid w:val="008818A7"/>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12BF"/>
    <w:rsid w:val="008A2903"/>
    <w:rsid w:val="008A2ECB"/>
    <w:rsid w:val="008A41D1"/>
    <w:rsid w:val="008A6B32"/>
    <w:rsid w:val="008A6D57"/>
    <w:rsid w:val="008A7DEB"/>
    <w:rsid w:val="008B2634"/>
    <w:rsid w:val="008B39F2"/>
    <w:rsid w:val="008B7CC7"/>
    <w:rsid w:val="008C0BA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2D4"/>
    <w:rsid w:val="008E499D"/>
    <w:rsid w:val="008F1742"/>
    <w:rsid w:val="008F3401"/>
    <w:rsid w:val="008F45DD"/>
    <w:rsid w:val="008F524F"/>
    <w:rsid w:val="008F546B"/>
    <w:rsid w:val="008F6F21"/>
    <w:rsid w:val="008F7F16"/>
    <w:rsid w:val="009011FA"/>
    <w:rsid w:val="0090366C"/>
    <w:rsid w:val="00903A46"/>
    <w:rsid w:val="00907EF1"/>
    <w:rsid w:val="0091041B"/>
    <w:rsid w:val="009112D6"/>
    <w:rsid w:val="009113FD"/>
    <w:rsid w:val="00911779"/>
    <w:rsid w:val="00912583"/>
    <w:rsid w:val="00912FE6"/>
    <w:rsid w:val="00913D73"/>
    <w:rsid w:val="0091537A"/>
    <w:rsid w:val="0091613C"/>
    <w:rsid w:val="00916AA9"/>
    <w:rsid w:val="00917703"/>
    <w:rsid w:val="00917A32"/>
    <w:rsid w:val="00921613"/>
    <w:rsid w:val="00921AD9"/>
    <w:rsid w:val="00922DFB"/>
    <w:rsid w:val="00924DAD"/>
    <w:rsid w:val="00924EF9"/>
    <w:rsid w:val="00926B17"/>
    <w:rsid w:val="00931139"/>
    <w:rsid w:val="00931186"/>
    <w:rsid w:val="00931C60"/>
    <w:rsid w:val="00931CAC"/>
    <w:rsid w:val="00932330"/>
    <w:rsid w:val="00933E78"/>
    <w:rsid w:val="00934D39"/>
    <w:rsid w:val="00935881"/>
    <w:rsid w:val="009366A0"/>
    <w:rsid w:val="009407EE"/>
    <w:rsid w:val="00943B26"/>
    <w:rsid w:val="00945C8E"/>
    <w:rsid w:val="00950357"/>
    <w:rsid w:val="0095200D"/>
    <w:rsid w:val="009542D3"/>
    <w:rsid w:val="00954807"/>
    <w:rsid w:val="009559FC"/>
    <w:rsid w:val="009565C2"/>
    <w:rsid w:val="00956DA6"/>
    <w:rsid w:val="009575E3"/>
    <w:rsid w:val="00957F52"/>
    <w:rsid w:val="00960387"/>
    <w:rsid w:val="00961C3D"/>
    <w:rsid w:val="00961DC0"/>
    <w:rsid w:val="00962484"/>
    <w:rsid w:val="0096278C"/>
    <w:rsid w:val="009643C4"/>
    <w:rsid w:val="00967BAA"/>
    <w:rsid w:val="00970DF3"/>
    <w:rsid w:val="00975870"/>
    <w:rsid w:val="00975CDC"/>
    <w:rsid w:val="00975E99"/>
    <w:rsid w:val="009768F2"/>
    <w:rsid w:val="00977BEC"/>
    <w:rsid w:val="00981A56"/>
    <w:rsid w:val="00983242"/>
    <w:rsid w:val="00983700"/>
    <w:rsid w:val="00984467"/>
    <w:rsid w:val="0098563C"/>
    <w:rsid w:val="0098603E"/>
    <w:rsid w:val="00986F53"/>
    <w:rsid w:val="0099039F"/>
    <w:rsid w:val="0099053A"/>
    <w:rsid w:val="009918E8"/>
    <w:rsid w:val="00991ACC"/>
    <w:rsid w:val="00992345"/>
    <w:rsid w:val="00993572"/>
    <w:rsid w:val="00995D58"/>
    <w:rsid w:val="0099604A"/>
    <w:rsid w:val="009962BE"/>
    <w:rsid w:val="009962FE"/>
    <w:rsid w:val="00997E46"/>
    <w:rsid w:val="009A0E5A"/>
    <w:rsid w:val="009A1F84"/>
    <w:rsid w:val="009A237B"/>
    <w:rsid w:val="009A23A9"/>
    <w:rsid w:val="009A23EE"/>
    <w:rsid w:val="009A2C24"/>
    <w:rsid w:val="009A4293"/>
    <w:rsid w:val="009A5B8F"/>
    <w:rsid w:val="009A6068"/>
    <w:rsid w:val="009B0464"/>
    <w:rsid w:val="009B0A0A"/>
    <w:rsid w:val="009B1209"/>
    <w:rsid w:val="009B3F9B"/>
    <w:rsid w:val="009B4464"/>
    <w:rsid w:val="009B5ED9"/>
    <w:rsid w:val="009B687E"/>
    <w:rsid w:val="009B78C5"/>
    <w:rsid w:val="009C4C5A"/>
    <w:rsid w:val="009C4DC5"/>
    <w:rsid w:val="009C4F2E"/>
    <w:rsid w:val="009C5262"/>
    <w:rsid w:val="009C572C"/>
    <w:rsid w:val="009C6B0A"/>
    <w:rsid w:val="009C7302"/>
    <w:rsid w:val="009D07A9"/>
    <w:rsid w:val="009D176F"/>
    <w:rsid w:val="009D5865"/>
    <w:rsid w:val="009D5E4C"/>
    <w:rsid w:val="009D6371"/>
    <w:rsid w:val="009D6D25"/>
    <w:rsid w:val="009E03FB"/>
    <w:rsid w:val="009E0B99"/>
    <w:rsid w:val="009E17B9"/>
    <w:rsid w:val="009E238B"/>
    <w:rsid w:val="009E39BD"/>
    <w:rsid w:val="009E56D2"/>
    <w:rsid w:val="009F06E5"/>
    <w:rsid w:val="009F09E6"/>
    <w:rsid w:val="009F39B2"/>
    <w:rsid w:val="009F630C"/>
    <w:rsid w:val="009F7B9A"/>
    <w:rsid w:val="009F7F75"/>
    <w:rsid w:val="00A0358C"/>
    <w:rsid w:val="00A03704"/>
    <w:rsid w:val="00A05AD3"/>
    <w:rsid w:val="00A067D6"/>
    <w:rsid w:val="00A06AC7"/>
    <w:rsid w:val="00A0790A"/>
    <w:rsid w:val="00A10CE1"/>
    <w:rsid w:val="00A11347"/>
    <w:rsid w:val="00A11C67"/>
    <w:rsid w:val="00A12961"/>
    <w:rsid w:val="00A136AC"/>
    <w:rsid w:val="00A13885"/>
    <w:rsid w:val="00A144CF"/>
    <w:rsid w:val="00A1541D"/>
    <w:rsid w:val="00A16566"/>
    <w:rsid w:val="00A169B4"/>
    <w:rsid w:val="00A16CCB"/>
    <w:rsid w:val="00A16CD8"/>
    <w:rsid w:val="00A178DF"/>
    <w:rsid w:val="00A20C92"/>
    <w:rsid w:val="00A214BF"/>
    <w:rsid w:val="00A227F2"/>
    <w:rsid w:val="00A240B1"/>
    <w:rsid w:val="00A241BD"/>
    <w:rsid w:val="00A260E7"/>
    <w:rsid w:val="00A2777E"/>
    <w:rsid w:val="00A27E7F"/>
    <w:rsid w:val="00A3103A"/>
    <w:rsid w:val="00A31268"/>
    <w:rsid w:val="00A31E8F"/>
    <w:rsid w:val="00A32E1B"/>
    <w:rsid w:val="00A3580A"/>
    <w:rsid w:val="00A35C6F"/>
    <w:rsid w:val="00A35C78"/>
    <w:rsid w:val="00A360D5"/>
    <w:rsid w:val="00A40AF3"/>
    <w:rsid w:val="00A41E37"/>
    <w:rsid w:val="00A41FC7"/>
    <w:rsid w:val="00A44EB9"/>
    <w:rsid w:val="00A458F0"/>
    <w:rsid w:val="00A46A67"/>
    <w:rsid w:val="00A474F8"/>
    <w:rsid w:val="00A50DF9"/>
    <w:rsid w:val="00A51195"/>
    <w:rsid w:val="00A51CC9"/>
    <w:rsid w:val="00A51EF6"/>
    <w:rsid w:val="00A52674"/>
    <w:rsid w:val="00A52763"/>
    <w:rsid w:val="00A52964"/>
    <w:rsid w:val="00A541BB"/>
    <w:rsid w:val="00A5796E"/>
    <w:rsid w:val="00A637DD"/>
    <w:rsid w:val="00A65EA6"/>
    <w:rsid w:val="00A6739B"/>
    <w:rsid w:val="00A71084"/>
    <w:rsid w:val="00A72D91"/>
    <w:rsid w:val="00A73D4B"/>
    <w:rsid w:val="00A748A3"/>
    <w:rsid w:val="00A761FA"/>
    <w:rsid w:val="00A771C0"/>
    <w:rsid w:val="00A80CA4"/>
    <w:rsid w:val="00A81192"/>
    <w:rsid w:val="00A81297"/>
    <w:rsid w:val="00A82123"/>
    <w:rsid w:val="00A82736"/>
    <w:rsid w:val="00A82A72"/>
    <w:rsid w:val="00A85A08"/>
    <w:rsid w:val="00A86724"/>
    <w:rsid w:val="00A8672D"/>
    <w:rsid w:val="00A86A4A"/>
    <w:rsid w:val="00A90250"/>
    <w:rsid w:val="00A90B0E"/>
    <w:rsid w:val="00A90B93"/>
    <w:rsid w:val="00A92E1D"/>
    <w:rsid w:val="00A941B4"/>
    <w:rsid w:val="00A94F1D"/>
    <w:rsid w:val="00A9518E"/>
    <w:rsid w:val="00A95810"/>
    <w:rsid w:val="00A95DA6"/>
    <w:rsid w:val="00A97006"/>
    <w:rsid w:val="00A97DC2"/>
    <w:rsid w:val="00AA0305"/>
    <w:rsid w:val="00AA0782"/>
    <w:rsid w:val="00AA1E55"/>
    <w:rsid w:val="00AA2A15"/>
    <w:rsid w:val="00AA2A96"/>
    <w:rsid w:val="00AA2B71"/>
    <w:rsid w:val="00AA42A7"/>
    <w:rsid w:val="00AA4C51"/>
    <w:rsid w:val="00AA50D5"/>
    <w:rsid w:val="00AA714E"/>
    <w:rsid w:val="00AB051F"/>
    <w:rsid w:val="00AB0884"/>
    <w:rsid w:val="00AB1C8B"/>
    <w:rsid w:val="00AB2A26"/>
    <w:rsid w:val="00AB2CBA"/>
    <w:rsid w:val="00AB4B80"/>
    <w:rsid w:val="00AB7678"/>
    <w:rsid w:val="00AC014E"/>
    <w:rsid w:val="00AC1CBC"/>
    <w:rsid w:val="00AC238D"/>
    <w:rsid w:val="00AC26BB"/>
    <w:rsid w:val="00AC4B7F"/>
    <w:rsid w:val="00AC7238"/>
    <w:rsid w:val="00AC7BEB"/>
    <w:rsid w:val="00AC7C05"/>
    <w:rsid w:val="00AD1120"/>
    <w:rsid w:val="00AD162D"/>
    <w:rsid w:val="00AD16E4"/>
    <w:rsid w:val="00AD1D85"/>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26A2"/>
    <w:rsid w:val="00AF3DFB"/>
    <w:rsid w:val="00AF411C"/>
    <w:rsid w:val="00AF4B64"/>
    <w:rsid w:val="00AF4E35"/>
    <w:rsid w:val="00AF7EC6"/>
    <w:rsid w:val="00B01B51"/>
    <w:rsid w:val="00B03333"/>
    <w:rsid w:val="00B033B6"/>
    <w:rsid w:val="00B0379D"/>
    <w:rsid w:val="00B0406A"/>
    <w:rsid w:val="00B06841"/>
    <w:rsid w:val="00B06B03"/>
    <w:rsid w:val="00B07DB6"/>
    <w:rsid w:val="00B113E5"/>
    <w:rsid w:val="00B1162D"/>
    <w:rsid w:val="00B117E8"/>
    <w:rsid w:val="00B14C06"/>
    <w:rsid w:val="00B153F0"/>
    <w:rsid w:val="00B162A3"/>
    <w:rsid w:val="00B16A10"/>
    <w:rsid w:val="00B17ECC"/>
    <w:rsid w:val="00B22862"/>
    <w:rsid w:val="00B23398"/>
    <w:rsid w:val="00B245B0"/>
    <w:rsid w:val="00B26E56"/>
    <w:rsid w:val="00B271EF"/>
    <w:rsid w:val="00B27900"/>
    <w:rsid w:val="00B27941"/>
    <w:rsid w:val="00B31879"/>
    <w:rsid w:val="00B32596"/>
    <w:rsid w:val="00B32CAA"/>
    <w:rsid w:val="00B3311C"/>
    <w:rsid w:val="00B33125"/>
    <w:rsid w:val="00B34A3B"/>
    <w:rsid w:val="00B355C5"/>
    <w:rsid w:val="00B3673D"/>
    <w:rsid w:val="00B42919"/>
    <w:rsid w:val="00B44C6C"/>
    <w:rsid w:val="00B4757F"/>
    <w:rsid w:val="00B5187A"/>
    <w:rsid w:val="00B5229A"/>
    <w:rsid w:val="00B52E33"/>
    <w:rsid w:val="00B55CD1"/>
    <w:rsid w:val="00B56159"/>
    <w:rsid w:val="00B5647F"/>
    <w:rsid w:val="00B605F9"/>
    <w:rsid w:val="00B61BCE"/>
    <w:rsid w:val="00B61C67"/>
    <w:rsid w:val="00B6314D"/>
    <w:rsid w:val="00B64BD8"/>
    <w:rsid w:val="00B70EFF"/>
    <w:rsid w:val="00B713DA"/>
    <w:rsid w:val="00B71654"/>
    <w:rsid w:val="00B727C2"/>
    <w:rsid w:val="00B738C7"/>
    <w:rsid w:val="00B747AC"/>
    <w:rsid w:val="00B75E1D"/>
    <w:rsid w:val="00B77124"/>
    <w:rsid w:val="00B771EF"/>
    <w:rsid w:val="00B77DE4"/>
    <w:rsid w:val="00B8023E"/>
    <w:rsid w:val="00B82106"/>
    <w:rsid w:val="00B82526"/>
    <w:rsid w:val="00B82809"/>
    <w:rsid w:val="00B87915"/>
    <w:rsid w:val="00B9084D"/>
    <w:rsid w:val="00B91224"/>
    <w:rsid w:val="00B91420"/>
    <w:rsid w:val="00B92DEC"/>
    <w:rsid w:val="00B9525A"/>
    <w:rsid w:val="00BA015D"/>
    <w:rsid w:val="00BA04F4"/>
    <w:rsid w:val="00BA064C"/>
    <w:rsid w:val="00BA08F9"/>
    <w:rsid w:val="00BA0C85"/>
    <w:rsid w:val="00BA1B22"/>
    <w:rsid w:val="00BA1E83"/>
    <w:rsid w:val="00BA2D4C"/>
    <w:rsid w:val="00BA3394"/>
    <w:rsid w:val="00BA33F8"/>
    <w:rsid w:val="00BA4091"/>
    <w:rsid w:val="00BA4735"/>
    <w:rsid w:val="00BA54D5"/>
    <w:rsid w:val="00BB2DB8"/>
    <w:rsid w:val="00BB3A50"/>
    <w:rsid w:val="00BB4D9B"/>
    <w:rsid w:val="00BB647C"/>
    <w:rsid w:val="00BC0C83"/>
    <w:rsid w:val="00BC24ED"/>
    <w:rsid w:val="00BC33E7"/>
    <w:rsid w:val="00BC5A0A"/>
    <w:rsid w:val="00BC61B1"/>
    <w:rsid w:val="00BC74B2"/>
    <w:rsid w:val="00BD1F16"/>
    <w:rsid w:val="00BD201F"/>
    <w:rsid w:val="00BD27A9"/>
    <w:rsid w:val="00BD539A"/>
    <w:rsid w:val="00BD55D3"/>
    <w:rsid w:val="00BD787F"/>
    <w:rsid w:val="00BD7DC0"/>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BF6D1F"/>
    <w:rsid w:val="00C002FF"/>
    <w:rsid w:val="00C00747"/>
    <w:rsid w:val="00C01116"/>
    <w:rsid w:val="00C02336"/>
    <w:rsid w:val="00C04254"/>
    <w:rsid w:val="00C043A7"/>
    <w:rsid w:val="00C044F1"/>
    <w:rsid w:val="00C050D3"/>
    <w:rsid w:val="00C10374"/>
    <w:rsid w:val="00C12840"/>
    <w:rsid w:val="00C13375"/>
    <w:rsid w:val="00C13480"/>
    <w:rsid w:val="00C1593D"/>
    <w:rsid w:val="00C172E3"/>
    <w:rsid w:val="00C17FC1"/>
    <w:rsid w:val="00C217D7"/>
    <w:rsid w:val="00C21910"/>
    <w:rsid w:val="00C22372"/>
    <w:rsid w:val="00C22791"/>
    <w:rsid w:val="00C244FF"/>
    <w:rsid w:val="00C268EB"/>
    <w:rsid w:val="00C27FC3"/>
    <w:rsid w:val="00C32BA2"/>
    <w:rsid w:val="00C32D92"/>
    <w:rsid w:val="00C33D51"/>
    <w:rsid w:val="00C34065"/>
    <w:rsid w:val="00C35BF3"/>
    <w:rsid w:val="00C3670D"/>
    <w:rsid w:val="00C40792"/>
    <w:rsid w:val="00C41370"/>
    <w:rsid w:val="00C41EED"/>
    <w:rsid w:val="00C432F2"/>
    <w:rsid w:val="00C442B6"/>
    <w:rsid w:val="00C44A16"/>
    <w:rsid w:val="00C459A1"/>
    <w:rsid w:val="00C47A2B"/>
    <w:rsid w:val="00C5096F"/>
    <w:rsid w:val="00C50CC6"/>
    <w:rsid w:val="00C5302D"/>
    <w:rsid w:val="00C5403F"/>
    <w:rsid w:val="00C55956"/>
    <w:rsid w:val="00C55CDD"/>
    <w:rsid w:val="00C5787F"/>
    <w:rsid w:val="00C57E44"/>
    <w:rsid w:val="00C60DC0"/>
    <w:rsid w:val="00C60E71"/>
    <w:rsid w:val="00C61A6F"/>
    <w:rsid w:val="00C62F4A"/>
    <w:rsid w:val="00C6318D"/>
    <w:rsid w:val="00C634DB"/>
    <w:rsid w:val="00C63883"/>
    <w:rsid w:val="00C649D2"/>
    <w:rsid w:val="00C66506"/>
    <w:rsid w:val="00C6675E"/>
    <w:rsid w:val="00C70641"/>
    <w:rsid w:val="00C72EF0"/>
    <w:rsid w:val="00C7318D"/>
    <w:rsid w:val="00C74CC2"/>
    <w:rsid w:val="00C76487"/>
    <w:rsid w:val="00C77322"/>
    <w:rsid w:val="00C77ACD"/>
    <w:rsid w:val="00C81584"/>
    <w:rsid w:val="00C82FC1"/>
    <w:rsid w:val="00C83726"/>
    <w:rsid w:val="00C85536"/>
    <w:rsid w:val="00C904B9"/>
    <w:rsid w:val="00C9240D"/>
    <w:rsid w:val="00C96565"/>
    <w:rsid w:val="00C975F3"/>
    <w:rsid w:val="00C9766A"/>
    <w:rsid w:val="00C9795B"/>
    <w:rsid w:val="00CA1310"/>
    <w:rsid w:val="00CA2592"/>
    <w:rsid w:val="00CA27D5"/>
    <w:rsid w:val="00CA2CD2"/>
    <w:rsid w:val="00CA3336"/>
    <w:rsid w:val="00CA3630"/>
    <w:rsid w:val="00CA49A2"/>
    <w:rsid w:val="00CA4D80"/>
    <w:rsid w:val="00CA552A"/>
    <w:rsid w:val="00CA55AC"/>
    <w:rsid w:val="00CA5DA4"/>
    <w:rsid w:val="00CA6831"/>
    <w:rsid w:val="00CA683E"/>
    <w:rsid w:val="00CB0179"/>
    <w:rsid w:val="00CB0C87"/>
    <w:rsid w:val="00CB2278"/>
    <w:rsid w:val="00CB354D"/>
    <w:rsid w:val="00CB66F3"/>
    <w:rsid w:val="00CB6BD8"/>
    <w:rsid w:val="00CB74C1"/>
    <w:rsid w:val="00CC0031"/>
    <w:rsid w:val="00CC053D"/>
    <w:rsid w:val="00CC11CA"/>
    <w:rsid w:val="00CC1B2D"/>
    <w:rsid w:val="00CC2C4F"/>
    <w:rsid w:val="00CC3FDF"/>
    <w:rsid w:val="00CC49CC"/>
    <w:rsid w:val="00CC60B9"/>
    <w:rsid w:val="00CD1628"/>
    <w:rsid w:val="00CD2712"/>
    <w:rsid w:val="00CD35A0"/>
    <w:rsid w:val="00CD3ECD"/>
    <w:rsid w:val="00CD41EE"/>
    <w:rsid w:val="00CD476F"/>
    <w:rsid w:val="00CD664F"/>
    <w:rsid w:val="00CD7C95"/>
    <w:rsid w:val="00CE2C0F"/>
    <w:rsid w:val="00CE3D5E"/>
    <w:rsid w:val="00CE49E7"/>
    <w:rsid w:val="00CE4F4E"/>
    <w:rsid w:val="00CE642E"/>
    <w:rsid w:val="00CF034B"/>
    <w:rsid w:val="00CF0424"/>
    <w:rsid w:val="00CF32E9"/>
    <w:rsid w:val="00CF345C"/>
    <w:rsid w:val="00CF4E94"/>
    <w:rsid w:val="00CF56C1"/>
    <w:rsid w:val="00CF75BA"/>
    <w:rsid w:val="00D0100E"/>
    <w:rsid w:val="00D010E3"/>
    <w:rsid w:val="00D01A19"/>
    <w:rsid w:val="00D023F3"/>
    <w:rsid w:val="00D02E90"/>
    <w:rsid w:val="00D03BF7"/>
    <w:rsid w:val="00D0482D"/>
    <w:rsid w:val="00D0487C"/>
    <w:rsid w:val="00D05810"/>
    <w:rsid w:val="00D10925"/>
    <w:rsid w:val="00D125F4"/>
    <w:rsid w:val="00D12B0A"/>
    <w:rsid w:val="00D14AD6"/>
    <w:rsid w:val="00D15ADE"/>
    <w:rsid w:val="00D20416"/>
    <w:rsid w:val="00D20B6C"/>
    <w:rsid w:val="00D20CCF"/>
    <w:rsid w:val="00D21942"/>
    <w:rsid w:val="00D22B65"/>
    <w:rsid w:val="00D23682"/>
    <w:rsid w:val="00D24EC4"/>
    <w:rsid w:val="00D26625"/>
    <w:rsid w:val="00D30BD9"/>
    <w:rsid w:val="00D30C9F"/>
    <w:rsid w:val="00D31275"/>
    <w:rsid w:val="00D3196B"/>
    <w:rsid w:val="00D324FC"/>
    <w:rsid w:val="00D35F36"/>
    <w:rsid w:val="00D36666"/>
    <w:rsid w:val="00D378DF"/>
    <w:rsid w:val="00D4131E"/>
    <w:rsid w:val="00D41322"/>
    <w:rsid w:val="00D42B0C"/>
    <w:rsid w:val="00D43ACC"/>
    <w:rsid w:val="00D44265"/>
    <w:rsid w:val="00D46624"/>
    <w:rsid w:val="00D47AC5"/>
    <w:rsid w:val="00D5090D"/>
    <w:rsid w:val="00D5113F"/>
    <w:rsid w:val="00D52351"/>
    <w:rsid w:val="00D54270"/>
    <w:rsid w:val="00D56336"/>
    <w:rsid w:val="00D56BA7"/>
    <w:rsid w:val="00D576E9"/>
    <w:rsid w:val="00D5781D"/>
    <w:rsid w:val="00D60E14"/>
    <w:rsid w:val="00D617EF"/>
    <w:rsid w:val="00D622B6"/>
    <w:rsid w:val="00D6263B"/>
    <w:rsid w:val="00D62A7F"/>
    <w:rsid w:val="00D62ECD"/>
    <w:rsid w:val="00D65CF2"/>
    <w:rsid w:val="00D6682C"/>
    <w:rsid w:val="00D66CF8"/>
    <w:rsid w:val="00D66DB5"/>
    <w:rsid w:val="00D67F9B"/>
    <w:rsid w:val="00D7008D"/>
    <w:rsid w:val="00D7086E"/>
    <w:rsid w:val="00D70C49"/>
    <w:rsid w:val="00D70F3A"/>
    <w:rsid w:val="00D718CE"/>
    <w:rsid w:val="00D71EDD"/>
    <w:rsid w:val="00D72BEF"/>
    <w:rsid w:val="00D72C62"/>
    <w:rsid w:val="00D734CA"/>
    <w:rsid w:val="00D73886"/>
    <w:rsid w:val="00D76AB8"/>
    <w:rsid w:val="00D772B3"/>
    <w:rsid w:val="00D77A52"/>
    <w:rsid w:val="00D81B58"/>
    <w:rsid w:val="00D81C14"/>
    <w:rsid w:val="00D832D5"/>
    <w:rsid w:val="00D83376"/>
    <w:rsid w:val="00D84B5D"/>
    <w:rsid w:val="00D853FF"/>
    <w:rsid w:val="00D8705F"/>
    <w:rsid w:val="00D87A07"/>
    <w:rsid w:val="00D87D9F"/>
    <w:rsid w:val="00D92A15"/>
    <w:rsid w:val="00D934FF"/>
    <w:rsid w:val="00D943DD"/>
    <w:rsid w:val="00D957C0"/>
    <w:rsid w:val="00D965FE"/>
    <w:rsid w:val="00DA010B"/>
    <w:rsid w:val="00DA0546"/>
    <w:rsid w:val="00DA1332"/>
    <w:rsid w:val="00DA377B"/>
    <w:rsid w:val="00DA48F6"/>
    <w:rsid w:val="00DA4E46"/>
    <w:rsid w:val="00DA5238"/>
    <w:rsid w:val="00DA53C1"/>
    <w:rsid w:val="00DA5621"/>
    <w:rsid w:val="00DA5B67"/>
    <w:rsid w:val="00DA7ECD"/>
    <w:rsid w:val="00DB09E4"/>
    <w:rsid w:val="00DB2D17"/>
    <w:rsid w:val="00DB379B"/>
    <w:rsid w:val="00DB5E4D"/>
    <w:rsid w:val="00DB5F9F"/>
    <w:rsid w:val="00DB6D1F"/>
    <w:rsid w:val="00DC11CB"/>
    <w:rsid w:val="00DC13EA"/>
    <w:rsid w:val="00DC1BB7"/>
    <w:rsid w:val="00DC3ADA"/>
    <w:rsid w:val="00DC4A0B"/>
    <w:rsid w:val="00DC4D66"/>
    <w:rsid w:val="00DC73B8"/>
    <w:rsid w:val="00DC78F4"/>
    <w:rsid w:val="00DD026E"/>
    <w:rsid w:val="00DD1715"/>
    <w:rsid w:val="00DD238D"/>
    <w:rsid w:val="00DD2C4D"/>
    <w:rsid w:val="00DD35FE"/>
    <w:rsid w:val="00DD37BF"/>
    <w:rsid w:val="00DD4340"/>
    <w:rsid w:val="00DD44AD"/>
    <w:rsid w:val="00DD45F6"/>
    <w:rsid w:val="00DD5596"/>
    <w:rsid w:val="00DD5A7F"/>
    <w:rsid w:val="00DD6B23"/>
    <w:rsid w:val="00DE1E06"/>
    <w:rsid w:val="00DE342A"/>
    <w:rsid w:val="00DE3BA5"/>
    <w:rsid w:val="00DE48C3"/>
    <w:rsid w:val="00DE493A"/>
    <w:rsid w:val="00DE5099"/>
    <w:rsid w:val="00DE58AE"/>
    <w:rsid w:val="00DE687D"/>
    <w:rsid w:val="00DE7190"/>
    <w:rsid w:val="00DF1157"/>
    <w:rsid w:val="00DF178D"/>
    <w:rsid w:val="00DF2711"/>
    <w:rsid w:val="00DF2E2D"/>
    <w:rsid w:val="00DF30EF"/>
    <w:rsid w:val="00DF38C7"/>
    <w:rsid w:val="00DF4392"/>
    <w:rsid w:val="00DF4E1F"/>
    <w:rsid w:val="00DF69A1"/>
    <w:rsid w:val="00DF6DE1"/>
    <w:rsid w:val="00DF752E"/>
    <w:rsid w:val="00E0035B"/>
    <w:rsid w:val="00E00956"/>
    <w:rsid w:val="00E010C2"/>
    <w:rsid w:val="00E011B3"/>
    <w:rsid w:val="00E01A14"/>
    <w:rsid w:val="00E01A51"/>
    <w:rsid w:val="00E02EE2"/>
    <w:rsid w:val="00E03740"/>
    <w:rsid w:val="00E039FA"/>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5A"/>
    <w:rsid w:val="00E176F6"/>
    <w:rsid w:val="00E177EE"/>
    <w:rsid w:val="00E204AA"/>
    <w:rsid w:val="00E23269"/>
    <w:rsid w:val="00E245F0"/>
    <w:rsid w:val="00E2566D"/>
    <w:rsid w:val="00E27820"/>
    <w:rsid w:val="00E304B3"/>
    <w:rsid w:val="00E32827"/>
    <w:rsid w:val="00E329AF"/>
    <w:rsid w:val="00E33633"/>
    <w:rsid w:val="00E342B0"/>
    <w:rsid w:val="00E350B7"/>
    <w:rsid w:val="00E356BA"/>
    <w:rsid w:val="00E37D1E"/>
    <w:rsid w:val="00E40979"/>
    <w:rsid w:val="00E431CF"/>
    <w:rsid w:val="00E435B7"/>
    <w:rsid w:val="00E43A26"/>
    <w:rsid w:val="00E4610B"/>
    <w:rsid w:val="00E46322"/>
    <w:rsid w:val="00E466D8"/>
    <w:rsid w:val="00E46AF2"/>
    <w:rsid w:val="00E47098"/>
    <w:rsid w:val="00E47557"/>
    <w:rsid w:val="00E503F7"/>
    <w:rsid w:val="00E50721"/>
    <w:rsid w:val="00E51BD5"/>
    <w:rsid w:val="00E5543F"/>
    <w:rsid w:val="00E6140D"/>
    <w:rsid w:val="00E61F52"/>
    <w:rsid w:val="00E6392A"/>
    <w:rsid w:val="00E6414B"/>
    <w:rsid w:val="00E64851"/>
    <w:rsid w:val="00E65FF7"/>
    <w:rsid w:val="00E67C51"/>
    <w:rsid w:val="00E70BD3"/>
    <w:rsid w:val="00E71783"/>
    <w:rsid w:val="00E71967"/>
    <w:rsid w:val="00E7237E"/>
    <w:rsid w:val="00E7264B"/>
    <w:rsid w:val="00E72A5A"/>
    <w:rsid w:val="00E72D5C"/>
    <w:rsid w:val="00E735B1"/>
    <w:rsid w:val="00E73BE0"/>
    <w:rsid w:val="00E741ED"/>
    <w:rsid w:val="00E76B2E"/>
    <w:rsid w:val="00E770AD"/>
    <w:rsid w:val="00E77884"/>
    <w:rsid w:val="00E77FD2"/>
    <w:rsid w:val="00E81DCB"/>
    <w:rsid w:val="00E834E5"/>
    <w:rsid w:val="00E85206"/>
    <w:rsid w:val="00E90B31"/>
    <w:rsid w:val="00E90BDF"/>
    <w:rsid w:val="00E929ED"/>
    <w:rsid w:val="00E93B55"/>
    <w:rsid w:val="00E940AC"/>
    <w:rsid w:val="00E94F36"/>
    <w:rsid w:val="00E95883"/>
    <w:rsid w:val="00EA258A"/>
    <w:rsid w:val="00EA447E"/>
    <w:rsid w:val="00EA4DBC"/>
    <w:rsid w:val="00EA50AB"/>
    <w:rsid w:val="00EB037F"/>
    <w:rsid w:val="00EB10EA"/>
    <w:rsid w:val="00EB1595"/>
    <w:rsid w:val="00EB31AB"/>
    <w:rsid w:val="00EB46AD"/>
    <w:rsid w:val="00EB4EFE"/>
    <w:rsid w:val="00EB5599"/>
    <w:rsid w:val="00EB5751"/>
    <w:rsid w:val="00EC175E"/>
    <w:rsid w:val="00EC22D7"/>
    <w:rsid w:val="00EC2321"/>
    <w:rsid w:val="00EC245A"/>
    <w:rsid w:val="00EC3B04"/>
    <w:rsid w:val="00EC4964"/>
    <w:rsid w:val="00EC4BAE"/>
    <w:rsid w:val="00EC5718"/>
    <w:rsid w:val="00EC5B7C"/>
    <w:rsid w:val="00EC5D37"/>
    <w:rsid w:val="00EC6A3F"/>
    <w:rsid w:val="00ED2391"/>
    <w:rsid w:val="00ED3DA3"/>
    <w:rsid w:val="00EE2E95"/>
    <w:rsid w:val="00EE6411"/>
    <w:rsid w:val="00EE66C7"/>
    <w:rsid w:val="00EE6B2F"/>
    <w:rsid w:val="00EE70C3"/>
    <w:rsid w:val="00EF00F6"/>
    <w:rsid w:val="00EF02F8"/>
    <w:rsid w:val="00EF0400"/>
    <w:rsid w:val="00EF5730"/>
    <w:rsid w:val="00EF5C83"/>
    <w:rsid w:val="00EF7D7A"/>
    <w:rsid w:val="00F002B2"/>
    <w:rsid w:val="00F00AC2"/>
    <w:rsid w:val="00F01C27"/>
    <w:rsid w:val="00F0204B"/>
    <w:rsid w:val="00F03B3D"/>
    <w:rsid w:val="00F05177"/>
    <w:rsid w:val="00F0601A"/>
    <w:rsid w:val="00F071BB"/>
    <w:rsid w:val="00F0724E"/>
    <w:rsid w:val="00F12FA2"/>
    <w:rsid w:val="00F14C67"/>
    <w:rsid w:val="00F15518"/>
    <w:rsid w:val="00F155F4"/>
    <w:rsid w:val="00F17616"/>
    <w:rsid w:val="00F22771"/>
    <w:rsid w:val="00F22E5F"/>
    <w:rsid w:val="00F233B0"/>
    <w:rsid w:val="00F249B0"/>
    <w:rsid w:val="00F24E5E"/>
    <w:rsid w:val="00F24FF2"/>
    <w:rsid w:val="00F25D76"/>
    <w:rsid w:val="00F26DA9"/>
    <w:rsid w:val="00F26EAA"/>
    <w:rsid w:val="00F27BFD"/>
    <w:rsid w:val="00F31D64"/>
    <w:rsid w:val="00F33537"/>
    <w:rsid w:val="00F33736"/>
    <w:rsid w:val="00F33B09"/>
    <w:rsid w:val="00F3434E"/>
    <w:rsid w:val="00F34855"/>
    <w:rsid w:val="00F358FC"/>
    <w:rsid w:val="00F36D4A"/>
    <w:rsid w:val="00F376EB"/>
    <w:rsid w:val="00F37FE5"/>
    <w:rsid w:val="00F40677"/>
    <w:rsid w:val="00F40EC2"/>
    <w:rsid w:val="00F40EFA"/>
    <w:rsid w:val="00F41545"/>
    <w:rsid w:val="00F41EEA"/>
    <w:rsid w:val="00F4341D"/>
    <w:rsid w:val="00F4545C"/>
    <w:rsid w:val="00F45969"/>
    <w:rsid w:val="00F45E80"/>
    <w:rsid w:val="00F50177"/>
    <w:rsid w:val="00F50827"/>
    <w:rsid w:val="00F51132"/>
    <w:rsid w:val="00F51CC5"/>
    <w:rsid w:val="00F51F90"/>
    <w:rsid w:val="00F55D06"/>
    <w:rsid w:val="00F567BF"/>
    <w:rsid w:val="00F56AC0"/>
    <w:rsid w:val="00F56F0E"/>
    <w:rsid w:val="00F56F47"/>
    <w:rsid w:val="00F57335"/>
    <w:rsid w:val="00F57A39"/>
    <w:rsid w:val="00F61F72"/>
    <w:rsid w:val="00F62680"/>
    <w:rsid w:val="00F63723"/>
    <w:rsid w:val="00F63BA4"/>
    <w:rsid w:val="00F65E9E"/>
    <w:rsid w:val="00F675C9"/>
    <w:rsid w:val="00F7025D"/>
    <w:rsid w:val="00F70F05"/>
    <w:rsid w:val="00F71DE0"/>
    <w:rsid w:val="00F72085"/>
    <w:rsid w:val="00F73FF5"/>
    <w:rsid w:val="00F74EFB"/>
    <w:rsid w:val="00F76F54"/>
    <w:rsid w:val="00F7712A"/>
    <w:rsid w:val="00F77955"/>
    <w:rsid w:val="00F803F8"/>
    <w:rsid w:val="00F80AC5"/>
    <w:rsid w:val="00F8144D"/>
    <w:rsid w:val="00F82B0E"/>
    <w:rsid w:val="00F8415B"/>
    <w:rsid w:val="00F84424"/>
    <w:rsid w:val="00F869F8"/>
    <w:rsid w:val="00F86B46"/>
    <w:rsid w:val="00F86BE3"/>
    <w:rsid w:val="00F90EFD"/>
    <w:rsid w:val="00F926D8"/>
    <w:rsid w:val="00F93F4C"/>
    <w:rsid w:val="00F944FB"/>
    <w:rsid w:val="00F9535B"/>
    <w:rsid w:val="00F95DE8"/>
    <w:rsid w:val="00F962C7"/>
    <w:rsid w:val="00F96FD2"/>
    <w:rsid w:val="00F9780A"/>
    <w:rsid w:val="00FA06AC"/>
    <w:rsid w:val="00FA0DF0"/>
    <w:rsid w:val="00FA0E40"/>
    <w:rsid w:val="00FA13F8"/>
    <w:rsid w:val="00FA1906"/>
    <w:rsid w:val="00FA2EC0"/>
    <w:rsid w:val="00FA31AD"/>
    <w:rsid w:val="00FA3F1F"/>
    <w:rsid w:val="00FA47E1"/>
    <w:rsid w:val="00FA4EA3"/>
    <w:rsid w:val="00FB0933"/>
    <w:rsid w:val="00FB13E0"/>
    <w:rsid w:val="00FB2286"/>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C631B"/>
    <w:rsid w:val="00FC6AA6"/>
    <w:rsid w:val="00FD0BDA"/>
    <w:rsid w:val="00FD3EB9"/>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559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7941"/>
    <w:rPr>
      <w:sz w:val="24"/>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link w:val="Heading6Char"/>
    <w:qFormat/>
    <w:rsid w:val="00B271EF"/>
    <w:pPr>
      <w:spacing w:before="240"/>
      <w:outlineLvl w:val="5"/>
    </w:pPr>
    <w:rPr>
      <w:i/>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Cs w:val="44"/>
    </w:rPr>
  </w:style>
  <w:style w:type="paragraph" w:styleId="TOC2">
    <w:name w:val="toc 2"/>
    <w:basedOn w:val="Normal"/>
    <w:next w:val="Normal"/>
    <w:uiPriority w:val="39"/>
    <w:rsid w:val="00D56336"/>
    <w:pPr>
      <w:tabs>
        <w:tab w:val="right" w:leader="dot" w:pos="9214"/>
      </w:tabs>
      <w:spacing w:before="100" w:after="100"/>
      <w:ind w:left="709" w:right="284"/>
    </w:pPr>
    <w:rPr>
      <w:noProof/>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link w:val="Bullet-listChar"/>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link w:val="RISheadingChar"/>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71F9"/>
    <w:pPr>
      <w:autoSpaceDE w:val="0"/>
      <w:autoSpaceDN w:val="0"/>
      <w:adjustRightInd w:val="0"/>
    </w:pPr>
    <w:rPr>
      <w:color w:val="000000"/>
      <w:sz w:val="24"/>
      <w:szCs w:val="24"/>
    </w:rPr>
  </w:style>
  <w:style w:type="paragraph" w:customStyle="1" w:styleId="RISnumberlist">
    <w:name w:val="RIS number list"/>
    <w:basedOn w:val="Bullet-list"/>
    <w:link w:val="RISnumberlistChar"/>
    <w:qFormat/>
    <w:rsid w:val="001709A5"/>
    <w:pPr>
      <w:numPr>
        <w:numId w:val="41"/>
      </w:numPr>
      <w:spacing w:after="0" w:line="240" w:lineRule="auto"/>
      <w:ind w:left="360"/>
    </w:pPr>
    <w:rPr>
      <w:rFonts w:ascii="Times New Roman" w:hAnsi="Times New Roman"/>
      <w:sz w:val="24"/>
      <w:szCs w:val="24"/>
    </w:rPr>
  </w:style>
  <w:style w:type="character" w:customStyle="1" w:styleId="Bullet-listChar">
    <w:name w:val="Bullet-list Char"/>
    <w:basedOn w:val="DefaultParagraphFont"/>
    <w:link w:val="Bullet-list"/>
    <w:rsid w:val="004601ED"/>
    <w:rPr>
      <w:rFonts w:ascii="Arial" w:hAnsi="Arial"/>
      <w:sz w:val="22"/>
      <w:lang w:val="en-AU" w:eastAsia="en-US"/>
    </w:rPr>
  </w:style>
  <w:style w:type="character" w:customStyle="1" w:styleId="RISnumberlistChar">
    <w:name w:val="RIS number list Char"/>
    <w:basedOn w:val="Bullet-listChar"/>
    <w:link w:val="RISnumberlist"/>
    <w:rsid w:val="001709A5"/>
    <w:rPr>
      <w:rFonts w:ascii="Arial" w:hAnsi="Arial"/>
      <w:sz w:val="24"/>
      <w:szCs w:val="24"/>
      <w:lang w:val="en-AU" w:eastAsia="en-US"/>
    </w:rPr>
  </w:style>
  <w:style w:type="paragraph" w:customStyle="1" w:styleId="RISbulletlist">
    <w:name w:val="RIS bullet list"/>
    <w:basedOn w:val="Bullet-list"/>
    <w:link w:val="RISbulletlistChar"/>
    <w:qFormat/>
    <w:rsid w:val="001F6E89"/>
    <w:pPr>
      <w:numPr>
        <w:numId w:val="16"/>
      </w:numPr>
    </w:pPr>
    <w:rPr>
      <w:rFonts w:ascii="Times New Roman" w:hAnsi="Times New Roman"/>
      <w:sz w:val="24"/>
    </w:rPr>
  </w:style>
  <w:style w:type="character" w:customStyle="1" w:styleId="RISbulletlistChar">
    <w:name w:val="RIS bullet list Char"/>
    <w:basedOn w:val="Bullet-listChar"/>
    <w:link w:val="RISbulletlist"/>
    <w:rsid w:val="001F6E89"/>
    <w:rPr>
      <w:rFonts w:ascii="Arial" w:hAnsi="Arial"/>
      <w:sz w:val="24"/>
      <w:lang w:val="en-AU" w:eastAsia="en-US"/>
    </w:rPr>
  </w:style>
  <w:style w:type="paragraph" w:customStyle="1" w:styleId="RISheading2">
    <w:name w:val="RIS heading 2"/>
    <w:basedOn w:val="RISheading"/>
    <w:link w:val="RISheading2Char"/>
    <w:qFormat/>
    <w:rsid w:val="0070613B"/>
    <w:rPr>
      <w:w w:val="100"/>
    </w:rPr>
  </w:style>
  <w:style w:type="paragraph" w:customStyle="1" w:styleId="RISmajorheading">
    <w:name w:val="RIS major heading"/>
    <w:basedOn w:val="RISheading2"/>
    <w:link w:val="RISmajorheadingChar"/>
    <w:qFormat/>
    <w:rsid w:val="00193EBC"/>
  </w:style>
  <w:style w:type="character" w:customStyle="1" w:styleId="RISheadingChar">
    <w:name w:val="RIS heading Char"/>
    <w:basedOn w:val="Heading3Char"/>
    <w:link w:val="RISheading"/>
    <w:rsid w:val="00C13375"/>
    <w:rPr>
      <w:rFonts w:ascii="Arial" w:hAnsi="Arial"/>
      <w:b/>
      <w:color w:val="335087"/>
      <w:spacing w:val="20"/>
      <w:w w:val="90"/>
      <w:sz w:val="24"/>
      <w:szCs w:val="24"/>
      <w:lang w:val="en-GB" w:eastAsia="en-GB"/>
    </w:rPr>
  </w:style>
  <w:style w:type="character" w:customStyle="1" w:styleId="RISheading2Char">
    <w:name w:val="RIS heading 2 Char"/>
    <w:basedOn w:val="RISheadingChar"/>
    <w:link w:val="RISheading2"/>
    <w:rsid w:val="0070613B"/>
    <w:rPr>
      <w:rFonts w:ascii="Arial" w:hAnsi="Arial"/>
      <w:b/>
      <w:color w:val="335087"/>
      <w:spacing w:val="20"/>
      <w:w w:val="90"/>
      <w:sz w:val="24"/>
      <w:szCs w:val="24"/>
      <w:lang w:val="en-GB" w:eastAsia="en-GB"/>
    </w:rPr>
  </w:style>
  <w:style w:type="character" w:customStyle="1" w:styleId="RISmajorheadingChar">
    <w:name w:val="RIS major heading Char"/>
    <w:basedOn w:val="RISheading2Char"/>
    <w:link w:val="RISmajorheading"/>
    <w:rsid w:val="00193EBC"/>
    <w:rPr>
      <w:rFonts w:ascii="Arial" w:hAnsi="Arial"/>
      <w:b/>
      <w:color w:val="335087"/>
      <w:spacing w:val="20"/>
      <w:w w:val="90"/>
      <w:sz w:val="24"/>
      <w:szCs w:val="24"/>
      <w:lang w:val="en-GB" w:eastAsia="en-GB"/>
    </w:rPr>
  </w:style>
  <w:style w:type="paragraph" w:customStyle="1" w:styleId="RISsubheading">
    <w:name w:val="RIS subheading"/>
    <w:basedOn w:val="RISheading2"/>
    <w:link w:val="RISsubheadingChar"/>
    <w:qFormat/>
    <w:rsid w:val="0070613B"/>
    <w:rPr>
      <w:i/>
    </w:rPr>
  </w:style>
  <w:style w:type="character" w:customStyle="1" w:styleId="RISsubheadingChar">
    <w:name w:val="RIS subheading Char"/>
    <w:basedOn w:val="RISheading2Char"/>
    <w:link w:val="RISsubheading"/>
    <w:rsid w:val="0070613B"/>
    <w:rPr>
      <w:rFonts w:ascii="Arial" w:hAnsi="Arial"/>
      <w:b/>
      <w:i/>
      <w:color w:val="335087"/>
      <w:spacing w:val="20"/>
      <w:w w:val="90"/>
      <w:sz w:val="24"/>
      <w:szCs w:val="24"/>
      <w:lang w:val="en-GB" w:eastAsia="en-GB"/>
    </w:rPr>
  </w:style>
  <w:style w:type="paragraph" w:customStyle="1" w:styleId="RIStabletext">
    <w:name w:val="RIS table text"/>
    <w:basedOn w:val="RISnumberlist"/>
    <w:link w:val="RIStabletextChar"/>
    <w:qFormat/>
    <w:rsid w:val="0051557C"/>
    <w:pPr>
      <w:numPr>
        <w:numId w:val="0"/>
      </w:numPr>
      <w:spacing w:before="60" w:after="60"/>
      <w:jc w:val="both"/>
    </w:pPr>
    <w:rPr>
      <w:i/>
      <w:sz w:val="18"/>
      <w:szCs w:val="18"/>
    </w:rPr>
  </w:style>
  <w:style w:type="paragraph" w:customStyle="1" w:styleId="RIStabletextbold">
    <w:name w:val="RIS table text bold"/>
    <w:basedOn w:val="RISnumberlist"/>
    <w:link w:val="RIStabletextboldChar"/>
    <w:qFormat/>
    <w:rsid w:val="0051557C"/>
    <w:pPr>
      <w:numPr>
        <w:numId w:val="0"/>
      </w:numPr>
      <w:jc w:val="both"/>
    </w:pPr>
    <w:rPr>
      <w:b/>
      <w:sz w:val="18"/>
      <w:szCs w:val="18"/>
    </w:rPr>
  </w:style>
  <w:style w:type="character" w:customStyle="1" w:styleId="RIStabletextChar">
    <w:name w:val="RIS table text Char"/>
    <w:basedOn w:val="RISnumberlistChar"/>
    <w:link w:val="RIStabletext"/>
    <w:rsid w:val="0051557C"/>
    <w:rPr>
      <w:rFonts w:ascii="Arial" w:hAnsi="Arial"/>
      <w:i/>
      <w:sz w:val="18"/>
      <w:szCs w:val="18"/>
      <w:lang w:val="en-AU" w:eastAsia="en-US"/>
    </w:rPr>
  </w:style>
  <w:style w:type="character" w:customStyle="1" w:styleId="RIStabletextboldChar">
    <w:name w:val="RIS table text bold Char"/>
    <w:basedOn w:val="RISnumberlistChar"/>
    <w:link w:val="RIStabletextbold"/>
    <w:rsid w:val="0051557C"/>
    <w:rPr>
      <w:rFonts w:ascii="Arial" w:hAnsi="Arial"/>
      <w:b/>
      <w:sz w:val="18"/>
      <w:szCs w:val="18"/>
      <w:lang w:val="en-AU" w:eastAsia="en-US"/>
    </w:rPr>
  </w:style>
  <w:style w:type="character" w:customStyle="1" w:styleId="Heading6Char">
    <w:name w:val="Heading 6 Char"/>
    <w:basedOn w:val="DefaultParagraphFont"/>
    <w:link w:val="Heading6"/>
    <w:rsid w:val="00B27941"/>
    <w:rPr>
      <w:i/>
      <w:sz w:val="24"/>
      <w:lang w:val="en-GB" w:eastAsia="en-GB"/>
    </w:rPr>
  </w:style>
  <w:style w:type="paragraph" w:customStyle="1" w:styleId="RISsubparagraph">
    <w:name w:val="RIS subparagraph"/>
    <w:basedOn w:val="RISnumberlist"/>
    <w:link w:val="RISsubparagraphChar"/>
    <w:qFormat/>
    <w:rsid w:val="007427D6"/>
    <w:pPr>
      <w:numPr>
        <w:numId w:val="39"/>
      </w:numPr>
    </w:pPr>
  </w:style>
  <w:style w:type="character" w:customStyle="1" w:styleId="RISsubparagraphChar">
    <w:name w:val="RIS subparagraph Char"/>
    <w:basedOn w:val="RISnumberlistChar"/>
    <w:link w:val="RISsubparagraph"/>
    <w:rsid w:val="007427D6"/>
    <w:rPr>
      <w:rFonts w:ascii="Arial" w:hAnsi="Arial"/>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7941"/>
    <w:rPr>
      <w:sz w:val="24"/>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link w:val="Heading6Char"/>
    <w:qFormat/>
    <w:rsid w:val="00B271EF"/>
    <w:pPr>
      <w:spacing w:before="240"/>
      <w:outlineLvl w:val="5"/>
    </w:pPr>
    <w:rPr>
      <w:i/>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Cs w:val="44"/>
    </w:rPr>
  </w:style>
  <w:style w:type="paragraph" w:styleId="TOC2">
    <w:name w:val="toc 2"/>
    <w:basedOn w:val="Normal"/>
    <w:next w:val="Normal"/>
    <w:uiPriority w:val="39"/>
    <w:rsid w:val="00D56336"/>
    <w:pPr>
      <w:tabs>
        <w:tab w:val="right" w:leader="dot" w:pos="9214"/>
      </w:tabs>
      <w:spacing w:before="100" w:after="100"/>
      <w:ind w:left="709" w:right="284"/>
    </w:pPr>
    <w:rPr>
      <w:noProof/>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link w:val="Bullet-listChar"/>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link w:val="RISheadingChar"/>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71F9"/>
    <w:pPr>
      <w:autoSpaceDE w:val="0"/>
      <w:autoSpaceDN w:val="0"/>
      <w:adjustRightInd w:val="0"/>
    </w:pPr>
    <w:rPr>
      <w:color w:val="000000"/>
      <w:sz w:val="24"/>
      <w:szCs w:val="24"/>
    </w:rPr>
  </w:style>
  <w:style w:type="paragraph" w:customStyle="1" w:styleId="RISnumberlist">
    <w:name w:val="RIS number list"/>
    <w:basedOn w:val="Bullet-list"/>
    <w:link w:val="RISnumberlistChar"/>
    <w:qFormat/>
    <w:rsid w:val="001709A5"/>
    <w:pPr>
      <w:numPr>
        <w:numId w:val="41"/>
      </w:numPr>
      <w:spacing w:after="0" w:line="240" w:lineRule="auto"/>
      <w:ind w:left="360"/>
    </w:pPr>
    <w:rPr>
      <w:rFonts w:ascii="Times New Roman" w:hAnsi="Times New Roman"/>
      <w:sz w:val="24"/>
      <w:szCs w:val="24"/>
    </w:rPr>
  </w:style>
  <w:style w:type="character" w:customStyle="1" w:styleId="Bullet-listChar">
    <w:name w:val="Bullet-list Char"/>
    <w:basedOn w:val="DefaultParagraphFont"/>
    <w:link w:val="Bullet-list"/>
    <w:rsid w:val="004601ED"/>
    <w:rPr>
      <w:rFonts w:ascii="Arial" w:hAnsi="Arial"/>
      <w:sz w:val="22"/>
      <w:lang w:val="en-AU" w:eastAsia="en-US"/>
    </w:rPr>
  </w:style>
  <w:style w:type="character" w:customStyle="1" w:styleId="RISnumberlistChar">
    <w:name w:val="RIS number list Char"/>
    <w:basedOn w:val="Bullet-listChar"/>
    <w:link w:val="RISnumberlist"/>
    <w:rsid w:val="001709A5"/>
    <w:rPr>
      <w:rFonts w:ascii="Arial" w:hAnsi="Arial"/>
      <w:sz w:val="24"/>
      <w:szCs w:val="24"/>
      <w:lang w:val="en-AU" w:eastAsia="en-US"/>
    </w:rPr>
  </w:style>
  <w:style w:type="paragraph" w:customStyle="1" w:styleId="RISbulletlist">
    <w:name w:val="RIS bullet list"/>
    <w:basedOn w:val="Bullet-list"/>
    <w:link w:val="RISbulletlistChar"/>
    <w:qFormat/>
    <w:rsid w:val="001F6E89"/>
    <w:pPr>
      <w:numPr>
        <w:numId w:val="16"/>
      </w:numPr>
    </w:pPr>
    <w:rPr>
      <w:rFonts w:ascii="Times New Roman" w:hAnsi="Times New Roman"/>
      <w:sz w:val="24"/>
    </w:rPr>
  </w:style>
  <w:style w:type="character" w:customStyle="1" w:styleId="RISbulletlistChar">
    <w:name w:val="RIS bullet list Char"/>
    <w:basedOn w:val="Bullet-listChar"/>
    <w:link w:val="RISbulletlist"/>
    <w:rsid w:val="001F6E89"/>
    <w:rPr>
      <w:rFonts w:ascii="Arial" w:hAnsi="Arial"/>
      <w:sz w:val="24"/>
      <w:lang w:val="en-AU" w:eastAsia="en-US"/>
    </w:rPr>
  </w:style>
  <w:style w:type="paragraph" w:customStyle="1" w:styleId="RISheading2">
    <w:name w:val="RIS heading 2"/>
    <w:basedOn w:val="RISheading"/>
    <w:link w:val="RISheading2Char"/>
    <w:qFormat/>
    <w:rsid w:val="0070613B"/>
    <w:rPr>
      <w:w w:val="100"/>
    </w:rPr>
  </w:style>
  <w:style w:type="paragraph" w:customStyle="1" w:styleId="RISmajorheading">
    <w:name w:val="RIS major heading"/>
    <w:basedOn w:val="RISheading2"/>
    <w:link w:val="RISmajorheadingChar"/>
    <w:qFormat/>
    <w:rsid w:val="00193EBC"/>
  </w:style>
  <w:style w:type="character" w:customStyle="1" w:styleId="RISheadingChar">
    <w:name w:val="RIS heading Char"/>
    <w:basedOn w:val="Heading3Char"/>
    <w:link w:val="RISheading"/>
    <w:rsid w:val="00C13375"/>
    <w:rPr>
      <w:rFonts w:ascii="Arial" w:hAnsi="Arial"/>
      <w:b/>
      <w:color w:val="335087"/>
      <w:spacing w:val="20"/>
      <w:w w:val="90"/>
      <w:sz w:val="24"/>
      <w:szCs w:val="24"/>
      <w:lang w:val="en-GB" w:eastAsia="en-GB"/>
    </w:rPr>
  </w:style>
  <w:style w:type="character" w:customStyle="1" w:styleId="RISheading2Char">
    <w:name w:val="RIS heading 2 Char"/>
    <w:basedOn w:val="RISheadingChar"/>
    <w:link w:val="RISheading2"/>
    <w:rsid w:val="0070613B"/>
    <w:rPr>
      <w:rFonts w:ascii="Arial" w:hAnsi="Arial"/>
      <w:b/>
      <w:color w:val="335087"/>
      <w:spacing w:val="20"/>
      <w:w w:val="90"/>
      <w:sz w:val="24"/>
      <w:szCs w:val="24"/>
      <w:lang w:val="en-GB" w:eastAsia="en-GB"/>
    </w:rPr>
  </w:style>
  <w:style w:type="character" w:customStyle="1" w:styleId="RISmajorheadingChar">
    <w:name w:val="RIS major heading Char"/>
    <w:basedOn w:val="RISheading2Char"/>
    <w:link w:val="RISmajorheading"/>
    <w:rsid w:val="00193EBC"/>
    <w:rPr>
      <w:rFonts w:ascii="Arial" w:hAnsi="Arial"/>
      <w:b/>
      <w:color w:val="335087"/>
      <w:spacing w:val="20"/>
      <w:w w:val="90"/>
      <w:sz w:val="24"/>
      <w:szCs w:val="24"/>
      <w:lang w:val="en-GB" w:eastAsia="en-GB"/>
    </w:rPr>
  </w:style>
  <w:style w:type="paragraph" w:customStyle="1" w:styleId="RISsubheading">
    <w:name w:val="RIS subheading"/>
    <w:basedOn w:val="RISheading2"/>
    <w:link w:val="RISsubheadingChar"/>
    <w:qFormat/>
    <w:rsid w:val="0070613B"/>
    <w:rPr>
      <w:i/>
    </w:rPr>
  </w:style>
  <w:style w:type="character" w:customStyle="1" w:styleId="RISsubheadingChar">
    <w:name w:val="RIS subheading Char"/>
    <w:basedOn w:val="RISheading2Char"/>
    <w:link w:val="RISsubheading"/>
    <w:rsid w:val="0070613B"/>
    <w:rPr>
      <w:rFonts w:ascii="Arial" w:hAnsi="Arial"/>
      <w:b/>
      <w:i/>
      <w:color w:val="335087"/>
      <w:spacing w:val="20"/>
      <w:w w:val="90"/>
      <w:sz w:val="24"/>
      <w:szCs w:val="24"/>
      <w:lang w:val="en-GB" w:eastAsia="en-GB"/>
    </w:rPr>
  </w:style>
  <w:style w:type="paragraph" w:customStyle="1" w:styleId="RIStabletext">
    <w:name w:val="RIS table text"/>
    <w:basedOn w:val="RISnumberlist"/>
    <w:link w:val="RIStabletextChar"/>
    <w:qFormat/>
    <w:rsid w:val="0051557C"/>
    <w:pPr>
      <w:numPr>
        <w:numId w:val="0"/>
      </w:numPr>
      <w:spacing w:before="60" w:after="60"/>
      <w:jc w:val="both"/>
    </w:pPr>
    <w:rPr>
      <w:i/>
      <w:sz w:val="18"/>
      <w:szCs w:val="18"/>
    </w:rPr>
  </w:style>
  <w:style w:type="paragraph" w:customStyle="1" w:styleId="RIStabletextbold">
    <w:name w:val="RIS table text bold"/>
    <w:basedOn w:val="RISnumberlist"/>
    <w:link w:val="RIStabletextboldChar"/>
    <w:qFormat/>
    <w:rsid w:val="0051557C"/>
    <w:pPr>
      <w:numPr>
        <w:numId w:val="0"/>
      </w:numPr>
      <w:jc w:val="both"/>
    </w:pPr>
    <w:rPr>
      <w:b/>
      <w:sz w:val="18"/>
      <w:szCs w:val="18"/>
    </w:rPr>
  </w:style>
  <w:style w:type="character" w:customStyle="1" w:styleId="RIStabletextChar">
    <w:name w:val="RIS table text Char"/>
    <w:basedOn w:val="RISnumberlistChar"/>
    <w:link w:val="RIStabletext"/>
    <w:rsid w:val="0051557C"/>
    <w:rPr>
      <w:rFonts w:ascii="Arial" w:hAnsi="Arial"/>
      <w:i/>
      <w:sz w:val="18"/>
      <w:szCs w:val="18"/>
      <w:lang w:val="en-AU" w:eastAsia="en-US"/>
    </w:rPr>
  </w:style>
  <w:style w:type="character" w:customStyle="1" w:styleId="RIStabletextboldChar">
    <w:name w:val="RIS table text bold Char"/>
    <w:basedOn w:val="RISnumberlistChar"/>
    <w:link w:val="RIStabletextbold"/>
    <w:rsid w:val="0051557C"/>
    <w:rPr>
      <w:rFonts w:ascii="Arial" w:hAnsi="Arial"/>
      <w:b/>
      <w:sz w:val="18"/>
      <w:szCs w:val="18"/>
      <w:lang w:val="en-AU" w:eastAsia="en-US"/>
    </w:rPr>
  </w:style>
  <w:style w:type="character" w:customStyle="1" w:styleId="Heading6Char">
    <w:name w:val="Heading 6 Char"/>
    <w:basedOn w:val="DefaultParagraphFont"/>
    <w:link w:val="Heading6"/>
    <w:rsid w:val="00B27941"/>
    <w:rPr>
      <w:i/>
      <w:sz w:val="24"/>
      <w:lang w:val="en-GB" w:eastAsia="en-GB"/>
    </w:rPr>
  </w:style>
  <w:style w:type="paragraph" w:customStyle="1" w:styleId="RISsubparagraph">
    <w:name w:val="RIS subparagraph"/>
    <w:basedOn w:val="RISnumberlist"/>
    <w:link w:val="RISsubparagraphChar"/>
    <w:qFormat/>
    <w:rsid w:val="007427D6"/>
    <w:pPr>
      <w:numPr>
        <w:numId w:val="39"/>
      </w:numPr>
    </w:pPr>
  </w:style>
  <w:style w:type="character" w:customStyle="1" w:styleId="RISsubparagraphChar">
    <w:name w:val="RIS subparagraph Char"/>
    <w:basedOn w:val="RISnumberlistChar"/>
    <w:link w:val="RISsubparagraph"/>
    <w:rsid w:val="007427D6"/>
    <w:rPr>
      <w:rFonts w:ascii="Arial" w:hAnsi="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860D-6533-4003-B6DE-4BCD54F7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7530</Words>
  <Characters>42487</Characters>
  <Application>Microsoft Office Word</Application>
  <DocSecurity>0</DocSecurity>
  <Lines>1011</Lines>
  <Paragraphs>409</Paragraphs>
  <ScaleCrop>false</ScaleCrop>
  <HeadingPairs>
    <vt:vector size="2" baseType="variant">
      <vt:variant>
        <vt:lpstr>Title</vt:lpstr>
      </vt:variant>
      <vt:variant>
        <vt:i4>1</vt:i4>
      </vt:variant>
    </vt:vector>
  </HeadingPairs>
  <TitlesOfParts>
    <vt:vector size="1" baseType="lpstr">
      <vt:lpstr>Regulatory impact statement - Aircraft overhaul expenses: deductibility and timing (August 2015)</vt:lpstr>
    </vt:vector>
  </TitlesOfParts>
  <Company>Inland Revenue</Company>
  <LinksUpToDate>false</LinksUpToDate>
  <CharactersWithSpaces>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Aircraft overhaul expenses: deductibility and timing (August 2015)</dc:title>
  <dc:subject/>
  <dc:creator>Policy and Strategy</dc:creator>
  <cp:keywords/>
  <dc:description>Published May 2016.</dc:description>
  <cp:lastModifiedBy>David Nind</cp:lastModifiedBy>
  <cp:revision>2</cp:revision>
  <dcterms:created xsi:type="dcterms:W3CDTF">2016-05-02T21:32:00Z</dcterms:created>
  <dcterms:modified xsi:type="dcterms:W3CDTF">2016-05-02T21:33:00Z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