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BFF" w:rsidRDefault="00543BFF" w:rsidP="007E2640">
      <w:pPr>
        <w:tabs>
          <w:tab w:val="left" w:pos="567"/>
        </w:tabs>
        <w:jc w:val="right"/>
        <w:rPr>
          <w:szCs w:val="24"/>
          <w:lang w:eastAsia="en-AU"/>
        </w:rPr>
      </w:pPr>
      <w:bookmarkStart w:id="0" w:name="_GoBack"/>
      <w:bookmarkEnd w:id="0"/>
      <w:r>
        <w:rPr>
          <w:szCs w:val="24"/>
          <w:lang w:eastAsia="en-AU"/>
        </w:rPr>
        <w:t>Office of the Minister of Finance</w:t>
      </w:r>
    </w:p>
    <w:p w:rsidR="007E2640" w:rsidRPr="00DD23B8" w:rsidRDefault="004F6ED4" w:rsidP="007E2640">
      <w:pPr>
        <w:tabs>
          <w:tab w:val="left" w:pos="567"/>
        </w:tabs>
        <w:jc w:val="right"/>
        <w:rPr>
          <w:szCs w:val="24"/>
          <w:lang w:eastAsia="en-AU"/>
        </w:rPr>
      </w:pPr>
      <w:r w:rsidRPr="00DD23B8">
        <w:rPr>
          <w:szCs w:val="24"/>
          <w:lang w:eastAsia="en-AU"/>
        </w:rPr>
        <w:t xml:space="preserve">Office of the Minister of </w:t>
      </w:r>
      <w:r w:rsidR="00073796">
        <w:rPr>
          <w:szCs w:val="24"/>
          <w:lang w:eastAsia="en-AU"/>
        </w:rPr>
        <w:t>Revenue</w:t>
      </w:r>
    </w:p>
    <w:p w:rsidR="007E2640" w:rsidRPr="00DD23B8" w:rsidRDefault="007E2640" w:rsidP="007E2640">
      <w:pPr>
        <w:tabs>
          <w:tab w:val="left" w:pos="567"/>
        </w:tabs>
        <w:rPr>
          <w:szCs w:val="24"/>
          <w:lang w:eastAsia="en-AU"/>
        </w:rPr>
      </w:pPr>
    </w:p>
    <w:p w:rsidR="007E2640" w:rsidRPr="00DD23B8" w:rsidRDefault="007E2640" w:rsidP="007E2640">
      <w:pPr>
        <w:tabs>
          <w:tab w:val="left" w:pos="567"/>
        </w:tabs>
        <w:rPr>
          <w:szCs w:val="24"/>
          <w:lang w:eastAsia="en-AU"/>
        </w:rPr>
      </w:pPr>
    </w:p>
    <w:p w:rsidR="007E2640" w:rsidRPr="00DD23B8" w:rsidRDefault="00073796" w:rsidP="00550856">
      <w:pPr>
        <w:tabs>
          <w:tab w:val="left" w:pos="567"/>
        </w:tabs>
        <w:jc w:val="right"/>
        <w:rPr>
          <w:szCs w:val="24"/>
          <w:lang w:eastAsia="en-AU"/>
        </w:rPr>
      </w:pPr>
      <w:r>
        <w:rPr>
          <w:szCs w:val="24"/>
          <w:lang w:eastAsia="en-AU"/>
        </w:rPr>
        <w:t>Economic Growth and Infrastructure Committee</w:t>
      </w:r>
    </w:p>
    <w:p w:rsidR="007E2640" w:rsidRPr="00DD23B8" w:rsidRDefault="007E2640" w:rsidP="007E2640">
      <w:pPr>
        <w:tabs>
          <w:tab w:val="left" w:pos="567"/>
        </w:tabs>
        <w:rPr>
          <w:szCs w:val="24"/>
          <w:lang w:eastAsia="en-AU"/>
        </w:rPr>
      </w:pPr>
    </w:p>
    <w:p w:rsidR="00094E89" w:rsidRPr="00DD23B8" w:rsidRDefault="00094E89" w:rsidP="007E2640">
      <w:pPr>
        <w:tabs>
          <w:tab w:val="left" w:pos="567"/>
        </w:tabs>
        <w:rPr>
          <w:szCs w:val="24"/>
          <w:lang w:eastAsia="en-AU"/>
        </w:rPr>
      </w:pPr>
    </w:p>
    <w:p w:rsidR="007E2640" w:rsidRPr="00DD23B8" w:rsidRDefault="00683B0D" w:rsidP="00550856">
      <w:pPr>
        <w:tabs>
          <w:tab w:val="left" w:pos="567"/>
        </w:tabs>
        <w:rPr>
          <w:b/>
          <w:szCs w:val="24"/>
          <w:lang w:eastAsia="en-AU"/>
        </w:rPr>
      </w:pPr>
      <w:r>
        <w:rPr>
          <w:b/>
          <w:bCs/>
          <w:sz w:val="26"/>
          <w:szCs w:val="26"/>
          <w:lang w:eastAsia="en-AU"/>
        </w:rPr>
        <w:t xml:space="preserve">MEASURES TO STRENGTHEN TRANSFER PRICING </w:t>
      </w:r>
      <w:r w:rsidR="002038A7">
        <w:rPr>
          <w:b/>
          <w:bCs/>
          <w:sz w:val="26"/>
          <w:szCs w:val="26"/>
          <w:lang w:eastAsia="en-AU"/>
        </w:rPr>
        <w:t>RULES AND PREVENT PERMANENT ESTABLISHMENT AVOIDANCE</w:t>
      </w:r>
      <w:r w:rsidR="00C3340A">
        <w:rPr>
          <w:b/>
          <w:bCs/>
          <w:sz w:val="26"/>
          <w:szCs w:val="26"/>
          <w:lang w:eastAsia="en-AU"/>
        </w:rPr>
        <w:t xml:space="preserve"> – A</w:t>
      </w:r>
      <w:r w:rsidR="00601898">
        <w:rPr>
          <w:b/>
          <w:bCs/>
          <w:sz w:val="26"/>
          <w:szCs w:val="26"/>
          <w:lang w:eastAsia="en-AU"/>
        </w:rPr>
        <w:t xml:space="preserve"> GOVERNMENT DISCUSSION DOCUMENT</w:t>
      </w:r>
    </w:p>
    <w:p w:rsidR="007E2640" w:rsidRDefault="007E2640" w:rsidP="00094E89">
      <w:pPr>
        <w:tabs>
          <w:tab w:val="left" w:pos="567"/>
        </w:tabs>
        <w:jc w:val="both"/>
        <w:rPr>
          <w:szCs w:val="24"/>
          <w:lang w:eastAsia="en-AU"/>
        </w:rPr>
      </w:pPr>
    </w:p>
    <w:p w:rsidR="00763BDD" w:rsidRPr="00DD23B8" w:rsidRDefault="00763BDD" w:rsidP="00094E89">
      <w:pPr>
        <w:tabs>
          <w:tab w:val="left" w:pos="567"/>
        </w:tabs>
        <w:jc w:val="both"/>
        <w:rPr>
          <w:szCs w:val="24"/>
          <w:lang w:eastAsia="en-AU"/>
        </w:rPr>
      </w:pPr>
    </w:p>
    <w:p w:rsidR="007E2640" w:rsidRPr="00DD23B8" w:rsidRDefault="004F6ED4" w:rsidP="007E2640">
      <w:pPr>
        <w:tabs>
          <w:tab w:val="left" w:pos="567"/>
        </w:tabs>
        <w:rPr>
          <w:szCs w:val="24"/>
          <w:lang w:eastAsia="en-AU"/>
        </w:rPr>
      </w:pPr>
      <w:r w:rsidRPr="00DD23B8">
        <w:rPr>
          <w:b/>
          <w:bCs/>
          <w:szCs w:val="24"/>
          <w:lang w:eastAsia="en-AU"/>
        </w:rPr>
        <w:t>Proposal</w:t>
      </w:r>
    </w:p>
    <w:p w:rsidR="007E2640" w:rsidRPr="00DD23B8" w:rsidRDefault="007E2640" w:rsidP="007E2640">
      <w:pPr>
        <w:tabs>
          <w:tab w:val="left" w:pos="567"/>
        </w:tabs>
        <w:jc w:val="both"/>
        <w:rPr>
          <w:szCs w:val="24"/>
          <w:lang w:eastAsia="en-AU"/>
        </w:rPr>
      </w:pPr>
    </w:p>
    <w:p w:rsidR="00073796" w:rsidRPr="00E4232F" w:rsidRDefault="00073796" w:rsidP="00073796">
      <w:pPr>
        <w:pStyle w:val="Numberparagraph"/>
        <w:ind w:left="567" w:hanging="567"/>
      </w:pPr>
      <w:r>
        <w:t>This paper seeks the agreement of the Economic Growth and Infrast</w:t>
      </w:r>
      <w:r w:rsidR="00AB1C70">
        <w:t xml:space="preserve">ructure Committee to </w:t>
      </w:r>
      <w:r w:rsidR="000B1E9D">
        <w:t>prepare</w:t>
      </w:r>
      <w:r w:rsidR="00CA4FC1">
        <w:t xml:space="preserve"> and issue</w:t>
      </w:r>
      <w:r w:rsidR="00AB1C70">
        <w:t xml:space="preserve"> a Government </w:t>
      </w:r>
      <w:r w:rsidR="00340B11">
        <w:t>d</w:t>
      </w:r>
      <w:r w:rsidR="00AB1C70">
        <w:t xml:space="preserve">iscussion </w:t>
      </w:r>
      <w:r w:rsidR="00340B11">
        <w:t>d</w:t>
      </w:r>
      <w:r w:rsidR="00AB1C70">
        <w:t>ocument</w:t>
      </w:r>
      <w:r>
        <w:t xml:space="preserve"> </w:t>
      </w:r>
      <w:r w:rsidR="00CC509A">
        <w:t xml:space="preserve">primarily </w:t>
      </w:r>
      <w:r>
        <w:t xml:space="preserve">on </w:t>
      </w:r>
      <w:r w:rsidR="00683B0D">
        <w:t xml:space="preserve">measures to strengthen </w:t>
      </w:r>
      <w:r w:rsidR="00C82235">
        <w:t>transfer pricing</w:t>
      </w:r>
      <w:r w:rsidR="00947F1D">
        <w:t xml:space="preserve"> rules</w:t>
      </w:r>
      <w:r w:rsidR="00C82235">
        <w:t xml:space="preserve"> and </w:t>
      </w:r>
      <w:r w:rsidR="00EE0958">
        <w:t>prevent permanent establishment</w:t>
      </w:r>
      <w:r w:rsidR="001C0E9C">
        <w:t xml:space="preserve"> (PE)</w:t>
      </w:r>
      <w:r w:rsidR="00EE0958">
        <w:t xml:space="preserve"> avoidance</w:t>
      </w:r>
      <w:r>
        <w:t>.</w:t>
      </w:r>
      <w:r w:rsidR="00AD7FEE">
        <w:t xml:space="preserve">  </w:t>
      </w:r>
      <w:r w:rsidR="00CA4FC1">
        <w:t>Public</w:t>
      </w:r>
      <w:r w:rsidR="00AB1C70">
        <w:t xml:space="preserve"> feedback</w:t>
      </w:r>
      <w:r w:rsidR="00CA4FC1">
        <w:t xml:space="preserve"> on the </w:t>
      </w:r>
      <w:r w:rsidR="00C56367">
        <w:t>discussion</w:t>
      </w:r>
      <w:r w:rsidR="00CA4FC1">
        <w:t xml:space="preserve"> document</w:t>
      </w:r>
      <w:r w:rsidR="00AB1C70">
        <w:t xml:space="preserve"> </w:t>
      </w:r>
      <w:r w:rsidR="008C7696">
        <w:t>will be used to</w:t>
      </w:r>
      <w:r w:rsidR="009F1BF6">
        <w:t xml:space="preserve"> </w:t>
      </w:r>
      <w:r w:rsidR="00894E0B">
        <w:t xml:space="preserve">help </w:t>
      </w:r>
      <w:r w:rsidR="003B5531">
        <w:t>develop</w:t>
      </w:r>
      <w:r w:rsidR="008C7696">
        <w:t xml:space="preserve"> the best policy </w:t>
      </w:r>
      <w:proofErr w:type="gramStart"/>
      <w:r w:rsidR="008C7696">
        <w:t>for</w:t>
      </w:r>
      <w:proofErr w:type="gramEnd"/>
      <w:r w:rsidR="008C7696">
        <w:t xml:space="preserve"> </w:t>
      </w:r>
      <w:r w:rsidR="00683B0D">
        <w:t>these measures</w:t>
      </w:r>
      <w:r w:rsidR="00FC78A2">
        <w:t>.</w:t>
      </w:r>
      <w:r w:rsidR="008A63A9">
        <w:t xml:space="preserve"> </w:t>
      </w:r>
      <w:r w:rsidR="00AB1C70">
        <w:t xml:space="preserve"> </w:t>
      </w:r>
    </w:p>
    <w:p w:rsidR="007E2640" w:rsidRDefault="007E2640" w:rsidP="007E2640">
      <w:pPr>
        <w:tabs>
          <w:tab w:val="left" w:pos="567"/>
        </w:tabs>
        <w:jc w:val="both"/>
        <w:rPr>
          <w:b/>
          <w:bCs/>
          <w:szCs w:val="24"/>
          <w:lang w:eastAsia="en-AU"/>
        </w:rPr>
      </w:pPr>
    </w:p>
    <w:p w:rsidR="00C95BE4" w:rsidRPr="00DD23B8" w:rsidRDefault="00C95BE4" w:rsidP="007E2640">
      <w:pPr>
        <w:tabs>
          <w:tab w:val="left" w:pos="567"/>
        </w:tabs>
        <w:jc w:val="both"/>
        <w:rPr>
          <w:b/>
          <w:bCs/>
          <w:szCs w:val="24"/>
          <w:lang w:eastAsia="en-AU"/>
        </w:rPr>
      </w:pPr>
    </w:p>
    <w:p w:rsidR="007E2640" w:rsidRPr="00DD23B8" w:rsidRDefault="004F6ED4" w:rsidP="007E2640">
      <w:pPr>
        <w:tabs>
          <w:tab w:val="left" w:pos="567"/>
        </w:tabs>
        <w:jc w:val="both"/>
        <w:rPr>
          <w:szCs w:val="24"/>
          <w:lang w:eastAsia="en-AU"/>
        </w:rPr>
      </w:pPr>
      <w:r w:rsidRPr="00DD23B8">
        <w:rPr>
          <w:b/>
          <w:bCs/>
          <w:szCs w:val="24"/>
          <w:lang w:eastAsia="en-AU"/>
        </w:rPr>
        <w:t>Executive summary</w:t>
      </w:r>
    </w:p>
    <w:p w:rsidR="002C50FE" w:rsidRDefault="002C50FE" w:rsidP="002C50FE">
      <w:pPr>
        <w:tabs>
          <w:tab w:val="left" w:pos="567"/>
        </w:tabs>
        <w:jc w:val="both"/>
        <w:rPr>
          <w:szCs w:val="24"/>
          <w:lang w:eastAsia="en-AU"/>
        </w:rPr>
      </w:pPr>
    </w:p>
    <w:p w:rsidR="00B82769" w:rsidRDefault="00353904" w:rsidP="00B82769">
      <w:pPr>
        <w:pStyle w:val="Numberparagraph"/>
        <w:ind w:left="567" w:hanging="567"/>
      </w:pPr>
      <w:r>
        <w:t xml:space="preserve">There are international concerns about multinationals not paying their fair share of tax. </w:t>
      </w:r>
      <w:r w:rsidR="008714F3">
        <w:t>This is because some</w:t>
      </w:r>
      <w:r>
        <w:t xml:space="preserve"> multinationals use base erosion and profit shifting (BEPS)</w:t>
      </w:r>
      <w:r w:rsidRPr="007D0FBC">
        <w:t xml:space="preserve"> </w:t>
      </w:r>
      <w:r>
        <w:t xml:space="preserve">strategies that allow them to report low taxable profits in </w:t>
      </w:r>
      <w:r w:rsidR="00E0549E">
        <w:t xml:space="preserve">New Zealand and </w:t>
      </w:r>
      <w:r w:rsidR="008714F3">
        <w:t xml:space="preserve">many </w:t>
      </w:r>
      <w:r w:rsidR="00E0549E">
        <w:t xml:space="preserve">other countries in which </w:t>
      </w:r>
      <w:r w:rsidR="009A2086">
        <w:t xml:space="preserve">they </w:t>
      </w:r>
      <w:r w:rsidR="00E0549E">
        <w:t>operate.</w:t>
      </w:r>
      <w:r w:rsidR="000E582F">
        <w:t xml:space="preserve"> </w:t>
      </w:r>
      <w:r w:rsidR="00BD0869">
        <w:t xml:space="preserve">   </w:t>
      </w:r>
    </w:p>
    <w:p w:rsidR="00C63351" w:rsidRDefault="00C63351" w:rsidP="00C63351">
      <w:pPr>
        <w:pStyle w:val="Numberparagraph"/>
        <w:numPr>
          <w:ilvl w:val="0"/>
          <w:numId w:val="0"/>
        </w:numPr>
        <w:ind w:left="567"/>
      </w:pPr>
    </w:p>
    <w:p w:rsidR="00C63351" w:rsidRPr="00C82060" w:rsidRDefault="00C63351" w:rsidP="00C63351">
      <w:pPr>
        <w:pStyle w:val="Numberparagraph"/>
        <w:ind w:left="567" w:hanging="567"/>
      </w:pPr>
      <w:r w:rsidRPr="00C82060">
        <w:t>The OECD has recommended various courses of action</w:t>
      </w:r>
      <w:r>
        <w:t xml:space="preserve"> to address BEPS strategies</w:t>
      </w:r>
      <w:r w:rsidRPr="00C82060">
        <w:t xml:space="preserve"> in their BEPS Action Plan.  </w:t>
      </w:r>
      <w:r w:rsidR="00061ED3">
        <w:t xml:space="preserve">Along with other OECD </w:t>
      </w:r>
      <w:r w:rsidRPr="00C82060">
        <w:t xml:space="preserve">countries, New Zealand is </w:t>
      </w:r>
      <w:r w:rsidR="009A2086">
        <w:t>implementing</w:t>
      </w:r>
      <w:r w:rsidRPr="00C82060">
        <w:t xml:space="preserve"> a number of the</w:t>
      </w:r>
      <w:r>
        <w:t>se</w:t>
      </w:r>
      <w:r w:rsidRPr="00C82060">
        <w:t xml:space="preserve"> OECD recommendations.  </w:t>
      </w:r>
    </w:p>
    <w:p w:rsidR="00C63351" w:rsidRDefault="00C63351" w:rsidP="00C63351">
      <w:pPr>
        <w:pStyle w:val="Numberparagraph"/>
        <w:numPr>
          <w:ilvl w:val="0"/>
          <w:numId w:val="0"/>
        </w:numPr>
        <w:ind w:left="567"/>
      </w:pPr>
      <w:r>
        <w:t xml:space="preserve"> </w:t>
      </w:r>
    </w:p>
    <w:p w:rsidR="00C63351" w:rsidRDefault="00C63351" w:rsidP="00B82769">
      <w:pPr>
        <w:pStyle w:val="Numberparagraph"/>
        <w:ind w:left="567" w:hanging="567"/>
      </w:pPr>
      <w:r>
        <w:t xml:space="preserve">Another overseas response has been to impose a </w:t>
      </w:r>
      <w:r w:rsidR="00392BC3">
        <w:t>separate</w:t>
      </w:r>
      <w:r>
        <w:t xml:space="preserve"> tax on </w:t>
      </w:r>
      <w:r w:rsidR="00683B0D">
        <w:t xml:space="preserve">the </w:t>
      </w:r>
      <w:r w:rsidR="00392BC3">
        <w:t>diverted</w:t>
      </w:r>
      <w:r>
        <w:t xml:space="preserve"> p</w:t>
      </w:r>
      <w:r w:rsidR="00AB1C70">
        <w:t>rofits</w:t>
      </w:r>
      <w:r w:rsidR="00683B0D">
        <w:t xml:space="preserve"> </w:t>
      </w:r>
      <w:r w:rsidR="00884EDD">
        <w:t>that arise</w:t>
      </w:r>
      <w:r w:rsidR="00683B0D">
        <w:t xml:space="preserve"> </w:t>
      </w:r>
      <w:r w:rsidR="00884EDD">
        <w:t>from the transfer pricing and PE avoidance related BEPS strategies</w:t>
      </w:r>
      <w:r>
        <w:t xml:space="preserve">.  This is known as </w:t>
      </w:r>
      <w:r w:rsidR="00C95BE4">
        <w:t>a</w:t>
      </w:r>
      <w:r>
        <w:t xml:space="preserve"> diverted profits tax (</w:t>
      </w:r>
      <w:proofErr w:type="spellStart"/>
      <w:r>
        <w:t>DPT</w:t>
      </w:r>
      <w:proofErr w:type="spellEnd"/>
      <w:r>
        <w:t xml:space="preserve">), and has been adopted by Australia and the UK.  </w:t>
      </w:r>
      <w:r w:rsidR="00CA4FC1">
        <w:t>A</w:t>
      </w:r>
      <w:r w:rsidRPr="00071D9E">
        <w:t xml:space="preserve"> </w:t>
      </w:r>
      <w:proofErr w:type="spellStart"/>
      <w:r>
        <w:t>DPT</w:t>
      </w:r>
      <w:proofErr w:type="spellEnd"/>
      <w:r>
        <w:t xml:space="preserve"> is</w:t>
      </w:r>
      <w:r w:rsidRPr="00071D9E">
        <w:t xml:space="preserve"> levied at </w:t>
      </w:r>
      <w:r>
        <w:t xml:space="preserve">a </w:t>
      </w:r>
      <w:r w:rsidRPr="00071D9E">
        <w:t>penal rate</w:t>
      </w:r>
      <w:r>
        <w:t xml:space="preserve"> compared to income tax</w:t>
      </w:r>
      <w:r w:rsidR="00CA4FC1">
        <w:t xml:space="preserve"> and has</w:t>
      </w:r>
      <w:r w:rsidRPr="00071D9E">
        <w:t xml:space="preserve"> greatly enhanced assessment and collection powers. </w:t>
      </w:r>
      <w:r w:rsidR="006265DD">
        <w:t xml:space="preserve"> </w:t>
      </w:r>
      <w:r w:rsidR="00CA4FC1">
        <w:t>A</w:t>
      </w:r>
      <w:r w:rsidR="006265DD">
        <w:t xml:space="preserve"> </w:t>
      </w:r>
      <w:proofErr w:type="spellStart"/>
      <w:r w:rsidR="006265DD">
        <w:t>DPT</w:t>
      </w:r>
      <w:proofErr w:type="spellEnd"/>
      <w:r w:rsidR="006265DD">
        <w:t xml:space="preserve"> is</w:t>
      </w:r>
      <w:r w:rsidRPr="00071D9E">
        <w:t xml:space="preserve"> intended to incentivise </w:t>
      </w:r>
      <w:r>
        <w:t>multinationals</w:t>
      </w:r>
      <w:r w:rsidRPr="00071D9E">
        <w:t xml:space="preserve"> to pay the correct amount of income tax under the normal rules rather than to raise revenue by </w:t>
      </w:r>
      <w:r w:rsidR="00C95BE4">
        <w:t>itself</w:t>
      </w:r>
      <w:r w:rsidR="009E5C1C">
        <w:t>.</w:t>
      </w:r>
    </w:p>
    <w:p w:rsidR="009E5C1C" w:rsidRDefault="009E5C1C" w:rsidP="001F5C53"/>
    <w:p w:rsidR="000E582F" w:rsidRDefault="001F5C53" w:rsidP="000E582F">
      <w:pPr>
        <w:pStyle w:val="Numberparagraph"/>
        <w:ind w:left="567" w:hanging="567"/>
      </w:pPr>
      <w:r>
        <w:t>The aim of a</w:t>
      </w:r>
      <w:r w:rsidR="009E5C1C">
        <w:t xml:space="preserve"> </w:t>
      </w:r>
      <w:proofErr w:type="spellStart"/>
      <w:r w:rsidR="009E5C1C">
        <w:t>DPT</w:t>
      </w:r>
      <w:proofErr w:type="spellEnd"/>
      <w:r w:rsidR="003B5E96">
        <w:t xml:space="preserve"> is</w:t>
      </w:r>
      <w:r>
        <w:t xml:space="preserve"> to</w:t>
      </w:r>
      <w:r w:rsidR="003B5E96">
        <w:t xml:space="preserve"> </w:t>
      </w:r>
      <w:r w:rsidR="009E5C1C">
        <w:t>tax profits</w:t>
      </w:r>
      <w:r>
        <w:t xml:space="preserve"> that multinationals divert offshore (rather than allocate to their New Zealand operations).</w:t>
      </w:r>
      <w:r w:rsidR="005813E7">
        <w:t xml:space="preserve"> </w:t>
      </w:r>
      <w:r w:rsidR="000E582F">
        <w:t xml:space="preserve"> </w:t>
      </w:r>
      <w:r w:rsidR="003B5E96">
        <w:t xml:space="preserve">While </w:t>
      </w:r>
      <w:r w:rsidR="000E582F">
        <w:t xml:space="preserve">it </w:t>
      </w:r>
      <w:r w:rsidR="003B5E96">
        <w:t xml:space="preserve">is likely to achieve greater taxation of these profits, </w:t>
      </w:r>
      <w:r w:rsidR="002579F1">
        <w:t xml:space="preserve">it could impact on perceptions of </w:t>
      </w:r>
      <w:r w:rsidR="00027A90">
        <w:t>the predictability and fairness of New Zealand’s tax system for foreign investment.</w:t>
      </w:r>
      <w:r w:rsidR="000E582F">
        <w:t xml:space="preserve">  </w:t>
      </w:r>
      <w:r w:rsidR="00543BFF">
        <w:t xml:space="preserve">We </w:t>
      </w:r>
      <w:r w:rsidR="000E582F">
        <w:t>currently</w:t>
      </w:r>
      <w:r w:rsidR="009E5C1C" w:rsidRPr="005300CF">
        <w:t xml:space="preserve"> consider</w:t>
      </w:r>
      <w:r w:rsidR="009E5C1C">
        <w:t xml:space="preserve"> that</w:t>
      </w:r>
      <w:r w:rsidR="009E5C1C" w:rsidRPr="005300CF">
        <w:t xml:space="preserve"> a better appr</w:t>
      </w:r>
      <w:r w:rsidR="00AB1C70">
        <w:t xml:space="preserve">oach </w:t>
      </w:r>
      <w:r w:rsidR="009E5C1C">
        <w:t>is to take</w:t>
      </w:r>
      <w:r w:rsidR="009E5C1C" w:rsidRPr="005300CF">
        <w:t xml:space="preserve"> </w:t>
      </w:r>
      <w:r w:rsidR="00263481">
        <w:t>certain</w:t>
      </w:r>
      <w:r w:rsidR="009E5C1C" w:rsidRPr="005300CF">
        <w:t xml:space="preserve"> features of a </w:t>
      </w:r>
      <w:proofErr w:type="spellStart"/>
      <w:r w:rsidR="009E5C1C" w:rsidRPr="005300CF">
        <w:t>DPT</w:t>
      </w:r>
      <w:proofErr w:type="spellEnd"/>
      <w:r w:rsidR="009E5C1C" w:rsidRPr="005300CF">
        <w:t xml:space="preserve"> and combine them with the OECD’s BEPS measures and some domestic law amendments</w:t>
      </w:r>
      <w:r w:rsidR="009E5C1C">
        <w:t xml:space="preserve"> to produce</w:t>
      </w:r>
      <w:r w:rsidR="009E5C1C" w:rsidRPr="005300CF">
        <w:t xml:space="preserve"> a package</w:t>
      </w:r>
      <w:r w:rsidR="009E5C1C">
        <w:t xml:space="preserve"> that is</w:t>
      </w:r>
      <w:r w:rsidR="009E5C1C" w:rsidRPr="005300CF">
        <w:t xml:space="preserve"> tailored for the New Zealand environment.</w:t>
      </w:r>
      <w:r w:rsidR="009E5C1C">
        <w:t xml:space="preserve"> </w:t>
      </w:r>
      <w:r w:rsidR="009E5C1C" w:rsidRPr="005300CF">
        <w:t xml:space="preserve"> This </w:t>
      </w:r>
      <w:r w:rsidR="009E5C1C">
        <w:t xml:space="preserve">approach </w:t>
      </w:r>
      <w:r w:rsidR="009E5C1C" w:rsidRPr="005300CF">
        <w:t xml:space="preserve">should be as effective as a </w:t>
      </w:r>
      <w:proofErr w:type="spellStart"/>
      <w:r w:rsidR="009E5C1C" w:rsidRPr="005300CF">
        <w:t>DPT</w:t>
      </w:r>
      <w:proofErr w:type="spellEnd"/>
      <w:r w:rsidR="009E5C1C" w:rsidRPr="005300CF">
        <w:t xml:space="preserve"> in </w:t>
      </w:r>
      <w:r w:rsidR="00884EDD">
        <w:t>addressing</w:t>
      </w:r>
      <w:r w:rsidR="009E5C1C" w:rsidRPr="005300CF">
        <w:t xml:space="preserve"> </w:t>
      </w:r>
      <w:r w:rsidR="00884EDD">
        <w:t>transfer pricing and PE avoidance related BEPS strategies</w:t>
      </w:r>
      <w:r w:rsidR="00884EDD" w:rsidRPr="005300CF">
        <w:t xml:space="preserve"> </w:t>
      </w:r>
      <w:r w:rsidR="009E5C1C" w:rsidRPr="005300CF">
        <w:t xml:space="preserve">in New Zealand, but it </w:t>
      </w:r>
      <w:r w:rsidR="000E582F">
        <w:t>would</w:t>
      </w:r>
      <w:r w:rsidR="009E5C1C" w:rsidRPr="005300CF">
        <w:t xml:space="preserve"> do so within our current frameworks and with fewer drawbacks.  </w:t>
      </w:r>
      <w:r w:rsidR="0020130B">
        <w:t xml:space="preserve">However </w:t>
      </w:r>
      <w:r w:rsidR="00E0549E">
        <w:t xml:space="preserve">we </w:t>
      </w:r>
      <w:r w:rsidR="0020130B">
        <w:t xml:space="preserve">do not wish to rule out the adoption of a </w:t>
      </w:r>
      <w:proofErr w:type="spellStart"/>
      <w:r w:rsidR="0020130B">
        <w:t>DPT</w:t>
      </w:r>
      <w:proofErr w:type="spellEnd"/>
      <w:r w:rsidR="0020130B">
        <w:t xml:space="preserve"> </w:t>
      </w:r>
      <w:r w:rsidR="0015267E">
        <w:t>at this early stage of policy development</w:t>
      </w:r>
      <w:r w:rsidR="0020130B">
        <w:t>.</w:t>
      </w:r>
      <w:r w:rsidR="00B52166">
        <w:t xml:space="preserve">  </w:t>
      </w:r>
    </w:p>
    <w:p w:rsidR="00B52166" w:rsidRDefault="00B52166" w:rsidP="00010945">
      <w:pPr>
        <w:pStyle w:val="Numberparagraph"/>
        <w:numPr>
          <w:ilvl w:val="0"/>
          <w:numId w:val="0"/>
        </w:numPr>
        <w:ind w:left="567"/>
      </w:pPr>
    </w:p>
    <w:p w:rsidR="00B52166" w:rsidRDefault="00B52166" w:rsidP="00BB7358">
      <w:pPr>
        <w:pStyle w:val="Numberparagraph"/>
        <w:ind w:left="567" w:hanging="567"/>
      </w:pPr>
      <w:r>
        <w:lastRenderedPageBreak/>
        <w:t xml:space="preserve">Similar to the </w:t>
      </w:r>
      <w:proofErr w:type="spellStart"/>
      <w:r>
        <w:t>DPT</w:t>
      </w:r>
      <w:proofErr w:type="spellEnd"/>
      <w:r>
        <w:t xml:space="preserve"> adopted by the UK and Australia, </w:t>
      </w:r>
      <w:r w:rsidR="00683B0D">
        <w:t>our</w:t>
      </w:r>
      <w:r>
        <w:t xml:space="preserve"> package would be an anti-avoidance measure.  It would</w:t>
      </w:r>
      <w:r w:rsidRPr="005300CF">
        <w:t xml:space="preserve"> not change the fundamental basis on which non-residents ar</w:t>
      </w:r>
      <w:r>
        <w:t xml:space="preserve">e taxed.  For this reason, </w:t>
      </w:r>
      <w:r w:rsidR="00683B0D">
        <w:t>our</w:t>
      </w:r>
      <w:r>
        <w:t xml:space="preserve"> package</w:t>
      </w:r>
      <w:r w:rsidR="005813E7">
        <w:t xml:space="preserve"> (like the Australian and UK </w:t>
      </w:r>
      <w:proofErr w:type="spellStart"/>
      <w:r w:rsidR="005813E7">
        <w:t>DPTs</w:t>
      </w:r>
      <w:proofErr w:type="spellEnd"/>
      <w:r w:rsidR="005813E7">
        <w:t>)</w:t>
      </w:r>
      <w:r w:rsidRPr="005300CF">
        <w:t xml:space="preserve"> would not tax non-resident suppliers without a material physical presence in New Zealand.  Such non-resident suppliers include multinationals that </w:t>
      </w:r>
      <w:proofErr w:type="gramStart"/>
      <w:r w:rsidRPr="005300CF">
        <w:t>have</w:t>
      </w:r>
      <w:proofErr w:type="gramEnd"/>
      <w:r w:rsidRPr="005300CF">
        <w:t xml:space="preserve"> been the focus of some public concern in New Zealand</w:t>
      </w:r>
      <w:r>
        <w:t xml:space="preserve"> and internationally</w:t>
      </w:r>
      <w:r w:rsidRPr="005300CF">
        <w:t xml:space="preserve">.  </w:t>
      </w:r>
      <w:r>
        <w:t xml:space="preserve">     </w:t>
      </w:r>
    </w:p>
    <w:p w:rsidR="000E582F" w:rsidRDefault="000E582F" w:rsidP="000E582F">
      <w:pPr>
        <w:pStyle w:val="ListParagraph"/>
      </w:pPr>
    </w:p>
    <w:p w:rsidR="000E582F" w:rsidRDefault="00AB1C70" w:rsidP="000E582F">
      <w:pPr>
        <w:pStyle w:val="Numberparagraph"/>
        <w:ind w:left="567" w:hanging="567"/>
      </w:pPr>
      <w:r>
        <w:t>The proposed discussion document</w:t>
      </w:r>
      <w:r w:rsidR="002476BE">
        <w:t xml:space="preserve"> would outline </w:t>
      </w:r>
      <w:r w:rsidR="00683B0D">
        <w:t>our</w:t>
      </w:r>
      <w:r w:rsidR="009549FC">
        <w:t xml:space="preserve"> package</w:t>
      </w:r>
      <w:r w:rsidR="002E2586">
        <w:t xml:space="preserve"> as the currently preferred method of </w:t>
      </w:r>
      <w:r w:rsidR="00683B0D">
        <w:t xml:space="preserve">addressing </w:t>
      </w:r>
      <w:r w:rsidR="00EE0958">
        <w:t xml:space="preserve">transfer pricing and </w:t>
      </w:r>
      <w:r w:rsidR="001C0E9C">
        <w:t>PE</w:t>
      </w:r>
      <w:r w:rsidR="00EE0958">
        <w:t xml:space="preserve"> </w:t>
      </w:r>
      <w:r w:rsidR="001C0E9C">
        <w:t>avoidance</w:t>
      </w:r>
      <w:r w:rsidR="00EE0958">
        <w:t xml:space="preserve"> (</w:t>
      </w:r>
      <w:proofErr w:type="spellStart"/>
      <w:r w:rsidR="001C0E9C">
        <w:t>TP</w:t>
      </w:r>
      <w:proofErr w:type="spellEnd"/>
      <w:r w:rsidR="001C0E9C">
        <w:t xml:space="preserve"> and PE avoidance</w:t>
      </w:r>
      <w:r w:rsidR="00EE0958">
        <w:t>)</w:t>
      </w:r>
      <w:r>
        <w:t xml:space="preserve">, while noting that a </w:t>
      </w:r>
      <w:proofErr w:type="spellStart"/>
      <w:r>
        <w:t>DPT</w:t>
      </w:r>
      <w:proofErr w:type="spellEnd"/>
      <w:r>
        <w:t xml:space="preserve"> has not been ruled out</w:t>
      </w:r>
      <w:r w:rsidR="002E2586">
        <w:t xml:space="preserve">.  </w:t>
      </w:r>
      <w:r w:rsidR="009549FC">
        <w:t xml:space="preserve">Public feedback on the </w:t>
      </w:r>
      <w:r w:rsidR="002E2586">
        <w:t>package</w:t>
      </w:r>
      <w:r w:rsidR="009549FC">
        <w:t xml:space="preserve"> would be</w:t>
      </w:r>
      <w:r w:rsidR="002476BE">
        <w:t xml:space="preserve"> invite</w:t>
      </w:r>
      <w:r w:rsidR="009549FC">
        <w:t>d</w:t>
      </w:r>
      <w:r w:rsidR="002476BE">
        <w:t>.</w:t>
      </w:r>
      <w:r w:rsidR="0020130B">
        <w:t xml:space="preserve">  </w:t>
      </w:r>
      <w:r w:rsidR="00B10B2B">
        <w:t xml:space="preserve">The proposed discussion document would be released in early 2017. </w:t>
      </w:r>
    </w:p>
    <w:p w:rsidR="00B82769" w:rsidRPr="00E4232F" w:rsidRDefault="00B82769" w:rsidP="000E582F">
      <w:pPr>
        <w:pStyle w:val="Numberparagraph"/>
        <w:numPr>
          <w:ilvl w:val="0"/>
          <w:numId w:val="0"/>
        </w:numPr>
        <w:ind w:left="567"/>
      </w:pPr>
    </w:p>
    <w:p w:rsidR="004171DE" w:rsidRDefault="004171DE" w:rsidP="000815FA">
      <w:pPr>
        <w:rPr>
          <w:b/>
          <w:bCs/>
          <w:szCs w:val="24"/>
          <w:lang w:eastAsia="en-AU"/>
        </w:rPr>
      </w:pPr>
    </w:p>
    <w:p w:rsidR="007E2640" w:rsidRPr="00DD23B8" w:rsidRDefault="000815FA" w:rsidP="000815FA">
      <w:pPr>
        <w:rPr>
          <w:szCs w:val="24"/>
          <w:lang w:eastAsia="en-AU"/>
        </w:rPr>
      </w:pPr>
      <w:r>
        <w:rPr>
          <w:b/>
          <w:bCs/>
          <w:szCs w:val="24"/>
          <w:lang w:eastAsia="en-AU"/>
        </w:rPr>
        <w:t>B</w:t>
      </w:r>
      <w:r w:rsidR="004F6ED4" w:rsidRPr="00DD23B8">
        <w:rPr>
          <w:b/>
          <w:bCs/>
          <w:szCs w:val="24"/>
          <w:lang w:eastAsia="en-AU"/>
        </w:rPr>
        <w:t>ackground</w:t>
      </w:r>
    </w:p>
    <w:p w:rsidR="00D23100" w:rsidRPr="00DD23B8" w:rsidRDefault="00D23100" w:rsidP="007E2640">
      <w:pPr>
        <w:tabs>
          <w:tab w:val="left" w:pos="567"/>
        </w:tabs>
        <w:jc w:val="both"/>
        <w:rPr>
          <w:szCs w:val="24"/>
          <w:lang w:eastAsia="en-AU"/>
        </w:rPr>
      </w:pPr>
    </w:p>
    <w:p w:rsidR="00AD7FEE" w:rsidRPr="005300CF" w:rsidRDefault="00353904" w:rsidP="00EA7A3F">
      <w:pPr>
        <w:pStyle w:val="Numberparagraph"/>
        <w:ind w:left="567" w:hanging="567"/>
      </w:pPr>
      <w:r>
        <w:t xml:space="preserve">Through the use of </w:t>
      </w:r>
      <w:proofErr w:type="spellStart"/>
      <w:r>
        <w:t>TP</w:t>
      </w:r>
      <w:proofErr w:type="spellEnd"/>
      <w:r>
        <w:t xml:space="preserve"> and PE avoidance strategies, s</w:t>
      </w:r>
      <w:r w:rsidR="00AD7FEE">
        <w:t>ome multinationals</w:t>
      </w:r>
      <w:r w:rsidR="006265DD">
        <w:t xml:space="preserve"> </w:t>
      </w:r>
      <w:r w:rsidR="000815FA">
        <w:t xml:space="preserve">are able to </w:t>
      </w:r>
      <w:r w:rsidR="00AD7FEE" w:rsidRPr="005300CF">
        <w:t xml:space="preserve">report low taxable profits in New Zealand despite </w:t>
      </w:r>
      <w:r>
        <w:t xml:space="preserve">carrying on </w:t>
      </w:r>
      <w:r w:rsidR="00AD7FEE" w:rsidRPr="005300CF">
        <w:t>significant economic activity here</w:t>
      </w:r>
      <w:r>
        <w:t>.</w:t>
      </w:r>
      <w:r w:rsidR="000815FA">
        <w:t xml:space="preserve"> </w:t>
      </w:r>
      <w:r w:rsidR="006265DD">
        <w:t xml:space="preserve">  Th</w:t>
      </w:r>
      <w:r w:rsidR="005813E7">
        <w:t>ese avoidance strategies</w:t>
      </w:r>
      <w:r w:rsidR="006265DD">
        <w:t xml:space="preserve"> involve</w:t>
      </w:r>
      <w:r w:rsidR="00AD7FEE" w:rsidRPr="005300CF">
        <w:t>:</w:t>
      </w:r>
    </w:p>
    <w:p w:rsidR="00AD7FEE" w:rsidRPr="005300CF" w:rsidRDefault="00AD7FEE" w:rsidP="00AD7FEE">
      <w:pPr>
        <w:pStyle w:val="Numberparagraph"/>
        <w:numPr>
          <w:ilvl w:val="0"/>
          <w:numId w:val="0"/>
        </w:numPr>
      </w:pPr>
    </w:p>
    <w:p w:rsidR="00A30969" w:rsidRPr="005300CF" w:rsidRDefault="00AD7FEE" w:rsidP="00A30969">
      <w:pPr>
        <w:pStyle w:val="Numberparagraph"/>
        <w:numPr>
          <w:ilvl w:val="1"/>
          <w:numId w:val="6"/>
        </w:numPr>
      </w:pPr>
      <w:r w:rsidRPr="005300CF">
        <w:rPr>
          <w:b/>
          <w:i/>
        </w:rPr>
        <w:t>Tax structuring</w:t>
      </w:r>
      <w:r w:rsidRPr="005300CF">
        <w:t>:  In order for New Zealand to tax a non-resident on its sales</w:t>
      </w:r>
      <w:r>
        <w:t xml:space="preserve"> here</w:t>
      </w:r>
      <w:r w:rsidRPr="005300CF">
        <w:t>, the non-resident must have a taxable presence</w:t>
      </w:r>
      <w:r w:rsidR="005813E7">
        <w:t xml:space="preserve"> (</w:t>
      </w:r>
      <w:proofErr w:type="spellStart"/>
      <w:r w:rsidR="005813E7">
        <w:t>ie</w:t>
      </w:r>
      <w:proofErr w:type="spellEnd"/>
      <w:r w:rsidR="005813E7">
        <w:t>. a PE)</w:t>
      </w:r>
      <w:r w:rsidRPr="005300CF">
        <w:t xml:space="preserve"> in New Zealand.  </w:t>
      </w:r>
      <w:r>
        <w:t>However non</w:t>
      </w:r>
      <w:r w:rsidRPr="005300CF">
        <w:t xml:space="preserve">-residents can structure their affairs to avoid </w:t>
      </w:r>
      <w:r>
        <w:t>such a taxable presence</w:t>
      </w:r>
      <w:r w:rsidRPr="005300CF">
        <w:t xml:space="preserve">, even </w:t>
      </w:r>
      <w:r>
        <w:t>when</w:t>
      </w:r>
      <w:r w:rsidRPr="005300CF">
        <w:t xml:space="preserve"> they are involved in significant economic activity here</w:t>
      </w:r>
      <w:r>
        <w:t xml:space="preserve"> (</w:t>
      </w:r>
      <w:r w:rsidR="00947F1D">
        <w:t>PE</w:t>
      </w:r>
      <w:r>
        <w:t xml:space="preserve"> avoidance)</w:t>
      </w:r>
      <w:r w:rsidRPr="005300CF">
        <w:t>.  Non-residents can also enter into arrangements with related parties that reduce their taxable profits in New Zealand, but lack economic substance</w:t>
      </w:r>
      <w:r>
        <w:t xml:space="preserve"> (transfer pricing </w:t>
      </w:r>
      <w:r w:rsidR="00947F1D">
        <w:t>avoidance</w:t>
      </w:r>
      <w:r>
        <w:t>)</w:t>
      </w:r>
      <w:r w:rsidRPr="005300CF">
        <w:t>.</w:t>
      </w:r>
      <w:r w:rsidR="00A30969" w:rsidRPr="00A30969">
        <w:t xml:space="preserve"> </w:t>
      </w:r>
    </w:p>
    <w:p w:rsidR="00AD7FEE" w:rsidRPr="005300CF" w:rsidRDefault="00AD7FEE" w:rsidP="00AD7FEE">
      <w:pPr>
        <w:pStyle w:val="Numberparagraph"/>
        <w:numPr>
          <w:ilvl w:val="0"/>
          <w:numId w:val="0"/>
        </w:numPr>
        <w:ind w:left="567"/>
      </w:pPr>
    </w:p>
    <w:p w:rsidR="00A30969" w:rsidRPr="005300CF" w:rsidRDefault="00AD7FEE" w:rsidP="00A30969">
      <w:pPr>
        <w:pStyle w:val="Numberparagraph"/>
        <w:numPr>
          <w:ilvl w:val="1"/>
          <w:numId w:val="6"/>
        </w:numPr>
      </w:pPr>
      <w:r w:rsidRPr="00C24679">
        <w:rPr>
          <w:b/>
          <w:i/>
        </w:rPr>
        <w:t>Creating</w:t>
      </w:r>
      <w:r>
        <w:rPr>
          <w:b/>
        </w:rPr>
        <w:t xml:space="preserve"> </w:t>
      </w:r>
      <w:r>
        <w:rPr>
          <w:b/>
          <w:i/>
        </w:rPr>
        <w:t>e</w:t>
      </w:r>
      <w:r w:rsidRPr="005300CF">
        <w:rPr>
          <w:b/>
          <w:i/>
        </w:rPr>
        <w:t xml:space="preserve">nforcement </w:t>
      </w:r>
      <w:r>
        <w:rPr>
          <w:b/>
          <w:i/>
        </w:rPr>
        <w:t>barriers</w:t>
      </w:r>
      <w:r w:rsidRPr="005300CF">
        <w:t>: It is difficult and resource intensive to assess and engage in disputes with multinationals in practice.  This is due to the highly factual nature o</w:t>
      </w:r>
      <w:r>
        <w:t xml:space="preserve">f the issues and the difficulties Inland Revenue faces in obtaining the </w:t>
      </w:r>
      <w:r w:rsidRPr="005300CF">
        <w:t>relevant information.</w:t>
      </w:r>
      <w:r w:rsidR="00A30969" w:rsidRPr="00A30969">
        <w:t xml:space="preserve"> </w:t>
      </w:r>
    </w:p>
    <w:p w:rsidR="00AD7FEE" w:rsidRPr="005300CF" w:rsidRDefault="00AD7FEE" w:rsidP="00A30969">
      <w:pPr>
        <w:pStyle w:val="Numberparagraph"/>
        <w:numPr>
          <w:ilvl w:val="0"/>
          <w:numId w:val="0"/>
        </w:numPr>
        <w:ind w:left="567"/>
      </w:pPr>
    </w:p>
    <w:p w:rsidR="00AD7FEE" w:rsidRDefault="001A61F6" w:rsidP="00AD7FEE">
      <w:pPr>
        <w:pStyle w:val="Numberparagraph"/>
        <w:ind w:left="567" w:hanging="567"/>
      </w:pPr>
      <w:r>
        <w:t>W</w:t>
      </w:r>
      <w:r w:rsidR="00AD7FEE">
        <w:t>hile the majority of multinationals operating here are compliant there is a minority that engage in aggressive tax practices.  This kind of aggressive tax planning may increase if</w:t>
      </w:r>
      <w:r w:rsidR="00010945">
        <w:t xml:space="preserve"> it</w:t>
      </w:r>
      <w:r w:rsidR="00AD7FEE">
        <w:t xml:space="preserve"> is left unchecked.  In addition, incentives to engage in these practices could increase as we address other profit shifting techniques through hybrid mismatch arrangements and excessive interest deductions (among other things).  </w:t>
      </w:r>
    </w:p>
    <w:p w:rsidR="00AD7FEE" w:rsidRDefault="00AD7FEE" w:rsidP="00AD7FEE">
      <w:pPr>
        <w:pStyle w:val="Numberparagraph"/>
        <w:numPr>
          <w:ilvl w:val="0"/>
          <w:numId w:val="0"/>
        </w:numPr>
      </w:pPr>
    </w:p>
    <w:p w:rsidR="00AD7FEE" w:rsidRDefault="00AD7FEE" w:rsidP="00AD7FEE">
      <w:pPr>
        <w:pStyle w:val="Numberparagraph"/>
        <w:ind w:left="567" w:hanging="567"/>
      </w:pPr>
      <w:r>
        <w:t>Addressing</w:t>
      </w:r>
      <w:r w:rsidRPr="005300CF">
        <w:t xml:space="preserve"> </w:t>
      </w:r>
      <w:proofErr w:type="spellStart"/>
      <w:r w:rsidR="00947F1D">
        <w:t>TP</w:t>
      </w:r>
      <w:proofErr w:type="spellEnd"/>
      <w:r w:rsidR="00947F1D">
        <w:t xml:space="preserve"> and PE avoidance</w:t>
      </w:r>
      <w:r w:rsidR="00947F1D" w:rsidDel="00947F1D">
        <w:t xml:space="preserve"> </w:t>
      </w:r>
      <w:r>
        <w:t>is</w:t>
      </w:r>
      <w:r w:rsidRPr="005300CF">
        <w:t xml:space="preserve"> </w:t>
      </w:r>
      <w:r>
        <w:t>as much a</w:t>
      </w:r>
      <w:r w:rsidRPr="005300CF">
        <w:t xml:space="preserve"> revenue integrity measure </w:t>
      </w:r>
      <w:r>
        <w:t>as</w:t>
      </w:r>
      <w:r w:rsidRPr="005300CF">
        <w:t xml:space="preserve"> a revenue raising measure.  For New Zealanders to have confidence in our tax system</w:t>
      </w:r>
      <w:r>
        <w:t>,</w:t>
      </w:r>
      <w:r w:rsidRPr="005300CF">
        <w:t xml:space="preserve"> it is important that everyone is seen to pay their fair share of tax, including multinationals.   </w:t>
      </w:r>
    </w:p>
    <w:p w:rsidR="00AD7FEE" w:rsidRDefault="00AD7FEE" w:rsidP="00AD7FEE">
      <w:pPr>
        <w:pStyle w:val="ListParagraph"/>
      </w:pPr>
    </w:p>
    <w:p w:rsidR="00464FAD" w:rsidRDefault="00464FAD" w:rsidP="007E2640">
      <w:pPr>
        <w:tabs>
          <w:tab w:val="left" w:pos="567"/>
        </w:tabs>
        <w:jc w:val="both"/>
        <w:rPr>
          <w:b/>
          <w:bCs/>
          <w:szCs w:val="24"/>
          <w:lang w:eastAsia="en-AU"/>
        </w:rPr>
      </w:pPr>
    </w:p>
    <w:p w:rsidR="007E2640" w:rsidRPr="00DD23B8" w:rsidRDefault="004F6ED4" w:rsidP="007E2640">
      <w:pPr>
        <w:tabs>
          <w:tab w:val="left" w:pos="567"/>
        </w:tabs>
        <w:jc w:val="both"/>
        <w:rPr>
          <w:szCs w:val="24"/>
          <w:lang w:eastAsia="en-AU"/>
        </w:rPr>
      </w:pPr>
      <w:r w:rsidRPr="00DD23B8">
        <w:rPr>
          <w:b/>
          <w:bCs/>
          <w:szCs w:val="24"/>
          <w:lang w:eastAsia="en-AU"/>
        </w:rPr>
        <w:t>Comment</w:t>
      </w:r>
    </w:p>
    <w:p w:rsidR="00D23100" w:rsidRPr="00DD23B8" w:rsidRDefault="00D23100" w:rsidP="007E2640">
      <w:pPr>
        <w:tabs>
          <w:tab w:val="left" w:pos="567"/>
        </w:tabs>
        <w:jc w:val="both"/>
        <w:rPr>
          <w:szCs w:val="24"/>
          <w:lang w:eastAsia="en-AU"/>
        </w:rPr>
      </w:pPr>
    </w:p>
    <w:p w:rsidR="00AD7FEE" w:rsidRPr="00061ED3" w:rsidRDefault="00F8448D" w:rsidP="00AD7FEE">
      <w:pPr>
        <w:rPr>
          <w:b/>
          <w:i/>
        </w:rPr>
      </w:pPr>
      <w:r>
        <w:rPr>
          <w:b/>
          <w:i/>
        </w:rPr>
        <w:t>Possible</w:t>
      </w:r>
      <w:r w:rsidR="00AD7FEE" w:rsidRPr="00AD7FEE">
        <w:rPr>
          <w:b/>
          <w:i/>
        </w:rPr>
        <w:t xml:space="preserve"> </w:t>
      </w:r>
      <w:r w:rsidR="00AD7FEE" w:rsidRPr="008714F3">
        <w:rPr>
          <w:b/>
          <w:i/>
        </w:rPr>
        <w:t xml:space="preserve">responses to </w:t>
      </w:r>
      <w:proofErr w:type="spellStart"/>
      <w:r w:rsidR="00947F1D" w:rsidRPr="00061ED3">
        <w:rPr>
          <w:b/>
          <w:i/>
        </w:rPr>
        <w:t>TP</w:t>
      </w:r>
      <w:proofErr w:type="spellEnd"/>
      <w:r w:rsidR="00947F1D" w:rsidRPr="00061ED3">
        <w:rPr>
          <w:b/>
          <w:i/>
        </w:rPr>
        <w:t xml:space="preserve"> and PE avoidance</w:t>
      </w:r>
    </w:p>
    <w:p w:rsidR="00AD7FEE" w:rsidRPr="005300CF" w:rsidRDefault="00AD7FEE" w:rsidP="00AD7FEE"/>
    <w:p w:rsidR="00C52F94" w:rsidRDefault="00F8448D" w:rsidP="00AD7FEE">
      <w:pPr>
        <w:pStyle w:val="Numberparagraph"/>
        <w:ind w:left="567" w:hanging="567"/>
      </w:pPr>
      <w:r>
        <w:t xml:space="preserve">There are </w:t>
      </w:r>
      <w:r w:rsidR="00010945">
        <w:t xml:space="preserve">several </w:t>
      </w:r>
      <w:r>
        <w:t>possible ways</w:t>
      </w:r>
      <w:r w:rsidR="00C066C5">
        <w:t xml:space="preserve"> to</w:t>
      </w:r>
      <w:r>
        <w:t xml:space="preserve"> </w:t>
      </w:r>
      <w:r w:rsidR="00C82235">
        <w:t>address</w:t>
      </w:r>
      <w:r w:rsidR="00947F1D">
        <w:t xml:space="preserve"> </w:t>
      </w:r>
      <w:proofErr w:type="spellStart"/>
      <w:r w:rsidR="00947F1D">
        <w:t>TP</w:t>
      </w:r>
      <w:proofErr w:type="spellEnd"/>
      <w:r w:rsidR="00947F1D">
        <w:t xml:space="preserve"> and PE avoidance</w:t>
      </w:r>
      <w:r>
        <w:t>.</w:t>
      </w:r>
    </w:p>
    <w:p w:rsidR="00C52F94" w:rsidRDefault="00F8448D" w:rsidP="00010945">
      <w:pPr>
        <w:pStyle w:val="Numberparagraph"/>
        <w:numPr>
          <w:ilvl w:val="0"/>
          <w:numId w:val="0"/>
        </w:numPr>
        <w:ind w:left="567"/>
      </w:pPr>
      <w:r>
        <w:t xml:space="preserve"> </w:t>
      </w:r>
    </w:p>
    <w:p w:rsidR="00C52F94" w:rsidRDefault="00AD7FEE" w:rsidP="00010945">
      <w:pPr>
        <w:pStyle w:val="Numberparagraph"/>
        <w:ind w:left="567" w:hanging="567"/>
      </w:pPr>
      <w:r w:rsidRPr="005300CF">
        <w:t xml:space="preserve">The OECD has recommended various courses of action to address </w:t>
      </w:r>
      <w:r w:rsidR="00CC509A">
        <w:t xml:space="preserve">BEPS </w:t>
      </w:r>
      <w:r w:rsidR="00D01FE8">
        <w:t>activities associated</w:t>
      </w:r>
      <w:r>
        <w:t xml:space="preserve"> with </w:t>
      </w:r>
      <w:proofErr w:type="spellStart"/>
      <w:r w:rsidR="00947F1D">
        <w:t>TP</w:t>
      </w:r>
      <w:proofErr w:type="spellEnd"/>
      <w:r w:rsidR="00947F1D">
        <w:t xml:space="preserve"> and PE avoidance</w:t>
      </w:r>
      <w:r w:rsidR="00947F1D" w:rsidDel="00947F1D">
        <w:t xml:space="preserve"> </w:t>
      </w:r>
      <w:r w:rsidR="0094335F">
        <w:t xml:space="preserve">(as well as other matters) </w:t>
      </w:r>
      <w:r w:rsidRPr="005300CF">
        <w:t xml:space="preserve">in their BEPS Action </w:t>
      </w:r>
      <w:r w:rsidRPr="005300CF">
        <w:lastRenderedPageBreak/>
        <w:t>Plan.</w:t>
      </w:r>
      <w:r w:rsidR="00263481">
        <w:t xml:space="preserve">  These recommendations address </w:t>
      </w:r>
      <w:r w:rsidR="00CC509A">
        <w:t>BEPS</w:t>
      </w:r>
      <w:r w:rsidR="00263481">
        <w:t xml:space="preserve"> concerns under existing tax frameworks (source / </w:t>
      </w:r>
      <w:r w:rsidR="005813E7">
        <w:t>PE</w:t>
      </w:r>
      <w:r w:rsidR="00263481">
        <w:t xml:space="preserve"> rules and transfer pricing rules).  </w:t>
      </w:r>
      <w:r w:rsidR="000815FA">
        <w:t xml:space="preserve"> </w:t>
      </w:r>
    </w:p>
    <w:p w:rsidR="000815FA" w:rsidRDefault="000815FA" w:rsidP="00010945">
      <w:pPr>
        <w:pStyle w:val="Numberparagraph"/>
        <w:numPr>
          <w:ilvl w:val="0"/>
          <w:numId w:val="0"/>
        </w:numPr>
        <w:ind w:left="567"/>
      </w:pPr>
      <w:r>
        <w:t xml:space="preserve"> </w:t>
      </w:r>
    </w:p>
    <w:p w:rsidR="00263481" w:rsidRDefault="004171DE" w:rsidP="00010945">
      <w:pPr>
        <w:pStyle w:val="Numberparagraph"/>
        <w:ind w:left="567" w:hanging="567"/>
      </w:pPr>
      <w:r>
        <w:t xml:space="preserve">However, </w:t>
      </w:r>
      <w:r w:rsidR="00C52F94">
        <w:t>both the UK and Australia have gone beyond the OECD recommendations by introducing</w:t>
      </w:r>
      <w:r>
        <w:t xml:space="preserve"> unilateral measures to </w:t>
      </w:r>
      <w:r w:rsidR="00263481">
        <w:t xml:space="preserve">address </w:t>
      </w:r>
      <w:r w:rsidR="00CC509A">
        <w:t xml:space="preserve">the </w:t>
      </w:r>
      <w:r w:rsidR="00263481">
        <w:t xml:space="preserve">diverted profits </w:t>
      </w:r>
      <w:r w:rsidR="00CC509A">
        <w:t xml:space="preserve">arising from </w:t>
      </w:r>
      <w:proofErr w:type="spellStart"/>
      <w:r w:rsidR="00947F1D">
        <w:t>TP</w:t>
      </w:r>
      <w:proofErr w:type="spellEnd"/>
      <w:r w:rsidR="00947F1D">
        <w:t xml:space="preserve"> and PE avoidance</w:t>
      </w:r>
      <w:r w:rsidR="00CC509A">
        <w:t xml:space="preserve"> </w:t>
      </w:r>
      <w:r w:rsidR="00263481">
        <w:t>in the form of a special diverted profits tax</w:t>
      </w:r>
      <w:r w:rsidR="008714F3">
        <w:t xml:space="preserve"> (</w:t>
      </w:r>
      <w:proofErr w:type="spellStart"/>
      <w:r w:rsidR="008714F3">
        <w:t>DPT</w:t>
      </w:r>
      <w:proofErr w:type="spellEnd"/>
      <w:r w:rsidR="008714F3">
        <w:t>)</w:t>
      </w:r>
      <w:r>
        <w:t xml:space="preserve">.  </w:t>
      </w:r>
    </w:p>
    <w:p w:rsidR="00F8448D" w:rsidRDefault="00F8448D" w:rsidP="00010945">
      <w:pPr>
        <w:pStyle w:val="Numberparagraph"/>
        <w:numPr>
          <w:ilvl w:val="0"/>
          <w:numId w:val="0"/>
        </w:numPr>
        <w:ind w:left="567"/>
      </w:pPr>
    </w:p>
    <w:p w:rsidR="00AD7FEE" w:rsidRPr="00AD7FEE" w:rsidRDefault="00AD7FEE" w:rsidP="00AD7FEE">
      <w:pPr>
        <w:rPr>
          <w:b/>
          <w:i/>
        </w:rPr>
      </w:pPr>
      <w:r w:rsidRPr="00AD7FEE">
        <w:rPr>
          <w:b/>
          <w:i/>
        </w:rPr>
        <w:t xml:space="preserve">UK and Australian </w:t>
      </w:r>
      <w:proofErr w:type="spellStart"/>
      <w:r w:rsidRPr="00AD7FEE">
        <w:rPr>
          <w:b/>
          <w:i/>
        </w:rPr>
        <w:t>DPT</w:t>
      </w:r>
      <w:r w:rsidR="008714F3">
        <w:rPr>
          <w:b/>
          <w:i/>
        </w:rPr>
        <w:t>s</w:t>
      </w:r>
      <w:proofErr w:type="spellEnd"/>
    </w:p>
    <w:p w:rsidR="00543BFF" w:rsidRDefault="00543BFF" w:rsidP="00D972DA">
      <w:pPr>
        <w:pStyle w:val="Numberparagraph"/>
        <w:numPr>
          <w:ilvl w:val="0"/>
          <w:numId w:val="0"/>
        </w:numPr>
      </w:pPr>
    </w:p>
    <w:p w:rsidR="00AD7FEE" w:rsidRPr="005300CF" w:rsidRDefault="0081605E" w:rsidP="00AD7FEE">
      <w:pPr>
        <w:pStyle w:val="Numberparagraph"/>
        <w:ind w:left="567" w:hanging="567"/>
      </w:pPr>
      <w:r>
        <w:t>T</w:t>
      </w:r>
      <w:r w:rsidRPr="005300CF">
        <w:t xml:space="preserve">he </w:t>
      </w:r>
      <w:proofErr w:type="spellStart"/>
      <w:r w:rsidRPr="005300CF">
        <w:t>DPTs</w:t>
      </w:r>
      <w:proofErr w:type="spellEnd"/>
      <w:r>
        <w:t xml:space="preserve"> that</w:t>
      </w:r>
      <w:r w:rsidRPr="005300CF">
        <w:t xml:space="preserve"> have been </w:t>
      </w:r>
      <w:r>
        <w:t>proposed</w:t>
      </w:r>
      <w:r w:rsidRPr="005300CF">
        <w:t xml:space="preserve"> in Australia and </w:t>
      </w:r>
      <w:r>
        <w:t>enacted in the UK</w:t>
      </w:r>
      <w:r w:rsidRPr="005300CF" w:rsidDel="0081605E">
        <w:t xml:space="preserve"> </w:t>
      </w:r>
      <w:r w:rsidR="00EA7A3F" w:rsidRPr="005300CF">
        <w:t>tax the diverted profits of large multinationals.  The</w:t>
      </w:r>
      <w:r w:rsidR="00EA7A3F">
        <w:t>ir</w:t>
      </w:r>
      <w:r w:rsidR="00EA7A3F" w:rsidRPr="005300CF">
        <w:t xml:space="preserve"> </w:t>
      </w:r>
      <w:proofErr w:type="spellStart"/>
      <w:r w:rsidR="00EA7A3F" w:rsidRPr="005300CF">
        <w:t>DPT</w:t>
      </w:r>
      <w:r w:rsidR="00EA7A3F">
        <w:t>s</w:t>
      </w:r>
      <w:proofErr w:type="spellEnd"/>
      <w:r w:rsidR="00EA7A3F">
        <w:t xml:space="preserve"> are</w:t>
      </w:r>
      <w:r w:rsidR="00EA7A3F" w:rsidRPr="005300CF">
        <w:t xml:space="preserve"> a</w:t>
      </w:r>
      <w:r w:rsidR="00EA7A3F">
        <w:t>n entirely</w:t>
      </w:r>
      <w:r w:rsidR="00EA7A3F" w:rsidRPr="005300CF">
        <w:t xml:space="preserve"> separate tax which is levied at a penal rate compared with income tax.</w:t>
      </w:r>
      <w:r w:rsidR="00AD7FEE" w:rsidRPr="005300CF">
        <w:t xml:space="preserve">  The</w:t>
      </w:r>
      <w:r w:rsidR="00543BFF">
        <w:t>y</w:t>
      </w:r>
      <w:r w:rsidR="00AD7FEE" w:rsidRPr="005300CF">
        <w:t xml:space="preserve"> appl</w:t>
      </w:r>
      <w:r w:rsidR="00543BFF">
        <w:t>y</w:t>
      </w:r>
      <w:r w:rsidR="00AD7FEE" w:rsidRPr="005300CF">
        <w:t xml:space="preserve"> to large multinationals that sell goods or services into a country and try to avoid income tax by either:</w:t>
      </w:r>
      <w:r w:rsidR="00AD7FEE" w:rsidRPr="00AD7FEE">
        <w:t xml:space="preserve"> </w:t>
      </w:r>
    </w:p>
    <w:p w:rsidR="00AD7FEE" w:rsidRPr="005300CF" w:rsidRDefault="00AD7FEE" w:rsidP="00AD7FEE"/>
    <w:p w:rsidR="00AD7FEE" w:rsidRPr="005300CF" w:rsidRDefault="00AD7FEE" w:rsidP="00AD7FEE">
      <w:pPr>
        <w:pStyle w:val="Numberparagraph"/>
        <w:numPr>
          <w:ilvl w:val="1"/>
          <w:numId w:val="6"/>
        </w:numPr>
      </w:pPr>
      <w:r>
        <w:t>u</w:t>
      </w:r>
      <w:r w:rsidRPr="005300CF">
        <w:t xml:space="preserve">sing a structure to avoid having a taxable presence in the country, even though </w:t>
      </w:r>
      <w:r>
        <w:t xml:space="preserve">they have </w:t>
      </w:r>
      <w:r w:rsidRPr="005300CF">
        <w:t xml:space="preserve">significant </w:t>
      </w:r>
      <w:r>
        <w:t xml:space="preserve">economic </w:t>
      </w:r>
      <w:r w:rsidRPr="005300CF">
        <w:t xml:space="preserve">activities carried </w:t>
      </w:r>
      <w:r>
        <w:t>on for them</w:t>
      </w:r>
      <w:r w:rsidRPr="005300CF">
        <w:t xml:space="preserve"> in that country; or</w:t>
      </w:r>
    </w:p>
    <w:p w:rsidR="00AD7FEE" w:rsidRPr="005300CF" w:rsidRDefault="00AD7FEE" w:rsidP="00AD7FEE">
      <w:pPr>
        <w:pStyle w:val="ListParagraph"/>
        <w:ind w:left="207"/>
      </w:pPr>
    </w:p>
    <w:p w:rsidR="00AD7FEE" w:rsidRPr="005300CF" w:rsidRDefault="00AD7FEE" w:rsidP="00AD7FEE">
      <w:pPr>
        <w:pStyle w:val="Numberparagraph"/>
        <w:numPr>
          <w:ilvl w:val="1"/>
          <w:numId w:val="6"/>
        </w:numPr>
      </w:pPr>
      <w:proofErr w:type="gramStart"/>
      <w:r w:rsidRPr="00AD7FEE">
        <w:t>shifting</w:t>
      </w:r>
      <w:proofErr w:type="gramEnd"/>
      <w:r w:rsidRPr="00AD7FEE">
        <w:t xml:space="preserve"> profits out of the country to a low tax jurisdiction through arrangements which lack economic substance. </w:t>
      </w:r>
    </w:p>
    <w:p w:rsidR="00AD7FEE" w:rsidRPr="00AD7FEE" w:rsidRDefault="00AD7FEE" w:rsidP="00AD7FEE">
      <w:pPr>
        <w:pStyle w:val="ListParagraph"/>
        <w:ind w:left="927"/>
      </w:pPr>
    </w:p>
    <w:p w:rsidR="00AD7FEE" w:rsidRPr="005300CF" w:rsidRDefault="00AD7FEE" w:rsidP="00AD7FEE">
      <w:pPr>
        <w:pStyle w:val="Numberparagraph"/>
        <w:ind w:left="567" w:hanging="567"/>
      </w:pPr>
      <w:r w:rsidRPr="005300CF">
        <w:t xml:space="preserve">A </w:t>
      </w:r>
      <w:proofErr w:type="spellStart"/>
      <w:r w:rsidRPr="005300CF">
        <w:t>DPT</w:t>
      </w:r>
      <w:proofErr w:type="spellEnd"/>
      <w:r w:rsidRPr="005300CF">
        <w:t xml:space="preserve"> taxes the profit a multinational has avoided reporting for income tax purposes using these methods.  A </w:t>
      </w:r>
      <w:proofErr w:type="spellStart"/>
      <w:r w:rsidRPr="005300CF">
        <w:t>DPT</w:t>
      </w:r>
      <w:proofErr w:type="spellEnd"/>
      <w:r w:rsidRPr="005300CF">
        <w:t xml:space="preserve"> is thus intended to incentivise </w:t>
      </w:r>
      <w:r w:rsidR="00010945">
        <w:t>large multinationals</w:t>
      </w:r>
      <w:r w:rsidR="00010945" w:rsidRPr="005300CF">
        <w:t xml:space="preserve"> </w:t>
      </w:r>
      <w:r w:rsidRPr="005300CF">
        <w:t>to pay the correct amount of income tax under the normal rules, rather than to raise revenue by itself.</w:t>
      </w:r>
      <w:r w:rsidRPr="00AD7FEE">
        <w:t xml:space="preserve"> </w:t>
      </w:r>
    </w:p>
    <w:p w:rsidR="00AD7FEE" w:rsidRPr="005300CF" w:rsidRDefault="00AD7FEE" w:rsidP="00AD7FEE">
      <w:pPr>
        <w:pStyle w:val="BodyText1"/>
        <w:rPr>
          <w:rFonts w:cs="Times New Roman"/>
        </w:rPr>
      </w:pPr>
    </w:p>
    <w:p w:rsidR="00AD7FEE" w:rsidRPr="005300CF" w:rsidRDefault="00EA7A3F" w:rsidP="00AD7FEE">
      <w:pPr>
        <w:pStyle w:val="Numberparagraph"/>
        <w:ind w:left="567" w:hanging="567"/>
      </w:pPr>
      <w:r>
        <w:t>A</w:t>
      </w:r>
      <w:r w:rsidR="00AD7FEE" w:rsidRPr="005300CF">
        <w:t xml:space="preserve"> </w:t>
      </w:r>
      <w:proofErr w:type="spellStart"/>
      <w:r w:rsidR="00AD7FEE" w:rsidRPr="005300CF">
        <w:t>DPT</w:t>
      </w:r>
      <w:proofErr w:type="spellEnd"/>
      <w:r w:rsidR="00AD7FEE" w:rsidRPr="005300CF">
        <w:t xml:space="preserve"> has greatly enhanced assessment and collection powers.  For example, the </w:t>
      </w:r>
      <w:proofErr w:type="spellStart"/>
      <w:r w:rsidR="00AD7FEE" w:rsidRPr="005300CF">
        <w:t>DPT</w:t>
      </w:r>
      <w:proofErr w:type="spellEnd"/>
      <w:r w:rsidR="00AD7FEE" w:rsidRPr="005300CF">
        <w:t xml:space="preserve"> must be paid up front, and the taxpayer then has to demonstrate to the revenue authority why it</w:t>
      </w:r>
      <w:r w:rsidR="00AD7FEE">
        <w:t>s assessment</w:t>
      </w:r>
      <w:r w:rsidR="00AD7FEE" w:rsidRPr="005300CF">
        <w:t xml:space="preserve"> is wrong and by how much (although the assessment can still be challenged in Court).</w:t>
      </w:r>
      <w:r w:rsidR="00AD7FEE" w:rsidRPr="00AD7FEE">
        <w:t xml:space="preserve"> </w:t>
      </w:r>
    </w:p>
    <w:p w:rsidR="00AD7FEE" w:rsidRPr="005300CF" w:rsidRDefault="00AD7FEE" w:rsidP="00AD7FEE">
      <w:pPr>
        <w:pStyle w:val="BodyText1"/>
        <w:rPr>
          <w:rFonts w:cs="Times New Roman"/>
        </w:rPr>
      </w:pPr>
    </w:p>
    <w:p w:rsidR="00AD7FEE" w:rsidRPr="00F8448D" w:rsidRDefault="00EA7A3F" w:rsidP="00AD7FEE">
      <w:pPr>
        <w:pStyle w:val="Numberparagraph"/>
        <w:ind w:left="567" w:hanging="567"/>
      </w:pPr>
      <w:r>
        <w:t xml:space="preserve">Importantly, </w:t>
      </w:r>
      <w:r w:rsidR="001F5C53">
        <w:t>a</w:t>
      </w:r>
      <w:r w:rsidR="00AD7FEE" w:rsidRPr="005300CF">
        <w:t xml:space="preserve"> </w:t>
      </w:r>
      <w:proofErr w:type="spellStart"/>
      <w:r w:rsidR="00AD7FEE" w:rsidRPr="005300CF">
        <w:t>DPT</w:t>
      </w:r>
      <w:proofErr w:type="spellEnd"/>
      <w:r w:rsidR="00AD7FEE" w:rsidRPr="005300CF">
        <w:t xml:space="preserve"> is an anti-avoidance measure.  It does not change the fundamental basis on which non-residents are taxed.  For this reason, a </w:t>
      </w:r>
      <w:proofErr w:type="spellStart"/>
      <w:r w:rsidR="00AD7FEE" w:rsidRPr="005300CF">
        <w:t>DPT</w:t>
      </w:r>
      <w:proofErr w:type="spellEnd"/>
      <w:r w:rsidR="00AD7FEE" w:rsidRPr="005300CF">
        <w:t xml:space="preserve"> would not tax non-resident suppliers without a material physical presence in New Zealand.  Such non-resident suppliers include multinationals that </w:t>
      </w:r>
      <w:proofErr w:type="gramStart"/>
      <w:r w:rsidR="00AD7FEE" w:rsidRPr="005300CF">
        <w:t>have</w:t>
      </w:r>
      <w:proofErr w:type="gramEnd"/>
      <w:r w:rsidR="00AD7FEE" w:rsidRPr="005300CF">
        <w:t xml:space="preserve"> been the focus of some public concern in New Zealand</w:t>
      </w:r>
      <w:r w:rsidR="00AD7FEE">
        <w:t xml:space="preserve"> and internationally</w:t>
      </w:r>
      <w:r w:rsidR="00AD7FEE" w:rsidRPr="005300CF">
        <w:t xml:space="preserve">.  </w:t>
      </w:r>
    </w:p>
    <w:p w:rsidR="00F8448D" w:rsidRDefault="00F8448D" w:rsidP="00F8448D">
      <w:pPr>
        <w:rPr>
          <w:b/>
          <w:i/>
        </w:rPr>
      </w:pPr>
    </w:p>
    <w:p w:rsidR="00AD7FEE" w:rsidRPr="00AD7FEE" w:rsidRDefault="00AD7FEE" w:rsidP="00F8448D">
      <w:pPr>
        <w:rPr>
          <w:b/>
          <w:i/>
        </w:rPr>
      </w:pPr>
      <w:r w:rsidRPr="00AD7FEE">
        <w:rPr>
          <w:b/>
          <w:i/>
        </w:rPr>
        <w:t xml:space="preserve">Is a </w:t>
      </w:r>
      <w:proofErr w:type="spellStart"/>
      <w:r w:rsidRPr="00AD7FEE">
        <w:rPr>
          <w:b/>
          <w:i/>
        </w:rPr>
        <w:t>DPT</w:t>
      </w:r>
      <w:proofErr w:type="spellEnd"/>
      <w:r w:rsidRPr="00AD7FEE">
        <w:rPr>
          <w:b/>
          <w:i/>
        </w:rPr>
        <w:t xml:space="preserve"> good for New Zealand?</w:t>
      </w:r>
    </w:p>
    <w:p w:rsidR="00AD7FEE" w:rsidRPr="005300CF" w:rsidRDefault="00AD7FEE" w:rsidP="00AD7FEE">
      <w:pPr>
        <w:pStyle w:val="BodyText1"/>
        <w:rPr>
          <w:rFonts w:cs="Times New Roman"/>
          <w:b/>
        </w:rPr>
      </w:pPr>
    </w:p>
    <w:p w:rsidR="00AD7FEE" w:rsidRPr="005300CF" w:rsidRDefault="00AD7FEE" w:rsidP="00AD7FEE">
      <w:pPr>
        <w:pStyle w:val="Numberparagraph"/>
        <w:ind w:left="567" w:hanging="567"/>
      </w:pPr>
      <w:r w:rsidRPr="005300CF">
        <w:t xml:space="preserve">A </w:t>
      </w:r>
      <w:proofErr w:type="spellStart"/>
      <w:r w:rsidRPr="005300CF">
        <w:t>DPT</w:t>
      </w:r>
      <w:proofErr w:type="spellEnd"/>
      <w:r w:rsidRPr="005300CF">
        <w:t xml:space="preserve"> would </w:t>
      </w:r>
      <w:r>
        <w:t>counter</w:t>
      </w:r>
      <w:r w:rsidRPr="005300CF">
        <w:t xml:space="preserve"> non-residents who try </w:t>
      </w:r>
      <w:r>
        <w:t>to</w:t>
      </w:r>
      <w:r w:rsidRPr="005300CF">
        <w:t xml:space="preserve"> avoid having a taxable presence </w:t>
      </w:r>
      <w:r>
        <w:t>in New Zealand</w:t>
      </w:r>
      <w:r w:rsidR="00C64F06">
        <w:t xml:space="preserve"> or who use transfer pricing strategies to reduce the tax payable</w:t>
      </w:r>
      <w:r w:rsidRPr="005300CF">
        <w:t xml:space="preserve">.  Its assessment and collection features would also address some of the practical difficulties of taxing multinationals.    </w:t>
      </w:r>
    </w:p>
    <w:p w:rsidR="00AD7FEE" w:rsidRPr="005300CF" w:rsidRDefault="00AD7FEE" w:rsidP="00AD7FEE">
      <w:pPr>
        <w:pStyle w:val="BodyText1"/>
        <w:rPr>
          <w:rFonts w:cs="Times New Roman"/>
        </w:rPr>
      </w:pPr>
    </w:p>
    <w:p w:rsidR="00AD7FEE" w:rsidRPr="005300CF" w:rsidRDefault="004F2630" w:rsidP="00AD7FEE">
      <w:pPr>
        <w:pStyle w:val="Numberparagraph"/>
        <w:ind w:left="567" w:hanging="567"/>
      </w:pPr>
      <w:r>
        <w:t>Introducing a</w:t>
      </w:r>
      <w:r w:rsidR="00AB1C70">
        <w:t xml:space="preserve"> </w:t>
      </w:r>
      <w:proofErr w:type="spellStart"/>
      <w:r w:rsidR="00AB1C70">
        <w:t>DPT</w:t>
      </w:r>
      <w:proofErr w:type="spellEnd"/>
      <w:r w:rsidR="00AB1C70">
        <w:t xml:space="preserve"> </w:t>
      </w:r>
      <w:r>
        <w:t xml:space="preserve">would mean that there would be </w:t>
      </w:r>
      <w:r w:rsidR="0026025B">
        <w:t xml:space="preserve">a new type of tax, separate to income tax, </w:t>
      </w:r>
      <w:r w:rsidR="00AD7FEE">
        <w:t>to deal with a minority of aggressive multinationals.</w:t>
      </w:r>
      <w:r w:rsidR="00AD7FEE" w:rsidRPr="005300CF">
        <w:t xml:space="preserve"> </w:t>
      </w:r>
      <w:r w:rsidR="00AD7FEE">
        <w:t xml:space="preserve"> </w:t>
      </w:r>
      <w:r w:rsidR="002579F1">
        <w:t xml:space="preserve">It could impact on foreign investor’s perceptions of the </w:t>
      </w:r>
      <w:r w:rsidR="003B5E96">
        <w:t xml:space="preserve">predictability and fairness of New Zealand’s tax system for foreign investment.  </w:t>
      </w:r>
      <w:r w:rsidR="00AD7FEE">
        <w:t>As a separate tax from our general income tax it may produce unintended adverse consequences for taxpayers – especially with regard to normal grouping of tax attributes (for example income tax losses would not be able to be set off</w:t>
      </w:r>
      <w:r w:rsidR="005C3CC3">
        <w:t xml:space="preserve"> against diverted profits).  A </w:t>
      </w:r>
      <w:proofErr w:type="spellStart"/>
      <w:r w:rsidR="00AD7FEE">
        <w:t>DPT</w:t>
      </w:r>
      <w:proofErr w:type="spellEnd"/>
      <w:r w:rsidR="00AD7FEE">
        <w:t xml:space="preserve"> may </w:t>
      </w:r>
      <w:r w:rsidR="00027A90">
        <w:t xml:space="preserve">also have an unintentional </w:t>
      </w:r>
      <w:r w:rsidR="00AD7FEE">
        <w:t>negative impact on compliant taxpayers</w:t>
      </w:r>
      <w:r w:rsidR="00027A90">
        <w:t>.</w:t>
      </w:r>
      <w:r w:rsidR="00AD7FEE" w:rsidRPr="005300CF">
        <w:t xml:space="preserve"> </w:t>
      </w:r>
      <w:r w:rsidR="00AD7FEE">
        <w:t xml:space="preserve"> </w:t>
      </w:r>
      <w:r w:rsidR="00340B11">
        <w:t>T</w:t>
      </w:r>
      <w:r w:rsidR="00AD7FEE">
        <w:t>he more we get into imposing arbitrary taxes the greater the risk of other countries doing the same to our exporters.  Overall</w:t>
      </w:r>
      <w:r w:rsidR="00010945">
        <w:t>,</w:t>
      </w:r>
      <w:r w:rsidR="00AD7FEE" w:rsidRPr="005300CF">
        <w:t xml:space="preserve"> a </w:t>
      </w:r>
      <w:proofErr w:type="spellStart"/>
      <w:r w:rsidR="00AD7FEE" w:rsidRPr="005300CF">
        <w:t>DPT</w:t>
      </w:r>
      <w:proofErr w:type="spellEnd"/>
      <w:r w:rsidR="00AD7FEE" w:rsidRPr="005300CF">
        <w:t xml:space="preserve"> </w:t>
      </w:r>
      <w:r w:rsidR="00AD7FEE">
        <w:t>chips away at the consistency, neutrality and relative simplicity of our tax system from a global perspective</w:t>
      </w:r>
      <w:r w:rsidR="00AD7FEE" w:rsidRPr="005300CF">
        <w:t>.</w:t>
      </w:r>
      <w:r w:rsidR="00AD7FEE" w:rsidRPr="00AD7FEE">
        <w:t xml:space="preserve"> </w:t>
      </w:r>
    </w:p>
    <w:p w:rsidR="00AD7FEE" w:rsidRDefault="00AD7FEE" w:rsidP="00AD7FEE">
      <w:pPr>
        <w:pStyle w:val="BodyText1"/>
        <w:rPr>
          <w:rFonts w:cs="Times New Roman"/>
        </w:rPr>
      </w:pPr>
    </w:p>
    <w:p w:rsidR="00AD7FEE" w:rsidRPr="005300CF" w:rsidRDefault="00AD7FEE" w:rsidP="00AD7FEE">
      <w:pPr>
        <w:pStyle w:val="Numberparagraph"/>
        <w:ind w:left="567" w:hanging="567"/>
      </w:pPr>
      <w:r w:rsidRPr="005300CF">
        <w:t xml:space="preserve">Finally, the </w:t>
      </w:r>
      <w:proofErr w:type="spellStart"/>
      <w:r w:rsidRPr="005300CF">
        <w:t>DPTs</w:t>
      </w:r>
      <w:proofErr w:type="spellEnd"/>
      <w:r>
        <w:t xml:space="preserve"> that</w:t>
      </w:r>
      <w:r w:rsidRPr="005300CF">
        <w:t xml:space="preserve"> have been </w:t>
      </w:r>
      <w:r>
        <w:t>proposed</w:t>
      </w:r>
      <w:r w:rsidRPr="005300CF">
        <w:t xml:space="preserve"> in Australia and </w:t>
      </w:r>
      <w:r>
        <w:t>enacted in the UK respond</w:t>
      </w:r>
      <w:r w:rsidRPr="005300CF">
        <w:t xml:space="preserve"> to</w:t>
      </w:r>
      <w:r w:rsidR="00042767">
        <w:t xml:space="preserve"> particular</w:t>
      </w:r>
      <w:r w:rsidRPr="005300CF">
        <w:t xml:space="preserve"> problems with the application of the</w:t>
      </w:r>
      <w:r>
        <w:t>ir</w:t>
      </w:r>
      <w:r w:rsidRPr="005300CF">
        <w:t xml:space="preserve"> </w:t>
      </w:r>
      <w:r w:rsidR="00042767">
        <w:t xml:space="preserve">own </w:t>
      </w:r>
      <w:r w:rsidRPr="005300CF">
        <w:t>income tax rules to multinationals.</w:t>
      </w:r>
      <w:r>
        <w:t xml:space="preserve">  While a </w:t>
      </w:r>
      <w:proofErr w:type="spellStart"/>
      <w:r>
        <w:t>DPT</w:t>
      </w:r>
      <w:proofErr w:type="spellEnd"/>
      <w:r>
        <w:t xml:space="preserve"> may be appropriate for the issues Australia and the UK face, </w:t>
      </w:r>
      <w:r w:rsidRPr="005300CF">
        <w:t xml:space="preserve">it seems more straightforward </w:t>
      </w:r>
      <w:r>
        <w:t>for us to</w:t>
      </w:r>
      <w:r w:rsidRPr="005300CF">
        <w:t xml:space="preserve"> fix</w:t>
      </w:r>
      <w:r>
        <w:t xml:space="preserve"> New Zealand’s</w:t>
      </w:r>
      <w:r w:rsidRPr="005300CF">
        <w:t xml:space="preserve"> problems with </w:t>
      </w:r>
      <w:r>
        <w:t>our</w:t>
      </w:r>
      <w:r w:rsidRPr="005300CF">
        <w:t xml:space="preserve"> income tax rules rather than implement a new tax.</w:t>
      </w:r>
      <w:r w:rsidRPr="00AD7FEE">
        <w:t xml:space="preserve"> </w:t>
      </w:r>
    </w:p>
    <w:p w:rsidR="00AD7FEE" w:rsidRPr="005300CF" w:rsidRDefault="00AD7FEE" w:rsidP="00AD7FEE">
      <w:pPr>
        <w:pStyle w:val="BodyText1"/>
        <w:rPr>
          <w:rFonts w:cs="Times New Roman"/>
        </w:rPr>
      </w:pPr>
    </w:p>
    <w:p w:rsidR="00AD7FEE" w:rsidRPr="00464FAD" w:rsidRDefault="00AD7FEE" w:rsidP="00AD7FEE">
      <w:pPr>
        <w:pStyle w:val="BodyText1"/>
        <w:rPr>
          <w:rFonts w:ascii="Times New Roman" w:hAnsi="Times New Roman" w:cs="Times New Roman"/>
          <w:b/>
          <w:i/>
          <w:sz w:val="24"/>
          <w:szCs w:val="24"/>
        </w:rPr>
      </w:pPr>
      <w:r w:rsidRPr="00464FAD">
        <w:rPr>
          <w:rFonts w:ascii="Times New Roman" w:hAnsi="Times New Roman" w:cs="Times New Roman"/>
          <w:b/>
          <w:i/>
          <w:sz w:val="24"/>
          <w:szCs w:val="24"/>
        </w:rPr>
        <w:t xml:space="preserve">A </w:t>
      </w:r>
      <w:proofErr w:type="gramStart"/>
      <w:r w:rsidRPr="00464FAD">
        <w:rPr>
          <w:rFonts w:ascii="Times New Roman" w:hAnsi="Times New Roman" w:cs="Times New Roman"/>
          <w:b/>
          <w:i/>
          <w:sz w:val="24"/>
          <w:szCs w:val="24"/>
        </w:rPr>
        <w:t>tailored  package</w:t>
      </w:r>
      <w:proofErr w:type="gramEnd"/>
      <w:r w:rsidRPr="00464FAD">
        <w:rPr>
          <w:rFonts w:ascii="Times New Roman" w:hAnsi="Times New Roman" w:cs="Times New Roman"/>
          <w:b/>
          <w:i/>
          <w:sz w:val="24"/>
          <w:szCs w:val="24"/>
        </w:rPr>
        <w:t xml:space="preserve"> is better for New Zealand than a </w:t>
      </w:r>
      <w:proofErr w:type="spellStart"/>
      <w:r w:rsidRPr="00464FAD">
        <w:rPr>
          <w:rFonts w:ascii="Times New Roman" w:hAnsi="Times New Roman" w:cs="Times New Roman"/>
          <w:b/>
          <w:i/>
          <w:sz w:val="24"/>
          <w:szCs w:val="24"/>
        </w:rPr>
        <w:t>DPT</w:t>
      </w:r>
      <w:proofErr w:type="spellEnd"/>
      <w:r w:rsidRPr="00464FAD">
        <w:rPr>
          <w:rFonts w:ascii="Times New Roman" w:hAnsi="Times New Roman" w:cs="Times New Roman"/>
          <w:b/>
          <w:i/>
          <w:sz w:val="24"/>
          <w:szCs w:val="24"/>
        </w:rPr>
        <w:t xml:space="preserve"> </w:t>
      </w:r>
    </w:p>
    <w:p w:rsidR="00AD7FEE" w:rsidRPr="00464FAD" w:rsidRDefault="00AD7FEE" w:rsidP="00AD7FEE">
      <w:pPr>
        <w:pStyle w:val="BodyText1"/>
        <w:rPr>
          <w:rFonts w:ascii="Times New Roman" w:hAnsi="Times New Roman" w:cs="Times New Roman"/>
          <w:sz w:val="24"/>
          <w:szCs w:val="24"/>
        </w:rPr>
      </w:pPr>
    </w:p>
    <w:p w:rsidR="00AD7FEE" w:rsidRPr="005300CF" w:rsidRDefault="00AD7FEE" w:rsidP="00AD7FEE">
      <w:pPr>
        <w:pStyle w:val="Numberparagraph"/>
        <w:ind w:left="567" w:hanging="567"/>
      </w:pPr>
      <w:r w:rsidRPr="005300CF">
        <w:t xml:space="preserve">Given the above, </w:t>
      </w:r>
      <w:r w:rsidR="00E0549E">
        <w:t xml:space="preserve">we </w:t>
      </w:r>
      <w:r w:rsidR="00F8448D">
        <w:t>currently</w:t>
      </w:r>
      <w:r w:rsidRPr="005300CF">
        <w:t xml:space="preserve"> consider</w:t>
      </w:r>
      <w:r w:rsidR="00F8448D">
        <w:t xml:space="preserve"> that</w:t>
      </w:r>
      <w:r w:rsidRPr="005300CF">
        <w:t xml:space="preserve"> a better appr</w:t>
      </w:r>
      <w:r>
        <w:t>oach for New Zealand is to take</w:t>
      </w:r>
      <w:r w:rsidRPr="005300CF">
        <w:t xml:space="preserve"> </w:t>
      </w:r>
      <w:r w:rsidR="004F2630">
        <w:t>certain</w:t>
      </w:r>
      <w:r w:rsidRPr="005300CF">
        <w:t xml:space="preserve"> features of a </w:t>
      </w:r>
      <w:proofErr w:type="spellStart"/>
      <w:r w:rsidRPr="005300CF">
        <w:t>DPT</w:t>
      </w:r>
      <w:proofErr w:type="spellEnd"/>
      <w:r w:rsidRPr="005300CF">
        <w:t xml:space="preserve"> and combine them with the OECD’s BEPS measures and some domestic law amendments</w:t>
      </w:r>
      <w:r>
        <w:t xml:space="preserve"> to produce</w:t>
      </w:r>
      <w:r w:rsidRPr="005300CF">
        <w:t xml:space="preserve"> a package</w:t>
      </w:r>
      <w:r>
        <w:t xml:space="preserve"> that is</w:t>
      </w:r>
      <w:r w:rsidRPr="005300CF">
        <w:t xml:space="preserve"> tailored for the New Zealand environment.</w:t>
      </w:r>
      <w:r>
        <w:t xml:space="preserve"> </w:t>
      </w:r>
      <w:r w:rsidRPr="005300CF">
        <w:t xml:space="preserve"> This </w:t>
      </w:r>
      <w:r>
        <w:t>approach is consistent with New Zealand’s preference for</w:t>
      </w:r>
      <w:r w:rsidRPr="005300CF">
        <w:t xml:space="preserve"> a coordinated international response to an international </w:t>
      </w:r>
      <w:r>
        <w:t>problem</w:t>
      </w:r>
      <w:r w:rsidRPr="005300CF">
        <w:t>.</w:t>
      </w:r>
      <w:r>
        <w:t xml:space="preserve"> </w:t>
      </w:r>
      <w:r w:rsidRPr="005300CF">
        <w:t xml:space="preserve"> This package should be as effective as a </w:t>
      </w:r>
      <w:proofErr w:type="spellStart"/>
      <w:r w:rsidRPr="005300CF">
        <w:t>DPT</w:t>
      </w:r>
      <w:proofErr w:type="spellEnd"/>
      <w:r w:rsidRPr="005300CF">
        <w:t xml:space="preserve"> in </w:t>
      </w:r>
      <w:r w:rsidR="00C82235">
        <w:t xml:space="preserve">countering </w:t>
      </w:r>
      <w:proofErr w:type="spellStart"/>
      <w:r w:rsidR="00947F1D">
        <w:t>TP</w:t>
      </w:r>
      <w:proofErr w:type="spellEnd"/>
      <w:r w:rsidR="00947F1D">
        <w:t xml:space="preserve"> and PE avoidance </w:t>
      </w:r>
      <w:r w:rsidRPr="005300CF">
        <w:t xml:space="preserve">in New Zealand, but it will do so within our current frameworks and with fewer drawbacks.  </w:t>
      </w:r>
    </w:p>
    <w:p w:rsidR="00AD7FEE" w:rsidRPr="005300CF" w:rsidRDefault="00AD7FEE" w:rsidP="00AD7FEE">
      <w:pPr>
        <w:pStyle w:val="BodyText1"/>
        <w:rPr>
          <w:rFonts w:cs="Times New Roman"/>
        </w:rPr>
      </w:pPr>
    </w:p>
    <w:p w:rsidR="00AD7FEE" w:rsidRPr="005300CF" w:rsidRDefault="00AD7FEE" w:rsidP="00AD7FEE">
      <w:pPr>
        <w:pStyle w:val="Numberparagraph"/>
        <w:ind w:left="567" w:hanging="567"/>
      </w:pPr>
      <w:r w:rsidRPr="005300CF">
        <w:t>The package would include</w:t>
      </w:r>
      <w:r>
        <w:t>:</w:t>
      </w:r>
      <w:r w:rsidRPr="00AD7FEE">
        <w:t xml:space="preserve"> </w:t>
      </w:r>
    </w:p>
    <w:p w:rsidR="00AD7FEE" w:rsidRDefault="00AD7FEE" w:rsidP="00AD7FEE">
      <w:pPr>
        <w:pStyle w:val="BodyText1"/>
        <w:rPr>
          <w:rFonts w:cs="Times New Roman"/>
        </w:rPr>
      </w:pPr>
    </w:p>
    <w:p w:rsidR="00AD7FEE" w:rsidRPr="005300CF" w:rsidRDefault="00AD7FEE" w:rsidP="00AD7FEE">
      <w:pPr>
        <w:pStyle w:val="Numberparagraph"/>
        <w:numPr>
          <w:ilvl w:val="1"/>
          <w:numId w:val="6"/>
        </w:numPr>
      </w:pPr>
      <w:r>
        <w:t>m</w:t>
      </w:r>
      <w:r w:rsidRPr="005300CF">
        <w:t xml:space="preserve">easures to prevent the avoidance of a </w:t>
      </w:r>
      <w:r w:rsidR="00C64F06">
        <w:t>PE</w:t>
      </w:r>
      <w:r w:rsidRPr="005300CF">
        <w:t xml:space="preserve"> </w:t>
      </w:r>
      <w:r>
        <w:t>in New Zealand</w:t>
      </w:r>
      <w:r w:rsidRPr="005300CF">
        <w:t>, which would be similar in effect to this aspect of the</w:t>
      </w:r>
      <w:r>
        <w:t xml:space="preserve"> Australian/UK</w:t>
      </w:r>
      <w:r w:rsidRPr="005300CF">
        <w:t xml:space="preserve"> </w:t>
      </w:r>
      <w:proofErr w:type="spellStart"/>
      <w:r w:rsidRPr="005300CF">
        <w:t>DPT</w:t>
      </w:r>
      <w:proofErr w:type="spellEnd"/>
      <w:r w:rsidRPr="005300CF">
        <w:t xml:space="preserve"> (including a possible override of our </w:t>
      </w:r>
      <w:r w:rsidR="00010945" w:rsidRPr="005300CF">
        <w:t>D</w:t>
      </w:r>
      <w:r w:rsidR="00010945">
        <w:t>ouble Tax Agreement</w:t>
      </w:r>
      <w:r w:rsidR="00010945" w:rsidRPr="005300CF">
        <w:t>s</w:t>
      </w:r>
      <w:r w:rsidRPr="005300CF">
        <w:t xml:space="preserve">) and </w:t>
      </w:r>
      <w:r>
        <w:t xml:space="preserve">consistent with </w:t>
      </w:r>
      <w:r w:rsidRPr="005300CF">
        <w:t>the OECD’s BEPS measures</w:t>
      </w:r>
      <w:r>
        <w:t>;</w:t>
      </w:r>
      <w:r w:rsidRPr="00AD7FEE">
        <w:t xml:space="preserve"> </w:t>
      </w:r>
    </w:p>
    <w:p w:rsidR="00AD7FEE" w:rsidRDefault="00AD7FEE" w:rsidP="00AD7FEE">
      <w:pPr>
        <w:pStyle w:val="BodyText1"/>
        <w:ind w:left="927"/>
        <w:rPr>
          <w:rFonts w:cs="Times New Roman"/>
        </w:rPr>
      </w:pPr>
      <w:r>
        <w:rPr>
          <w:rFonts w:cs="Times New Roman"/>
        </w:rPr>
        <w:t xml:space="preserve"> </w:t>
      </w:r>
    </w:p>
    <w:p w:rsidR="00AD7FEE" w:rsidRPr="005300CF" w:rsidRDefault="00AD7FEE" w:rsidP="00AD7FEE">
      <w:pPr>
        <w:pStyle w:val="Numberparagraph"/>
        <w:numPr>
          <w:ilvl w:val="1"/>
          <w:numId w:val="6"/>
        </w:numPr>
      </w:pPr>
      <w:r>
        <w:t>a</w:t>
      </w:r>
      <w:r w:rsidRPr="005300CF">
        <w:t>mend</w:t>
      </w:r>
      <w:r>
        <w:t>ments</w:t>
      </w:r>
      <w:r w:rsidRPr="005300CF">
        <w:t xml:space="preserve"> </w:t>
      </w:r>
      <w:r>
        <w:t xml:space="preserve">to </w:t>
      </w:r>
      <w:r w:rsidRPr="005300CF">
        <w:t xml:space="preserve">our transfer pricing legislation so </w:t>
      </w:r>
      <w:r>
        <w:t>we</w:t>
      </w:r>
      <w:r w:rsidR="00464FAD">
        <w:t xml:space="preserve"> can collect better information,</w:t>
      </w:r>
      <w:r w:rsidRPr="005300CF">
        <w:t xml:space="preserve"> tax multinationals</w:t>
      </w:r>
      <w:r>
        <w:t xml:space="preserve"> </w:t>
      </w:r>
      <w:r w:rsidRPr="005300CF">
        <w:t xml:space="preserve">more in accordance with the economic substance of their activities here (in accordance with the OECD’s new transfer pricing guidelines), and so that Inland Revenue does not have the burden of proof in transfer pricing </w:t>
      </w:r>
      <w:r w:rsidR="005813E7">
        <w:t>cases</w:t>
      </w:r>
      <w:r>
        <w:t xml:space="preserve">; </w:t>
      </w:r>
    </w:p>
    <w:p w:rsidR="00AD7FEE" w:rsidRDefault="00AD7FEE" w:rsidP="00AD7FEE">
      <w:pPr>
        <w:pStyle w:val="BodyText1"/>
        <w:ind w:left="852"/>
        <w:rPr>
          <w:rFonts w:cs="Times New Roman"/>
        </w:rPr>
      </w:pPr>
    </w:p>
    <w:p w:rsidR="00AD7FEE" w:rsidRPr="005300CF" w:rsidRDefault="00AA59E0" w:rsidP="00AD7FEE">
      <w:pPr>
        <w:pStyle w:val="Numberparagraph"/>
        <w:numPr>
          <w:ilvl w:val="1"/>
          <w:numId w:val="6"/>
        </w:numPr>
      </w:pPr>
      <w:r>
        <w:t xml:space="preserve">adoption of other </w:t>
      </w:r>
      <w:r w:rsidR="00AD7FEE">
        <w:t>OECD BEPS measures</w:t>
      </w:r>
      <w:r>
        <w:t xml:space="preserve"> </w:t>
      </w:r>
      <w:r w:rsidR="003D2487">
        <w:t>relating</w:t>
      </w:r>
      <w:r>
        <w:t xml:space="preserve"> to</w:t>
      </w:r>
      <w:r w:rsidR="00C64F06" w:rsidRPr="00C64F06">
        <w:t xml:space="preserve"> </w:t>
      </w:r>
      <w:proofErr w:type="spellStart"/>
      <w:r w:rsidR="00C64F06">
        <w:t>TP</w:t>
      </w:r>
      <w:proofErr w:type="spellEnd"/>
      <w:r w:rsidR="00C64F06">
        <w:t xml:space="preserve"> and PE avoidance</w:t>
      </w:r>
      <w:r w:rsidR="00AD7FEE">
        <w:t xml:space="preserve">, </w:t>
      </w:r>
      <w:r w:rsidR="004F2630">
        <w:t>which</w:t>
      </w:r>
      <w:r>
        <w:t xml:space="preserve"> </w:t>
      </w:r>
      <w:r w:rsidR="00AD7FEE">
        <w:t>include</w:t>
      </w:r>
      <w:r>
        <w:t>s</w:t>
      </w:r>
      <w:r w:rsidR="00AD7FEE">
        <w:t xml:space="preserve"> strengthening our tax treaties so they </w:t>
      </w:r>
      <w:r w:rsidR="00CC509A">
        <w:t xml:space="preserve">cannot be used </w:t>
      </w:r>
      <w:r w:rsidR="00C64F06">
        <w:t>for this purpose</w:t>
      </w:r>
      <w:r w:rsidR="00AD7FEE">
        <w:t>; and</w:t>
      </w:r>
      <w:r w:rsidR="00AD7FEE" w:rsidRPr="005300CF">
        <w:t xml:space="preserve">  </w:t>
      </w:r>
    </w:p>
    <w:p w:rsidR="00AD7FEE" w:rsidRDefault="00AD7FEE" w:rsidP="00AD7FEE">
      <w:pPr>
        <w:pStyle w:val="BodyText1"/>
        <w:ind w:left="852"/>
        <w:rPr>
          <w:rFonts w:cs="Times New Roman"/>
        </w:rPr>
      </w:pPr>
    </w:p>
    <w:p w:rsidR="00AD7FEE" w:rsidRPr="005300CF" w:rsidRDefault="00AA59E0" w:rsidP="00AD7FEE">
      <w:pPr>
        <w:pStyle w:val="Numberparagraph"/>
        <w:numPr>
          <w:ilvl w:val="1"/>
          <w:numId w:val="6"/>
        </w:numPr>
      </w:pPr>
      <w:proofErr w:type="gramStart"/>
      <w:r>
        <w:t>other</w:t>
      </w:r>
      <w:proofErr w:type="gramEnd"/>
      <w:r>
        <w:t xml:space="preserve"> </w:t>
      </w:r>
      <w:r w:rsidR="00AD7FEE">
        <w:t>domestic law amendments to address issues specific to New Zealand.</w:t>
      </w:r>
      <w:r w:rsidR="00AD7FEE" w:rsidRPr="00AD7FEE">
        <w:t xml:space="preserve"> </w:t>
      </w:r>
    </w:p>
    <w:p w:rsidR="00AD7FEE" w:rsidRDefault="00AD7FEE" w:rsidP="00AD7FEE">
      <w:pPr>
        <w:pStyle w:val="BodyText1"/>
        <w:ind w:left="927"/>
        <w:rPr>
          <w:rFonts w:cs="Times New Roman"/>
        </w:rPr>
      </w:pPr>
    </w:p>
    <w:p w:rsidR="00AD7FEE" w:rsidRDefault="00E0549E" w:rsidP="00AD7FEE">
      <w:pPr>
        <w:pStyle w:val="Numberparagraph"/>
        <w:ind w:left="567" w:hanging="567"/>
      </w:pPr>
      <w:r>
        <w:t>We</w:t>
      </w:r>
      <w:r w:rsidRPr="005300CF">
        <w:t xml:space="preserve"> </w:t>
      </w:r>
      <w:r w:rsidR="00AD7FEE">
        <w:t>would also like to</w:t>
      </w:r>
      <w:r w:rsidR="00AD7FEE" w:rsidRPr="005300CF">
        <w:t xml:space="preserve"> consider whether there are any administrative aspects of the </w:t>
      </w:r>
      <w:proofErr w:type="spellStart"/>
      <w:r w:rsidR="00AD7FEE" w:rsidRPr="005300CF">
        <w:t>DPT</w:t>
      </w:r>
      <w:proofErr w:type="spellEnd"/>
      <w:r w:rsidR="00AD7FEE" w:rsidRPr="005300CF">
        <w:t xml:space="preserve"> </w:t>
      </w:r>
      <w:r w:rsidR="00AD7FEE">
        <w:t xml:space="preserve">(or other alternatives) </w:t>
      </w:r>
      <w:r w:rsidR="00AD7FEE" w:rsidRPr="005300CF">
        <w:t xml:space="preserve">which are worth exploring to make it easier to assess and collect tax from uncooperative multinationals in practice </w:t>
      </w:r>
      <w:r w:rsidR="00AD7FEE">
        <w:t>(particularly in relation to transfer pricing</w:t>
      </w:r>
      <w:r w:rsidR="00AD7FEE" w:rsidRPr="005300CF">
        <w:t>).</w:t>
      </w:r>
      <w:r w:rsidR="00AD7FEE" w:rsidRPr="00AD7FEE">
        <w:t xml:space="preserve"> </w:t>
      </w:r>
    </w:p>
    <w:p w:rsidR="009B03DE" w:rsidRDefault="009B03DE" w:rsidP="009B03DE">
      <w:pPr>
        <w:pStyle w:val="Numberparagraph"/>
        <w:numPr>
          <w:ilvl w:val="0"/>
          <w:numId w:val="0"/>
        </w:numPr>
        <w:ind w:left="567"/>
      </w:pPr>
      <w:r>
        <w:t xml:space="preserve"> </w:t>
      </w:r>
    </w:p>
    <w:p w:rsidR="00AD7FEE" w:rsidRDefault="00F8448D" w:rsidP="00AD7FEE">
      <w:pPr>
        <w:pStyle w:val="Numberparagraph"/>
        <w:ind w:left="567" w:hanging="567"/>
      </w:pPr>
      <w:r>
        <w:t xml:space="preserve">While </w:t>
      </w:r>
      <w:r w:rsidR="001A61F6">
        <w:t>the</w:t>
      </w:r>
      <w:r>
        <w:t xml:space="preserve"> current preference is not to adopt a </w:t>
      </w:r>
      <w:proofErr w:type="spellStart"/>
      <w:r>
        <w:t>DPT</w:t>
      </w:r>
      <w:proofErr w:type="spellEnd"/>
      <w:r>
        <w:t xml:space="preserve">, </w:t>
      </w:r>
      <w:r w:rsidR="00E0549E">
        <w:t xml:space="preserve">we </w:t>
      </w:r>
      <w:r>
        <w:t xml:space="preserve">have not ruled it out.  If </w:t>
      </w:r>
      <w:r w:rsidR="009D690A">
        <w:t>following consultation</w:t>
      </w:r>
      <w:r w:rsidR="00BD0869">
        <w:t xml:space="preserve"> on the </w:t>
      </w:r>
      <w:r w:rsidR="00464FAD">
        <w:t>discussion document</w:t>
      </w:r>
      <w:r w:rsidR="00BD0869">
        <w:t xml:space="preserve"> (or at any other time in the future)</w:t>
      </w:r>
      <w:r w:rsidR="009D690A">
        <w:t xml:space="preserve"> </w:t>
      </w:r>
      <w:r w:rsidR="00E0549E">
        <w:t xml:space="preserve">we </w:t>
      </w:r>
      <w:r w:rsidR="009D690A">
        <w:t xml:space="preserve">consider that </w:t>
      </w:r>
      <w:r w:rsidR="00CC509A">
        <w:t xml:space="preserve">our </w:t>
      </w:r>
      <w:r w:rsidR="001A61F6">
        <w:t>proposed</w:t>
      </w:r>
      <w:r w:rsidR="009D690A">
        <w:t xml:space="preserve"> package would not be effective in </w:t>
      </w:r>
      <w:r w:rsidR="00CC509A">
        <w:t xml:space="preserve">addressing </w:t>
      </w:r>
      <w:proofErr w:type="spellStart"/>
      <w:r w:rsidR="00947F1D">
        <w:t>TP</w:t>
      </w:r>
      <w:proofErr w:type="spellEnd"/>
      <w:r w:rsidR="00947F1D">
        <w:t xml:space="preserve"> and PE avoidance</w:t>
      </w:r>
      <w:r w:rsidR="009D690A">
        <w:t xml:space="preserve">, </w:t>
      </w:r>
      <w:r w:rsidR="005C3CC3">
        <w:t>we</w:t>
      </w:r>
      <w:r w:rsidR="009D690A">
        <w:t xml:space="preserve"> will revisit the adoption of a DPT.</w:t>
      </w:r>
    </w:p>
    <w:p w:rsidR="00F8448D" w:rsidRDefault="00F8448D" w:rsidP="00F8448D">
      <w:pPr>
        <w:pStyle w:val="ListParagraph"/>
      </w:pPr>
    </w:p>
    <w:p w:rsidR="00F8448D" w:rsidRPr="00F8448D" w:rsidRDefault="00F8448D" w:rsidP="00F8448D">
      <w:pPr>
        <w:pStyle w:val="Numberparagraph"/>
        <w:numPr>
          <w:ilvl w:val="0"/>
          <w:numId w:val="0"/>
        </w:numPr>
        <w:ind w:left="567"/>
        <w:rPr>
          <w:b/>
          <w:i/>
        </w:rPr>
      </w:pPr>
      <w:r>
        <w:rPr>
          <w:b/>
          <w:i/>
        </w:rPr>
        <w:t>Existing BEPS measures</w:t>
      </w:r>
    </w:p>
    <w:p w:rsidR="00AD7FEE" w:rsidRDefault="00AD7FEE" w:rsidP="00AD7FEE">
      <w:pPr>
        <w:tabs>
          <w:tab w:val="left" w:pos="567"/>
        </w:tabs>
      </w:pPr>
    </w:p>
    <w:p w:rsidR="00AD7FEE" w:rsidRPr="005300CF" w:rsidRDefault="00186F26" w:rsidP="00AD7FEE">
      <w:pPr>
        <w:pStyle w:val="Numberparagraph"/>
        <w:ind w:left="567" w:hanging="567"/>
      </w:pPr>
      <w:r>
        <w:t xml:space="preserve">It is important to note that </w:t>
      </w:r>
      <w:r w:rsidR="00AD7FEE" w:rsidRPr="005300CF">
        <w:t xml:space="preserve">New Zealand </w:t>
      </w:r>
      <w:r w:rsidR="00AD7FEE">
        <w:t>is</w:t>
      </w:r>
      <w:r w:rsidR="00AD7FEE" w:rsidRPr="005300CF">
        <w:t xml:space="preserve"> </w:t>
      </w:r>
      <w:r w:rsidR="00AD7FEE">
        <w:t xml:space="preserve">already </w:t>
      </w:r>
      <w:proofErr w:type="gramStart"/>
      <w:r w:rsidR="00AD7FEE">
        <w:t>progressing</w:t>
      </w:r>
      <w:proofErr w:type="gramEnd"/>
      <w:r w:rsidR="00AD7FEE">
        <w:t xml:space="preserve"> a</w:t>
      </w:r>
      <w:r w:rsidR="00AD7FEE" w:rsidRPr="005300CF">
        <w:t xml:space="preserve"> number of </w:t>
      </w:r>
      <w:r w:rsidR="00AD7FEE">
        <w:t xml:space="preserve">other </w:t>
      </w:r>
      <w:r w:rsidR="00AD7FEE" w:rsidRPr="005300CF">
        <w:t xml:space="preserve">measures to address </w:t>
      </w:r>
      <w:r w:rsidR="00AD7FEE">
        <w:t xml:space="preserve">BEPS.  </w:t>
      </w:r>
      <w:r w:rsidR="00AD7FEE" w:rsidRPr="00A47974">
        <w:t>In particular:</w:t>
      </w:r>
      <w:r w:rsidR="00AD7FEE" w:rsidRPr="00AD7FEE">
        <w:t xml:space="preserve"> </w:t>
      </w:r>
    </w:p>
    <w:p w:rsidR="00AD7FEE" w:rsidRPr="00A47974" w:rsidRDefault="00AD7FEE" w:rsidP="00AD7FEE">
      <w:r w:rsidRPr="00A47974">
        <w:t xml:space="preserve">            </w:t>
      </w:r>
    </w:p>
    <w:p w:rsidR="00AD7FEE" w:rsidRPr="005300CF" w:rsidRDefault="00010945" w:rsidP="00AD7FEE">
      <w:pPr>
        <w:pStyle w:val="Numberparagraph"/>
        <w:numPr>
          <w:ilvl w:val="1"/>
          <w:numId w:val="6"/>
        </w:numPr>
      </w:pPr>
      <w:r>
        <w:t xml:space="preserve">The Finance and Expenditure </w:t>
      </w:r>
      <w:r w:rsidR="00AD7FEE">
        <w:t>S</w:t>
      </w:r>
      <w:r w:rsidR="00AD7FEE" w:rsidRPr="00A47974">
        <w:t>elect Committee is currently considering legislation to strengthen non-resident</w:t>
      </w:r>
      <w:r w:rsidR="00AD7FEE">
        <w:t xml:space="preserve"> withholding tax rules, limit</w:t>
      </w:r>
      <w:r w:rsidR="00AD7FEE" w:rsidRPr="00A47974">
        <w:t xml:space="preserve"> the use of look-through companies as </w:t>
      </w:r>
      <w:r w:rsidR="00AD7FEE">
        <w:t>conduit vehicles, and clarify</w:t>
      </w:r>
      <w:r w:rsidR="00AD7FEE" w:rsidRPr="00A47974">
        <w:t xml:space="preserve"> that New Zealand’s general anti-avoidance rule overrides tax treaties;</w:t>
      </w:r>
      <w:r w:rsidR="00AD7FEE" w:rsidRPr="00AD7FEE">
        <w:t xml:space="preserve"> </w:t>
      </w:r>
    </w:p>
    <w:p w:rsidR="00AD7FEE" w:rsidRPr="00A47974" w:rsidRDefault="00AD7FEE" w:rsidP="00AD7FEE">
      <w:pPr>
        <w:pStyle w:val="ListParagraph"/>
        <w:ind w:left="927"/>
      </w:pPr>
    </w:p>
    <w:p w:rsidR="00AD7FEE" w:rsidRPr="005300CF" w:rsidRDefault="00AD7FEE" w:rsidP="00AD7FEE">
      <w:pPr>
        <w:pStyle w:val="Numberparagraph"/>
        <w:numPr>
          <w:ilvl w:val="1"/>
          <w:numId w:val="6"/>
        </w:numPr>
      </w:pPr>
      <w:r>
        <w:t>a</w:t>
      </w:r>
      <w:r w:rsidRPr="00A47974">
        <w:t xml:space="preserve"> Bill has recently been introduced to strengthen the foreign trust disclosure rules and implement automatic exchange of information</w:t>
      </w:r>
      <w:r w:rsidR="00010945">
        <w:t xml:space="preserve"> with other tax authorities</w:t>
      </w:r>
      <w:r w:rsidRPr="00A47974">
        <w:t xml:space="preserve">; </w:t>
      </w:r>
    </w:p>
    <w:p w:rsidR="00AD7FEE" w:rsidRPr="00A47974" w:rsidRDefault="00AD7FEE" w:rsidP="00AD7FEE">
      <w:pPr>
        <w:pStyle w:val="ListParagraph"/>
        <w:ind w:left="927"/>
      </w:pPr>
    </w:p>
    <w:p w:rsidR="00AD7FEE" w:rsidRPr="005300CF" w:rsidRDefault="00464FAD" w:rsidP="00AD7FEE">
      <w:pPr>
        <w:pStyle w:val="Numberparagraph"/>
        <w:numPr>
          <w:ilvl w:val="1"/>
          <w:numId w:val="6"/>
        </w:numPr>
      </w:pPr>
      <w:r>
        <w:t>GST now applies</w:t>
      </w:r>
      <w:r w:rsidR="00AD7FEE" w:rsidRPr="00A47974">
        <w:t xml:space="preserve"> to cross border services – including e-books, music, videos and software purchased from overseas websites;</w:t>
      </w:r>
      <w:r w:rsidR="00AD7FEE" w:rsidRPr="00AD7FEE">
        <w:t xml:space="preserve"> </w:t>
      </w:r>
    </w:p>
    <w:p w:rsidR="00AD7FEE" w:rsidRPr="00A47974" w:rsidRDefault="00AD7FEE" w:rsidP="00AD7FEE">
      <w:pPr>
        <w:pStyle w:val="ListParagraph"/>
        <w:ind w:left="927"/>
      </w:pPr>
    </w:p>
    <w:p w:rsidR="00AD7FEE" w:rsidRPr="005300CF" w:rsidRDefault="00AD7FEE" w:rsidP="00AD7FEE">
      <w:pPr>
        <w:pStyle w:val="Numberparagraph"/>
        <w:numPr>
          <w:ilvl w:val="1"/>
          <w:numId w:val="6"/>
        </w:numPr>
      </w:pPr>
      <w:proofErr w:type="gramStart"/>
      <w:r>
        <w:t>t</w:t>
      </w:r>
      <w:r w:rsidRPr="00A47974">
        <w:t>he</w:t>
      </w:r>
      <w:proofErr w:type="gramEnd"/>
      <w:r w:rsidRPr="00A47974">
        <w:t xml:space="preserve"> Government </w:t>
      </w:r>
      <w:r w:rsidR="00392BC3">
        <w:t>has recently</w:t>
      </w:r>
      <w:r w:rsidRPr="00A47974">
        <w:t xml:space="preserve"> release</w:t>
      </w:r>
      <w:r w:rsidR="00392BC3">
        <w:t>d</w:t>
      </w:r>
      <w:r w:rsidRPr="00A47974">
        <w:t xml:space="preserve"> a Discussion Document on hybrid mismatch arrangements</w:t>
      </w:r>
      <w:r w:rsidR="00853A59">
        <w:t>. These proposals are designed to prevent taxpayers from exploiting technical differences in countries’ tax rules on cross-border transactions</w:t>
      </w:r>
      <w:r w:rsidRPr="00A47974">
        <w:t>;</w:t>
      </w:r>
      <w:r w:rsidRPr="00AD7FEE">
        <w:t xml:space="preserve"> </w:t>
      </w:r>
    </w:p>
    <w:p w:rsidR="00AD7FEE" w:rsidRDefault="00AD7FEE" w:rsidP="00AD7FEE">
      <w:pPr>
        <w:pStyle w:val="ListParagraph"/>
        <w:ind w:left="927"/>
      </w:pPr>
    </w:p>
    <w:p w:rsidR="00E4232F" w:rsidRPr="00E4232F" w:rsidRDefault="00392BC3" w:rsidP="006265DD">
      <w:pPr>
        <w:pStyle w:val="Numberparagraph"/>
        <w:numPr>
          <w:ilvl w:val="1"/>
          <w:numId w:val="6"/>
        </w:numPr>
      </w:pPr>
      <w:proofErr w:type="gramStart"/>
      <w:r>
        <w:t>t</w:t>
      </w:r>
      <w:r w:rsidR="00AD7FEE" w:rsidRPr="00A47974">
        <w:t>here</w:t>
      </w:r>
      <w:proofErr w:type="gramEnd"/>
      <w:r w:rsidR="00AD7FEE" w:rsidRPr="00A47974">
        <w:t xml:space="preserve"> is on-going work on strengthening the interest limitation rules.</w:t>
      </w:r>
      <w:r w:rsidR="00853A59">
        <w:t xml:space="preserve"> These rules limit the levels of debt (and associated interest deductions)</w:t>
      </w:r>
      <w:r w:rsidR="00AD7FEE" w:rsidRPr="00AD7FEE">
        <w:t xml:space="preserve"> </w:t>
      </w:r>
      <w:r w:rsidR="00853A59">
        <w:t>that multinationals can load into their New Zealand operations.</w:t>
      </w:r>
    </w:p>
    <w:p w:rsidR="006808E1" w:rsidRDefault="006808E1" w:rsidP="00B10B2B">
      <w:pPr>
        <w:tabs>
          <w:tab w:val="left" w:pos="567"/>
        </w:tabs>
        <w:jc w:val="right"/>
        <w:rPr>
          <w:szCs w:val="24"/>
          <w:lang w:eastAsia="en-AU"/>
        </w:rPr>
      </w:pPr>
    </w:p>
    <w:p w:rsidR="00763BDD" w:rsidRPr="00DD23B8" w:rsidRDefault="00763BDD" w:rsidP="007E2640">
      <w:pPr>
        <w:tabs>
          <w:tab w:val="left" w:pos="567"/>
        </w:tabs>
        <w:jc w:val="both"/>
        <w:rPr>
          <w:szCs w:val="24"/>
          <w:lang w:eastAsia="en-AU"/>
        </w:rPr>
      </w:pPr>
    </w:p>
    <w:p w:rsidR="007E2640" w:rsidRPr="00DD23B8" w:rsidRDefault="004F6ED4" w:rsidP="007E2640">
      <w:pPr>
        <w:tabs>
          <w:tab w:val="left" w:pos="567"/>
        </w:tabs>
        <w:jc w:val="both"/>
        <w:rPr>
          <w:szCs w:val="24"/>
          <w:lang w:eastAsia="en-AU"/>
        </w:rPr>
      </w:pPr>
      <w:r w:rsidRPr="00DD23B8">
        <w:rPr>
          <w:b/>
          <w:bCs/>
          <w:szCs w:val="24"/>
          <w:lang w:eastAsia="en-AU"/>
        </w:rPr>
        <w:t>Consultation</w:t>
      </w:r>
    </w:p>
    <w:p w:rsidR="00763BDD" w:rsidRDefault="00763BDD" w:rsidP="007E2640">
      <w:pPr>
        <w:tabs>
          <w:tab w:val="left" w:pos="567"/>
        </w:tabs>
        <w:jc w:val="both"/>
        <w:rPr>
          <w:szCs w:val="24"/>
          <w:lang w:eastAsia="en-AU"/>
        </w:rPr>
      </w:pPr>
    </w:p>
    <w:p w:rsidR="00E4232F" w:rsidRPr="00E4232F" w:rsidRDefault="00340B11" w:rsidP="001A61F6">
      <w:pPr>
        <w:pStyle w:val="Numberparagraph"/>
        <w:ind w:left="567" w:hanging="567"/>
      </w:pPr>
      <w:r>
        <w:t xml:space="preserve">Inland Revenue and the </w:t>
      </w:r>
      <w:r w:rsidR="00E023CA">
        <w:t xml:space="preserve">Treasury </w:t>
      </w:r>
      <w:r w:rsidR="00B10B2B">
        <w:t>w</w:t>
      </w:r>
      <w:r>
        <w:t>ere</w:t>
      </w:r>
      <w:r w:rsidR="00B10B2B">
        <w:t xml:space="preserve"> consulted on the Cabinet paper and </w:t>
      </w:r>
      <w:r w:rsidR="00E023CA">
        <w:t xml:space="preserve">support the </w:t>
      </w:r>
      <w:r w:rsidR="00392BC3">
        <w:t>preparation</w:t>
      </w:r>
      <w:r w:rsidR="00186F26">
        <w:t xml:space="preserve"> of the discussion document</w:t>
      </w:r>
      <w:r w:rsidR="00E023CA">
        <w:t xml:space="preserve"> setting out the package. </w:t>
      </w:r>
      <w:r w:rsidR="00E357C4">
        <w:t xml:space="preserve"> </w:t>
      </w:r>
      <w:r w:rsidR="00186F26">
        <w:t>The discussion document</w:t>
      </w:r>
      <w:r w:rsidR="001A61F6">
        <w:t xml:space="preserve"> will be used as a basis for consultation on the package with the public.</w:t>
      </w:r>
      <w:r w:rsidR="000815FA">
        <w:t xml:space="preserve">  </w:t>
      </w:r>
      <w:r w:rsidR="005D332C">
        <w:t>Inland Revenue and the Treasury</w:t>
      </w:r>
      <w:r w:rsidR="000815FA">
        <w:t xml:space="preserve"> </w:t>
      </w:r>
      <w:r w:rsidR="005D332C">
        <w:t>will</w:t>
      </w:r>
      <w:r w:rsidR="009C4596">
        <w:t xml:space="preserve"> </w:t>
      </w:r>
      <w:r w:rsidR="000815FA">
        <w:t xml:space="preserve">consult with other </w:t>
      </w:r>
      <w:r w:rsidR="005D332C">
        <w:t xml:space="preserve">interested </w:t>
      </w:r>
      <w:r w:rsidR="000815FA">
        <w:t xml:space="preserve">Government agencies in preparing the </w:t>
      </w:r>
      <w:r>
        <w:t>discussion document</w:t>
      </w:r>
      <w:r w:rsidR="000815FA">
        <w:t>, such as the Ministry of Foreign Affairs and Trade</w:t>
      </w:r>
      <w:r w:rsidR="005C3CC3">
        <w:t xml:space="preserve">. </w:t>
      </w:r>
      <w:r w:rsidR="001A61F6">
        <w:t xml:space="preserve"> </w:t>
      </w:r>
      <w:r w:rsidR="00B10B2B">
        <w:t xml:space="preserve">The proposed discussion document would be released in early 2017. </w:t>
      </w:r>
      <w:r w:rsidR="009C4596">
        <w:t xml:space="preserve"> </w:t>
      </w:r>
      <w:r w:rsidR="005D332C">
        <w:t xml:space="preserve">We will report back to Cabinet with a draft of the proposed discussion document prior to its release. </w:t>
      </w:r>
    </w:p>
    <w:p w:rsidR="00D23100" w:rsidRPr="00DD23B8" w:rsidRDefault="00D23100" w:rsidP="007E2640">
      <w:pPr>
        <w:tabs>
          <w:tab w:val="left" w:pos="567"/>
        </w:tabs>
        <w:jc w:val="both"/>
        <w:rPr>
          <w:b/>
          <w:bCs/>
          <w:szCs w:val="24"/>
          <w:lang w:eastAsia="en-AU"/>
        </w:rPr>
      </w:pPr>
    </w:p>
    <w:p w:rsidR="00D23100" w:rsidRPr="00DD23B8" w:rsidRDefault="00D23100" w:rsidP="007E2640">
      <w:pPr>
        <w:tabs>
          <w:tab w:val="left" w:pos="567"/>
        </w:tabs>
        <w:jc w:val="both"/>
        <w:rPr>
          <w:b/>
          <w:bCs/>
          <w:szCs w:val="24"/>
          <w:lang w:eastAsia="en-AU"/>
        </w:rPr>
      </w:pPr>
    </w:p>
    <w:p w:rsidR="007E2640" w:rsidRPr="00DD23B8" w:rsidRDefault="004F6ED4" w:rsidP="007E2640">
      <w:pPr>
        <w:tabs>
          <w:tab w:val="left" w:pos="567"/>
        </w:tabs>
        <w:jc w:val="both"/>
        <w:rPr>
          <w:szCs w:val="24"/>
          <w:lang w:eastAsia="en-AU"/>
        </w:rPr>
      </w:pPr>
      <w:r w:rsidRPr="00DD23B8">
        <w:rPr>
          <w:b/>
          <w:bCs/>
          <w:szCs w:val="24"/>
          <w:lang w:eastAsia="en-AU"/>
        </w:rPr>
        <w:t>Financial implications</w:t>
      </w:r>
    </w:p>
    <w:p w:rsidR="00D23100" w:rsidRPr="00DD23B8" w:rsidRDefault="00D23100" w:rsidP="007E2640">
      <w:pPr>
        <w:tabs>
          <w:tab w:val="left" w:pos="567"/>
        </w:tabs>
        <w:jc w:val="both"/>
        <w:rPr>
          <w:szCs w:val="24"/>
          <w:lang w:eastAsia="en-AU"/>
        </w:rPr>
      </w:pPr>
    </w:p>
    <w:p w:rsidR="001A61F6" w:rsidRDefault="001A61F6" w:rsidP="001A61F6">
      <w:pPr>
        <w:pStyle w:val="Numberparagraph"/>
        <w:ind w:left="567" w:hanging="567"/>
      </w:pPr>
      <w:r>
        <w:t>There are no financial implications for</w:t>
      </w:r>
      <w:r w:rsidR="00186F26">
        <w:t xml:space="preserve"> the release of the discussion document</w:t>
      </w:r>
      <w:r>
        <w:t xml:space="preserve">.  The introduction of </w:t>
      </w:r>
      <w:r w:rsidR="003B5531">
        <w:t>the package would</w:t>
      </w:r>
      <w:r>
        <w:t xml:space="preserve"> be fiscally positive</w:t>
      </w:r>
      <w:r w:rsidR="003B5531">
        <w:t>, although it is hard to know by how much at this time</w:t>
      </w:r>
      <w:r>
        <w:t>.  We</w:t>
      </w:r>
      <w:r w:rsidRPr="005300CF">
        <w:t xml:space="preserve"> will</w:t>
      </w:r>
      <w:r>
        <w:t xml:space="preserve"> </w:t>
      </w:r>
      <w:r w:rsidRPr="005300CF">
        <w:t xml:space="preserve">have </w:t>
      </w:r>
      <w:r>
        <w:t xml:space="preserve">a </w:t>
      </w:r>
      <w:r w:rsidRPr="005300CF">
        <w:t xml:space="preserve">better idea </w:t>
      </w:r>
      <w:r>
        <w:t xml:space="preserve">of </w:t>
      </w:r>
      <w:r w:rsidR="003B5531">
        <w:t>this</w:t>
      </w:r>
      <w:r>
        <w:t xml:space="preserve"> after</w:t>
      </w:r>
      <w:r w:rsidRPr="005300CF">
        <w:t xml:space="preserve"> reviewing some recently received information</w:t>
      </w:r>
      <w:r>
        <w:t xml:space="preserve"> collected through our annual international tax survey.   </w:t>
      </w:r>
      <w:r w:rsidR="00464FAD">
        <w:t>Advice on financial implications will be provided when approval on the finalised package is sought.</w:t>
      </w:r>
    </w:p>
    <w:p w:rsidR="00D23100" w:rsidRDefault="00D23100" w:rsidP="007E2640">
      <w:pPr>
        <w:tabs>
          <w:tab w:val="left" w:pos="567"/>
        </w:tabs>
        <w:jc w:val="both"/>
        <w:rPr>
          <w:szCs w:val="24"/>
          <w:lang w:eastAsia="en-AU"/>
        </w:rPr>
      </w:pPr>
    </w:p>
    <w:p w:rsidR="00464FAD" w:rsidRDefault="00464FAD" w:rsidP="00464FAD">
      <w:pPr>
        <w:pStyle w:val="Numberparagraph"/>
        <w:numPr>
          <w:ilvl w:val="0"/>
          <w:numId w:val="0"/>
        </w:numPr>
        <w:rPr>
          <w:b/>
        </w:rPr>
      </w:pPr>
    </w:p>
    <w:p w:rsidR="00464FAD" w:rsidRDefault="00464FAD" w:rsidP="00464FAD">
      <w:pPr>
        <w:pStyle w:val="Numberparagraph"/>
        <w:numPr>
          <w:ilvl w:val="0"/>
          <w:numId w:val="0"/>
        </w:numPr>
      </w:pPr>
      <w:r>
        <w:rPr>
          <w:b/>
        </w:rPr>
        <w:t>Administrative impacts</w:t>
      </w:r>
    </w:p>
    <w:p w:rsidR="00464FAD" w:rsidRDefault="00464FAD" w:rsidP="00464FAD">
      <w:pPr>
        <w:pStyle w:val="Numberparagraph"/>
        <w:numPr>
          <w:ilvl w:val="0"/>
          <w:numId w:val="0"/>
        </w:numPr>
      </w:pPr>
    </w:p>
    <w:p w:rsidR="00464FAD" w:rsidRDefault="00464FAD" w:rsidP="00464FAD">
      <w:pPr>
        <w:pStyle w:val="Numberparagraph"/>
        <w:ind w:left="567" w:hanging="567"/>
      </w:pPr>
      <w:r>
        <w:t>Officials will consider administrative impacts when they draft the discussion document.  Advice on administrative impacts will be provided when approval on the finalised package is sought.</w:t>
      </w:r>
      <w:r w:rsidRPr="00870558">
        <w:t xml:space="preserve"> </w:t>
      </w:r>
    </w:p>
    <w:p w:rsidR="00464FAD" w:rsidRDefault="00464FAD" w:rsidP="007E2640">
      <w:pPr>
        <w:tabs>
          <w:tab w:val="left" w:pos="567"/>
        </w:tabs>
        <w:jc w:val="both"/>
        <w:rPr>
          <w:szCs w:val="24"/>
          <w:lang w:eastAsia="en-AU"/>
        </w:rPr>
      </w:pPr>
    </w:p>
    <w:p w:rsidR="00763BDD" w:rsidRDefault="00763BDD" w:rsidP="007E2640">
      <w:pPr>
        <w:tabs>
          <w:tab w:val="left" w:pos="567"/>
        </w:tabs>
        <w:jc w:val="both"/>
        <w:rPr>
          <w:szCs w:val="24"/>
          <w:lang w:eastAsia="en-AU"/>
        </w:rPr>
      </w:pPr>
    </w:p>
    <w:p w:rsidR="008714F3" w:rsidRDefault="008714F3" w:rsidP="007E2640">
      <w:pPr>
        <w:tabs>
          <w:tab w:val="left" w:pos="567"/>
        </w:tabs>
        <w:jc w:val="both"/>
        <w:rPr>
          <w:szCs w:val="24"/>
          <w:lang w:eastAsia="en-AU"/>
        </w:rPr>
      </w:pPr>
    </w:p>
    <w:p w:rsidR="008714F3" w:rsidRPr="00DD23B8" w:rsidRDefault="008714F3" w:rsidP="007E2640">
      <w:pPr>
        <w:tabs>
          <w:tab w:val="left" w:pos="567"/>
        </w:tabs>
        <w:jc w:val="both"/>
        <w:rPr>
          <w:szCs w:val="24"/>
          <w:lang w:eastAsia="en-AU"/>
        </w:rPr>
      </w:pPr>
    </w:p>
    <w:p w:rsidR="007E2640" w:rsidRPr="00DD23B8" w:rsidRDefault="004F6ED4" w:rsidP="00C82235">
      <w:pPr>
        <w:rPr>
          <w:b/>
          <w:szCs w:val="24"/>
          <w:lang w:eastAsia="en-AU"/>
        </w:rPr>
      </w:pPr>
      <w:r w:rsidRPr="00DD23B8">
        <w:rPr>
          <w:b/>
          <w:szCs w:val="24"/>
          <w:lang w:eastAsia="en-AU"/>
        </w:rPr>
        <w:t>H</w:t>
      </w:r>
      <w:r w:rsidR="00763BDD">
        <w:rPr>
          <w:b/>
          <w:bCs/>
          <w:szCs w:val="24"/>
          <w:lang w:eastAsia="en-AU"/>
        </w:rPr>
        <w:t>uman rights</w:t>
      </w:r>
    </w:p>
    <w:p w:rsidR="00763BDD" w:rsidRDefault="00763BDD" w:rsidP="008F1C75">
      <w:pPr>
        <w:tabs>
          <w:tab w:val="left" w:pos="567"/>
        </w:tabs>
        <w:jc w:val="both"/>
        <w:rPr>
          <w:szCs w:val="24"/>
          <w:lang w:eastAsia="en-AU"/>
        </w:rPr>
      </w:pPr>
    </w:p>
    <w:p w:rsidR="00E4232F" w:rsidRPr="00E4232F" w:rsidRDefault="003B5531" w:rsidP="00114293">
      <w:pPr>
        <w:pStyle w:val="Numberparagraph"/>
        <w:ind w:left="567" w:hanging="567"/>
      </w:pPr>
      <w:r>
        <w:t>There are no human rights implications associated with the re</w:t>
      </w:r>
      <w:r w:rsidR="00186F26">
        <w:t>lease of the discussion document</w:t>
      </w:r>
      <w:r>
        <w:t>.</w:t>
      </w:r>
    </w:p>
    <w:p w:rsidR="00D23100" w:rsidRDefault="00D23100" w:rsidP="007E2640">
      <w:pPr>
        <w:tabs>
          <w:tab w:val="left" w:pos="567"/>
        </w:tabs>
        <w:jc w:val="both"/>
        <w:rPr>
          <w:szCs w:val="24"/>
          <w:lang w:eastAsia="en-AU"/>
        </w:rPr>
      </w:pPr>
    </w:p>
    <w:p w:rsidR="00763BDD" w:rsidRPr="00DD23B8" w:rsidRDefault="00763BDD" w:rsidP="007E2640">
      <w:pPr>
        <w:tabs>
          <w:tab w:val="left" w:pos="567"/>
        </w:tabs>
        <w:jc w:val="both"/>
        <w:rPr>
          <w:szCs w:val="24"/>
          <w:lang w:eastAsia="en-AU"/>
        </w:rPr>
      </w:pPr>
    </w:p>
    <w:p w:rsidR="007E2640" w:rsidRPr="00DD23B8" w:rsidRDefault="004F6ED4" w:rsidP="007E2640">
      <w:pPr>
        <w:tabs>
          <w:tab w:val="left" w:pos="567"/>
        </w:tabs>
        <w:jc w:val="both"/>
        <w:rPr>
          <w:b/>
          <w:szCs w:val="24"/>
          <w:lang w:eastAsia="en-AU"/>
        </w:rPr>
      </w:pPr>
      <w:r w:rsidRPr="00DD23B8">
        <w:rPr>
          <w:b/>
          <w:szCs w:val="24"/>
          <w:lang w:eastAsia="en-AU"/>
        </w:rPr>
        <w:t>L</w:t>
      </w:r>
      <w:r w:rsidRPr="00DD23B8">
        <w:rPr>
          <w:b/>
          <w:bCs/>
          <w:szCs w:val="24"/>
          <w:lang w:eastAsia="en-AU"/>
        </w:rPr>
        <w:t>egislative implications</w:t>
      </w:r>
    </w:p>
    <w:p w:rsidR="00D23100" w:rsidRPr="00DD23B8" w:rsidRDefault="00D23100" w:rsidP="007E2640">
      <w:pPr>
        <w:tabs>
          <w:tab w:val="left" w:pos="567"/>
        </w:tabs>
        <w:jc w:val="both"/>
        <w:rPr>
          <w:szCs w:val="24"/>
          <w:lang w:eastAsia="en-AU"/>
        </w:rPr>
      </w:pPr>
    </w:p>
    <w:p w:rsidR="00E4232F" w:rsidRPr="00E4232F" w:rsidRDefault="003B5531" w:rsidP="003B5531">
      <w:pPr>
        <w:pStyle w:val="Numberparagraph"/>
        <w:ind w:left="567" w:hanging="567"/>
      </w:pPr>
      <w:r>
        <w:t>The</w:t>
      </w:r>
      <w:r w:rsidR="00186F26">
        <w:t xml:space="preserve"> publication of the discussion document</w:t>
      </w:r>
      <w:r>
        <w:t xml:space="preserve"> does not have any immediate legislative implications.  However legislative change will be necessary if Cabinet subsequently decides to implement the policy recommendations developed out of the </w:t>
      </w:r>
      <w:r w:rsidR="00464FAD">
        <w:t>discussion document</w:t>
      </w:r>
      <w:r>
        <w:t>.</w:t>
      </w:r>
    </w:p>
    <w:p w:rsidR="00D23100" w:rsidRDefault="00D23100" w:rsidP="007E2640">
      <w:pPr>
        <w:tabs>
          <w:tab w:val="left" w:pos="567"/>
        </w:tabs>
        <w:jc w:val="both"/>
        <w:rPr>
          <w:szCs w:val="24"/>
          <w:lang w:eastAsia="en-AU"/>
        </w:rPr>
      </w:pPr>
    </w:p>
    <w:p w:rsidR="00763BDD" w:rsidRPr="00DD23B8" w:rsidRDefault="00763BDD" w:rsidP="007E2640">
      <w:pPr>
        <w:tabs>
          <w:tab w:val="left" w:pos="567"/>
        </w:tabs>
        <w:jc w:val="both"/>
        <w:rPr>
          <w:szCs w:val="24"/>
          <w:lang w:eastAsia="en-AU"/>
        </w:rPr>
      </w:pPr>
    </w:p>
    <w:p w:rsidR="007E2640" w:rsidRPr="00DD23B8" w:rsidRDefault="004F6ED4" w:rsidP="007E2640">
      <w:pPr>
        <w:tabs>
          <w:tab w:val="left" w:pos="567"/>
        </w:tabs>
        <w:jc w:val="both"/>
        <w:rPr>
          <w:b/>
          <w:szCs w:val="24"/>
          <w:lang w:eastAsia="en-AU"/>
        </w:rPr>
      </w:pPr>
      <w:r w:rsidRPr="00DD23B8">
        <w:rPr>
          <w:b/>
          <w:szCs w:val="24"/>
          <w:lang w:eastAsia="en-AU"/>
        </w:rPr>
        <w:t>R</w:t>
      </w:r>
      <w:r w:rsidRPr="00DD23B8">
        <w:rPr>
          <w:b/>
          <w:bCs/>
          <w:szCs w:val="24"/>
          <w:lang w:eastAsia="en-AU"/>
        </w:rPr>
        <w:t>egulatory impact analysis</w:t>
      </w:r>
    </w:p>
    <w:p w:rsidR="00763BDD" w:rsidRDefault="00763BDD" w:rsidP="00A0224A">
      <w:pPr>
        <w:tabs>
          <w:tab w:val="left" w:pos="567"/>
        </w:tabs>
        <w:jc w:val="both"/>
        <w:rPr>
          <w:szCs w:val="24"/>
          <w:lang w:eastAsia="en-AU"/>
        </w:rPr>
      </w:pPr>
    </w:p>
    <w:p w:rsidR="00A0224A" w:rsidRDefault="00464FAD" w:rsidP="002A7DA1">
      <w:pPr>
        <w:pStyle w:val="Numberparagraph"/>
        <w:ind w:left="567" w:hanging="567"/>
      </w:pPr>
      <w:r>
        <w:t xml:space="preserve">Elements of the regulatory impact analysis will be </w:t>
      </w:r>
      <w:r w:rsidR="00C56367">
        <w:t>included</w:t>
      </w:r>
      <w:r>
        <w:t xml:space="preserve"> in the discussion document at a level that is appropriate given the stage of policy development.  </w:t>
      </w:r>
      <w:r w:rsidR="003B5531">
        <w:t xml:space="preserve">A </w:t>
      </w:r>
      <w:r>
        <w:t xml:space="preserve">full </w:t>
      </w:r>
      <w:r w:rsidR="003B5531">
        <w:t xml:space="preserve">regulatory impact analysis will be </w:t>
      </w:r>
      <w:r w:rsidR="002A7DA1">
        <w:t xml:space="preserve">carried out later in the policy process, once officials have </w:t>
      </w:r>
      <w:r>
        <w:t>finalised their</w:t>
      </w:r>
      <w:r w:rsidR="002A7DA1">
        <w:t xml:space="preserve"> policy recommendations.</w:t>
      </w:r>
    </w:p>
    <w:p w:rsidR="00934128" w:rsidRDefault="00934128" w:rsidP="00934128">
      <w:pPr>
        <w:pStyle w:val="Numberparagraph"/>
        <w:numPr>
          <w:ilvl w:val="0"/>
          <w:numId w:val="0"/>
        </w:numPr>
        <w:ind w:left="567"/>
      </w:pPr>
    </w:p>
    <w:p w:rsidR="00464FAD" w:rsidRDefault="00464FAD" w:rsidP="007E2640">
      <w:pPr>
        <w:tabs>
          <w:tab w:val="left" w:pos="567"/>
        </w:tabs>
        <w:jc w:val="both"/>
        <w:rPr>
          <w:b/>
          <w:bCs/>
          <w:szCs w:val="24"/>
          <w:lang w:eastAsia="en-AU"/>
        </w:rPr>
      </w:pPr>
    </w:p>
    <w:p w:rsidR="007E2640" w:rsidRPr="00DD23B8" w:rsidRDefault="004F6ED4" w:rsidP="007E2640">
      <w:pPr>
        <w:tabs>
          <w:tab w:val="left" w:pos="567"/>
        </w:tabs>
        <w:jc w:val="both"/>
        <w:rPr>
          <w:szCs w:val="24"/>
          <w:lang w:eastAsia="en-AU"/>
        </w:rPr>
      </w:pPr>
      <w:r w:rsidRPr="00DD23B8">
        <w:rPr>
          <w:b/>
          <w:bCs/>
          <w:szCs w:val="24"/>
          <w:lang w:eastAsia="en-AU"/>
        </w:rPr>
        <w:t>Publicity</w:t>
      </w:r>
    </w:p>
    <w:p w:rsidR="00D23100" w:rsidRPr="00DD23B8" w:rsidRDefault="00D23100" w:rsidP="007E2640">
      <w:pPr>
        <w:tabs>
          <w:tab w:val="left" w:pos="567"/>
        </w:tabs>
        <w:jc w:val="both"/>
        <w:rPr>
          <w:szCs w:val="24"/>
          <w:lang w:eastAsia="en-AU"/>
        </w:rPr>
      </w:pPr>
    </w:p>
    <w:p w:rsidR="00D23100" w:rsidRPr="00DD23B8" w:rsidRDefault="00B10B2B" w:rsidP="00E4232F">
      <w:pPr>
        <w:pStyle w:val="Numberparagraph"/>
      </w:pPr>
      <w:r>
        <w:t>We</w:t>
      </w:r>
      <w:r w:rsidR="002A7DA1">
        <w:t xml:space="preserve"> will arrange the appropriate publicity for the release of the </w:t>
      </w:r>
      <w:r w:rsidR="00095D75">
        <w:t>discussion document</w:t>
      </w:r>
      <w:r w:rsidR="00873241">
        <w:t>.</w:t>
      </w:r>
    </w:p>
    <w:p w:rsidR="00D23100" w:rsidRPr="00DD23B8" w:rsidRDefault="00D23100" w:rsidP="00AE00CD">
      <w:pPr>
        <w:rPr>
          <w:lang w:eastAsia="en-AU"/>
        </w:rPr>
      </w:pPr>
    </w:p>
    <w:p w:rsidR="00D23100" w:rsidRPr="00763BDD" w:rsidRDefault="00D23100" w:rsidP="00AE00CD">
      <w:pPr>
        <w:rPr>
          <w:lang w:eastAsia="en-AU"/>
        </w:rPr>
      </w:pPr>
    </w:p>
    <w:p w:rsidR="007E2640" w:rsidRDefault="004F6ED4" w:rsidP="00D972DA">
      <w:pPr>
        <w:rPr>
          <w:b/>
          <w:bCs/>
          <w:szCs w:val="24"/>
          <w:lang w:eastAsia="en-AU"/>
        </w:rPr>
      </w:pPr>
      <w:r w:rsidRPr="00DD23B8">
        <w:rPr>
          <w:b/>
          <w:bCs/>
          <w:szCs w:val="24"/>
          <w:lang w:eastAsia="en-AU"/>
        </w:rPr>
        <w:t>Recommendations</w:t>
      </w:r>
    </w:p>
    <w:p w:rsidR="00763BDD" w:rsidRPr="00DD23B8" w:rsidRDefault="00763BDD" w:rsidP="007E2640">
      <w:pPr>
        <w:tabs>
          <w:tab w:val="left" w:pos="567"/>
        </w:tabs>
        <w:jc w:val="both"/>
        <w:rPr>
          <w:szCs w:val="24"/>
          <w:lang w:eastAsia="en-AU"/>
        </w:rPr>
      </w:pPr>
    </w:p>
    <w:p w:rsidR="00D23100" w:rsidRPr="00DD23B8" w:rsidRDefault="00306190" w:rsidP="00E4232F">
      <w:pPr>
        <w:pStyle w:val="Numberparagraph"/>
      </w:pPr>
      <w:r>
        <w:t xml:space="preserve">We </w:t>
      </w:r>
      <w:r w:rsidR="002A7DA1">
        <w:t>recommend that the Cabinet Economic Growth and Infrastructure Committee</w:t>
      </w:r>
      <w:r w:rsidR="00C869D8">
        <w:t>:</w:t>
      </w:r>
    </w:p>
    <w:p w:rsidR="00D23100" w:rsidRDefault="00AE00CD" w:rsidP="00AE00CD">
      <w:pPr>
        <w:rPr>
          <w:lang w:eastAsia="en-AU"/>
        </w:rPr>
      </w:pPr>
      <w:r>
        <w:rPr>
          <w:lang w:eastAsia="en-AU"/>
        </w:rPr>
        <w:t xml:space="preserve">   </w:t>
      </w:r>
    </w:p>
    <w:p w:rsidR="00E0549E" w:rsidRDefault="00D972DA" w:rsidP="00E0549E">
      <w:pPr>
        <w:pStyle w:val="TRBodyTextChar"/>
        <w:tabs>
          <w:tab w:val="left" w:pos="567"/>
          <w:tab w:val="left" w:pos="5812"/>
        </w:tabs>
        <w:ind w:left="1134" w:hanging="567"/>
      </w:pPr>
      <w:r>
        <w:t>1.</w:t>
      </w:r>
      <w:r w:rsidR="00E0549E">
        <w:rPr>
          <w:b/>
        </w:rPr>
        <w:tab/>
        <w:t>Note</w:t>
      </w:r>
      <w:r w:rsidR="00E0549E">
        <w:t xml:space="preserve"> that i</w:t>
      </w:r>
      <w:r w:rsidR="00E0549E" w:rsidRPr="00E0549E">
        <w:t>n addition to adopting the OECD</w:t>
      </w:r>
      <w:r w:rsidR="00E0549E">
        <w:t>’s</w:t>
      </w:r>
      <w:r w:rsidR="00E0549E" w:rsidRPr="00E0549E">
        <w:t xml:space="preserve"> BEPS Action Plan, both the UK and Australia have introduced a unilateral measure</w:t>
      </w:r>
      <w:r w:rsidR="009A2086">
        <w:t>, known as a diverted profits tax</w:t>
      </w:r>
      <w:r w:rsidR="00061ED3">
        <w:t xml:space="preserve"> (</w:t>
      </w:r>
      <w:proofErr w:type="spellStart"/>
      <w:r w:rsidR="00061ED3">
        <w:t>DPT</w:t>
      </w:r>
      <w:proofErr w:type="spellEnd"/>
      <w:r w:rsidR="00061ED3">
        <w:t>)</w:t>
      </w:r>
      <w:r w:rsidR="009A2086">
        <w:t>,</w:t>
      </w:r>
      <w:r w:rsidR="00E0549E" w:rsidRPr="00E0549E">
        <w:t xml:space="preserve"> </w:t>
      </w:r>
      <w:r w:rsidR="009A2086">
        <w:t xml:space="preserve">which is designed </w:t>
      </w:r>
      <w:r w:rsidR="00E0549E" w:rsidRPr="00E0549E">
        <w:t xml:space="preserve">to counter </w:t>
      </w:r>
      <w:r w:rsidR="00F8323B">
        <w:t>transfer pricing (</w:t>
      </w:r>
      <w:proofErr w:type="spellStart"/>
      <w:r w:rsidR="00361C0C">
        <w:t>TP</w:t>
      </w:r>
      <w:proofErr w:type="spellEnd"/>
      <w:r w:rsidR="00F8323B">
        <w:t>)</w:t>
      </w:r>
      <w:r w:rsidR="00361C0C">
        <w:t xml:space="preserve"> and</w:t>
      </w:r>
      <w:r w:rsidR="00F8323B">
        <w:t xml:space="preserve"> permanent establishment</w:t>
      </w:r>
      <w:r w:rsidR="00361C0C">
        <w:t xml:space="preserve"> </w:t>
      </w:r>
      <w:r w:rsidR="00F8323B">
        <w:t>(</w:t>
      </w:r>
      <w:r w:rsidR="00361C0C">
        <w:t>PE</w:t>
      </w:r>
      <w:r w:rsidR="00F8323B">
        <w:t>)</w:t>
      </w:r>
      <w:r w:rsidR="00361C0C">
        <w:t xml:space="preserve"> avoidance</w:t>
      </w:r>
      <w:r w:rsidR="008714F3">
        <w:t>.</w:t>
      </w:r>
      <w:r w:rsidR="00E0549E" w:rsidRPr="00E0549E">
        <w:t xml:space="preserve"> </w:t>
      </w:r>
    </w:p>
    <w:p w:rsidR="00D972DA" w:rsidRDefault="00D972DA" w:rsidP="00E0549E">
      <w:pPr>
        <w:pStyle w:val="TRBodyTextChar"/>
        <w:tabs>
          <w:tab w:val="left" w:pos="567"/>
          <w:tab w:val="left" w:pos="5812"/>
        </w:tabs>
        <w:ind w:left="1134" w:hanging="567"/>
      </w:pPr>
    </w:p>
    <w:p w:rsidR="009D595E" w:rsidRDefault="00D972DA" w:rsidP="000B1E9D">
      <w:pPr>
        <w:pStyle w:val="TRBodyTextChar"/>
        <w:tabs>
          <w:tab w:val="left" w:pos="567"/>
          <w:tab w:val="left" w:pos="5812"/>
        </w:tabs>
        <w:ind w:left="1134" w:hanging="567"/>
      </w:pPr>
      <w:r>
        <w:t>2</w:t>
      </w:r>
      <w:r w:rsidR="000B1E9D">
        <w:t>.</w:t>
      </w:r>
      <w:r w:rsidR="009D595E">
        <w:tab/>
      </w:r>
      <w:r w:rsidR="009D595E">
        <w:rPr>
          <w:b/>
        </w:rPr>
        <w:t>Note</w:t>
      </w:r>
      <w:r w:rsidR="005C3CC3">
        <w:t xml:space="preserve"> that</w:t>
      </w:r>
      <w:r w:rsidR="000815FA">
        <w:t xml:space="preserve"> our </w:t>
      </w:r>
      <w:r w:rsidR="009D595E">
        <w:t xml:space="preserve">preference at this stage is to </w:t>
      </w:r>
      <w:r w:rsidR="005D250B">
        <w:t xml:space="preserve">counter </w:t>
      </w:r>
      <w:proofErr w:type="spellStart"/>
      <w:r w:rsidR="00947F1D">
        <w:t>TP</w:t>
      </w:r>
      <w:proofErr w:type="spellEnd"/>
      <w:r w:rsidR="00947F1D">
        <w:t xml:space="preserve"> and PE avoidance</w:t>
      </w:r>
      <w:r w:rsidR="005D250B">
        <w:t xml:space="preserve"> </w:t>
      </w:r>
      <w:r w:rsidR="009D595E">
        <w:t>through a package of measures tailored to the New Zealand environment</w:t>
      </w:r>
      <w:r w:rsidR="003B443F">
        <w:t xml:space="preserve"> rather than a </w:t>
      </w:r>
      <w:r w:rsidR="00464FAD">
        <w:t xml:space="preserve">  </w:t>
      </w:r>
      <w:r w:rsidR="00E22FD2">
        <w:t xml:space="preserve">DPT.  </w:t>
      </w:r>
      <w:r w:rsidR="00464FAD">
        <w:t xml:space="preserve">However </w:t>
      </w:r>
      <w:r w:rsidR="00E0549E">
        <w:t>we</w:t>
      </w:r>
      <w:r w:rsidR="00464FAD">
        <w:t xml:space="preserve"> have not ruled out the introduction of a separate </w:t>
      </w:r>
      <w:r w:rsidR="00E22FD2">
        <w:t>DPT</w:t>
      </w:r>
      <w:r w:rsidR="00464FAD">
        <w:t>.</w:t>
      </w:r>
    </w:p>
    <w:p w:rsidR="009D595E" w:rsidRDefault="009D595E" w:rsidP="000B1E9D">
      <w:pPr>
        <w:pStyle w:val="TRBodyTextChar"/>
        <w:tabs>
          <w:tab w:val="left" w:pos="567"/>
          <w:tab w:val="left" w:pos="5812"/>
        </w:tabs>
        <w:ind w:left="1134" w:hanging="567"/>
      </w:pPr>
    </w:p>
    <w:p w:rsidR="009D595E" w:rsidRDefault="00D972DA" w:rsidP="000B1E9D">
      <w:pPr>
        <w:spacing w:after="120" w:line="240" w:lineRule="atLeast"/>
        <w:ind w:left="1134" w:hanging="567"/>
        <w:rPr>
          <w:szCs w:val="24"/>
        </w:rPr>
      </w:pPr>
      <w:bookmarkStart w:id="1" w:name="_Ref434315906"/>
      <w:r>
        <w:t>3</w:t>
      </w:r>
      <w:r w:rsidR="000B1E9D">
        <w:t>.</w:t>
      </w:r>
      <w:r w:rsidR="009D595E">
        <w:tab/>
      </w:r>
      <w:r w:rsidR="009D595E">
        <w:rPr>
          <w:b/>
        </w:rPr>
        <w:t>Agree</w:t>
      </w:r>
      <w:r w:rsidR="009D595E">
        <w:t xml:space="preserve"> that </w:t>
      </w:r>
      <w:r w:rsidR="00E0549E">
        <w:t xml:space="preserve">Inland Revenue and </w:t>
      </w:r>
      <w:r w:rsidR="00B10B2B">
        <w:t xml:space="preserve">the </w:t>
      </w:r>
      <w:r w:rsidR="00E0549E">
        <w:t xml:space="preserve">Treasury </w:t>
      </w:r>
      <w:r w:rsidR="009D595E">
        <w:t>should develop a package of measures to</w:t>
      </w:r>
      <w:r w:rsidR="002C0B9F">
        <w:t xml:space="preserve"> counter </w:t>
      </w:r>
      <w:proofErr w:type="spellStart"/>
      <w:r w:rsidR="002C0B9F">
        <w:t>TP</w:t>
      </w:r>
      <w:proofErr w:type="spellEnd"/>
      <w:r w:rsidR="002C0B9F">
        <w:t xml:space="preserve"> and PE avoidance</w:t>
      </w:r>
      <w:r w:rsidR="009D595E">
        <w:t>.</w:t>
      </w:r>
      <w:r w:rsidR="009D595E" w:rsidRPr="00033C18">
        <w:t xml:space="preserve"> </w:t>
      </w:r>
      <w:r w:rsidR="009D595E" w:rsidRPr="00772017">
        <w:t xml:space="preserve">The </w:t>
      </w:r>
      <w:r w:rsidR="009D595E">
        <w:t>package should include</w:t>
      </w:r>
      <w:r w:rsidR="009D595E" w:rsidRPr="00BF73FE">
        <w:t>:</w:t>
      </w:r>
    </w:p>
    <w:p w:rsidR="009D595E" w:rsidRDefault="009D595E" w:rsidP="000B1E9D">
      <w:pPr>
        <w:pStyle w:val="ListParagraph"/>
        <w:numPr>
          <w:ilvl w:val="0"/>
          <w:numId w:val="16"/>
        </w:numPr>
        <w:spacing w:after="200" w:line="276" w:lineRule="auto"/>
        <w:ind w:left="1494"/>
        <w:rPr>
          <w:szCs w:val="24"/>
        </w:rPr>
      </w:pPr>
      <w:r w:rsidRPr="006A32AB">
        <w:rPr>
          <w:szCs w:val="24"/>
        </w:rPr>
        <w:t xml:space="preserve">measures to prevent the avoidance of a </w:t>
      </w:r>
      <w:r w:rsidR="00361C0C">
        <w:rPr>
          <w:szCs w:val="24"/>
        </w:rPr>
        <w:t>PE</w:t>
      </w:r>
      <w:r w:rsidRPr="006A32AB">
        <w:rPr>
          <w:szCs w:val="24"/>
        </w:rPr>
        <w:t xml:space="preserve"> in New Zealand, which would be similar in effect to this aspect of the Australian/UK </w:t>
      </w:r>
      <w:proofErr w:type="spellStart"/>
      <w:r w:rsidRPr="006A32AB">
        <w:rPr>
          <w:szCs w:val="24"/>
        </w:rPr>
        <w:t>DPT</w:t>
      </w:r>
      <w:proofErr w:type="spellEnd"/>
      <w:r w:rsidR="008714F3" w:rsidRPr="006A32AB">
        <w:rPr>
          <w:szCs w:val="24"/>
        </w:rPr>
        <w:t xml:space="preserve"> </w:t>
      </w:r>
      <w:r w:rsidRPr="006A32AB">
        <w:rPr>
          <w:szCs w:val="24"/>
        </w:rPr>
        <w:t>(including a possible override of our D</w:t>
      </w:r>
      <w:r w:rsidR="00853A59">
        <w:rPr>
          <w:szCs w:val="24"/>
        </w:rPr>
        <w:t>ouble Tax Agreements</w:t>
      </w:r>
      <w:r w:rsidRPr="006A32AB">
        <w:rPr>
          <w:szCs w:val="24"/>
        </w:rPr>
        <w:t>) and consistent with the OECD’s BEPS measures;</w:t>
      </w:r>
    </w:p>
    <w:p w:rsidR="009D595E" w:rsidRDefault="009D595E" w:rsidP="000B1E9D">
      <w:pPr>
        <w:pStyle w:val="ListParagraph"/>
        <w:ind w:left="1494"/>
        <w:rPr>
          <w:szCs w:val="24"/>
        </w:rPr>
      </w:pPr>
      <w:r>
        <w:rPr>
          <w:szCs w:val="24"/>
        </w:rPr>
        <w:t xml:space="preserve"> </w:t>
      </w:r>
    </w:p>
    <w:p w:rsidR="009D595E" w:rsidRPr="006A32AB" w:rsidRDefault="009D595E" w:rsidP="000B1E9D">
      <w:pPr>
        <w:pStyle w:val="ListParagraph"/>
        <w:numPr>
          <w:ilvl w:val="0"/>
          <w:numId w:val="16"/>
        </w:numPr>
        <w:spacing w:after="200" w:line="276" w:lineRule="auto"/>
        <w:ind w:left="1494"/>
        <w:rPr>
          <w:szCs w:val="24"/>
        </w:rPr>
      </w:pPr>
      <w:r w:rsidRPr="006A32AB">
        <w:rPr>
          <w:szCs w:val="24"/>
        </w:rPr>
        <w:t>amendments to our transfer pricing legislation so we can collect better information, tax multinationals more in accordance with the economic substance of their activities here (in accordance with the OECD’s new transfer pricing guidelines), and so that Inland Revenue does not have the burden of proof in transfer pricing</w:t>
      </w:r>
      <w:r>
        <w:rPr>
          <w:szCs w:val="24"/>
        </w:rPr>
        <w:t xml:space="preserve"> cases</w:t>
      </w:r>
      <w:r w:rsidR="00464FAD">
        <w:rPr>
          <w:szCs w:val="24"/>
        </w:rPr>
        <w:t>;</w:t>
      </w:r>
      <w:r>
        <w:rPr>
          <w:szCs w:val="24"/>
        </w:rPr>
        <w:br/>
      </w:r>
    </w:p>
    <w:p w:rsidR="009D595E" w:rsidRPr="006A32AB" w:rsidRDefault="001F5C53" w:rsidP="000B1E9D">
      <w:pPr>
        <w:pStyle w:val="ListParagraph"/>
        <w:numPr>
          <w:ilvl w:val="0"/>
          <w:numId w:val="16"/>
        </w:numPr>
        <w:spacing w:after="200" w:line="276" w:lineRule="auto"/>
        <w:ind w:left="1494"/>
        <w:rPr>
          <w:szCs w:val="24"/>
        </w:rPr>
      </w:pPr>
      <w:r>
        <w:rPr>
          <w:szCs w:val="24"/>
        </w:rPr>
        <w:t xml:space="preserve">adoption of </w:t>
      </w:r>
      <w:r w:rsidR="00AA59E0">
        <w:rPr>
          <w:szCs w:val="24"/>
        </w:rPr>
        <w:t xml:space="preserve">other </w:t>
      </w:r>
      <w:r w:rsidR="009D595E" w:rsidRPr="006A32AB">
        <w:rPr>
          <w:szCs w:val="24"/>
        </w:rPr>
        <w:t xml:space="preserve"> OECD BEPS measures</w:t>
      </w:r>
      <w:r>
        <w:rPr>
          <w:szCs w:val="24"/>
        </w:rPr>
        <w:t xml:space="preserve"> </w:t>
      </w:r>
      <w:r w:rsidR="00361C0C">
        <w:rPr>
          <w:szCs w:val="24"/>
        </w:rPr>
        <w:t>relating</w:t>
      </w:r>
      <w:r>
        <w:rPr>
          <w:szCs w:val="24"/>
        </w:rPr>
        <w:t xml:space="preserve"> to </w:t>
      </w:r>
      <w:proofErr w:type="spellStart"/>
      <w:r w:rsidR="00947F1D">
        <w:t>TP</w:t>
      </w:r>
      <w:proofErr w:type="spellEnd"/>
      <w:r w:rsidR="00947F1D">
        <w:t xml:space="preserve"> and PE avoidance</w:t>
      </w:r>
      <w:r w:rsidR="009D595E" w:rsidRPr="006A32AB">
        <w:rPr>
          <w:szCs w:val="24"/>
        </w:rPr>
        <w:t xml:space="preserve">, </w:t>
      </w:r>
      <w:r w:rsidR="004F2630">
        <w:rPr>
          <w:szCs w:val="24"/>
        </w:rPr>
        <w:t>which</w:t>
      </w:r>
      <w:r w:rsidR="00AA59E0">
        <w:rPr>
          <w:szCs w:val="24"/>
        </w:rPr>
        <w:t xml:space="preserve"> </w:t>
      </w:r>
      <w:r w:rsidR="009D595E" w:rsidRPr="006A32AB">
        <w:rPr>
          <w:szCs w:val="24"/>
        </w:rPr>
        <w:t>include</w:t>
      </w:r>
      <w:r w:rsidR="00AA59E0">
        <w:rPr>
          <w:szCs w:val="24"/>
        </w:rPr>
        <w:t>s</w:t>
      </w:r>
      <w:r w:rsidR="009D595E" w:rsidRPr="006A32AB">
        <w:rPr>
          <w:szCs w:val="24"/>
        </w:rPr>
        <w:t xml:space="preserve"> strengthening our tax treaties</w:t>
      </w:r>
      <w:r w:rsidR="00361C0C">
        <w:rPr>
          <w:szCs w:val="24"/>
        </w:rPr>
        <w:t xml:space="preserve"> so they cannot be used for this purpose</w:t>
      </w:r>
      <w:r w:rsidR="009D595E" w:rsidRPr="006A32AB">
        <w:rPr>
          <w:szCs w:val="24"/>
        </w:rPr>
        <w:t xml:space="preserve">; </w:t>
      </w:r>
      <w:r w:rsidR="009D595E">
        <w:rPr>
          <w:szCs w:val="24"/>
        </w:rPr>
        <w:br/>
      </w:r>
    </w:p>
    <w:p w:rsidR="009D595E" w:rsidRPr="006A32AB" w:rsidRDefault="00B10B2B" w:rsidP="000B1E9D">
      <w:pPr>
        <w:pStyle w:val="ListParagraph"/>
        <w:numPr>
          <w:ilvl w:val="0"/>
          <w:numId w:val="16"/>
        </w:numPr>
        <w:spacing w:after="200" w:line="276" w:lineRule="auto"/>
        <w:ind w:left="1494"/>
        <w:rPr>
          <w:szCs w:val="24"/>
        </w:rPr>
      </w:pPr>
      <w:r>
        <w:rPr>
          <w:szCs w:val="24"/>
        </w:rPr>
        <w:t xml:space="preserve">other </w:t>
      </w:r>
      <w:r w:rsidR="009D595E" w:rsidRPr="006A32AB">
        <w:rPr>
          <w:szCs w:val="24"/>
        </w:rPr>
        <w:t>domestic law amendments to address issues specific to New Zea</w:t>
      </w:r>
      <w:r w:rsidR="009D595E">
        <w:rPr>
          <w:szCs w:val="24"/>
        </w:rPr>
        <w:t>land; and</w:t>
      </w:r>
      <w:r w:rsidR="009D595E">
        <w:rPr>
          <w:szCs w:val="24"/>
        </w:rPr>
        <w:br/>
      </w:r>
    </w:p>
    <w:p w:rsidR="009D595E" w:rsidRDefault="009D595E" w:rsidP="000B1E9D">
      <w:pPr>
        <w:pStyle w:val="ListParagraph"/>
        <w:numPr>
          <w:ilvl w:val="0"/>
          <w:numId w:val="16"/>
        </w:numPr>
        <w:tabs>
          <w:tab w:val="left" w:pos="567"/>
        </w:tabs>
        <w:spacing w:after="200" w:line="276" w:lineRule="auto"/>
        <w:ind w:left="1494"/>
        <w:rPr>
          <w:b/>
        </w:rPr>
      </w:pPr>
      <w:proofErr w:type="gramStart"/>
      <w:r w:rsidRPr="006A32AB">
        <w:rPr>
          <w:szCs w:val="24"/>
        </w:rPr>
        <w:t>administrative</w:t>
      </w:r>
      <w:proofErr w:type="gramEnd"/>
      <w:r w:rsidRPr="006A32AB">
        <w:rPr>
          <w:szCs w:val="24"/>
        </w:rPr>
        <w:t xml:space="preserve"> measures to make it easier to assess and collect tax from uncooperative multinationals in practice (particularly in relation to transfer pricing). </w:t>
      </w:r>
    </w:p>
    <w:p w:rsidR="009D595E" w:rsidRDefault="00D972DA" w:rsidP="000B1E9D">
      <w:pPr>
        <w:pStyle w:val="Recommendationfirstlevel"/>
        <w:numPr>
          <w:ilvl w:val="0"/>
          <w:numId w:val="0"/>
        </w:numPr>
        <w:ind w:left="1134" w:hanging="567"/>
      </w:pPr>
      <w:r>
        <w:t>4</w:t>
      </w:r>
      <w:r w:rsidR="000B1E9D">
        <w:t>.</w:t>
      </w:r>
      <w:r w:rsidR="009D595E">
        <w:tab/>
      </w:r>
      <w:r w:rsidR="009D595E">
        <w:rPr>
          <w:b/>
        </w:rPr>
        <w:t>Agree</w:t>
      </w:r>
      <w:r w:rsidR="009D595E">
        <w:t xml:space="preserve"> that </w:t>
      </w:r>
      <w:r w:rsidR="002579F1">
        <w:t xml:space="preserve">Inland Revenue and the Treasury </w:t>
      </w:r>
      <w:r w:rsidR="009D595E">
        <w:t xml:space="preserve">should </w:t>
      </w:r>
      <w:r w:rsidR="002579F1">
        <w:t>prepare</w:t>
      </w:r>
      <w:r w:rsidR="009D595E">
        <w:t xml:space="preserve"> a Government </w:t>
      </w:r>
      <w:r w:rsidR="00340B11">
        <w:t>d</w:t>
      </w:r>
      <w:r w:rsidR="009D595E">
        <w:t xml:space="preserve">iscussion </w:t>
      </w:r>
      <w:r w:rsidR="00340B11">
        <w:t>d</w:t>
      </w:r>
      <w:r w:rsidR="009D595E">
        <w:t>ocument</w:t>
      </w:r>
      <w:r w:rsidR="00464FAD">
        <w:t xml:space="preserve"> setting out this package</w:t>
      </w:r>
      <w:r w:rsidR="009D595E">
        <w:t>.</w:t>
      </w:r>
    </w:p>
    <w:p w:rsidR="009D595E" w:rsidRDefault="009D595E" w:rsidP="000B1E9D">
      <w:pPr>
        <w:pStyle w:val="Recommendationfirstlevel"/>
        <w:numPr>
          <w:ilvl w:val="0"/>
          <w:numId w:val="0"/>
        </w:numPr>
        <w:ind w:left="1134" w:hanging="567"/>
      </w:pPr>
    </w:p>
    <w:p w:rsidR="002579F1" w:rsidRDefault="00D972DA" w:rsidP="000B1E9D">
      <w:pPr>
        <w:pStyle w:val="Recommendationfirstlevel"/>
        <w:numPr>
          <w:ilvl w:val="0"/>
          <w:numId w:val="0"/>
        </w:numPr>
        <w:ind w:left="1134" w:hanging="567"/>
      </w:pPr>
      <w:r>
        <w:t>5</w:t>
      </w:r>
      <w:r w:rsidR="000B1E9D">
        <w:t>.</w:t>
      </w:r>
      <w:r w:rsidR="009D595E">
        <w:tab/>
      </w:r>
      <w:r w:rsidR="002579F1">
        <w:rPr>
          <w:b/>
        </w:rPr>
        <w:t>Note</w:t>
      </w:r>
      <w:r w:rsidR="002579F1">
        <w:t xml:space="preserve"> that we </w:t>
      </w:r>
      <w:r w:rsidR="005D332C">
        <w:t>propose releasing a Government discussion document</w:t>
      </w:r>
      <w:r w:rsidR="00E22FD2">
        <w:t xml:space="preserve"> on</w:t>
      </w:r>
      <w:r w:rsidR="005D332C">
        <w:t xml:space="preserve"> </w:t>
      </w:r>
      <w:r w:rsidR="005D250B">
        <w:t xml:space="preserve">this package in </w:t>
      </w:r>
      <w:r w:rsidR="005D332C">
        <w:t xml:space="preserve">2017 and </w:t>
      </w:r>
      <w:r w:rsidR="002579F1">
        <w:t xml:space="preserve">will report back </w:t>
      </w:r>
      <w:r w:rsidR="005D332C">
        <w:t>to Cabinet with a draft of the</w:t>
      </w:r>
      <w:r w:rsidR="002579F1">
        <w:t xml:space="preserve"> discussion document </w:t>
      </w:r>
      <w:r w:rsidR="005D332C">
        <w:t>prior to its release</w:t>
      </w:r>
      <w:r w:rsidR="002579F1">
        <w:t>.</w:t>
      </w:r>
    </w:p>
    <w:p w:rsidR="002579F1" w:rsidRDefault="002579F1" w:rsidP="000B1E9D">
      <w:pPr>
        <w:pStyle w:val="Recommendationfirstlevel"/>
        <w:numPr>
          <w:ilvl w:val="0"/>
          <w:numId w:val="0"/>
        </w:numPr>
        <w:ind w:left="1134" w:hanging="567"/>
        <w:rPr>
          <w:b/>
        </w:rPr>
      </w:pPr>
    </w:p>
    <w:p w:rsidR="009D595E" w:rsidRPr="009D595E" w:rsidRDefault="002579F1" w:rsidP="002579F1">
      <w:pPr>
        <w:pStyle w:val="Recommendationfirstlevel"/>
        <w:numPr>
          <w:ilvl w:val="0"/>
          <w:numId w:val="0"/>
        </w:numPr>
        <w:ind w:left="1134" w:hanging="567"/>
      </w:pPr>
      <w:r w:rsidRPr="00010945">
        <w:t xml:space="preserve">6. </w:t>
      </w:r>
      <w:r w:rsidRPr="00010945">
        <w:tab/>
      </w:r>
      <w:r w:rsidR="009D595E">
        <w:rPr>
          <w:b/>
        </w:rPr>
        <w:t>Note</w:t>
      </w:r>
      <w:r w:rsidR="009D595E">
        <w:t xml:space="preserve"> that </w:t>
      </w:r>
      <w:r w:rsidR="009D595E" w:rsidRPr="005300CF">
        <w:t xml:space="preserve">New Zealand </w:t>
      </w:r>
      <w:r w:rsidR="009D595E">
        <w:t>is</w:t>
      </w:r>
      <w:r w:rsidR="009D595E" w:rsidRPr="005300CF">
        <w:t xml:space="preserve"> </w:t>
      </w:r>
      <w:r w:rsidR="009D595E">
        <w:t xml:space="preserve">already </w:t>
      </w:r>
      <w:proofErr w:type="gramStart"/>
      <w:r w:rsidR="009D595E">
        <w:t>progressing</w:t>
      </w:r>
      <w:proofErr w:type="gramEnd"/>
      <w:r w:rsidR="009D595E">
        <w:t xml:space="preserve"> a</w:t>
      </w:r>
      <w:r w:rsidR="009D595E" w:rsidRPr="005300CF">
        <w:t xml:space="preserve"> number of </w:t>
      </w:r>
      <w:r w:rsidR="009D595E">
        <w:t xml:space="preserve">other </w:t>
      </w:r>
      <w:r w:rsidR="009D595E" w:rsidRPr="005300CF">
        <w:t xml:space="preserve">measures to address </w:t>
      </w:r>
      <w:r w:rsidR="009D595E">
        <w:t>BEP</w:t>
      </w:r>
      <w:r w:rsidR="00D972DA">
        <w:t>S.</w:t>
      </w:r>
    </w:p>
    <w:bookmarkEnd w:id="1"/>
    <w:p w:rsidR="00017290" w:rsidRPr="00DD23B8" w:rsidRDefault="00017290" w:rsidP="00B10B2B">
      <w:pPr>
        <w:pStyle w:val="ListParagraph"/>
        <w:spacing w:after="200" w:line="276" w:lineRule="auto"/>
        <w:ind w:left="1494"/>
        <w:rPr>
          <w:szCs w:val="24"/>
        </w:rPr>
      </w:pPr>
    </w:p>
    <w:p w:rsidR="00E4232F" w:rsidRPr="00FF5E05" w:rsidRDefault="00E4232F" w:rsidP="000815FA">
      <w:pPr>
        <w:spacing w:after="200" w:line="276" w:lineRule="auto"/>
        <w:rPr>
          <w:szCs w:val="24"/>
        </w:rPr>
      </w:pPr>
    </w:p>
    <w:p w:rsidR="00E4232F" w:rsidRPr="00DD23B8" w:rsidRDefault="00E4232F" w:rsidP="00E4232F">
      <w:pPr>
        <w:tabs>
          <w:tab w:val="left" w:pos="567"/>
          <w:tab w:val="left" w:pos="1125"/>
        </w:tabs>
        <w:jc w:val="both"/>
        <w:rPr>
          <w:szCs w:val="24"/>
          <w:lang w:eastAsia="en-AU"/>
        </w:rPr>
      </w:pPr>
    </w:p>
    <w:p w:rsidR="006808E1" w:rsidRPr="00DD23B8" w:rsidRDefault="006808E1" w:rsidP="007E2640">
      <w:pPr>
        <w:tabs>
          <w:tab w:val="left" w:pos="567"/>
        </w:tabs>
        <w:jc w:val="both"/>
        <w:rPr>
          <w:szCs w:val="24"/>
          <w:lang w:eastAsia="en-AU"/>
        </w:rPr>
      </w:pPr>
    </w:p>
    <w:p w:rsidR="003B443F" w:rsidRDefault="003B443F" w:rsidP="003B443F">
      <w:pPr>
        <w:tabs>
          <w:tab w:val="left" w:pos="567"/>
          <w:tab w:val="left" w:pos="5100"/>
        </w:tabs>
        <w:rPr>
          <w:b/>
          <w:szCs w:val="24"/>
          <w:lang w:eastAsia="en-AU"/>
        </w:rPr>
      </w:pPr>
      <w:r>
        <w:rPr>
          <w:b/>
          <w:szCs w:val="24"/>
          <w:lang w:eastAsia="en-AU"/>
        </w:rPr>
        <w:t>Hon Bill English</w:t>
      </w:r>
      <w:r>
        <w:rPr>
          <w:b/>
          <w:szCs w:val="24"/>
          <w:lang w:eastAsia="en-AU"/>
        </w:rPr>
        <w:tab/>
      </w:r>
      <w:r w:rsidR="006265DD">
        <w:rPr>
          <w:b/>
          <w:szCs w:val="24"/>
          <w:lang w:eastAsia="en-AU"/>
        </w:rPr>
        <w:t>Hon Michael Woodhouse</w:t>
      </w:r>
    </w:p>
    <w:p w:rsidR="00521B79" w:rsidRPr="00DD23B8" w:rsidRDefault="003B443F" w:rsidP="003B443F">
      <w:pPr>
        <w:tabs>
          <w:tab w:val="left" w:pos="567"/>
          <w:tab w:val="left" w:pos="5100"/>
        </w:tabs>
        <w:rPr>
          <w:szCs w:val="24"/>
          <w:lang w:eastAsia="en-AU"/>
        </w:rPr>
      </w:pPr>
      <w:r>
        <w:rPr>
          <w:szCs w:val="24"/>
          <w:lang w:eastAsia="en-AU"/>
        </w:rPr>
        <w:t>Minister of Finance</w:t>
      </w:r>
      <w:r>
        <w:rPr>
          <w:b/>
          <w:szCs w:val="24"/>
          <w:lang w:eastAsia="en-AU"/>
        </w:rPr>
        <w:tab/>
      </w:r>
      <w:r w:rsidR="006265DD">
        <w:rPr>
          <w:szCs w:val="24"/>
          <w:lang w:eastAsia="en-AU"/>
        </w:rPr>
        <w:t>Minister of Revenue</w:t>
      </w:r>
    </w:p>
    <w:p w:rsidR="006808E1" w:rsidRPr="00DD23B8" w:rsidRDefault="006808E1" w:rsidP="006808E1"/>
    <w:p w:rsidR="006808E1" w:rsidRPr="00DD23B8" w:rsidRDefault="006808E1" w:rsidP="006808E1"/>
    <w:p w:rsidR="003B443F" w:rsidRPr="00DD23B8" w:rsidRDefault="004F6ED4" w:rsidP="003B443F">
      <w:pPr>
        <w:tabs>
          <w:tab w:val="left" w:leader="underscore" w:pos="567"/>
          <w:tab w:val="left" w:leader="underscore" w:pos="1134"/>
          <w:tab w:val="left" w:leader="underscore" w:pos="1701"/>
          <w:tab w:val="left" w:pos="5103"/>
          <w:tab w:val="left" w:leader="underscore" w:pos="5670"/>
          <w:tab w:val="left" w:leader="underscore" w:pos="6237"/>
          <w:tab w:val="left" w:leader="underscore" w:pos="6804"/>
        </w:tabs>
        <w:rPr>
          <w:sz w:val="22"/>
          <w:szCs w:val="22"/>
        </w:rPr>
      </w:pPr>
      <w:r w:rsidRPr="00DD23B8">
        <w:rPr>
          <w:sz w:val="22"/>
          <w:szCs w:val="22"/>
        </w:rPr>
        <w:tab/>
        <w:t>/</w:t>
      </w:r>
      <w:r w:rsidRPr="00DD23B8">
        <w:rPr>
          <w:sz w:val="22"/>
          <w:szCs w:val="22"/>
        </w:rPr>
        <w:tab/>
        <w:t>/</w:t>
      </w:r>
      <w:r w:rsidR="006808E1" w:rsidRPr="00DD23B8">
        <w:rPr>
          <w:sz w:val="22"/>
          <w:szCs w:val="22"/>
        </w:rPr>
        <w:tab/>
      </w:r>
      <w:r w:rsidR="003B443F">
        <w:rPr>
          <w:sz w:val="22"/>
          <w:szCs w:val="22"/>
        </w:rPr>
        <w:tab/>
      </w:r>
      <w:r w:rsidR="003B443F" w:rsidRPr="00DD23B8">
        <w:rPr>
          <w:sz w:val="22"/>
          <w:szCs w:val="22"/>
        </w:rPr>
        <w:tab/>
        <w:t>/</w:t>
      </w:r>
      <w:r w:rsidR="003B443F" w:rsidRPr="00DD23B8">
        <w:rPr>
          <w:sz w:val="22"/>
          <w:szCs w:val="22"/>
        </w:rPr>
        <w:tab/>
        <w:t>/</w:t>
      </w:r>
      <w:r w:rsidR="003B443F" w:rsidRPr="00DD23B8">
        <w:rPr>
          <w:sz w:val="22"/>
          <w:szCs w:val="22"/>
        </w:rPr>
        <w:tab/>
      </w:r>
    </w:p>
    <w:p w:rsidR="003B443F" w:rsidRPr="007008D1" w:rsidRDefault="003B443F" w:rsidP="003B443F">
      <w:pPr>
        <w:tabs>
          <w:tab w:val="center" w:pos="924"/>
          <w:tab w:val="center" w:pos="6005"/>
        </w:tabs>
        <w:rPr>
          <w:sz w:val="22"/>
          <w:szCs w:val="22"/>
        </w:rPr>
      </w:pPr>
      <w:r w:rsidRPr="00DD23B8">
        <w:rPr>
          <w:szCs w:val="24"/>
        </w:rPr>
        <w:t xml:space="preserve">           </w:t>
      </w:r>
      <w:r w:rsidRPr="00DD23B8">
        <w:rPr>
          <w:sz w:val="22"/>
          <w:szCs w:val="22"/>
        </w:rPr>
        <w:t>Date</w:t>
      </w:r>
      <w:r>
        <w:rPr>
          <w:sz w:val="22"/>
          <w:szCs w:val="22"/>
        </w:rPr>
        <w:tab/>
      </w:r>
      <w:proofErr w:type="spellStart"/>
      <w:r>
        <w:rPr>
          <w:sz w:val="22"/>
          <w:szCs w:val="22"/>
        </w:rPr>
        <w:t>Date</w:t>
      </w:r>
      <w:proofErr w:type="spellEnd"/>
    </w:p>
    <w:p w:rsidR="00521B79" w:rsidRPr="003B443F" w:rsidRDefault="00521B79" w:rsidP="00801E57">
      <w:pPr>
        <w:tabs>
          <w:tab w:val="left" w:leader="underscore" w:pos="567"/>
          <w:tab w:val="left" w:leader="underscore" w:pos="1134"/>
          <w:tab w:val="left" w:leader="underscore" w:pos="1701"/>
          <w:tab w:val="left" w:pos="5103"/>
          <w:tab w:val="left" w:leader="underscore" w:pos="5670"/>
          <w:tab w:val="left" w:leader="underscore" w:pos="6237"/>
          <w:tab w:val="left" w:leader="underscore" w:pos="6804"/>
        </w:tabs>
        <w:rPr>
          <w:sz w:val="22"/>
          <w:szCs w:val="22"/>
        </w:rPr>
      </w:pPr>
    </w:p>
    <w:p w:rsidR="00D8134D" w:rsidRPr="007008D1" w:rsidRDefault="00521B79" w:rsidP="007008D1">
      <w:pPr>
        <w:tabs>
          <w:tab w:val="center" w:pos="924"/>
          <w:tab w:val="center" w:pos="6005"/>
        </w:tabs>
        <w:rPr>
          <w:sz w:val="22"/>
          <w:szCs w:val="22"/>
        </w:rPr>
      </w:pPr>
      <w:r w:rsidRPr="00DD23B8">
        <w:rPr>
          <w:szCs w:val="24"/>
        </w:rPr>
        <w:t xml:space="preserve">           </w:t>
      </w:r>
    </w:p>
    <w:sectPr w:rsidR="00D8134D" w:rsidRPr="007008D1" w:rsidSect="007008D1">
      <w:headerReference w:type="default" r:id="rId9"/>
      <w:footerReference w:type="default" r:id="rId10"/>
      <w:pgSz w:w="11907" w:h="16840" w:code="9"/>
      <w:pgMar w:top="1134" w:right="1418" w:bottom="1134" w:left="1418" w:header="720" w:footer="720" w:gutter="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73B63F" w15:done="0"/>
  <w15:commentEx w15:paraId="5A2351B9" w15:done="0"/>
  <w15:commentEx w15:paraId="180300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6493" w:rsidRDefault="00A16493">
      <w:r>
        <w:separator/>
      </w:r>
    </w:p>
  </w:endnote>
  <w:endnote w:type="continuationSeparator" w:id="0">
    <w:p w:rsidR="00A16493" w:rsidRDefault="00A16493">
      <w:r>
        <w:continuationSeparator/>
      </w:r>
    </w:p>
  </w:endnote>
  <w:endnote w:type="continuationNotice" w:id="1">
    <w:p w:rsidR="00A16493" w:rsidRDefault="00A1649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ED3" w:rsidRDefault="00061E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6493" w:rsidRDefault="00A16493">
      <w:r>
        <w:separator/>
      </w:r>
    </w:p>
  </w:footnote>
  <w:footnote w:type="continuationSeparator" w:id="0">
    <w:p w:rsidR="00A16493" w:rsidRDefault="00A16493">
      <w:r>
        <w:continuationSeparator/>
      </w:r>
    </w:p>
  </w:footnote>
  <w:footnote w:type="continuationNotice" w:id="1">
    <w:p w:rsidR="00A16493" w:rsidRDefault="00A1649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102F" w:rsidRPr="006808E1" w:rsidRDefault="0016102F" w:rsidP="006808E1">
    <w:pPr>
      <w:pStyle w:val="Header"/>
      <w:jc w:val="center"/>
      <w:rPr>
        <w:sz w:val="22"/>
        <w:szCs w:val="22"/>
      </w:rPr>
    </w:pPr>
    <w:r w:rsidRPr="006808E1">
      <w:rPr>
        <w:rStyle w:val="PageNumber"/>
        <w:sz w:val="22"/>
        <w:szCs w:val="22"/>
      </w:rPr>
      <w:fldChar w:fldCharType="begin"/>
    </w:r>
    <w:r w:rsidRPr="006808E1">
      <w:rPr>
        <w:rStyle w:val="PageNumber"/>
        <w:sz w:val="22"/>
        <w:szCs w:val="22"/>
      </w:rPr>
      <w:instrText xml:space="preserve"> PAGE </w:instrText>
    </w:r>
    <w:r w:rsidRPr="006808E1">
      <w:rPr>
        <w:rStyle w:val="PageNumber"/>
        <w:sz w:val="22"/>
        <w:szCs w:val="22"/>
      </w:rPr>
      <w:fldChar w:fldCharType="separate"/>
    </w:r>
    <w:r w:rsidR="003E6C5A">
      <w:rPr>
        <w:rStyle w:val="PageNumber"/>
        <w:noProof/>
        <w:sz w:val="22"/>
        <w:szCs w:val="22"/>
      </w:rPr>
      <w:t>7</w:t>
    </w:r>
    <w:r w:rsidRPr="006808E1">
      <w:rPr>
        <w:rStyle w:val="PageNumber"/>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01E08"/>
    <w:multiLevelType w:val="multilevel"/>
    <w:tmpl w:val="B81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D412497"/>
    <w:multiLevelType w:val="hybridMultilevel"/>
    <w:tmpl w:val="EEF6FD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233A22AE"/>
    <w:multiLevelType w:val="hybridMultilevel"/>
    <w:tmpl w:val="384663F0"/>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3">
    <w:nsid w:val="313D3CF8"/>
    <w:multiLevelType w:val="hybridMultilevel"/>
    <w:tmpl w:val="E44E1CAC"/>
    <w:lvl w:ilvl="0" w:tplc="14090001">
      <w:start w:val="1"/>
      <w:numFmt w:val="bullet"/>
      <w:lvlText w:val=""/>
      <w:lvlJc w:val="left"/>
      <w:pPr>
        <w:ind w:left="1515" w:hanging="360"/>
      </w:pPr>
      <w:rPr>
        <w:rFonts w:ascii="Symbol" w:hAnsi="Symbol" w:hint="default"/>
      </w:rPr>
    </w:lvl>
    <w:lvl w:ilvl="1" w:tplc="14090003" w:tentative="1">
      <w:start w:val="1"/>
      <w:numFmt w:val="bullet"/>
      <w:lvlText w:val="o"/>
      <w:lvlJc w:val="left"/>
      <w:pPr>
        <w:ind w:left="2235" w:hanging="360"/>
      </w:pPr>
      <w:rPr>
        <w:rFonts w:ascii="Courier New" w:hAnsi="Courier New" w:cs="Courier New" w:hint="default"/>
      </w:rPr>
    </w:lvl>
    <w:lvl w:ilvl="2" w:tplc="14090005" w:tentative="1">
      <w:start w:val="1"/>
      <w:numFmt w:val="bullet"/>
      <w:lvlText w:val=""/>
      <w:lvlJc w:val="left"/>
      <w:pPr>
        <w:ind w:left="2955" w:hanging="360"/>
      </w:pPr>
      <w:rPr>
        <w:rFonts w:ascii="Wingdings" w:hAnsi="Wingdings" w:hint="default"/>
      </w:rPr>
    </w:lvl>
    <w:lvl w:ilvl="3" w:tplc="14090001" w:tentative="1">
      <w:start w:val="1"/>
      <w:numFmt w:val="bullet"/>
      <w:lvlText w:val=""/>
      <w:lvlJc w:val="left"/>
      <w:pPr>
        <w:ind w:left="3675" w:hanging="360"/>
      </w:pPr>
      <w:rPr>
        <w:rFonts w:ascii="Symbol" w:hAnsi="Symbol" w:hint="default"/>
      </w:rPr>
    </w:lvl>
    <w:lvl w:ilvl="4" w:tplc="14090003" w:tentative="1">
      <w:start w:val="1"/>
      <w:numFmt w:val="bullet"/>
      <w:lvlText w:val="o"/>
      <w:lvlJc w:val="left"/>
      <w:pPr>
        <w:ind w:left="4395" w:hanging="360"/>
      </w:pPr>
      <w:rPr>
        <w:rFonts w:ascii="Courier New" w:hAnsi="Courier New" w:cs="Courier New" w:hint="default"/>
      </w:rPr>
    </w:lvl>
    <w:lvl w:ilvl="5" w:tplc="14090005" w:tentative="1">
      <w:start w:val="1"/>
      <w:numFmt w:val="bullet"/>
      <w:lvlText w:val=""/>
      <w:lvlJc w:val="left"/>
      <w:pPr>
        <w:ind w:left="5115" w:hanging="360"/>
      </w:pPr>
      <w:rPr>
        <w:rFonts w:ascii="Wingdings" w:hAnsi="Wingdings" w:hint="default"/>
      </w:rPr>
    </w:lvl>
    <w:lvl w:ilvl="6" w:tplc="14090001" w:tentative="1">
      <w:start w:val="1"/>
      <w:numFmt w:val="bullet"/>
      <w:lvlText w:val=""/>
      <w:lvlJc w:val="left"/>
      <w:pPr>
        <w:ind w:left="5835" w:hanging="360"/>
      </w:pPr>
      <w:rPr>
        <w:rFonts w:ascii="Symbol" w:hAnsi="Symbol" w:hint="default"/>
      </w:rPr>
    </w:lvl>
    <w:lvl w:ilvl="7" w:tplc="14090003" w:tentative="1">
      <w:start w:val="1"/>
      <w:numFmt w:val="bullet"/>
      <w:lvlText w:val="o"/>
      <w:lvlJc w:val="left"/>
      <w:pPr>
        <w:ind w:left="6555" w:hanging="360"/>
      </w:pPr>
      <w:rPr>
        <w:rFonts w:ascii="Courier New" w:hAnsi="Courier New" w:cs="Courier New" w:hint="default"/>
      </w:rPr>
    </w:lvl>
    <w:lvl w:ilvl="8" w:tplc="14090005" w:tentative="1">
      <w:start w:val="1"/>
      <w:numFmt w:val="bullet"/>
      <w:lvlText w:val=""/>
      <w:lvlJc w:val="left"/>
      <w:pPr>
        <w:ind w:left="7275" w:hanging="360"/>
      </w:pPr>
      <w:rPr>
        <w:rFonts w:ascii="Wingdings" w:hAnsi="Wingdings" w:hint="default"/>
      </w:rPr>
    </w:lvl>
  </w:abstractNum>
  <w:abstractNum w:abstractNumId="4">
    <w:nsid w:val="335F0215"/>
    <w:multiLevelType w:val="hybridMultilevel"/>
    <w:tmpl w:val="51F81936"/>
    <w:lvl w:ilvl="0" w:tplc="A89AB082">
      <w:start w:val="1"/>
      <w:numFmt w:val="decimal"/>
      <w:pStyle w:val="Numberparagraph"/>
      <w:lvlText w:val="%1."/>
      <w:lvlJc w:val="left"/>
      <w:pPr>
        <w:ind w:left="927"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35012441"/>
    <w:multiLevelType w:val="hybridMultilevel"/>
    <w:tmpl w:val="066A70E4"/>
    <w:lvl w:ilvl="0" w:tplc="AFCC9D78">
      <w:start w:val="1"/>
      <w:numFmt w:val="decimal"/>
      <w:pStyle w:val="List2"/>
      <w:lvlText w:val="%1."/>
      <w:lvlJc w:val="right"/>
      <w:pPr>
        <w:ind w:left="1003" w:hanging="360"/>
      </w:pPr>
      <w:rPr>
        <w:rFonts w:hint="default"/>
      </w:rPr>
    </w:lvl>
    <w:lvl w:ilvl="1" w:tplc="14090019" w:tentative="1">
      <w:start w:val="1"/>
      <w:numFmt w:val="lowerLetter"/>
      <w:lvlText w:val="%2."/>
      <w:lvlJc w:val="left"/>
      <w:pPr>
        <w:ind w:left="1723" w:hanging="360"/>
      </w:pPr>
    </w:lvl>
    <w:lvl w:ilvl="2" w:tplc="1409001B" w:tentative="1">
      <w:start w:val="1"/>
      <w:numFmt w:val="lowerRoman"/>
      <w:lvlText w:val="%3."/>
      <w:lvlJc w:val="right"/>
      <w:pPr>
        <w:ind w:left="2443" w:hanging="180"/>
      </w:pPr>
    </w:lvl>
    <w:lvl w:ilvl="3" w:tplc="1409000F" w:tentative="1">
      <w:start w:val="1"/>
      <w:numFmt w:val="decimal"/>
      <w:lvlText w:val="%4."/>
      <w:lvlJc w:val="left"/>
      <w:pPr>
        <w:ind w:left="3163" w:hanging="360"/>
      </w:pPr>
    </w:lvl>
    <w:lvl w:ilvl="4" w:tplc="14090019" w:tentative="1">
      <w:start w:val="1"/>
      <w:numFmt w:val="lowerLetter"/>
      <w:lvlText w:val="%5."/>
      <w:lvlJc w:val="left"/>
      <w:pPr>
        <w:ind w:left="3883" w:hanging="360"/>
      </w:pPr>
    </w:lvl>
    <w:lvl w:ilvl="5" w:tplc="1409001B" w:tentative="1">
      <w:start w:val="1"/>
      <w:numFmt w:val="lowerRoman"/>
      <w:lvlText w:val="%6."/>
      <w:lvlJc w:val="right"/>
      <w:pPr>
        <w:ind w:left="4603" w:hanging="180"/>
      </w:pPr>
    </w:lvl>
    <w:lvl w:ilvl="6" w:tplc="1409000F" w:tentative="1">
      <w:start w:val="1"/>
      <w:numFmt w:val="decimal"/>
      <w:lvlText w:val="%7."/>
      <w:lvlJc w:val="left"/>
      <w:pPr>
        <w:ind w:left="5323" w:hanging="360"/>
      </w:pPr>
    </w:lvl>
    <w:lvl w:ilvl="7" w:tplc="14090019" w:tentative="1">
      <w:start w:val="1"/>
      <w:numFmt w:val="lowerLetter"/>
      <w:lvlText w:val="%8."/>
      <w:lvlJc w:val="left"/>
      <w:pPr>
        <w:ind w:left="6043" w:hanging="360"/>
      </w:pPr>
    </w:lvl>
    <w:lvl w:ilvl="8" w:tplc="1409001B" w:tentative="1">
      <w:start w:val="1"/>
      <w:numFmt w:val="lowerRoman"/>
      <w:lvlText w:val="%9."/>
      <w:lvlJc w:val="right"/>
      <w:pPr>
        <w:ind w:left="6763" w:hanging="180"/>
      </w:pPr>
    </w:lvl>
  </w:abstractNum>
  <w:abstractNum w:abstractNumId="6">
    <w:nsid w:val="35FC50F8"/>
    <w:multiLevelType w:val="hybridMultilevel"/>
    <w:tmpl w:val="2382744E"/>
    <w:lvl w:ilvl="0" w:tplc="B53898E8">
      <w:start w:val="1"/>
      <w:numFmt w:val="decimal"/>
      <w:pStyle w:val="Recommendationlevel21"/>
      <w:lvlText w:val="2.%1"/>
      <w:lvlJc w:val="righ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7">
    <w:nsid w:val="39B33692"/>
    <w:multiLevelType w:val="hybridMultilevel"/>
    <w:tmpl w:val="07A46CF8"/>
    <w:lvl w:ilvl="0" w:tplc="6BA05F6C">
      <w:start w:val="1"/>
      <w:numFmt w:val="decimal"/>
      <w:lvlText w:val="%1."/>
      <w:lvlJc w:val="right"/>
      <w:pPr>
        <w:ind w:left="36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A545EB1"/>
    <w:multiLevelType w:val="hybridMultilevel"/>
    <w:tmpl w:val="0D2CBD46"/>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45AF1496"/>
    <w:multiLevelType w:val="hybridMultilevel"/>
    <w:tmpl w:val="5C0830DE"/>
    <w:lvl w:ilvl="0" w:tplc="31FE4B0C">
      <w:start w:val="1"/>
      <w:numFmt w:val="lowerLetter"/>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47E012F8"/>
    <w:multiLevelType w:val="hybridMultilevel"/>
    <w:tmpl w:val="D5AA8772"/>
    <w:lvl w:ilvl="0" w:tplc="791CB6D0">
      <w:start w:val="1"/>
      <w:numFmt w:val="decimal"/>
      <w:pStyle w:val="Recommendation11"/>
      <w:lvlText w:val="2.%1"/>
      <w:lvlJc w:val="center"/>
      <w:pPr>
        <w:ind w:left="149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11">
    <w:nsid w:val="4DA2087D"/>
    <w:multiLevelType w:val="multilevel"/>
    <w:tmpl w:val="8DA22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55D22480"/>
    <w:multiLevelType w:val="hybridMultilevel"/>
    <w:tmpl w:val="03CAC6C2"/>
    <w:lvl w:ilvl="0" w:tplc="14090001">
      <w:start w:val="1"/>
      <w:numFmt w:val="bullet"/>
      <w:lvlText w:val=""/>
      <w:lvlJc w:val="left"/>
      <w:pPr>
        <w:ind w:left="795" w:hanging="360"/>
      </w:pPr>
      <w:rPr>
        <w:rFonts w:ascii="Symbol" w:hAnsi="Symbol" w:hint="default"/>
      </w:rPr>
    </w:lvl>
    <w:lvl w:ilvl="1" w:tplc="14090003" w:tentative="1">
      <w:start w:val="1"/>
      <w:numFmt w:val="bullet"/>
      <w:lvlText w:val="o"/>
      <w:lvlJc w:val="left"/>
      <w:pPr>
        <w:ind w:left="1515" w:hanging="360"/>
      </w:pPr>
      <w:rPr>
        <w:rFonts w:ascii="Courier New" w:hAnsi="Courier New" w:cs="Courier New" w:hint="default"/>
      </w:rPr>
    </w:lvl>
    <w:lvl w:ilvl="2" w:tplc="14090005" w:tentative="1">
      <w:start w:val="1"/>
      <w:numFmt w:val="bullet"/>
      <w:lvlText w:val=""/>
      <w:lvlJc w:val="left"/>
      <w:pPr>
        <w:ind w:left="2235" w:hanging="360"/>
      </w:pPr>
      <w:rPr>
        <w:rFonts w:ascii="Wingdings" w:hAnsi="Wingdings" w:hint="default"/>
      </w:rPr>
    </w:lvl>
    <w:lvl w:ilvl="3" w:tplc="14090001" w:tentative="1">
      <w:start w:val="1"/>
      <w:numFmt w:val="bullet"/>
      <w:lvlText w:val=""/>
      <w:lvlJc w:val="left"/>
      <w:pPr>
        <w:ind w:left="2955" w:hanging="360"/>
      </w:pPr>
      <w:rPr>
        <w:rFonts w:ascii="Symbol" w:hAnsi="Symbol" w:hint="default"/>
      </w:rPr>
    </w:lvl>
    <w:lvl w:ilvl="4" w:tplc="14090003" w:tentative="1">
      <w:start w:val="1"/>
      <w:numFmt w:val="bullet"/>
      <w:lvlText w:val="o"/>
      <w:lvlJc w:val="left"/>
      <w:pPr>
        <w:ind w:left="3675" w:hanging="360"/>
      </w:pPr>
      <w:rPr>
        <w:rFonts w:ascii="Courier New" w:hAnsi="Courier New" w:cs="Courier New" w:hint="default"/>
      </w:rPr>
    </w:lvl>
    <w:lvl w:ilvl="5" w:tplc="14090005" w:tentative="1">
      <w:start w:val="1"/>
      <w:numFmt w:val="bullet"/>
      <w:lvlText w:val=""/>
      <w:lvlJc w:val="left"/>
      <w:pPr>
        <w:ind w:left="4395" w:hanging="360"/>
      </w:pPr>
      <w:rPr>
        <w:rFonts w:ascii="Wingdings" w:hAnsi="Wingdings" w:hint="default"/>
      </w:rPr>
    </w:lvl>
    <w:lvl w:ilvl="6" w:tplc="14090001" w:tentative="1">
      <w:start w:val="1"/>
      <w:numFmt w:val="bullet"/>
      <w:lvlText w:val=""/>
      <w:lvlJc w:val="left"/>
      <w:pPr>
        <w:ind w:left="5115" w:hanging="360"/>
      </w:pPr>
      <w:rPr>
        <w:rFonts w:ascii="Symbol" w:hAnsi="Symbol" w:hint="default"/>
      </w:rPr>
    </w:lvl>
    <w:lvl w:ilvl="7" w:tplc="14090003" w:tentative="1">
      <w:start w:val="1"/>
      <w:numFmt w:val="bullet"/>
      <w:lvlText w:val="o"/>
      <w:lvlJc w:val="left"/>
      <w:pPr>
        <w:ind w:left="5835" w:hanging="360"/>
      </w:pPr>
      <w:rPr>
        <w:rFonts w:ascii="Courier New" w:hAnsi="Courier New" w:cs="Courier New" w:hint="default"/>
      </w:rPr>
    </w:lvl>
    <w:lvl w:ilvl="8" w:tplc="14090005" w:tentative="1">
      <w:start w:val="1"/>
      <w:numFmt w:val="bullet"/>
      <w:lvlText w:val=""/>
      <w:lvlJc w:val="left"/>
      <w:pPr>
        <w:ind w:left="6555" w:hanging="360"/>
      </w:pPr>
      <w:rPr>
        <w:rFonts w:ascii="Wingdings" w:hAnsi="Wingdings" w:hint="default"/>
      </w:rPr>
    </w:lvl>
  </w:abstractNum>
  <w:abstractNum w:abstractNumId="13">
    <w:nsid w:val="58E47136"/>
    <w:multiLevelType w:val="multilevel"/>
    <w:tmpl w:val="E89E7D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0B3675"/>
    <w:multiLevelType w:val="hybridMultilevel"/>
    <w:tmpl w:val="A80A1B42"/>
    <w:lvl w:ilvl="0" w:tplc="408A3C90">
      <w:start w:val="1"/>
      <w:numFmt w:val="decimal"/>
      <w:pStyle w:val="Recommendationfirstlevel"/>
      <w:lvlText w:val="%1."/>
      <w:lvlJc w:val="left"/>
      <w:pPr>
        <w:ind w:left="720" w:hanging="360"/>
      </w:p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nsid w:val="6B020B43"/>
    <w:multiLevelType w:val="hybridMultilevel"/>
    <w:tmpl w:val="F036C5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6C193BF7"/>
    <w:multiLevelType w:val="hybridMultilevel"/>
    <w:tmpl w:val="CA222E68"/>
    <w:lvl w:ilvl="0" w:tplc="CE7E58BC">
      <w:start w:val="1"/>
      <w:numFmt w:val="decimal"/>
      <w:lvlText w:val="%1."/>
      <w:lvlJc w:val="left"/>
      <w:pPr>
        <w:ind w:left="360" w:hanging="360"/>
      </w:pPr>
      <w:rPr>
        <w:rFonts w:ascii="Times New Roman" w:hAnsi="Times New Roman" w:cs="Times New Roman" w:hint="default"/>
      </w:r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7">
    <w:nsid w:val="725A305C"/>
    <w:multiLevelType w:val="hybridMultilevel"/>
    <w:tmpl w:val="3B9EAB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3"/>
  </w:num>
  <w:num w:numId="4">
    <w:abstractNumId w:val="8"/>
  </w:num>
  <w:num w:numId="5">
    <w:abstractNumId w:val="7"/>
  </w:num>
  <w:num w:numId="6">
    <w:abstractNumId w:val="4"/>
  </w:num>
  <w:num w:numId="7">
    <w:abstractNumId w:val="14"/>
  </w:num>
  <w:num w:numId="8">
    <w:abstractNumId w:val="5"/>
  </w:num>
  <w:num w:numId="9">
    <w:abstractNumId w:val="10"/>
  </w:num>
  <w:num w:numId="10">
    <w:abstractNumId w:val="6"/>
  </w:num>
  <w:num w:numId="11">
    <w:abstractNumId w:val="2"/>
  </w:num>
  <w:num w:numId="12">
    <w:abstractNumId w:val="3"/>
  </w:num>
  <w:num w:numId="13">
    <w:abstractNumId w:val="12"/>
  </w:num>
  <w:num w:numId="14">
    <w:abstractNumId w:val="17"/>
  </w:num>
  <w:num w:numId="15">
    <w:abstractNumId w:val="16"/>
  </w:num>
  <w:num w:numId="16">
    <w:abstractNumId w:val="15"/>
  </w:num>
  <w:num w:numId="17">
    <w:abstractNumId w:val="1"/>
  </w:num>
  <w:num w:numId="18">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Gan">
    <w15:presenceInfo w15:providerId="None" w15:userId="Matthew Ga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64" w:dllVersion="131078" w:nlCheck="1" w:checkStyle="1"/>
  <w:activeWritingStyle w:appName="MSWord" w:lang="en-NZ"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4"/>
  <w:drawingGridHorizontalSpacing w:val="75"/>
  <w:drawingGridVerticalSpacing w:val="205"/>
  <w:displayHorizont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796"/>
    <w:rsid w:val="000045F4"/>
    <w:rsid w:val="00010945"/>
    <w:rsid w:val="000126A2"/>
    <w:rsid w:val="00017290"/>
    <w:rsid w:val="00024DBB"/>
    <w:rsid w:val="00027A90"/>
    <w:rsid w:val="00034FA3"/>
    <w:rsid w:val="000421D3"/>
    <w:rsid w:val="00042767"/>
    <w:rsid w:val="000459C2"/>
    <w:rsid w:val="00051A31"/>
    <w:rsid w:val="00053DAD"/>
    <w:rsid w:val="0005688A"/>
    <w:rsid w:val="00061ED3"/>
    <w:rsid w:val="000671F7"/>
    <w:rsid w:val="0007086E"/>
    <w:rsid w:val="00073796"/>
    <w:rsid w:val="00080CA4"/>
    <w:rsid w:val="000815FA"/>
    <w:rsid w:val="00082A37"/>
    <w:rsid w:val="00086EB3"/>
    <w:rsid w:val="00094E89"/>
    <w:rsid w:val="00095D75"/>
    <w:rsid w:val="000A3A7A"/>
    <w:rsid w:val="000B1E9D"/>
    <w:rsid w:val="000C6DD8"/>
    <w:rsid w:val="000D5962"/>
    <w:rsid w:val="000E08DC"/>
    <w:rsid w:val="000E3622"/>
    <w:rsid w:val="000E3A99"/>
    <w:rsid w:val="000E582F"/>
    <w:rsid w:val="000F04E8"/>
    <w:rsid w:val="000F6176"/>
    <w:rsid w:val="00101FC1"/>
    <w:rsid w:val="00106574"/>
    <w:rsid w:val="00110EEB"/>
    <w:rsid w:val="00114293"/>
    <w:rsid w:val="00114CA4"/>
    <w:rsid w:val="00120B3C"/>
    <w:rsid w:val="00126600"/>
    <w:rsid w:val="001313AF"/>
    <w:rsid w:val="00132A91"/>
    <w:rsid w:val="0014707E"/>
    <w:rsid w:val="0015267E"/>
    <w:rsid w:val="00160616"/>
    <w:rsid w:val="0016102F"/>
    <w:rsid w:val="00163753"/>
    <w:rsid w:val="001664F2"/>
    <w:rsid w:val="00167E96"/>
    <w:rsid w:val="00173CFC"/>
    <w:rsid w:val="00186F26"/>
    <w:rsid w:val="001A39E8"/>
    <w:rsid w:val="001A61F6"/>
    <w:rsid w:val="001B18B2"/>
    <w:rsid w:val="001B586F"/>
    <w:rsid w:val="001C0E9C"/>
    <w:rsid w:val="001C5CA6"/>
    <w:rsid w:val="001D307B"/>
    <w:rsid w:val="001F5C53"/>
    <w:rsid w:val="0020130B"/>
    <w:rsid w:val="002020EA"/>
    <w:rsid w:val="002038A7"/>
    <w:rsid w:val="002057DE"/>
    <w:rsid w:val="00205B90"/>
    <w:rsid w:val="00231A8B"/>
    <w:rsid w:val="002476BE"/>
    <w:rsid w:val="00254CD4"/>
    <w:rsid w:val="00257300"/>
    <w:rsid w:val="002579F1"/>
    <w:rsid w:val="0026025B"/>
    <w:rsid w:val="00263481"/>
    <w:rsid w:val="00263719"/>
    <w:rsid w:val="00271177"/>
    <w:rsid w:val="00273345"/>
    <w:rsid w:val="00277CDB"/>
    <w:rsid w:val="002A210D"/>
    <w:rsid w:val="002A7DA1"/>
    <w:rsid w:val="002B03A6"/>
    <w:rsid w:val="002B20CE"/>
    <w:rsid w:val="002C0B9F"/>
    <w:rsid w:val="002C50FE"/>
    <w:rsid w:val="002E2586"/>
    <w:rsid w:val="002F04F3"/>
    <w:rsid w:val="002F1059"/>
    <w:rsid w:val="002F3B41"/>
    <w:rsid w:val="00306190"/>
    <w:rsid w:val="003126C2"/>
    <w:rsid w:val="0031285E"/>
    <w:rsid w:val="00317236"/>
    <w:rsid w:val="00323148"/>
    <w:rsid w:val="00327006"/>
    <w:rsid w:val="003358A8"/>
    <w:rsid w:val="00340B11"/>
    <w:rsid w:val="00353904"/>
    <w:rsid w:val="003552C2"/>
    <w:rsid w:val="00361C0C"/>
    <w:rsid w:val="00361E3B"/>
    <w:rsid w:val="003625A3"/>
    <w:rsid w:val="003734F4"/>
    <w:rsid w:val="00380443"/>
    <w:rsid w:val="00386663"/>
    <w:rsid w:val="00392BC3"/>
    <w:rsid w:val="003A5AE1"/>
    <w:rsid w:val="003B443F"/>
    <w:rsid w:val="003B471C"/>
    <w:rsid w:val="003B5531"/>
    <w:rsid w:val="003B59D5"/>
    <w:rsid w:val="003B5E96"/>
    <w:rsid w:val="003C5117"/>
    <w:rsid w:val="003C7111"/>
    <w:rsid w:val="003D2487"/>
    <w:rsid w:val="003D5F22"/>
    <w:rsid w:val="003E6C5A"/>
    <w:rsid w:val="003F19D1"/>
    <w:rsid w:val="003F3B34"/>
    <w:rsid w:val="00400713"/>
    <w:rsid w:val="0040146E"/>
    <w:rsid w:val="00403FCA"/>
    <w:rsid w:val="00404833"/>
    <w:rsid w:val="00415C5B"/>
    <w:rsid w:val="00415E35"/>
    <w:rsid w:val="004171DE"/>
    <w:rsid w:val="00421BA6"/>
    <w:rsid w:val="0043008E"/>
    <w:rsid w:val="004314AD"/>
    <w:rsid w:val="00446A0B"/>
    <w:rsid w:val="00455D40"/>
    <w:rsid w:val="00460F44"/>
    <w:rsid w:val="00462B7A"/>
    <w:rsid w:val="00464FAD"/>
    <w:rsid w:val="00473A17"/>
    <w:rsid w:val="0047697B"/>
    <w:rsid w:val="00484701"/>
    <w:rsid w:val="0049067B"/>
    <w:rsid w:val="00490E7A"/>
    <w:rsid w:val="004952D7"/>
    <w:rsid w:val="004B1DB5"/>
    <w:rsid w:val="004B7BA6"/>
    <w:rsid w:val="004C19B7"/>
    <w:rsid w:val="004C6B86"/>
    <w:rsid w:val="004E4136"/>
    <w:rsid w:val="004F2630"/>
    <w:rsid w:val="004F6ED4"/>
    <w:rsid w:val="00512BD8"/>
    <w:rsid w:val="00516C83"/>
    <w:rsid w:val="00521B79"/>
    <w:rsid w:val="005367DF"/>
    <w:rsid w:val="00543BFF"/>
    <w:rsid w:val="00545E99"/>
    <w:rsid w:val="0054616C"/>
    <w:rsid w:val="005461E1"/>
    <w:rsid w:val="00547522"/>
    <w:rsid w:val="00550856"/>
    <w:rsid w:val="005530BD"/>
    <w:rsid w:val="0055457F"/>
    <w:rsid w:val="005608B3"/>
    <w:rsid w:val="005643C7"/>
    <w:rsid w:val="005658BD"/>
    <w:rsid w:val="005813E7"/>
    <w:rsid w:val="00585502"/>
    <w:rsid w:val="00594F7C"/>
    <w:rsid w:val="005A2A86"/>
    <w:rsid w:val="005A38C8"/>
    <w:rsid w:val="005A5973"/>
    <w:rsid w:val="005C12F0"/>
    <w:rsid w:val="005C3CC3"/>
    <w:rsid w:val="005D250B"/>
    <w:rsid w:val="005D332C"/>
    <w:rsid w:val="005D5722"/>
    <w:rsid w:val="005E78FA"/>
    <w:rsid w:val="005F2E81"/>
    <w:rsid w:val="005F4935"/>
    <w:rsid w:val="005F5EBD"/>
    <w:rsid w:val="00601125"/>
    <w:rsid w:val="00601898"/>
    <w:rsid w:val="00606973"/>
    <w:rsid w:val="00615717"/>
    <w:rsid w:val="00622B40"/>
    <w:rsid w:val="00624563"/>
    <w:rsid w:val="006265DD"/>
    <w:rsid w:val="006428B8"/>
    <w:rsid w:val="00644B60"/>
    <w:rsid w:val="00651B17"/>
    <w:rsid w:val="0066134D"/>
    <w:rsid w:val="006808E1"/>
    <w:rsid w:val="00683B0D"/>
    <w:rsid w:val="00684EB9"/>
    <w:rsid w:val="00693D26"/>
    <w:rsid w:val="00693EA1"/>
    <w:rsid w:val="00694060"/>
    <w:rsid w:val="006951E7"/>
    <w:rsid w:val="006A14EB"/>
    <w:rsid w:val="006A39FB"/>
    <w:rsid w:val="006A5A77"/>
    <w:rsid w:val="006B301C"/>
    <w:rsid w:val="006B5490"/>
    <w:rsid w:val="006B7798"/>
    <w:rsid w:val="006C1552"/>
    <w:rsid w:val="006E11C1"/>
    <w:rsid w:val="006E29A6"/>
    <w:rsid w:val="006E399D"/>
    <w:rsid w:val="006F2E02"/>
    <w:rsid w:val="007008D1"/>
    <w:rsid w:val="00707F47"/>
    <w:rsid w:val="00726754"/>
    <w:rsid w:val="00744423"/>
    <w:rsid w:val="0075704C"/>
    <w:rsid w:val="00760BB3"/>
    <w:rsid w:val="00763BDD"/>
    <w:rsid w:val="0076554C"/>
    <w:rsid w:val="007852BA"/>
    <w:rsid w:val="007A0484"/>
    <w:rsid w:val="007A37A0"/>
    <w:rsid w:val="007A3C22"/>
    <w:rsid w:val="007A58EB"/>
    <w:rsid w:val="007B0C15"/>
    <w:rsid w:val="007B69DB"/>
    <w:rsid w:val="007D0FBC"/>
    <w:rsid w:val="007D602A"/>
    <w:rsid w:val="007E2640"/>
    <w:rsid w:val="007E787A"/>
    <w:rsid w:val="007F0705"/>
    <w:rsid w:val="00801E57"/>
    <w:rsid w:val="00810BC3"/>
    <w:rsid w:val="00813502"/>
    <w:rsid w:val="0081605E"/>
    <w:rsid w:val="008352D5"/>
    <w:rsid w:val="00835AEA"/>
    <w:rsid w:val="00843E6E"/>
    <w:rsid w:val="008440CC"/>
    <w:rsid w:val="00851C07"/>
    <w:rsid w:val="00853A59"/>
    <w:rsid w:val="00856F8E"/>
    <w:rsid w:val="008571D2"/>
    <w:rsid w:val="00857B49"/>
    <w:rsid w:val="00870558"/>
    <w:rsid w:val="008714F3"/>
    <w:rsid w:val="00873241"/>
    <w:rsid w:val="00875734"/>
    <w:rsid w:val="00884EDD"/>
    <w:rsid w:val="00890007"/>
    <w:rsid w:val="00894E0B"/>
    <w:rsid w:val="008A548B"/>
    <w:rsid w:val="008A63A9"/>
    <w:rsid w:val="008B5D54"/>
    <w:rsid w:val="008C1A1B"/>
    <w:rsid w:val="008C3EE0"/>
    <w:rsid w:val="008C7696"/>
    <w:rsid w:val="008D1C90"/>
    <w:rsid w:val="008E0F80"/>
    <w:rsid w:val="008E73B8"/>
    <w:rsid w:val="008E7B8D"/>
    <w:rsid w:val="008F1C75"/>
    <w:rsid w:val="0091000A"/>
    <w:rsid w:val="00917C58"/>
    <w:rsid w:val="00921189"/>
    <w:rsid w:val="00934128"/>
    <w:rsid w:val="009423E6"/>
    <w:rsid w:val="0094335F"/>
    <w:rsid w:val="00947E24"/>
    <w:rsid w:val="00947F1D"/>
    <w:rsid w:val="009549FC"/>
    <w:rsid w:val="00963FB4"/>
    <w:rsid w:val="00967859"/>
    <w:rsid w:val="009701CD"/>
    <w:rsid w:val="00983939"/>
    <w:rsid w:val="00995E39"/>
    <w:rsid w:val="009A205F"/>
    <w:rsid w:val="009A2086"/>
    <w:rsid w:val="009A49CD"/>
    <w:rsid w:val="009B03DE"/>
    <w:rsid w:val="009B1E5C"/>
    <w:rsid w:val="009B2C2C"/>
    <w:rsid w:val="009B2C6C"/>
    <w:rsid w:val="009B310D"/>
    <w:rsid w:val="009C4596"/>
    <w:rsid w:val="009C6494"/>
    <w:rsid w:val="009C73F9"/>
    <w:rsid w:val="009D2758"/>
    <w:rsid w:val="009D3B83"/>
    <w:rsid w:val="009D595E"/>
    <w:rsid w:val="009D5FCD"/>
    <w:rsid w:val="009D6598"/>
    <w:rsid w:val="009D690A"/>
    <w:rsid w:val="009E0CC8"/>
    <w:rsid w:val="009E1E27"/>
    <w:rsid w:val="009E5C1C"/>
    <w:rsid w:val="009F1BF6"/>
    <w:rsid w:val="009F4AC3"/>
    <w:rsid w:val="00A008DD"/>
    <w:rsid w:val="00A0224A"/>
    <w:rsid w:val="00A15BB1"/>
    <w:rsid w:val="00A16493"/>
    <w:rsid w:val="00A268BF"/>
    <w:rsid w:val="00A30795"/>
    <w:rsid w:val="00A30969"/>
    <w:rsid w:val="00A434CC"/>
    <w:rsid w:val="00A51793"/>
    <w:rsid w:val="00A51836"/>
    <w:rsid w:val="00A520B5"/>
    <w:rsid w:val="00A64634"/>
    <w:rsid w:val="00AA59E0"/>
    <w:rsid w:val="00AA69B2"/>
    <w:rsid w:val="00AB1974"/>
    <w:rsid w:val="00AB1C70"/>
    <w:rsid w:val="00AC1298"/>
    <w:rsid w:val="00AC2310"/>
    <w:rsid w:val="00AD7FEE"/>
    <w:rsid w:val="00AE00CD"/>
    <w:rsid w:val="00AE2251"/>
    <w:rsid w:val="00AE42BA"/>
    <w:rsid w:val="00AE6AB9"/>
    <w:rsid w:val="00B00B76"/>
    <w:rsid w:val="00B10B2B"/>
    <w:rsid w:val="00B317F9"/>
    <w:rsid w:val="00B330F5"/>
    <w:rsid w:val="00B37D14"/>
    <w:rsid w:val="00B52166"/>
    <w:rsid w:val="00B57DE8"/>
    <w:rsid w:val="00B664A5"/>
    <w:rsid w:val="00B718D9"/>
    <w:rsid w:val="00B71EE3"/>
    <w:rsid w:val="00B74AC8"/>
    <w:rsid w:val="00B82769"/>
    <w:rsid w:val="00B94810"/>
    <w:rsid w:val="00BA27BB"/>
    <w:rsid w:val="00BA5A9A"/>
    <w:rsid w:val="00BB1CEF"/>
    <w:rsid w:val="00BB67E5"/>
    <w:rsid w:val="00BB7358"/>
    <w:rsid w:val="00BD0869"/>
    <w:rsid w:val="00BD1737"/>
    <w:rsid w:val="00BE0872"/>
    <w:rsid w:val="00BF46F5"/>
    <w:rsid w:val="00BF69F0"/>
    <w:rsid w:val="00C05D01"/>
    <w:rsid w:val="00C066C5"/>
    <w:rsid w:val="00C15C3B"/>
    <w:rsid w:val="00C16F3D"/>
    <w:rsid w:val="00C303CC"/>
    <w:rsid w:val="00C3340A"/>
    <w:rsid w:val="00C50221"/>
    <w:rsid w:val="00C52F94"/>
    <w:rsid w:val="00C56367"/>
    <w:rsid w:val="00C60D32"/>
    <w:rsid w:val="00C63351"/>
    <w:rsid w:val="00C64F06"/>
    <w:rsid w:val="00C66750"/>
    <w:rsid w:val="00C71015"/>
    <w:rsid w:val="00C82235"/>
    <w:rsid w:val="00C869D8"/>
    <w:rsid w:val="00C94B16"/>
    <w:rsid w:val="00C95BE4"/>
    <w:rsid w:val="00CA4FC1"/>
    <w:rsid w:val="00CC394D"/>
    <w:rsid w:val="00CC509A"/>
    <w:rsid w:val="00CD5A5B"/>
    <w:rsid w:val="00CE4177"/>
    <w:rsid w:val="00CE5248"/>
    <w:rsid w:val="00CE5B9D"/>
    <w:rsid w:val="00CE60F5"/>
    <w:rsid w:val="00CE6629"/>
    <w:rsid w:val="00CF3BB9"/>
    <w:rsid w:val="00CF6414"/>
    <w:rsid w:val="00D01FE8"/>
    <w:rsid w:val="00D16223"/>
    <w:rsid w:val="00D216A1"/>
    <w:rsid w:val="00D23100"/>
    <w:rsid w:val="00D25C3A"/>
    <w:rsid w:val="00D3403A"/>
    <w:rsid w:val="00D370FC"/>
    <w:rsid w:val="00D56330"/>
    <w:rsid w:val="00D77214"/>
    <w:rsid w:val="00D8134D"/>
    <w:rsid w:val="00D84A92"/>
    <w:rsid w:val="00D9206E"/>
    <w:rsid w:val="00D972DA"/>
    <w:rsid w:val="00DA5052"/>
    <w:rsid w:val="00DB7ED8"/>
    <w:rsid w:val="00DC26C8"/>
    <w:rsid w:val="00DD23B8"/>
    <w:rsid w:val="00DD2F06"/>
    <w:rsid w:val="00DE1099"/>
    <w:rsid w:val="00DE111B"/>
    <w:rsid w:val="00DE22BA"/>
    <w:rsid w:val="00DE4FCB"/>
    <w:rsid w:val="00DE7936"/>
    <w:rsid w:val="00DF159B"/>
    <w:rsid w:val="00E023CA"/>
    <w:rsid w:val="00E0270D"/>
    <w:rsid w:val="00E0549E"/>
    <w:rsid w:val="00E12DB3"/>
    <w:rsid w:val="00E207D7"/>
    <w:rsid w:val="00E21EA8"/>
    <w:rsid w:val="00E22FD2"/>
    <w:rsid w:val="00E23B55"/>
    <w:rsid w:val="00E2621E"/>
    <w:rsid w:val="00E26E65"/>
    <w:rsid w:val="00E3238E"/>
    <w:rsid w:val="00E357C4"/>
    <w:rsid w:val="00E4232F"/>
    <w:rsid w:val="00E439B9"/>
    <w:rsid w:val="00E510E3"/>
    <w:rsid w:val="00E51244"/>
    <w:rsid w:val="00E54E8F"/>
    <w:rsid w:val="00E56CAA"/>
    <w:rsid w:val="00E6359F"/>
    <w:rsid w:val="00E82392"/>
    <w:rsid w:val="00E92C07"/>
    <w:rsid w:val="00EA1634"/>
    <w:rsid w:val="00EA1ADF"/>
    <w:rsid w:val="00EA5271"/>
    <w:rsid w:val="00EA7A3F"/>
    <w:rsid w:val="00EB0DDB"/>
    <w:rsid w:val="00EB52AD"/>
    <w:rsid w:val="00EB695F"/>
    <w:rsid w:val="00EC4FA6"/>
    <w:rsid w:val="00ED231F"/>
    <w:rsid w:val="00ED4E1B"/>
    <w:rsid w:val="00ED6CE3"/>
    <w:rsid w:val="00EE0958"/>
    <w:rsid w:val="00EE109F"/>
    <w:rsid w:val="00EF0530"/>
    <w:rsid w:val="00EF7493"/>
    <w:rsid w:val="00F10A14"/>
    <w:rsid w:val="00F13D33"/>
    <w:rsid w:val="00F22E3E"/>
    <w:rsid w:val="00F2676E"/>
    <w:rsid w:val="00F541AB"/>
    <w:rsid w:val="00F8323B"/>
    <w:rsid w:val="00F8448D"/>
    <w:rsid w:val="00F90259"/>
    <w:rsid w:val="00F90D70"/>
    <w:rsid w:val="00F958E6"/>
    <w:rsid w:val="00FA0253"/>
    <w:rsid w:val="00FA1E52"/>
    <w:rsid w:val="00FB1AD2"/>
    <w:rsid w:val="00FB57EA"/>
    <w:rsid w:val="00FC78A2"/>
    <w:rsid w:val="00FF5E0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CD"/>
    <w:rPr>
      <w:sz w:val="24"/>
      <w:lang w:eastAsia="en-US"/>
    </w:rPr>
  </w:style>
  <w:style w:type="paragraph" w:styleId="Heading1">
    <w:name w:val="heading 1"/>
    <w:basedOn w:val="Normal"/>
    <w:next w:val="Normal"/>
    <w:qFormat/>
    <w:rsid w:val="00263719"/>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263719"/>
    <w:pPr>
      <w:spacing w:before="0" w:after="113" w:line="440" w:lineRule="exact"/>
      <w:outlineLvl w:val="1"/>
    </w:pPr>
    <w:rPr>
      <w:rFonts w:ascii="Times New Roman" w:hAnsi="Times New Roman"/>
      <w:b w:val="0"/>
      <w:bCs w:val="0"/>
      <w:iCs/>
      <w:color w:val="87212E"/>
      <w:sz w:val="30"/>
      <w:szCs w:val="30"/>
      <w:lang w:eastAsia="en-AU"/>
    </w:rPr>
  </w:style>
  <w:style w:type="paragraph" w:styleId="Heading3">
    <w:name w:val="heading 3"/>
    <w:basedOn w:val="Heading2"/>
    <w:next w:val="Normal"/>
    <w:qFormat/>
    <w:rsid w:val="00263719"/>
    <w:pPr>
      <w:spacing w:before="227" w:after="57" w:line="340" w:lineRule="exact"/>
      <w:outlineLvl w:val="2"/>
    </w:pPr>
    <w:rPr>
      <w:bCs/>
      <w:i/>
      <w:sz w:val="24"/>
      <w:szCs w:val="24"/>
    </w:rPr>
  </w:style>
  <w:style w:type="paragraph" w:styleId="Heading5">
    <w:name w:val="heading 5"/>
    <w:basedOn w:val="Normal"/>
    <w:next w:val="Normal"/>
    <w:qFormat/>
    <w:rsid w:val="00D8134D"/>
    <w:pPr>
      <w:keepNext/>
      <w:spacing w:before="120" w:after="144"/>
      <w:outlineLvl w:val="4"/>
    </w:pPr>
    <w:rPr>
      <w:rFonts w:ascii="Arial Bold" w:hAnsi="Arial Bold"/>
      <w:b/>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1"/>
    <w:basedOn w:val="DefaultParagraphFont"/>
    <w:rsid w:val="00BD1737"/>
    <w:rPr>
      <w:rFonts w:ascii="Arial" w:hAnsi="Arial"/>
      <w:b/>
      <w:bCs/>
      <w:sz w:val="36"/>
    </w:rPr>
  </w:style>
  <w:style w:type="paragraph" w:customStyle="1" w:styleId="Heading20">
    <w:name w:val="Heading2"/>
    <w:basedOn w:val="NormalWeb"/>
    <w:rsid w:val="00BD1737"/>
    <w:pPr>
      <w:spacing w:before="100" w:beforeAutospacing="1" w:after="100" w:afterAutospacing="1" w:line="360" w:lineRule="auto"/>
    </w:pPr>
    <w:rPr>
      <w:rFonts w:ascii="Arial" w:hAnsi="Arial"/>
      <w:b/>
      <w:bCs/>
      <w:color w:val="000000"/>
      <w:sz w:val="28"/>
      <w:szCs w:val="20"/>
      <w:lang w:val="en-AU"/>
    </w:rPr>
  </w:style>
  <w:style w:type="paragraph" w:styleId="NormalWeb">
    <w:name w:val="Normal (Web)"/>
    <w:basedOn w:val="Normal"/>
    <w:rsid w:val="00BD1737"/>
    <w:rPr>
      <w:szCs w:val="24"/>
    </w:rPr>
  </w:style>
  <w:style w:type="character" w:styleId="Hyperlink">
    <w:name w:val="Hyperlink"/>
    <w:basedOn w:val="DefaultParagraphFont"/>
    <w:rsid w:val="007E2640"/>
    <w:rPr>
      <w:color w:val="0000FF"/>
      <w:u w:val="single"/>
    </w:rPr>
  </w:style>
  <w:style w:type="character" w:styleId="Emphasis">
    <w:name w:val="Emphasis"/>
    <w:basedOn w:val="DefaultParagraphFont"/>
    <w:qFormat/>
    <w:rsid w:val="007E2640"/>
    <w:rPr>
      <w:i/>
      <w:iCs/>
    </w:rPr>
  </w:style>
  <w:style w:type="paragraph" w:styleId="Header">
    <w:name w:val="header"/>
    <w:basedOn w:val="Normal"/>
    <w:rsid w:val="006808E1"/>
    <w:pPr>
      <w:tabs>
        <w:tab w:val="center" w:pos="4153"/>
        <w:tab w:val="right" w:pos="8306"/>
      </w:tabs>
    </w:pPr>
  </w:style>
  <w:style w:type="paragraph" w:styleId="Footer">
    <w:name w:val="footer"/>
    <w:basedOn w:val="Normal"/>
    <w:rsid w:val="006808E1"/>
    <w:pPr>
      <w:tabs>
        <w:tab w:val="center" w:pos="4153"/>
        <w:tab w:val="right" w:pos="8306"/>
      </w:tabs>
    </w:pPr>
  </w:style>
  <w:style w:type="character" w:styleId="PageNumber">
    <w:name w:val="page number"/>
    <w:basedOn w:val="DefaultParagraphFont"/>
    <w:rsid w:val="006808E1"/>
  </w:style>
  <w:style w:type="table" w:styleId="TableGrid">
    <w:name w:val="Table Grid"/>
    <w:basedOn w:val="TableNormal"/>
    <w:rsid w:val="00263719"/>
    <w:pPr>
      <w:spacing w:after="120" w:line="3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8134D"/>
    <w:pPr>
      <w:jc w:val="center"/>
    </w:pPr>
    <w:rPr>
      <w:sz w:val="23"/>
      <w:lang w:val="en-US" w:eastAsia="en-NZ"/>
    </w:rPr>
  </w:style>
  <w:style w:type="paragraph" w:customStyle="1" w:styleId="Numberparagraph">
    <w:name w:val="Number paragraph"/>
    <w:basedOn w:val="Normal"/>
    <w:qFormat/>
    <w:rsid w:val="00E4232F"/>
    <w:pPr>
      <w:numPr>
        <w:numId w:val="6"/>
      </w:numPr>
      <w:tabs>
        <w:tab w:val="left" w:pos="567"/>
      </w:tabs>
      <w:ind w:left="0" w:firstLine="0"/>
      <w:jc w:val="both"/>
    </w:pPr>
    <w:rPr>
      <w:szCs w:val="24"/>
      <w:lang w:eastAsia="en-AU"/>
    </w:rPr>
  </w:style>
  <w:style w:type="paragraph" w:customStyle="1" w:styleId="Recommendationfirstlevel">
    <w:name w:val="Recommendation first level"/>
    <w:basedOn w:val="Normal"/>
    <w:qFormat/>
    <w:rsid w:val="00AE00CD"/>
    <w:pPr>
      <w:numPr>
        <w:numId w:val="7"/>
      </w:numPr>
      <w:tabs>
        <w:tab w:val="left" w:pos="567"/>
      </w:tabs>
      <w:ind w:left="1134" w:hanging="567"/>
      <w:jc w:val="both"/>
    </w:pPr>
    <w:rPr>
      <w:szCs w:val="24"/>
      <w:lang w:eastAsia="en-AU"/>
    </w:rPr>
  </w:style>
  <w:style w:type="paragraph" w:styleId="ListParagraph">
    <w:name w:val="List Paragraph"/>
    <w:basedOn w:val="Normal"/>
    <w:uiPriority w:val="34"/>
    <w:qFormat/>
    <w:rsid w:val="00AE00CD"/>
    <w:pPr>
      <w:ind w:left="720"/>
      <w:contextualSpacing/>
    </w:pPr>
  </w:style>
  <w:style w:type="paragraph" w:styleId="List2">
    <w:name w:val="List 2"/>
    <w:basedOn w:val="Normal"/>
    <w:autoRedefine/>
    <w:uiPriority w:val="99"/>
    <w:semiHidden/>
    <w:unhideWhenUsed/>
    <w:qFormat/>
    <w:rsid w:val="00AE00CD"/>
    <w:pPr>
      <w:numPr>
        <w:numId w:val="8"/>
      </w:numPr>
      <w:contextualSpacing/>
    </w:pPr>
  </w:style>
  <w:style w:type="paragraph" w:customStyle="1" w:styleId="Recommendation11">
    <w:name w:val="Recommendation 1.1"/>
    <w:basedOn w:val="Recommendationfirstlevel"/>
    <w:qFormat/>
    <w:rsid w:val="0016102F"/>
    <w:pPr>
      <w:numPr>
        <w:numId w:val="9"/>
      </w:numPr>
      <w:tabs>
        <w:tab w:val="clear" w:pos="567"/>
      </w:tabs>
      <w:ind w:left="1134" w:firstLine="0"/>
    </w:pPr>
  </w:style>
  <w:style w:type="paragraph" w:customStyle="1" w:styleId="Recommendationlevel21">
    <w:name w:val="Recommendation level 2.1"/>
    <w:basedOn w:val="Recommendationfirstlevel"/>
    <w:qFormat/>
    <w:rsid w:val="00415C5B"/>
    <w:pPr>
      <w:numPr>
        <w:numId w:val="10"/>
      </w:numPr>
    </w:pPr>
  </w:style>
  <w:style w:type="paragraph" w:styleId="NoSpacing">
    <w:name w:val="No Spacing"/>
    <w:uiPriority w:val="1"/>
    <w:qFormat/>
    <w:rsid w:val="007008D1"/>
    <w:rPr>
      <w:sz w:val="24"/>
      <w:lang w:eastAsia="en-US"/>
    </w:rPr>
  </w:style>
  <w:style w:type="paragraph" w:customStyle="1" w:styleId="BodyText1">
    <w:name w:val="Body Text1"/>
    <w:rsid w:val="00AD7FEE"/>
    <w:rPr>
      <w:rFonts w:ascii="Verdana" w:hAnsi="Verdana" w:cs="Arial"/>
      <w:lang w:eastAsia="en-AU"/>
    </w:rPr>
  </w:style>
  <w:style w:type="paragraph" w:customStyle="1" w:styleId="TRBodyTextChar">
    <w:name w:val="_TRBody Text Char"/>
    <w:link w:val="TRBodyTextCharChar"/>
    <w:rsid w:val="009D595E"/>
    <w:pPr>
      <w:spacing w:line="300" w:lineRule="atLeast"/>
      <w:jc w:val="both"/>
    </w:pPr>
    <w:rPr>
      <w:sz w:val="24"/>
      <w:lang w:eastAsia="en-AU"/>
    </w:rPr>
  </w:style>
  <w:style w:type="character" w:customStyle="1" w:styleId="TRBodyTextCharChar">
    <w:name w:val="_TRBody Text Char Char"/>
    <w:basedOn w:val="DefaultParagraphFont"/>
    <w:link w:val="TRBodyTextChar"/>
    <w:rsid w:val="009D595E"/>
    <w:rPr>
      <w:sz w:val="24"/>
      <w:lang w:eastAsia="en-AU"/>
    </w:rPr>
  </w:style>
  <w:style w:type="paragraph" w:customStyle="1" w:styleId="TRBodyText">
    <w:name w:val="_TRBody Text"/>
    <w:rsid w:val="009D595E"/>
    <w:pPr>
      <w:spacing w:line="300" w:lineRule="atLeast"/>
      <w:jc w:val="both"/>
    </w:pPr>
    <w:rPr>
      <w:sz w:val="24"/>
      <w:lang w:eastAsia="en-AU"/>
    </w:rPr>
  </w:style>
  <w:style w:type="paragraph" w:styleId="BalloonText">
    <w:name w:val="Balloon Text"/>
    <w:basedOn w:val="Normal"/>
    <w:link w:val="BalloonTextChar"/>
    <w:uiPriority w:val="99"/>
    <w:semiHidden/>
    <w:unhideWhenUsed/>
    <w:rsid w:val="007B69DB"/>
    <w:rPr>
      <w:rFonts w:ascii="Tahoma" w:hAnsi="Tahoma" w:cs="Tahoma"/>
      <w:sz w:val="16"/>
      <w:szCs w:val="16"/>
    </w:rPr>
  </w:style>
  <w:style w:type="character" w:customStyle="1" w:styleId="BalloonTextChar">
    <w:name w:val="Balloon Text Char"/>
    <w:basedOn w:val="DefaultParagraphFont"/>
    <w:link w:val="BalloonText"/>
    <w:uiPriority w:val="99"/>
    <w:semiHidden/>
    <w:rsid w:val="007B69DB"/>
    <w:rPr>
      <w:rFonts w:ascii="Tahoma" w:hAnsi="Tahoma" w:cs="Tahoma"/>
      <w:sz w:val="16"/>
      <w:szCs w:val="16"/>
      <w:lang w:eastAsia="en-US"/>
    </w:rPr>
  </w:style>
  <w:style w:type="character" w:styleId="CommentReference">
    <w:name w:val="annotation reference"/>
    <w:basedOn w:val="DefaultParagraphFont"/>
    <w:uiPriority w:val="99"/>
    <w:semiHidden/>
    <w:unhideWhenUsed/>
    <w:rsid w:val="00D216A1"/>
    <w:rPr>
      <w:sz w:val="16"/>
      <w:szCs w:val="16"/>
    </w:rPr>
  </w:style>
  <w:style w:type="paragraph" w:styleId="CommentText">
    <w:name w:val="annotation text"/>
    <w:basedOn w:val="Normal"/>
    <w:link w:val="CommentTextChar"/>
    <w:uiPriority w:val="99"/>
    <w:semiHidden/>
    <w:unhideWhenUsed/>
    <w:rsid w:val="00D216A1"/>
    <w:rPr>
      <w:sz w:val="20"/>
    </w:rPr>
  </w:style>
  <w:style w:type="character" w:customStyle="1" w:styleId="CommentTextChar">
    <w:name w:val="Comment Text Char"/>
    <w:basedOn w:val="DefaultParagraphFont"/>
    <w:link w:val="CommentText"/>
    <w:uiPriority w:val="99"/>
    <w:semiHidden/>
    <w:rsid w:val="00D216A1"/>
    <w:rPr>
      <w:lang w:eastAsia="en-US"/>
    </w:rPr>
  </w:style>
  <w:style w:type="paragraph" w:styleId="CommentSubject">
    <w:name w:val="annotation subject"/>
    <w:basedOn w:val="CommentText"/>
    <w:next w:val="CommentText"/>
    <w:link w:val="CommentSubjectChar"/>
    <w:uiPriority w:val="99"/>
    <w:semiHidden/>
    <w:unhideWhenUsed/>
    <w:rsid w:val="00D216A1"/>
    <w:rPr>
      <w:b/>
      <w:bCs/>
    </w:rPr>
  </w:style>
  <w:style w:type="character" w:customStyle="1" w:styleId="CommentSubjectChar">
    <w:name w:val="Comment Subject Char"/>
    <w:basedOn w:val="CommentTextChar"/>
    <w:link w:val="CommentSubject"/>
    <w:uiPriority w:val="99"/>
    <w:semiHidden/>
    <w:rsid w:val="00D216A1"/>
    <w:rPr>
      <w:b/>
      <w:bCs/>
      <w:lang w:eastAsia="en-US"/>
    </w:rPr>
  </w:style>
  <w:style w:type="paragraph" w:styleId="Revision">
    <w:name w:val="Revision"/>
    <w:hidden/>
    <w:uiPriority w:val="99"/>
    <w:semiHidden/>
    <w:rsid w:val="00FF5E05"/>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0CD"/>
    <w:rPr>
      <w:sz w:val="24"/>
      <w:lang w:eastAsia="en-US"/>
    </w:rPr>
  </w:style>
  <w:style w:type="paragraph" w:styleId="Heading1">
    <w:name w:val="heading 1"/>
    <w:basedOn w:val="Normal"/>
    <w:next w:val="Normal"/>
    <w:qFormat/>
    <w:rsid w:val="00263719"/>
    <w:pPr>
      <w:keepNext/>
      <w:spacing w:before="240" w:after="60"/>
      <w:outlineLvl w:val="0"/>
    </w:pPr>
    <w:rPr>
      <w:rFonts w:ascii="Arial" w:hAnsi="Arial" w:cs="Arial"/>
      <w:b/>
      <w:bCs/>
      <w:kern w:val="32"/>
      <w:sz w:val="32"/>
      <w:szCs w:val="32"/>
    </w:rPr>
  </w:style>
  <w:style w:type="paragraph" w:styleId="Heading2">
    <w:name w:val="heading 2"/>
    <w:basedOn w:val="Heading1"/>
    <w:next w:val="Normal"/>
    <w:qFormat/>
    <w:rsid w:val="00263719"/>
    <w:pPr>
      <w:spacing w:before="0" w:after="113" w:line="440" w:lineRule="exact"/>
      <w:outlineLvl w:val="1"/>
    </w:pPr>
    <w:rPr>
      <w:rFonts w:ascii="Times New Roman" w:hAnsi="Times New Roman"/>
      <w:b w:val="0"/>
      <w:bCs w:val="0"/>
      <w:iCs/>
      <w:color w:val="87212E"/>
      <w:sz w:val="30"/>
      <w:szCs w:val="30"/>
      <w:lang w:eastAsia="en-AU"/>
    </w:rPr>
  </w:style>
  <w:style w:type="paragraph" w:styleId="Heading3">
    <w:name w:val="heading 3"/>
    <w:basedOn w:val="Heading2"/>
    <w:next w:val="Normal"/>
    <w:qFormat/>
    <w:rsid w:val="00263719"/>
    <w:pPr>
      <w:spacing w:before="227" w:after="57" w:line="340" w:lineRule="exact"/>
      <w:outlineLvl w:val="2"/>
    </w:pPr>
    <w:rPr>
      <w:bCs/>
      <w:i/>
      <w:sz w:val="24"/>
      <w:szCs w:val="24"/>
    </w:rPr>
  </w:style>
  <w:style w:type="paragraph" w:styleId="Heading5">
    <w:name w:val="heading 5"/>
    <w:basedOn w:val="Normal"/>
    <w:next w:val="Normal"/>
    <w:qFormat/>
    <w:rsid w:val="00D8134D"/>
    <w:pPr>
      <w:keepNext/>
      <w:spacing w:before="120" w:after="144"/>
      <w:outlineLvl w:val="4"/>
    </w:pPr>
    <w:rPr>
      <w:rFonts w:ascii="Arial Bold" w:hAnsi="Arial Bold"/>
      <w:b/>
      <w:lang w:val="en-US"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0">
    <w:name w:val="Heading1"/>
    <w:basedOn w:val="DefaultParagraphFont"/>
    <w:rsid w:val="00BD1737"/>
    <w:rPr>
      <w:rFonts w:ascii="Arial" w:hAnsi="Arial"/>
      <w:b/>
      <w:bCs/>
      <w:sz w:val="36"/>
    </w:rPr>
  </w:style>
  <w:style w:type="paragraph" w:customStyle="1" w:styleId="Heading20">
    <w:name w:val="Heading2"/>
    <w:basedOn w:val="NormalWeb"/>
    <w:rsid w:val="00BD1737"/>
    <w:pPr>
      <w:spacing w:before="100" w:beforeAutospacing="1" w:after="100" w:afterAutospacing="1" w:line="360" w:lineRule="auto"/>
    </w:pPr>
    <w:rPr>
      <w:rFonts w:ascii="Arial" w:hAnsi="Arial"/>
      <w:b/>
      <w:bCs/>
      <w:color w:val="000000"/>
      <w:sz w:val="28"/>
      <w:szCs w:val="20"/>
      <w:lang w:val="en-AU"/>
    </w:rPr>
  </w:style>
  <w:style w:type="paragraph" w:styleId="NormalWeb">
    <w:name w:val="Normal (Web)"/>
    <w:basedOn w:val="Normal"/>
    <w:rsid w:val="00BD1737"/>
    <w:rPr>
      <w:szCs w:val="24"/>
    </w:rPr>
  </w:style>
  <w:style w:type="character" w:styleId="Hyperlink">
    <w:name w:val="Hyperlink"/>
    <w:basedOn w:val="DefaultParagraphFont"/>
    <w:rsid w:val="007E2640"/>
    <w:rPr>
      <w:color w:val="0000FF"/>
      <w:u w:val="single"/>
    </w:rPr>
  </w:style>
  <w:style w:type="character" w:styleId="Emphasis">
    <w:name w:val="Emphasis"/>
    <w:basedOn w:val="DefaultParagraphFont"/>
    <w:qFormat/>
    <w:rsid w:val="007E2640"/>
    <w:rPr>
      <w:i/>
      <w:iCs/>
    </w:rPr>
  </w:style>
  <w:style w:type="paragraph" w:styleId="Header">
    <w:name w:val="header"/>
    <w:basedOn w:val="Normal"/>
    <w:rsid w:val="006808E1"/>
    <w:pPr>
      <w:tabs>
        <w:tab w:val="center" w:pos="4153"/>
        <w:tab w:val="right" w:pos="8306"/>
      </w:tabs>
    </w:pPr>
  </w:style>
  <w:style w:type="paragraph" w:styleId="Footer">
    <w:name w:val="footer"/>
    <w:basedOn w:val="Normal"/>
    <w:rsid w:val="006808E1"/>
    <w:pPr>
      <w:tabs>
        <w:tab w:val="center" w:pos="4153"/>
        <w:tab w:val="right" w:pos="8306"/>
      </w:tabs>
    </w:pPr>
  </w:style>
  <w:style w:type="character" w:styleId="PageNumber">
    <w:name w:val="page number"/>
    <w:basedOn w:val="DefaultParagraphFont"/>
    <w:rsid w:val="006808E1"/>
  </w:style>
  <w:style w:type="table" w:styleId="TableGrid">
    <w:name w:val="Table Grid"/>
    <w:basedOn w:val="TableNormal"/>
    <w:rsid w:val="00263719"/>
    <w:pPr>
      <w:spacing w:after="120" w:line="340" w:lineRule="exac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rsid w:val="00D8134D"/>
    <w:pPr>
      <w:jc w:val="center"/>
    </w:pPr>
    <w:rPr>
      <w:sz w:val="23"/>
      <w:lang w:val="en-US" w:eastAsia="en-NZ"/>
    </w:rPr>
  </w:style>
  <w:style w:type="paragraph" w:customStyle="1" w:styleId="Numberparagraph">
    <w:name w:val="Number paragraph"/>
    <w:basedOn w:val="Normal"/>
    <w:qFormat/>
    <w:rsid w:val="00E4232F"/>
    <w:pPr>
      <w:numPr>
        <w:numId w:val="6"/>
      </w:numPr>
      <w:tabs>
        <w:tab w:val="left" w:pos="567"/>
      </w:tabs>
      <w:ind w:left="0" w:firstLine="0"/>
      <w:jc w:val="both"/>
    </w:pPr>
    <w:rPr>
      <w:szCs w:val="24"/>
      <w:lang w:eastAsia="en-AU"/>
    </w:rPr>
  </w:style>
  <w:style w:type="paragraph" w:customStyle="1" w:styleId="Recommendationfirstlevel">
    <w:name w:val="Recommendation first level"/>
    <w:basedOn w:val="Normal"/>
    <w:qFormat/>
    <w:rsid w:val="00AE00CD"/>
    <w:pPr>
      <w:numPr>
        <w:numId w:val="7"/>
      </w:numPr>
      <w:tabs>
        <w:tab w:val="left" w:pos="567"/>
      </w:tabs>
      <w:ind w:left="1134" w:hanging="567"/>
      <w:jc w:val="both"/>
    </w:pPr>
    <w:rPr>
      <w:szCs w:val="24"/>
      <w:lang w:eastAsia="en-AU"/>
    </w:rPr>
  </w:style>
  <w:style w:type="paragraph" w:styleId="ListParagraph">
    <w:name w:val="List Paragraph"/>
    <w:basedOn w:val="Normal"/>
    <w:uiPriority w:val="34"/>
    <w:qFormat/>
    <w:rsid w:val="00AE00CD"/>
    <w:pPr>
      <w:ind w:left="720"/>
      <w:contextualSpacing/>
    </w:pPr>
  </w:style>
  <w:style w:type="paragraph" w:styleId="List2">
    <w:name w:val="List 2"/>
    <w:basedOn w:val="Normal"/>
    <w:autoRedefine/>
    <w:uiPriority w:val="99"/>
    <w:semiHidden/>
    <w:unhideWhenUsed/>
    <w:qFormat/>
    <w:rsid w:val="00AE00CD"/>
    <w:pPr>
      <w:numPr>
        <w:numId w:val="8"/>
      </w:numPr>
      <w:contextualSpacing/>
    </w:pPr>
  </w:style>
  <w:style w:type="paragraph" w:customStyle="1" w:styleId="Recommendation11">
    <w:name w:val="Recommendation 1.1"/>
    <w:basedOn w:val="Recommendationfirstlevel"/>
    <w:qFormat/>
    <w:rsid w:val="0016102F"/>
    <w:pPr>
      <w:numPr>
        <w:numId w:val="9"/>
      </w:numPr>
      <w:tabs>
        <w:tab w:val="clear" w:pos="567"/>
      </w:tabs>
      <w:ind w:left="1134" w:firstLine="0"/>
    </w:pPr>
  </w:style>
  <w:style w:type="paragraph" w:customStyle="1" w:styleId="Recommendationlevel21">
    <w:name w:val="Recommendation level 2.1"/>
    <w:basedOn w:val="Recommendationfirstlevel"/>
    <w:qFormat/>
    <w:rsid w:val="00415C5B"/>
    <w:pPr>
      <w:numPr>
        <w:numId w:val="10"/>
      </w:numPr>
    </w:pPr>
  </w:style>
  <w:style w:type="paragraph" w:styleId="NoSpacing">
    <w:name w:val="No Spacing"/>
    <w:uiPriority w:val="1"/>
    <w:qFormat/>
    <w:rsid w:val="007008D1"/>
    <w:rPr>
      <w:sz w:val="24"/>
      <w:lang w:eastAsia="en-US"/>
    </w:rPr>
  </w:style>
  <w:style w:type="paragraph" w:customStyle="1" w:styleId="BodyText1">
    <w:name w:val="Body Text1"/>
    <w:rsid w:val="00AD7FEE"/>
    <w:rPr>
      <w:rFonts w:ascii="Verdana" w:hAnsi="Verdana" w:cs="Arial"/>
      <w:lang w:eastAsia="en-AU"/>
    </w:rPr>
  </w:style>
  <w:style w:type="paragraph" w:customStyle="1" w:styleId="TRBodyTextChar">
    <w:name w:val="_TRBody Text Char"/>
    <w:link w:val="TRBodyTextCharChar"/>
    <w:rsid w:val="009D595E"/>
    <w:pPr>
      <w:spacing w:line="300" w:lineRule="atLeast"/>
      <w:jc w:val="both"/>
    </w:pPr>
    <w:rPr>
      <w:sz w:val="24"/>
      <w:lang w:eastAsia="en-AU"/>
    </w:rPr>
  </w:style>
  <w:style w:type="character" w:customStyle="1" w:styleId="TRBodyTextCharChar">
    <w:name w:val="_TRBody Text Char Char"/>
    <w:basedOn w:val="DefaultParagraphFont"/>
    <w:link w:val="TRBodyTextChar"/>
    <w:rsid w:val="009D595E"/>
    <w:rPr>
      <w:sz w:val="24"/>
      <w:lang w:eastAsia="en-AU"/>
    </w:rPr>
  </w:style>
  <w:style w:type="paragraph" w:customStyle="1" w:styleId="TRBodyText">
    <w:name w:val="_TRBody Text"/>
    <w:rsid w:val="009D595E"/>
    <w:pPr>
      <w:spacing w:line="300" w:lineRule="atLeast"/>
      <w:jc w:val="both"/>
    </w:pPr>
    <w:rPr>
      <w:sz w:val="24"/>
      <w:lang w:eastAsia="en-AU"/>
    </w:rPr>
  </w:style>
  <w:style w:type="paragraph" w:styleId="BalloonText">
    <w:name w:val="Balloon Text"/>
    <w:basedOn w:val="Normal"/>
    <w:link w:val="BalloonTextChar"/>
    <w:uiPriority w:val="99"/>
    <w:semiHidden/>
    <w:unhideWhenUsed/>
    <w:rsid w:val="007B69DB"/>
    <w:rPr>
      <w:rFonts w:ascii="Tahoma" w:hAnsi="Tahoma" w:cs="Tahoma"/>
      <w:sz w:val="16"/>
      <w:szCs w:val="16"/>
    </w:rPr>
  </w:style>
  <w:style w:type="character" w:customStyle="1" w:styleId="BalloonTextChar">
    <w:name w:val="Balloon Text Char"/>
    <w:basedOn w:val="DefaultParagraphFont"/>
    <w:link w:val="BalloonText"/>
    <w:uiPriority w:val="99"/>
    <w:semiHidden/>
    <w:rsid w:val="007B69DB"/>
    <w:rPr>
      <w:rFonts w:ascii="Tahoma" w:hAnsi="Tahoma" w:cs="Tahoma"/>
      <w:sz w:val="16"/>
      <w:szCs w:val="16"/>
      <w:lang w:eastAsia="en-US"/>
    </w:rPr>
  </w:style>
  <w:style w:type="character" w:styleId="CommentReference">
    <w:name w:val="annotation reference"/>
    <w:basedOn w:val="DefaultParagraphFont"/>
    <w:uiPriority w:val="99"/>
    <w:semiHidden/>
    <w:unhideWhenUsed/>
    <w:rsid w:val="00D216A1"/>
    <w:rPr>
      <w:sz w:val="16"/>
      <w:szCs w:val="16"/>
    </w:rPr>
  </w:style>
  <w:style w:type="paragraph" w:styleId="CommentText">
    <w:name w:val="annotation text"/>
    <w:basedOn w:val="Normal"/>
    <w:link w:val="CommentTextChar"/>
    <w:uiPriority w:val="99"/>
    <w:semiHidden/>
    <w:unhideWhenUsed/>
    <w:rsid w:val="00D216A1"/>
    <w:rPr>
      <w:sz w:val="20"/>
    </w:rPr>
  </w:style>
  <w:style w:type="character" w:customStyle="1" w:styleId="CommentTextChar">
    <w:name w:val="Comment Text Char"/>
    <w:basedOn w:val="DefaultParagraphFont"/>
    <w:link w:val="CommentText"/>
    <w:uiPriority w:val="99"/>
    <w:semiHidden/>
    <w:rsid w:val="00D216A1"/>
    <w:rPr>
      <w:lang w:eastAsia="en-US"/>
    </w:rPr>
  </w:style>
  <w:style w:type="paragraph" w:styleId="CommentSubject">
    <w:name w:val="annotation subject"/>
    <w:basedOn w:val="CommentText"/>
    <w:next w:val="CommentText"/>
    <w:link w:val="CommentSubjectChar"/>
    <w:uiPriority w:val="99"/>
    <w:semiHidden/>
    <w:unhideWhenUsed/>
    <w:rsid w:val="00D216A1"/>
    <w:rPr>
      <w:b/>
      <w:bCs/>
    </w:rPr>
  </w:style>
  <w:style w:type="character" w:customStyle="1" w:styleId="CommentSubjectChar">
    <w:name w:val="Comment Subject Char"/>
    <w:basedOn w:val="CommentTextChar"/>
    <w:link w:val="CommentSubject"/>
    <w:uiPriority w:val="99"/>
    <w:semiHidden/>
    <w:rsid w:val="00D216A1"/>
    <w:rPr>
      <w:b/>
      <w:bCs/>
      <w:lang w:eastAsia="en-US"/>
    </w:rPr>
  </w:style>
  <w:style w:type="paragraph" w:styleId="Revision">
    <w:name w:val="Revision"/>
    <w:hidden/>
    <w:uiPriority w:val="99"/>
    <w:semiHidden/>
    <w:rsid w:val="00FF5E05"/>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708254">
      <w:bodyDiv w:val="1"/>
      <w:marLeft w:val="0"/>
      <w:marRight w:val="0"/>
      <w:marTop w:val="0"/>
      <w:marBottom w:val="0"/>
      <w:divBdr>
        <w:top w:val="none" w:sz="0" w:space="0" w:color="auto"/>
        <w:left w:val="none" w:sz="0" w:space="0" w:color="auto"/>
        <w:bottom w:val="none" w:sz="0" w:space="0" w:color="auto"/>
        <w:right w:val="none" w:sz="0" w:space="0" w:color="auto"/>
      </w:divBdr>
      <w:divsChild>
        <w:div w:id="1637106440">
          <w:marLeft w:val="0"/>
          <w:marRight w:val="0"/>
          <w:marTop w:val="0"/>
          <w:marBottom w:val="0"/>
          <w:divBdr>
            <w:top w:val="none" w:sz="0" w:space="0" w:color="auto"/>
            <w:left w:val="none" w:sz="0" w:space="0" w:color="auto"/>
            <w:bottom w:val="none" w:sz="0" w:space="0" w:color="auto"/>
            <w:right w:val="none" w:sz="0" w:space="0" w:color="auto"/>
          </w:divBdr>
          <w:divsChild>
            <w:div w:id="121878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0143A-8D99-4936-B6D6-783ED9BE4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2590</Words>
  <Characters>13796</Characters>
  <Application>Microsoft Office Word</Application>
  <DocSecurity>0</DocSecurity>
  <Lines>353</Lines>
  <Paragraphs>97</Paragraphs>
  <ScaleCrop>false</ScaleCrop>
  <HeadingPairs>
    <vt:vector size="2" baseType="variant">
      <vt:variant>
        <vt:lpstr>Title</vt:lpstr>
      </vt:variant>
      <vt:variant>
        <vt:i4>1</vt:i4>
      </vt:variant>
    </vt:vector>
  </HeadingPairs>
  <TitlesOfParts>
    <vt:vector size="1" baseType="lpstr">
      <vt:lpstr>Cabinet paper - Measures to strengthen transfer pricing rules and prevent permanent establishment avoidance – a Government discussion document (November 2016)</vt:lpstr>
    </vt:vector>
  </TitlesOfParts>
  <Company>Inland Revenue</Company>
  <LinksUpToDate>false</LinksUpToDate>
  <CharactersWithSpaces>16289</CharactersWithSpaces>
  <SharedDoc>false</SharedDoc>
  <HLinks>
    <vt:vector size="6" baseType="variant">
      <vt:variant>
        <vt:i4>327763</vt:i4>
      </vt:variant>
      <vt:variant>
        <vt:i4>92</vt:i4>
      </vt:variant>
      <vt:variant>
        <vt:i4>0</vt:i4>
      </vt:variant>
      <vt:variant>
        <vt:i4>5</vt:i4>
      </vt:variant>
      <vt:variant>
        <vt:lpwstr>http://www.cabguide.cabinetoffice.govt.nz/procedures/consultation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Cabinet paper - Measures to strengthen transfer pricing rules and prevent permanent establishment avoidance – a Government discussion document (November 2016)</dc:title>
  <dc:creator>Policy and Strategy</dc:creator>
  <dc:description>Published on 14 December 2016.</dc:description>
  <cp:lastModifiedBy>David Nind</cp:lastModifiedBy>
  <cp:revision>2</cp:revision>
  <dcterms:created xsi:type="dcterms:W3CDTF">2016-12-13T22:00:00Z</dcterms:created>
  <dcterms:modified xsi:type="dcterms:W3CDTF">2016-12-13T22:01:00Z</dcterms:modified>
</cp:coreProperties>
</file>