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C" w:rsidRPr="007C737B" w:rsidRDefault="007C737B" w:rsidP="007C737B">
      <w:pPr>
        <w:pStyle w:val="RISheading"/>
        <w:jc w:val="center"/>
        <w:rPr>
          <w:w w:val="100"/>
          <w:sz w:val="32"/>
          <w:szCs w:val="32"/>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GoBack"/>
      <w:bookmarkEnd w:id="0"/>
      <w:bookmarkEnd w:id="6"/>
      <w:r w:rsidRPr="007C737B">
        <w:rPr>
          <w:w w:val="100"/>
          <w:sz w:val="32"/>
          <w:szCs w:val="32"/>
        </w:rPr>
        <w:t>Regulatory Impact Statement</w:t>
      </w:r>
      <w:bookmarkEnd w:id="1"/>
      <w:bookmarkEnd w:id="2"/>
      <w:bookmarkEnd w:id="3"/>
      <w:bookmarkEnd w:id="4"/>
      <w:bookmarkEnd w:id="5"/>
    </w:p>
    <w:p w:rsidR="000545DC" w:rsidRPr="004342F0" w:rsidRDefault="00F46AEA" w:rsidP="004342F0">
      <w:pPr>
        <w:pStyle w:val="RISheading"/>
        <w:rPr>
          <w:spacing w:val="0"/>
          <w:w w:val="100"/>
        </w:rPr>
      </w:pPr>
      <w:r>
        <w:rPr>
          <w:spacing w:val="0"/>
          <w:w w:val="100"/>
        </w:rPr>
        <w:t>Co-location and secrecy</w:t>
      </w:r>
    </w:p>
    <w:p w:rsidR="000545DC" w:rsidRPr="004342F0" w:rsidRDefault="001C6912" w:rsidP="004342F0">
      <w:pPr>
        <w:pStyle w:val="RISheading"/>
        <w:rPr>
          <w:spacing w:val="0"/>
          <w:w w:val="100"/>
        </w:rPr>
      </w:pPr>
      <w:r w:rsidRPr="004342F0">
        <w:rPr>
          <w:spacing w:val="0"/>
          <w:w w:val="100"/>
        </w:rPr>
        <w:t xml:space="preserve">Agency </w:t>
      </w:r>
      <w:r w:rsidR="000545DC" w:rsidRPr="004342F0">
        <w:rPr>
          <w:spacing w:val="0"/>
          <w:w w:val="100"/>
        </w:rPr>
        <w:t xml:space="preserve">Disclosure Statement </w:t>
      </w:r>
    </w:p>
    <w:p w:rsidR="000545DC" w:rsidRPr="004342F0" w:rsidRDefault="000545DC" w:rsidP="009A23EE">
      <w:pPr>
        <w:pStyle w:val="ListParagraph"/>
        <w:ind w:left="0" w:right="170"/>
        <w:contextualSpacing w:val="0"/>
        <w:rPr>
          <w:rFonts w:ascii="Times New Roman" w:hAnsi="Times New Roman"/>
          <w:sz w:val="24"/>
          <w:szCs w:val="24"/>
        </w:rPr>
      </w:pPr>
      <w:r w:rsidRPr="004342F0">
        <w:rPr>
          <w:rFonts w:ascii="Times New Roman" w:hAnsi="Times New Roman"/>
          <w:sz w:val="24"/>
          <w:szCs w:val="24"/>
        </w:rPr>
        <w:t xml:space="preserve">This Regulatory Impact Statement has been prepared by </w:t>
      </w:r>
      <w:r w:rsidR="009F7B9A" w:rsidRPr="004342F0">
        <w:rPr>
          <w:rFonts w:ascii="Times New Roman" w:hAnsi="Times New Roman"/>
          <w:sz w:val="24"/>
          <w:szCs w:val="24"/>
        </w:rPr>
        <w:t>Inland Revenue</w:t>
      </w:r>
      <w:r w:rsidR="009A23EE">
        <w:rPr>
          <w:rFonts w:ascii="Times New Roman" w:hAnsi="Times New Roman"/>
          <w:sz w:val="24"/>
          <w:szCs w:val="24"/>
        </w:rPr>
        <w:t>.</w:t>
      </w:r>
    </w:p>
    <w:p w:rsidR="004342F0" w:rsidRPr="004342F0" w:rsidRDefault="004342F0" w:rsidP="009A23EE">
      <w:pPr>
        <w:pStyle w:val="ListParagraph"/>
        <w:ind w:left="0" w:right="170"/>
        <w:contextualSpacing w:val="0"/>
        <w:rPr>
          <w:rFonts w:ascii="Times New Roman" w:hAnsi="Times New Roman"/>
          <w:sz w:val="24"/>
          <w:szCs w:val="24"/>
        </w:rPr>
      </w:pPr>
    </w:p>
    <w:p w:rsidR="000545DC" w:rsidRPr="004342F0" w:rsidRDefault="000545DC" w:rsidP="009A23EE">
      <w:pPr>
        <w:pStyle w:val="ListParagraph"/>
        <w:ind w:left="0" w:right="170"/>
        <w:contextualSpacing w:val="0"/>
        <w:rPr>
          <w:rFonts w:ascii="Times New Roman" w:hAnsi="Times New Roman"/>
          <w:sz w:val="24"/>
          <w:szCs w:val="24"/>
        </w:rPr>
      </w:pPr>
      <w:r w:rsidRPr="004342F0">
        <w:rPr>
          <w:rFonts w:ascii="Times New Roman" w:hAnsi="Times New Roman"/>
          <w:sz w:val="24"/>
          <w:szCs w:val="24"/>
        </w:rPr>
        <w:t xml:space="preserve">It provides an analysis of options to </w:t>
      </w:r>
      <w:r w:rsidR="00C87AC7">
        <w:rPr>
          <w:rFonts w:ascii="Times New Roman" w:hAnsi="Times New Roman"/>
          <w:sz w:val="24"/>
          <w:szCs w:val="24"/>
        </w:rPr>
        <w:t>remove a significant barrier to Inland Revenue employees co-locating with employees of other state agencies</w:t>
      </w:r>
      <w:r w:rsidR="009A23EE">
        <w:rPr>
          <w:rFonts w:ascii="Times New Roman" w:hAnsi="Times New Roman"/>
          <w:sz w:val="24"/>
          <w:szCs w:val="24"/>
        </w:rPr>
        <w:t>.</w:t>
      </w:r>
    </w:p>
    <w:p w:rsidR="004342F0" w:rsidRPr="004342F0" w:rsidRDefault="004342F0" w:rsidP="009A23EE">
      <w:pPr>
        <w:pStyle w:val="Text"/>
        <w:spacing w:before="0" w:after="0" w:line="240" w:lineRule="auto"/>
        <w:ind w:right="170"/>
        <w:rPr>
          <w:rFonts w:ascii="Times New Roman" w:hAnsi="Times New Roman"/>
          <w:sz w:val="24"/>
          <w:szCs w:val="24"/>
          <w:lang w:val="en-NZ"/>
        </w:rPr>
      </w:pPr>
    </w:p>
    <w:p w:rsidR="00C87AC7" w:rsidRDefault="00C87AC7" w:rsidP="009A23EE">
      <w:pPr>
        <w:pStyle w:val="Text"/>
        <w:spacing w:before="0" w:after="0" w:line="240" w:lineRule="auto"/>
        <w:ind w:right="170"/>
        <w:rPr>
          <w:rFonts w:ascii="Times New Roman" w:hAnsi="Times New Roman"/>
          <w:sz w:val="24"/>
          <w:szCs w:val="24"/>
          <w:lang w:val="en-NZ"/>
        </w:rPr>
      </w:pPr>
      <w:r>
        <w:rPr>
          <w:rFonts w:ascii="Times New Roman" w:hAnsi="Times New Roman"/>
          <w:sz w:val="24"/>
          <w:szCs w:val="24"/>
          <w:lang w:val="en-NZ"/>
        </w:rPr>
        <w:t xml:space="preserve">The analysis involved examining Inland Revenue’s current co-location arrangements in Christchurch and other regional offices.  The special </w:t>
      </w:r>
      <w:r w:rsidR="00DF5D52">
        <w:rPr>
          <w:rFonts w:ascii="Times New Roman" w:hAnsi="Times New Roman"/>
          <w:sz w:val="24"/>
          <w:szCs w:val="24"/>
          <w:lang w:val="en-NZ"/>
        </w:rPr>
        <w:t>circumstances of the co-location arrangement</w:t>
      </w:r>
      <w:r w:rsidR="003726C0">
        <w:rPr>
          <w:rFonts w:ascii="Times New Roman" w:hAnsi="Times New Roman"/>
          <w:sz w:val="24"/>
          <w:szCs w:val="24"/>
          <w:lang w:val="en-NZ"/>
        </w:rPr>
        <w:t>s</w:t>
      </w:r>
      <w:r w:rsidR="00DF5D52">
        <w:rPr>
          <w:rFonts w:ascii="Times New Roman" w:hAnsi="Times New Roman"/>
          <w:sz w:val="24"/>
          <w:szCs w:val="24"/>
          <w:lang w:val="en-NZ"/>
        </w:rPr>
        <w:t xml:space="preserve"> in Christchurch were</w:t>
      </w:r>
      <w:r>
        <w:rPr>
          <w:rFonts w:ascii="Times New Roman" w:hAnsi="Times New Roman"/>
          <w:sz w:val="24"/>
          <w:szCs w:val="24"/>
          <w:lang w:val="en-NZ"/>
        </w:rPr>
        <w:t xml:space="preserve"> noted.  </w:t>
      </w:r>
      <w:r w:rsidR="00DF5D52">
        <w:rPr>
          <w:rFonts w:ascii="Times New Roman" w:hAnsi="Times New Roman"/>
          <w:sz w:val="24"/>
          <w:szCs w:val="24"/>
          <w:lang w:val="en-NZ"/>
        </w:rPr>
        <w:t>The analysis was limited to examining options for removing barriers to Inland Revenue sharing call centres and administrative areas with other government agencies.  The analysis did not examine secrecy issues with reception and front counter areas.  The analysis also did not examine any wider options for co-locating with other government or private sector agencies.</w:t>
      </w:r>
    </w:p>
    <w:p w:rsidR="00C87AC7" w:rsidRDefault="00C87AC7" w:rsidP="009A23EE">
      <w:pPr>
        <w:pStyle w:val="Text"/>
        <w:spacing w:before="0" w:after="0" w:line="240" w:lineRule="auto"/>
        <w:ind w:right="170"/>
        <w:rPr>
          <w:rFonts w:ascii="Times New Roman" w:hAnsi="Times New Roman"/>
          <w:sz w:val="24"/>
          <w:szCs w:val="24"/>
          <w:lang w:val="en-NZ"/>
        </w:rPr>
      </w:pPr>
    </w:p>
    <w:p w:rsidR="00385EC1" w:rsidRPr="004342F0" w:rsidRDefault="00DF5D52" w:rsidP="009A23EE">
      <w:pPr>
        <w:pStyle w:val="Text"/>
        <w:spacing w:before="0" w:after="0" w:line="240" w:lineRule="auto"/>
        <w:ind w:right="170"/>
        <w:rPr>
          <w:rFonts w:ascii="Times New Roman" w:hAnsi="Times New Roman"/>
          <w:sz w:val="24"/>
          <w:szCs w:val="24"/>
          <w:lang w:val="en-NZ"/>
        </w:rPr>
      </w:pPr>
      <w:r>
        <w:rPr>
          <w:rFonts w:ascii="Times New Roman" w:hAnsi="Times New Roman"/>
          <w:sz w:val="24"/>
          <w:szCs w:val="24"/>
          <w:lang w:val="en-NZ"/>
        </w:rPr>
        <w:t>The consultation on this proposal involved discussing the secrecy issues with Inland Revenue employees that were involved in the current co-location arrangements.  The Privacy Commissioner was also consulted.</w:t>
      </w:r>
    </w:p>
    <w:p w:rsidR="004342F0" w:rsidRPr="004342F0" w:rsidRDefault="004342F0" w:rsidP="009A23EE">
      <w:pPr>
        <w:pStyle w:val="Text"/>
        <w:spacing w:before="0" w:after="0" w:line="240" w:lineRule="auto"/>
        <w:ind w:right="170"/>
        <w:rPr>
          <w:rFonts w:ascii="Times New Roman" w:hAnsi="Times New Roman"/>
          <w:sz w:val="24"/>
          <w:szCs w:val="24"/>
          <w:lang w:val="en-NZ"/>
        </w:rPr>
      </w:pPr>
    </w:p>
    <w:p w:rsidR="000545DC" w:rsidRPr="004342F0" w:rsidRDefault="00DF5D52" w:rsidP="009A23EE">
      <w:pPr>
        <w:pStyle w:val="Text"/>
        <w:spacing w:before="0" w:after="0" w:line="240" w:lineRule="auto"/>
        <w:ind w:right="170"/>
        <w:rPr>
          <w:rFonts w:ascii="Times New Roman" w:hAnsi="Times New Roman"/>
          <w:i/>
          <w:sz w:val="24"/>
          <w:szCs w:val="24"/>
          <w:lang w:val="en-NZ"/>
        </w:rPr>
      </w:pPr>
      <w:r>
        <w:rPr>
          <w:rFonts w:ascii="Times New Roman" w:hAnsi="Times New Roman"/>
          <w:sz w:val="24"/>
          <w:szCs w:val="24"/>
          <w:lang w:val="en-NZ"/>
        </w:rPr>
        <w:t>The policy options will not</w:t>
      </w:r>
      <w:r w:rsidR="000545DC" w:rsidRPr="004342F0">
        <w:rPr>
          <w:rFonts w:ascii="Times New Roman" w:hAnsi="Times New Roman"/>
          <w:i/>
          <w:sz w:val="24"/>
          <w:szCs w:val="24"/>
          <w:lang w:val="en-NZ"/>
        </w:rPr>
        <w:t>:</w:t>
      </w:r>
    </w:p>
    <w:p w:rsidR="000545DC" w:rsidRPr="00DF5D52" w:rsidRDefault="000545DC" w:rsidP="007551FD">
      <w:pPr>
        <w:pStyle w:val="Bullet-list"/>
        <w:numPr>
          <w:ilvl w:val="0"/>
          <w:numId w:val="4"/>
        </w:numPr>
        <w:spacing w:after="0" w:line="240" w:lineRule="auto"/>
        <w:ind w:right="170"/>
        <w:rPr>
          <w:rFonts w:ascii="Times New Roman" w:hAnsi="Times New Roman"/>
          <w:sz w:val="24"/>
          <w:szCs w:val="24"/>
        </w:rPr>
      </w:pPr>
      <w:r w:rsidRPr="00DF5D52">
        <w:rPr>
          <w:rFonts w:ascii="Times New Roman" w:hAnsi="Times New Roman"/>
          <w:sz w:val="24"/>
          <w:szCs w:val="24"/>
        </w:rPr>
        <w:t>impose additional costs on businesses</w:t>
      </w:r>
    </w:p>
    <w:p w:rsidR="000545DC" w:rsidRPr="00DF5D52" w:rsidRDefault="000545DC" w:rsidP="007551FD">
      <w:pPr>
        <w:pStyle w:val="Bullet-list"/>
        <w:numPr>
          <w:ilvl w:val="0"/>
          <w:numId w:val="4"/>
        </w:numPr>
        <w:spacing w:after="0" w:line="240" w:lineRule="auto"/>
        <w:ind w:right="170"/>
        <w:rPr>
          <w:rFonts w:ascii="Times New Roman" w:hAnsi="Times New Roman"/>
          <w:sz w:val="24"/>
          <w:szCs w:val="24"/>
        </w:rPr>
      </w:pPr>
      <w:r w:rsidRPr="00DF5D52">
        <w:rPr>
          <w:rFonts w:ascii="Times New Roman" w:hAnsi="Times New Roman"/>
          <w:sz w:val="24"/>
          <w:szCs w:val="24"/>
        </w:rPr>
        <w:t xml:space="preserve">impair private property rights, </w:t>
      </w:r>
      <w:r w:rsidR="00385EC1" w:rsidRPr="00DF5D52">
        <w:rPr>
          <w:rFonts w:ascii="Times New Roman" w:hAnsi="Times New Roman"/>
          <w:sz w:val="24"/>
          <w:szCs w:val="24"/>
        </w:rPr>
        <w:t xml:space="preserve">restrict </w:t>
      </w:r>
      <w:r w:rsidRPr="00DF5D52">
        <w:rPr>
          <w:rFonts w:ascii="Times New Roman" w:hAnsi="Times New Roman"/>
          <w:sz w:val="24"/>
          <w:szCs w:val="24"/>
        </w:rPr>
        <w:t xml:space="preserve">market competition, or </w:t>
      </w:r>
      <w:r w:rsidR="00385EC1" w:rsidRPr="00DF5D52">
        <w:rPr>
          <w:rFonts w:ascii="Times New Roman" w:hAnsi="Times New Roman"/>
          <w:sz w:val="24"/>
          <w:szCs w:val="24"/>
        </w:rPr>
        <w:t xml:space="preserve">reduce </w:t>
      </w:r>
      <w:r w:rsidRPr="00DF5D52">
        <w:rPr>
          <w:rFonts w:ascii="Times New Roman" w:hAnsi="Times New Roman"/>
          <w:sz w:val="24"/>
          <w:szCs w:val="24"/>
        </w:rPr>
        <w:t>the incentives on bu</w:t>
      </w:r>
      <w:r w:rsidR="004532A3" w:rsidRPr="00DF5D52">
        <w:rPr>
          <w:rFonts w:ascii="Times New Roman" w:hAnsi="Times New Roman"/>
          <w:sz w:val="24"/>
          <w:szCs w:val="24"/>
        </w:rPr>
        <w:t>sinesses to innovate and invest,</w:t>
      </w:r>
      <w:r w:rsidRPr="00DF5D52">
        <w:rPr>
          <w:rFonts w:ascii="Times New Roman" w:hAnsi="Times New Roman"/>
          <w:sz w:val="24"/>
          <w:szCs w:val="24"/>
        </w:rPr>
        <w:t xml:space="preserve"> or</w:t>
      </w:r>
    </w:p>
    <w:p w:rsidR="000545DC" w:rsidRPr="004342F0" w:rsidRDefault="000545DC" w:rsidP="007551FD">
      <w:pPr>
        <w:pStyle w:val="Bullet-list"/>
        <w:numPr>
          <w:ilvl w:val="0"/>
          <w:numId w:val="4"/>
        </w:numPr>
        <w:spacing w:after="0" w:line="240" w:lineRule="auto"/>
        <w:ind w:right="170"/>
        <w:rPr>
          <w:rFonts w:ascii="Times New Roman" w:hAnsi="Times New Roman"/>
          <w:sz w:val="24"/>
          <w:szCs w:val="24"/>
        </w:rPr>
      </w:pPr>
      <w:proofErr w:type="gramStart"/>
      <w:r w:rsidRPr="00DF5D52">
        <w:rPr>
          <w:rFonts w:ascii="Times New Roman" w:hAnsi="Times New Roman"/>
          <w:sz w:val="24"/>
          <w:szCs w:val="24"/>
        </w:rPr>
        <w:t>override</w:t>
      </w:r>
      <w:proofErr w:type="gramEnd"/>
      <w:r w:rsidRPr="00DF5D52">
        <w:rPr>
          <w:rFonts w:ascii="Times New Roman" w:hAnsi="Times New Roman"/>
          <w:sz w:val="24"/>
          <w:szCs w:val="24"/>
        </w:rPr>
        <w:t xml:space="preserve"> fundamental common law principles</w:t>
      </w:r>
      <w:r w:rsidRPr="004342F0">
        <w:rPr>
          <w:rFonts w:ascii="Times New Roman" w:hAnsi="Times New Roman"/>
          <w:i/>
          <w:sz w:val="24"/>
          <w:szCs w:val="24"/>
        </w:rPr>
        <w:t xml:space="preserve"> </w:t>
      </w:r>
      <w:r w:rsidR="00DF5D52">
        <w:rPr>
          <w:rFonts w:ascii="Times New Roman" w:hAnsi="Times New Roman"/>
          <w:i/>
          <w:sz w:val="24"/>
          <w:szCs w:val="24"/>
        </w:rPr>
        <w:t>.</w:t>
      </w:r>
    </w:p>
    <w:p w:rsidR="00085660" w:rsidRPr="004342F0" w:rsidRDefault="00085660" w:rsidP="009A23EE">
      <w:pPr>
        <w:pStyle w:val="Text"/>
        <w:spacing w:before="0" w:after="0" w:line="240" w:lineRule="auto"/>
        <w:ind w:right="170"/>
        <w:rPr>
          <w:rFonts w:ascii="Times New Roman" w:hAnsi="Times New Roman"/>
          <w:sz w:val="24"/>
          <w:szCs w:val="24"/>
          <w:lang w:val="en-NZ"/>
        </w:rPr>
      </w:pPr>
    </w:p>
    <w:p w:rsidR="00085660" w:rsidRDefault="00085660" w:rsidP="009A23EE">
      <w:pPr>
        <w:pStyle w:val="Text"/>
        <w:spacing w:before="0" w:after="0" w:line="240" w:lineRule="auto"/>
        <w:ind w:right="170"/>
        <w:rPr>
          <w:rFonts w:ascii="Times New Roman" w:hAnsi="Times New Roman"/>
          <w:sz w:val="24"/>
          <w:szCs w:val="24"/>
          <w:lang w:val="en-NZ"/>
        </w:rPr>
      </w:pPr>
    </w:p>
    <w:p w:rsidR="00385EC1" w:rsidRPr="004342F0" w:rsidRDefault="00385EC1" w:rsidP="009A23EE">
      <w:pPr>
        <w:pStyle w:val="Text"/>
        <w:spacing w:before="0" w:after="0" w:line="240" w:lineRule="auto"/>
        <w:ind w:right="170"/>
        <w:rPr>
          <w:rFonts w:ascii="Times New Roman" w:hAnsi="Times New Roman"/>
          <w:sz w:val="24"/>
          <w:szCs w:val="24"/>
          <w:lang w:val="en-NZ"/>
        </w:rPr>
      </w:pPr>
    </w:p>
    <w:p w:rsidR="00C42A20" w:rsidRPr="004342F0" w:rsidRDefault="00C42A20" w:rsidP="00C42A20">
      <w:pPr>
        <w:pStyle w:val="Text"/>
        <w:tabs>
          <w:tab w:val="left" w:pos="567"/>
        </w:tabs>
        <w:spacing w:before="0" w:after="0" w:line="240" w:lineRule="auto"/>
        <w:ind w:right="170"/>
        <w:rPr>
          <w:rFonts w:ascii="Times New Roman" w:hAnsi="Times New Roman"/>
          <w:sz w:val="24"/>
          <w:szCs w:val="24"/>
          <w:lang w:val="en-NZ"/>
        </w:rPr>
      </w:pPr>
      <w:bookmarkStart w:id="7" w:name="_Toc244580363"/>
      <w:bookmarkStart w:id="8" w:name="_Toc244587039"/>
      <w:bookmarkStart w:id="9" w:name="_Toc244857273"/>
      <w:bookmarkStart w:id="10" w:name="_Toc244912538"/>
      <w:bookmarkStart w:id="11" w:name="_Toc244916995"/>
      <w:r>
        <w:rPr>
          <w:rFonts w:ascii="Times New Roman" w:hAnsi="Times New Roman"/>
          <w:sz w:val="24"/>
          <w:szCs w:val="24"/>
          <w:lang w:val="en-NZ"/>
        </w:rPr>
        <w:t>Keith Taylor</w:t>
      </w:r>
    </w:p>
    <w:p w:rsidR="00C42A20" w:rsidRPr="004342F0" w:rsidRDefault="00C42A20" w:rsidP="00C42A20">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Policy Manager, Policy and Strategy</w:t>
      </w:r>
    </w:p>
    <w:p w:rsidR="00C42A20" w:rsidRPr="004342F0" w:rsidRDefault="00C42A20" w:rsidP="00C42A20">
      <w:pPr>
        <w:pStyle w:val="Text"/>
        <w:tabs>
          <w:tab w:val="left" w:pos="567"/>
        </w:tabs>
        <w:spacing w:before="0" w:after="0" w:line="240" w:lineRule="auto"/>
        <w:ind w:right="170"/>
        <w:rPr>
          <w:rFonts w:ascii="Times New Roman" w:hAnsi="Times New Roman"/>
          <w:sz w:val="24"/>
          <w:szCs w:val="24"/>
          <w:lang w:val="en-NZ"/>
        </w:rPr>
      </w:pPr>
      <w:r w:rsidRPr="004342F0">
        <w:rPr>
          <w:rFonts w:ascii="Times New Roman" w:hAnsi="Times New Roman"/>
          <w:sz w:val="24"/>
          <w:szCs w:val="24"/>
          <w:lang w:val="en-NZ"/>
        </w:rPr>
        <w:t>Inland Revenue</w:t>
      </w:r>
    </w:p>
    <w:p w:rsidR="00C42A20" w:rsidRDefault="00C42A20" w:rsidP="00C42A20">
      <w:pPr>
        <w:pStyle w:val="Text"/>
        <w:tabs>
          <w:tab w:val="left" w:pos="567"/>
        </w:tabs>
        <w:spacing w:before="0" w:after="0" w:line="240" w:lineRule="auto"/>
        <w:ind w:right="170"/>
        <w:rPr>
          <w:rFonts w:ascii="Times New Roman" w:hAnsi="Times New Roman"/>
          <w:sz w:val="24"/>
          <w:szCs w:val="24"/>
          <w:lang w:val="en-NZ"/>
        </w:rPr>
      </w:pPr>
    </w:p>
    <w:p w:rsidR="00C42A20" w:rsidRPr="004342F0" w:rsidRDefault="00C42A20" w:rsidP="00C42A20">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3 June 2015</w:t>
      </w:r>
    </w:p>
    <w:p w:rsidR="000545DC" w:rsidRPr="004342F0" w:rsidRDefault="001C6912" w:rsidP="004342F0">
      <w:pPr>
        <w:pStyle w:val="RISheading"/>
        <w:rPr>
          <w:spacing w:val="0"/>
          <w:w w:val="100"/>
        </w:rPr>
      </w:pPr>
      <w:r w:rsidRPr="004342F0">
        <w:rPr>
          <w:spacing w:val="0"/>
          <w:w w:val="100"/>
        </w:rPr>
        <w:br w:type="page"/>
      </w:r>
      <w:r w:rsidRPr="004342F0">
        <w:rPr>
          <w:spacing w:val="0"/>
          <w:w w:val="100"/>
        </w:rPr>
        <w:lastRenderedPageBreak/>
        <w:t>STATUS QUO AND PROBLEM DEFINITION</w:t>
      </w:r>
      <w:bookmarkEnd w:id="7"/>
      <w:bookmarkEnd w:id="8"/>
      <w:bookmarkEnd w:id="9"/>
      <w:bookmarkEnd w:id="10"/>
      <w:bookmarkEnd w:id="11"/>
    </w:p>
    <w:p w:rsidR="00FC13BA" w:rsidRPr="00FC13BA" w:rsidRDefault="008533B0" w:rsidP="00FC13BA">
      <w:pPr>
        <w:pStyle w:val="Bullet-list"/>
        <w:numPr>
          <w:ilvl w:val="0"/>
          <w:numId w:val="2"/>
        </w:numPr>
        <w:tabs>
          <w:tab w:val="num" w:pos="567"/>
        </w:tabs>
        <w:spacing w:after="0" w:line="240" w:lineRule="auto"/>
        <w:ind w:left="0" w:firstLine="0"/>
        <w:rPr>
          <w:rFonts w:ascii="Times New Roman" w:hAnsi="Times New Roman"/>
          <w:sz w:val="24"/>
          <w:szCs w:val="24"/>
        </w:rPr>
      </w:pPr>
      <w:r w:rsidRPr="00FC13BA">
        <w:rPr>
          <w:rFonts w:ascii="Times New Roman" w:hAnsi="Times New Roman"/>
          <w:sz w:val="24"/>
          <w:szCs w:val="24"/>
        </w:rPr>
        <w:t>The current secrecy provision in the Tax Administration Act (section 81</w:t>
      </w:r>
      <w:r w:rsidR="00C30B4A" w:rsidRPr="00FC13BA">
        <w:rPr>
          <w:rFonts w:ascii="Times New Roman" w:hAnsi="Times New Roman"/>
          <w:sz w:val="24"/>
          <w:szCs w:val="24"/>
        </w:rPr>
        <w:t xml:space="preserve"> of the TAA</w:t>
      </w:r>
      <w:r w:rsidRPr="00FC13BA">
        <w:rPr>
          <w:rFonts w:ascii="Times New Roman" w:hAnsi="Times New Roman"/>
          <w:sz w:val="24"/>
          <w:szCs w:val="24"/>
        </w:rPr>
        <w:t xml:space="preserve">) does not allow Inland Revenue employees to </w:t>
      </w:r>
      <w:r w:rsidR="007B2D7A" w:rsidRPr="00FC13BA">
        <w:rPr>
          <w:rFonts w:ascii="Times New Roman" w:hAnsi="Times New Roman"/>
          <w:sz w:val="24"/>
          <w:szCs w:val="24"/>
        </w:rPr>
        <w:t xml:space="preserve">communicate taxpayer information </w:t>
      </w:r>
      <w:r w:rsidR="00F355AD">
        <w:rPr>
          <w:rFonts w:ascii="Times New Roman" w:hAnsi="Times New Roman"/>
          <w:sz w:val="24"/>
          <w:szCs w:val="24"/>
        </w:rPr>
        <w:t>(</w:t>
      </w:r>
      <w:r w:rsidR="003726C0" w:rsidRPr="00FC13BA">
        <w:rPr>
          <w:rFonts w:ascii="Times New Roman" w:hAnsi="Times New Roman"/>
          <w:sz w:val="24"/>
          <w:szCs w:val="24"/>
        </w:rPr>
        <w:t xml:space="preserve">including </w:t>
      </w:r>
      <w:r w:rsidRPr="00FC13BA">
        <w:rPr>
          <w:rFonts w:ascii="Times New Roman" w:hAnsi="Times New Roman"/>
          <w:sz w:val="24"/>
          <w:szCs w:val="24"/>
        </w:rPr>
        <w:t>to other government agencies</w:t>
      </w:r>
      <w:r w:rsidR="00F355AD">
        <w:rPr>
          <w:rFonts w:ascii="Times New Roman" w:hAnsi="Times New Roman"/>
          <w:sz w:val="24"/>
          <w:szCs w:val="24"/>
        </w:rPr>
        <w:t>)</w:t>
      </w:r>
      <w:r w:rsidRPr="00FC13BA">
        <w:rPr>
          <w:rFonts w:ascii="Times New Roman" w:hAnsi="Times New Roman"/>
          <w:sz w:val="24"/>
          <w:szCs w:val="24"/>
        </w:rPr>
        <w:t xml:space="preserve"> except in limited, defined circumstances.  </w:t>
      </w:r>
      <w:r w:rsidR="003726C0" w:rsidRPr="00FC13BA">
        <w:rPr>
          <w:rFonts w:ascii="Times New Roman" w:hAnsi="Times New Roman"/>
          <w:sz w:val="24"/>
          <w:szCs w:val="24"/>
        </w:rPr>
        <w:t xml:space="preserve">Further, the provision requires employees to maintain, and assist in maintaining, the secrecy of taxpayer information.  </w:t>
      </w:r>
      <w:r w:rsidRPr="00FC13BA">
        <w:rPr>
          <w:rFonts w:ascii="Times New Roman" w:hAnsi="Times New Roman"/>
          <w:sz w:val="24"/>
          <w:szCs w:val="24"/>
        </w:rPr>
        <w:t>Th</w:t>
      </w:r>
      <w:r w:rsidR="00294C97" w:rsidRPr="00FC13BA">
        <w:rPr>
          <w:rFonts w:ascii="Times New Roman" w:hAnsi="Times New Roman"/>
          <w:sz w:val="24"/>
          <w:szCs w:val="24"/>
        </w:rPr>
        <w:t>ere are severe penalties for an</w:t>
      </w:r>
      <w:r w:rsidRPr="00FC13BA">
        <w:rPr>
          <w:rFonts w:ascii="Times New Roman" w:hAnsi="Times New Roman"/>
          <w:sz w:val="24"/>
          <w:szCs w:val="24"/>
        </w:rPr>
        <w:t xml:space="preserve"> Inland Revenue employee who knowingly breaches secrecy provisions.  </w:t>
      </w:r>
      <w:r w:rsidR="002D0A2F">
        <w:rPr>
          <w:rFonts w:ascii="Times New Roman" w:hAnsi="Times New Roman"/>
          <w:sz w:val="24"/>
          <w:szCs w:val="24"/>
        </w:rPr>
        <w:t>In addition</w:t>
      </w:r>
      <w:r w:rsidRPr="00FC13BA">
        <w:rPr>
          <w:rFonts w:ascii="Times New Roman" w:hAnsi="Times New Roman"/>
          <w:sz w:val="24"/>
          <w:szCs w:val="24"/>
        </w:rPr>
        <w:t>, under s</w:t>
      </w:r>
      <w:r w:rsidR="00A2485E" w:rsidRPr="00FC13BA">
        <w:rPr>
          <w:rFonts w:ascii="Times New Roman" w:hAnsi="Times New Roman"/>
          <w:sz w:val="24"/>
          <w:szCs w:val="24"/>
        </w:rPr>
        <w:t>ection</w:t>
      </w:r>
      <w:r w:rsidRPr="00FC13BA">
        <w:rPr>
          <w:rFonts w:ascii="Times New Roman" w:hAnsi="Times New Roman"/>
          <w:sz w:val="24"/>
          <w:szCs w:val="24"/>
        </w:rPr>
        <w:t xml:space="preserve"> 6 of the TAA every Inland Revenue employee must use their best endeavours at all times to protect the integrity of the tax system (including the rights of the taxpayers to have their individual affairs kept confidential).</w:t>
      </w:r>
      <w:r w:rsidR="00FC13BA">
        <w:rPr>
          <w:rFonts w:ascii="Times New Roman" w:hAnsi="Times New Roman"/>
          <w:sz w:val="24"/>
          <w:szCs w:val="24"/>
        </w:rPr>
        <w:t xml:space="preserve">  </w:t>
      </w:r>
      <w:r w:rsidR="00FC13BA" w:rsidRPr="00FC13BA">
        <w:rPr>
          <w:rFonts w:ascii="Times New Roman" w:hAnsi="Times New Roman"/>
          <w:sz w:val="24"/>
          <w:szCs w:val="24"/>
        </w:rPr>
        <w:t xml:space="preserve">The effective administration of the tax system relies on voluntary compliance.  A critical element of voluntary compliance is taxpayers </w:t>
      </w:r>
      <w:r w:rsidR="00F355AD">
        <w:rPr>
          <w:rFonts w:ascii="Times New Roman" w:hAnsi="Times New Roman"/>
          <w:sz w:val="24"/>
          <w:szCs w:val="24"/>
        </w:rPr>
        <w:t>trusting</w:t>
      </w:r>
      <w:r w:rsidR="00FC13BA" w:rsidRPr="00FC13BA">
        <w:rPr>
          <w:rFonts w:ascii="Times New Roman" w:hAnsi="Times New Roman"/>
          <w:sz w:val="24"/>
          <w:szCs w:val="24"/>
        </w:rPr>
        <w:t xml:space="preserve"> that Inland Revenue will not disclose their information inappropriately.  </w:t>
      </w:r>
    </w:p>
    <w:p w:rsidR="00FC13BA" w:rsidRPr="008533B0" w:rsidRDefault="00FC13BA" w:rsidP="008533B0">
      <w:pPr>
        <w:pStyle w:val="Bullet-list"/>
        <w:spacing w:after="0" w:line="240" w:lineRule="auto"/>
        <w:rPr>
          <w:rFonts w:ascii="Times New Roman" w:hAnsi="Times New Roman"/>
          <w:sz w:val="24"/>
          <w:szCs w:val="24"/>
        </w:rPr>
      </w:pPr>
    </w:p>
    <w:p w:rsidR="00925DBC" w:rsidRPr="00AD7FEE" w:rsidRDefault="002A654E" w:rsidP="00AD7FEE">
      <w:pPr>
        <w:pStyle w:val="Bullet-list"/>
        <w:numPr>
          <w:ilvl w:val="0"/>
          <w:numId w:val="2"/>
        </w:numPr>
        <w:tabs>
          <w:tab w:val="num" w:pos="567"/>
        </w:tabs>
        <w:spacing w:after="0" w:line="240" w:lineRule="auto"/>
        <w:ind w:left="0" w:firstLine="0"/>
        <w:rPr>
          <w:rFonts w:ascii="Times New Roman" w:hAnsi="Times New Roman"/>
          <w:sz w:val="24"/>
          <w:szCs w:val="24"/>
        </w:rPr>
      </w:pPr>
      <w:r w:rsidRPr="00AD7FEE">
        <w:rPr>
          <w:rFonts w:ascii="Times New Roman" w:hAnsi="Times New Roman"/>
          <w:sz w:val="24"/>
          <w:szCs w:val="24"/>
        </w:rPr>
        <w:t xml:space="preserve">One of the four key priorities of the Government is to ensure the delivering of better public services.  </w:t>
      </w:r>
      <w:r w:rsidR="00A2485E" w:rsidRPr="00AD7FEE">
        <w:rPr>
          <w:rFonts w:ascii="Times New Roman" w:hAnsi="Times New Roman"/>
          <w:sz w:val="24"/>
          <w:szCs w:val="24"/>
        </w:rPr>
        <w:t>Inland Revenue</w:t>
      </w:r>
      <w:r w:rsidR="007B2D7A" w:rsidRPr="00AD7FEE">
        <w:rPr>
          <w:rFonts w:ascii="Times New Roman" w:hAnsi="Times New Roman"/>
          <w:sz w:val="24"/>
          <w:szCs w:val="24"/>
        </w:rPr>
        <w:t xml:space="preserve"> is investigating co-location opportunities </w:t>
      </w:r>
      <w:r w:rsidR="00A2485E" w:rsidRPr="00AD7FEE">
        <w:rPr>
          <w:rFonts w:ascii="Times New Roman" w:hAnsi="Times New Roman"/>
          <w:sz w:val="24"/>
          <w:szCs w:val="24"/>
        </w:rPr>
        <w:t>as part of the future dir</w:t>
      </w:r>
      <w:r w:rsidR="00C30B4A" w:rsidRPr="00AD7FEE">
        <w:rPr>
          <w:rFonts w:ascii="Times New Roman" w:hAnsi="Times New Roman"/>
          <w:sz w:val="24"/>
          <w:szCs w:val="24"/>
        </w:rPr>
        <w:t>ection of s</w:t>
      </w:r>
      <w:r w:rsidR="007B2D7A" w:rsidRPr="00AD7FEE">
        <w:rPr>
          <w:rFonts w:ascii="Times New Roman" w:hAnsi="Times New Roman"/>
          <w:sz w:val="24"/>
          <w:szCs w:val="24"/>
        </w:rPr>
        <w:t xml:space="preserve">ervice </w:t>
      </w:r>
      <w:r w:rsidR="00C30B4A" w:rsidRPr="00AD7FEE">
        <w:rPr>
          <w:rFonts w:ascii="Times New Roman" w:hAnsi="Times New Roman"/>
          <w:sz w:val="24"/>
          <w:szCs w:val="24"/>
        </w:rPr>
        <w:t>d</w:t>
      </w:r>
      <w:r w:rsidR="007B2D7A" w:rsidRPr="00AD7FEE">
        <w:rPr>
          <w:rFonts w:ascii="Times New Roman" w:hAnsi="Times New Roman"/>
          <w:sz w:val="24"/>
          <w:szCs w:val="24"/>
        </w:rPr>
        <w:t>elivery</w:t>
      </w:r>
      <w:r w:rsidR="00A2485E" w:rsidRPr="00AD7FEE">
        <w:rPr>
          <w:rFonts w:ascii="Times New Roman" w:hAnsi="Times New Roman"/>
          <w:sz w:val="24"/>
          <w:szCs w:val="24"/>
        </w:rPr>
        <w:t xml:space="preserve">.  </w:t>
      </w:r>
      <w:r w:rsidR="007B2D7A" w:rsidRPr="00AD7FEE">
        <w:rPr>
          <w:rFonts w:ascii="Times New Roman" w:hAnsi="Times New Roman"/>
          <w:sz w:val="24"/>
          <w:szCs w:val="24"/>
        </w:rPr>
        <w:t>C</w:t>
      </w:r>
      <w:r w:rsidR="00A2485E" w:rsidRPr="00AD7FEE">
        <w:rPr>
          <w:rFonts w:ascii="Times New Roman" w:hAnsi="Times New Roman"/>
          <w:sz w:val="24"/>
          <w:szCs w:val="24"/>
        </w:rPr>
        <w:t xml:space="preserve">o-location </w:t>
      </w:r>
      <w:r w:rsidR="007B2D7A" w:rsidRPr="00AD7FEE">
        <w:rPr>
          <w:rFonts w:ascii="Times New Roman" w:hAnsi="Times New Roman"/>
          <w:sz w:val="24"/>
          <w:szCs w:val="24"/>
        </w:rPr>
        <w:t>is</w:t>
      </w:r>
      <w:r w:rsidR="00A2485E" w:rsidRPr="00AD7FEE">
        <w:rPr>
          <w:rFonts w:ascii="Times New Roman" w:hAnsi="Times New Roman"/>
          <w:sz w:val="24"/>
          <w:szCs w:val="24"/>
        </w:rPr>
        <w:t xml:space="preserve"> aimed at providing a better service by standardising processes, reducing duplication of effort and delivering prioritised services to meet local needs.  </w:t>
      </w:r>
      <w:r w:rsidR="008533B0" w:rsidRPr="00AD7FEE">
        <w:rPr>
          <w:rFonts w:ascii="Times New Roman" w:hAnsi="Times New Roman"/>
          <w:sz w:val="24"/>
          <w:szCs w:val="24"/>
        </w:rPr>
        <w:t xml:space="preserve">Inland Revenue is </w:t>
      </w:r>
      <w:r w:rsidR="00A2485E" w:rsidRPr="00AD7FEE">
        <w:rPr>
          <w:rFonts w:ascii="Times New Roman" w:hAnsi="Times New Roman"/>
          <w:sz w:val="24"/>
          <w:szCs w:val="24"/>
        </w:rPr>
        <w:t xml:space="preserve">currently </w:t>
      </w:r>
      <w:r w:rsidR="008533B0" w:rsidRPr="00AD7FEE">
        <w:rPr>
          <w:rFonts w:ascii="Times New Roman" w:hAnsi="Times New Roman"/>
          <w:sz w:val="24"/>
          <w:szCs w:val="24"/>
        </w:rPr>
        <w:t xml:space="preserve">co-locating with other government agencies in some offices and call centres across New Zealand. </w:t>
      </w:r>
      <w:r w:rsidR="00A2485E" w:rsidRPr="00AD7FEE">
        <w:rPr>
          <w:rFonts w:ascii="Times New Roman" w:hAnsi="Times New Roman"/>
          <w:sz w:val="24"/>
          <w:szCs w:val="24"/>
        </w:rPr>
        <w:t xml:space="preserve"> </w:t>
      </w:r>
      <w:r w:rsidR="008533B0" w:rsidRPr="00AD7FEE">
        <w:rPr>
          <w:rFonts w:ascii="Times New Roman" w:hAnsi="Times New Roman"/>
          <w:sz w:val="24"/>
          <w:szCs w:val="24"/>
        </w:rPr>
        <w:t>While some co-locations have been able to be achieved while still maintaining physical separation between agencies (which minimises secrecy risks) such separation is not always possible — for example, in post-earthquake Christchurch co-locations are "open-plan".</w:t>
      </w:r>
      <w:r w:rsidR="00925DBC" w:rsidRPr="00AD7FEE">
        <w:rPr>
          <w:rFonts w:ascii="Times New Roman" w:hAnsi="Times New Roman"/>
          <w:sz w:val="24"/>
          <w:szCs w:val="24"/>
        </w:rPr>
        <w:t xml:space="preserve">  </w:t>
      </w:r>
      <w:r w:rsidR="00AD7FEE" w:rsidRPr="00AD7FEE">
        <w:rPr>
          <w:rFonts w:ascii="Times New Roman" w:hAnsi="Times New Roman"/>
          <w:sz w:val="24"/>
          <w:szCs w:val="24"/>
        </w:rPr>
        <w:t xml:space="preserve">Specifically, about 370 Inland Revenue call centre and collections staff share </w:t>
      </w:r>
      <w:r w:rsidR="00AD7FEE">
        <w:rPr>
          <w:rFonts w:ascii="Times New Roman" w:hAnsi="Times New Roman"/>
          <w:sz w:val="24"/>
          <w:szCs w:val="24"/>
        </w:rPr>
        <w:t xml:space="preserve">an “open-plan” area </w:t>
      </w:r>
      <w:r w:rsidR="00AD7FEE" w:rsidRPr="00AD7FEE">
        <w:rPr>
          <w:rFonts w:ascii="Times New Roman" w:hAnsi="Times New Roman"/>
          <w:sz w:val="24"/>
          <w:szCs w:val="24"/>
        </w:rPr>
        <w:t xml:space="preserve">with 130 Ministry of Social Development staff at </w:t>
      </w:r>
      <w:proofErr w:type="spellStart"/>
      <w:r w:rsidR="00AD7FEE" w:rsidRPr="00AD7FEE">
        <w:rPr>
          <w:rFonts w:ascii="Times New Roman" w:hAnsi="Times New Roman"/>
          <w:sz w:val="24"/>
          <w:szCs w:val="24"/>
        </w:rPr>
        <w:t>Russley</w:t>
      </w:r>
      <w:proofErr w:type="spellEnd"/>
      <w:r w:rsidR="00AD7FEE" w:rsidRPr="00AD7FEE">
        <w:rPr>
          <w:rFonts w:ascii="Times New Roman" w:hAnsi="Times New Roman"/>
          <w:sz w:val="24"/>
          <w:szCs w:val="24"/>
        </w:rPr>
        <w:t xml:space="preserve"> R</w:t>
      </w:r>
      <w:r w:rsidR="00147887">
        <w:rPr>
          <w:rFonts w:ascii="Times New Roman" w:hAnsi="Times New Roman"/>
          <w:sz w:val="24"/>
          <w:szCs w:val="24"/>
        </w:rPr>
        <w:t>oa</w:t>
      </w:r>
      <w:r w:rsidR="00AD7FEE" w:rsidRPr="00AD7FEE">
        <w:rPr>
          <w:rFonts w:ascii="Times New Roman" w:hAnsi="Times New Roman"/>
          <w:sz w:val="24"/>
          <w:szCs w:val="24"/>
        </w:rPr>
        <w:t>d and 10-12 Inland Revenue staff at Durham St</w:t>
      </w:r>
      <w:r w:rsidR="006D1ECD">
        <w:rPr>
          <w:rFonts w:ascii="Times New Roman" w:hAnsi="Times New Roman"/>
          <w:sz w:val="24"/>
          <w:szCs w:val="24"/>
        </w:rPr>
        <w:t>reet</w:t>
      </w:r>
      <w:r w:rsidR="00AD7FEE" w:rsidRPr="00AD7FEE">
        <w:rPr>
          <w:rFonts w:ascii="Times New Roman" w:hAnsi="Times New Roman"/>
          <w:sz w:val="24"/>
          <w:szCs w:val="24"/>
        </w:rPr>
        <w:t xml:space="preserve"> are surrounded by about 70-80 Ministr</w:t>
      </w:r>
      <w:r w:rsidR="00FC13BA">
        <w:rPr>
          <w:rFonts w:ascii="Times New Roman" w:hAnsi="Times New Roman"/>
          <w:sz w:val="24"/>
          <w:szCs w:val="24"/>
        </w:rPr>
        <w:t xml:space="preserve">y of Social Development staff. </w:t>
      </w:r>
    </w:p>
    <w:p w:rsidR="008533B0" w:rsidRDefault="008533B0" w:rsidP="008533B0">
      <w:pPr>
        <w:pStyle w:val="ListParagraph"/>
        <w:rPr>
          <w:rFonts w:ascii="Times New Roman" w:hAnsi="Times New Roman"/>
          <w:sz w:val="24"/>
          <w:szCs w:val="24"/>
        </w:rPr>
      </w:pPr>
    </w:p>
    <w:p w:rsidR="008533B0" w:rsidRDefault="008533B0" w:rsidP="007551FD">
      <w:pPr>
        <w:pStyle w:val="Bullet-list"/>
        <w:numPr>
          <w:ilvl w:val="0"/>
          <w:numId w:val="2"/>
        </w:numPr>
        <w:tabs>
          <w:tab w:val="num" w:pos="567"/>
        </w:tabs>
        <w:spacing w:after="0" w:line="240" w:lineRule="auto"/>
        <w:ind w:left="0" w:firstLine="0"/>
        <w:rPr>
          <w:rFonts w:ascii="Times New Roman" w:hAnsi="Times New Roman"/>
          <w:sz w:val="24"/>
          <w:szCs w:val="24"/>
        </w:rPr>
      </w:pPr>
      <w:r w:rsidRPr="008533B0">
        <w:rPr>
          <w:rFonts w:ascii="Times New Roman" w:hAnsi="Times New Roman"/>
          <w:sz w:val="24"/>
          <w:szCs w:val="24"/>
        </w:rPr>
        <w:t>Under such an approach, Inland Revenue employees are exposed to the risk of inadvertently disclosing taxpayer information to other government agencies at co-located sites. This could arise if the other agency's employees were to overhear conversations (between Inland Revenue staff discussing a case, and conversations with taxpayers themselves), or if they happen to see Inland Revenue correspondence, or as a result of shared office facilities and equipment.</w:t>
      </w:r>
    </w:p>
    <w:p w:rsidR="008533B0" w:rsidRDefault="008533B0" w:rsidP="008533B0">
      <w:pPr>
        <w:pStyle w:val="ListParagraph"/>
        <w:rPr>
          <w:rFonts w:ascii="Times New Roman" w:hAnsi="Times New Roman"/>
          <w:sz w:val="24"/>
          <w:szCs w:val="24"/>
        </w:rPr>
      </w:pPr>
    </w:p>
    <w:p w:rsidR="000545DC" w:rsidRDefault="008533B0" w:rsidP="007551FD">
      <w:pPr>
        <w:pStyle w:val="Bullet-list"/>
        <w:numPr>
          <w:ilvl w:val="0"/>
          <w:numId w:val="2"/>
        </w:numPr>
        <w:tabs>
          <w:tab w:val="num" w:pos="567"/>
        </w:tabs>
        <w:spacing w:after="0" w:line="240" w:lineRule="auto"/>
        <w:ind w:left="0" w:firstLine="0"/>
        <w:rPr>
          <w:rFonts w:ascii="Times New Roman" w:hAnsi="Times New Roman"/>
          <w:sz w:val="24"/>
          <w:szCs w:val="24"/>
        </w:rPr>
      </w:pPr>
      <w:r w:rsidRPr="008533B0">
        <w:rPr>
          <w:rFonts w:ascii="Times New Roman" w:hAnsi="Times New Roman"/>
          <w:sz w:val="24"/>
          <w:szCs w:val="24"/>
        </w:rPr>
        <w:t xml:space="preserve">Given that further co-location is planned (including in open-plan sites) this gives rise to the issue of proximity with other government employees and inadvertent disclosure of taxpayer information with those employees. </w:t>
      </w:r>
      <w:r w:rsidR="00CB245C">
        <w:rPr>
          <w:rFonts w:ascii="Times New Roman" w:hAnsi="Times New Roman"/>
          <w:sz w:val="24"/>
          <w:szCs w:val="24"/>
        </w:rPr>
        <w:t>Inland Revenue</w:t>
      </w:r>
      <w:r w:rsidRPr="008533B0">
        <w:rPr>
          <w:rFonts w:ascii="Times New Roman" w:hAnsi="Times New Roman"/>
          <w:sz w:val="24"/>
          <w:szCs w:val="24"/>
        </w:rPr>
        <w:t xml:space="preserve"> consider</w:t>
      </w:r>
      <w:r w:rsidR="00CB245C">
        <w:rPr>
          <w:rFonts w:ascii="Times New Roman" w:hAnsi="Times New Roman"/>
          <w:sz w:val="24"/>
          <w:szCs w:val="24"/>
        </w:rPr>
        <w:t>s</w:t>
      </w:r>
      <w:r w:rsidRPr="008533B0">
        <w:rPr>
          <w:rFonts w:ascii="Times New Roman" w:hAnsi="Times New Roman"/>
          <w:sz w:val="24"/>
          <w:szCs w:val="24"/>
        </w:rPr>
        <w:t xml:space="preserve"> that no amount of training or best practice guidelines or adopted behaviour is likely to adequately address the substantial risk of Inland Revenue employees inadvertently disclosing taxpayer information to other government employees in the co-location environment.</w:t>
      </w:r>
      <w:r w:rsidR="00CB245C">
        <w:rPr>
          <w:rFonts w:ascii="Times New Roman" w:hAnsi="Times New Roman"/>
          <w:sz w:val="24"/>
          <w:szCs w:val="24"/>
        </w:rPr>
        <w:t xml:space="preserve">  Inland Revenue considers that architectural changes can be made to open-plan areas to reduce the risks.   However, the changes would be costly and would arguably undermine the benefits of co-locating.</w:t>
      </w:r>
    </w:p>
    <w:p w:rsidR="00FC13BA" w:rsidRDefault="00FC13BA" w:rsidP="00FC13BA">
      <w:pPr>
        <w:pStyle w:val="ListParagraph"/>
        <w:rPr>
          <w:rFonts w:ascii="Times New Roman" w:hAnsi="Times New Roman"/>
          <w:sz w:val="24"/>
          <w:szCs w:val="24"/>
        </w:rPr>
      </w:pPr>
    </w:p>
    <w:p w:rsidR="00FC13BA" w:rsidRDefault="00F355AD" w:rsidP="007551FD">
      <w:pPr>
        <w:pStyle w:val="Bullet-list"/>
        <w:numPr>
          <w:ilvl w:val="0"/>
          <w:numId w:val="2"/>
        </w:numPr>
        <w:tabs>
          <w:tab w:val="num" w:pos="567"/>
        </w:tabs>
        <w:spacing w:after="0" w:line="240" w:lineRule="auto"/>
        <w:ind w:left="0" w:firstLine="0"/>
        <w:rPr>
          <w:rFonts w:ascii="Times New Roman" w:hAnsi="Times New Roman"/>
          <w:sz w:val="24"/>
          <w:szCs w:val="24"/>
        </w:rPr>
      </w:pPr>
      <w:r>
        <w:rPr>
          <w:rFonts w:ascii="Times New Roman" w:hAnsi="Times New Roman"/>
          <w:sz w:val="24"/>
          <w:szCs w:val="24"/>
        </w:rPr>
        <w:t>There</w:t>
      </w:r>
      <w:r w:rsidR="00FC13BA">
        <w:rPr>
          <w:rFonts w:ascii="Times New Roman" w:hAnsi="Times New Roman"/>
          <w:sz w:val="24"/>
          <w:szCs w:val="24"/>
        </w:rPr>
        <w:t xml:space="preserve"> is, therefore, a balance </w:t>
      </w:r>
      <w:r>
        <w:rPr>
          <w:rFonts w:ascii="Times New Roman" w:hAnsi="Times New Roman"/>
          <w:sz w:val="24"/>
          <w:szCs w:val="24"/>
        </w:rPr>
        <w:t>between</w:t>
      </w:r>
      <w:r w:rsidR="00FC13BA">
        <w:rPr>
          <w:rFonts w:ascii="Times New Roman" w:hAnsi="Times New Roman"/>
          <w:sz w:val="24"/>
          <w:szCs w:val="24"/>
        </w:rPr>
        <w:t xml:space="preserve"> maintaining the integrity of the tax system (including taxpayers’ perceptions of the tax system) and delivering better public services through co-location.  </w:t>
      </w:r>
    </w:p>
    <w:p w:rsidR="00471188" w:rsidRDefault="00471188" w:rsidP="00471188">
      <w:pPr>
        <w:pStyle w:val="ListParagraph"/>
        <w:rPr>
          <w:rFonts w:ascii="Times New Roman" w:hAnsi="Times New Roman"/>
          <w:sz w:val="24"/>
          <w:szCs w:val="24"/>
        </w:rPr>
      </w:pPr>
    </w:p>
    <w:p w:rsidR="00471188" w:rsidRPr="004342F0" w:rsidRDefault="00464E3D" w:rsidP="007551FD">
      <w:pPr>
        <w:pStyle w:val="Bullet-list"/>
        <w:numPr>
          <w:ilvl w:val="0"/>
          <w:numId w:val="2"/>
        </w:numPr>
        <w:tabs>
          <w:tab w:val="num" w:pos="567"/>
        </w:tabs>
        <w:spacing w:after="0" w:line="240" w:lineRule="auto"/>
        <w:ind w:left="0" w:firstLine="0"/>
        <w:rPr>
          <w:rFonts w:ascii="Times New Roman" w:hAnsi="Times New Roman"/>
          <w:sz w:val="24"/>
          <w:szCs w:val="24"/>
        </w:rPr>
      </w:pPr>
      <w:bookmarkStart w:id="12" w:name="_Ref417378968"/>
      <w:r>
        <w:rPr>
          <w:rFonts w:ascii="Times New Roman" w:hAnsi="Times New Roman"/>
          <w:sz w:val="24"/>
          <w:szCs w:val="24"/>
        </w:rPr>
        <w:t>Maintaining the</w:t>
      </w:r>
      <w:r w:rsidR="00471188">
        <w:rPr>
          <w:rFonts w:ascii="Times New Roman" w:hAnsi="Times New Roman"/>
          <w:sz w:val="24"/>
          <w:szCs w:val="24"/>
        </w:rPr>
        <w:t xml:space="preserve"> status quo </w:t>
      </w:r>
      <w:r>
        <w:rPr>
          <w:rFonts w:ascii="Times New Roman" w:hAnsi="Times New Roman"/>
          <w:sz w:val="24"/>
          <w:szCs w:val="24"/>
        </w:rPr>
        <w:t>means</w:t>
      </w:r>
      <w:r w:rsidR="00471188">
        <w:rPr>
          <w:rFonts w:ascii="Times New Roman" w:hAnsi="Times New Roman"/>
          <w:sz w:val="24"/>
          <w:szCs w:val="24"/>
        </w:rPr>
        <w:t xml:space="preserve"> the existing risk to employees of inadvertently breaching s</w:t>
      </w:r>
      <w:r w:rsidR="00AB49AE">
        <w:rPr>
          <w:rFonts w:ascii="Times New Roman" w:hAnsi="Times New Roman"/>
          <w:sz w:val="24"/>
          <w:szCs w:val="24"/>
        </w:rPr>
        <w:t>ection</w:t>
      </w:r>
      <w:r w:rsidR="00471188">
        <w:rPr>
          <w:rFonts w:ascii="Times New Roman" w:hAnsi="Times New Roman"/>
          <w:sz w:val="24"/>
          <w:szCs w:val="24"/>
        </w:rPr>
        <w:t> 81 will remain</w:t>
      </w:r>
      <w:r w:rsidR="007B2D7A">
        <w:rPr>
          <w:rFonts w:ascii="Times New Roman" w:hAnsi="Times New Roman"/>
          <w:sz w:val="24"/>
          <w:szCs w:val="24"/>
        </w:rPr>
        <w:t>, and so being subject to severe penalties</w:t>
      </w:r>
      <w:r w:rsidR="00471188">
        <w:rPr>
          <w:rFonts w:ascii="Times New Roman" w:hAnsi="Times New Roman"/>
          <w:sz w:val="24"/>
          <w:szCs w:val="24"/>
        </w:rPr>
        <w:t xml:space="preserve">.  </w:t>
      </w:r>
      <w:r w:rsidR="002D0A2F">
        <w:rPr>
          <w:rFonts w:ascii="Times New Roman" w:hAnsi="Times New Roman"/>
          <w:sz w:val="24"/>
          <w:szCs w:val="24"/>
        </w:rPr>
        <w:t>That this risk</w:t>
      </w:r>
      <w:r w:rsidR="00471188">
        <w:rPr>
          <w:rFonts w:ascii="Times New Roman" w:hAnsi="Times New Roman"/>
          <w:sz w:val="24"/>
          <w:szCs w:val="24"/>
        </w:rPr>
        <w:t xml:space="preserve"> </w:t>
      </w:r>
      <w:r w:rsidR="00946464">
        <w:rPr>
          <w:rFonts w:ascii="Times New Roman" w:hAnsi="Times New Roman"/>
          <w:sz w:val="24"/>
          <w:szCs w:val="24"/>
        </w:rPr>
        <w:t>exists</w:t>
      </w:r>
      <w:r w:rsidR="002D0A2F">
        <w:rPr>
          <w:rFonts w:ascii="Times New Roman" w:hAnsi="Times New Roman"/>
          <w:sz w:val="24"/>
          <w:szCs w:val="24"/>
        </w:rPr>
        <w:t xml:space="preserve"> </w:t>
      </w:r>
      <w:r w:rsidR="00471188">
        <w:rPr>
          <w:rFonts w:ascii="Times New Roman" w:hAnsi="Times New Roman"/>
          <w:sz w:val="24"/>
          <w:szCs w:val="24"/>
        </w:rPr>
        <w:t>makes employees reluctant to work in an open-plan env</w:t>
      </w:r>
      <w:r w:rsidR="00076641">
        <w:rPr>
          <w:rFonts w:ascii="Times New Roman" w:hAnsi="Times New Roman"/>
          <w:sz w:val="24"/>
          <w:szCs w:val="24"/>
        </w:rPr>
        <w:t xml:space="preserve">ironment.  </w:t>
      </w:r>
      <w:r w:rsidR="00471188">
        <w:rPr>
          <w:rFonts w:ascii="Times New Roman" w:hAnsi="Times New Roman"/>
          <w:sz w:val="24"/>
          <w:szCs w:val="24"/>
        </w:rPr>
        <w:t>In ad</w:t>
      </w:r>
      <w:r>
        <w:rPr>
          <w:rFonts w:ascii="Times New Roman" w:hAnsi="Times New Roman"/>
          <w:sz w:val="24"/>
          <w:szCs w:val="24"/>
        </w:rPr>
        <w:t xml:space="preserve">dition, given </w:t>
      </w:r>
      <w:r w:rsidR="002D0A2F">
        <w:rPr>
          <w:rFonts w:ascii="Times New Roman" w:hAnsi="Times New Roman"/>
          <w:sz w:val="24"/>
          <w:szCs w:val="24"/>
        </w:rPr>
        <w:t>this risk</w:t>
      </w:r>
      <w:r w:rsidR="00471188">
        <w:rPr>
          <w:rFonts w:ascii="Times New Roman" w:hAnsi="Times New Roman"/>
          <w:sz w:val="24"/>
          <w:szCs w:val="24"/>
        </w:rPr>
        <w:t>, taxpayers may have concerns about the level of secrecy applying in a co-located environment, which may harm the perception of the integrity of the tax</w:t>
      </w:r>
      <w:r>
        <w:rPr>
          <w:rFonts w:ascii="Times New Roman" w:hAnsi="Times New Roman"/>
          <w:sz w:val="24"/>
          <w:szCs w:val="24"/>
        </w:rPr>
        <w:t xml:space="preserve"> system.  The current </w:t>
      </w:r>
      <w:r>
        <w:rPr>
          <w:rFonts w:ascii="Times New Roman" w:hAnsi="Times New Roman"/>
          <w:sz w:val="24"/>
          <w:szCs w:val="24"/>
        </w:rPr>
        <w:lastRenderedPageBreak/>
        <w:t xml:space="preserve">risks also </w:t>
      </w:r>
      <w:r w:rsidR="00471188">
        <w:rPr>
          <w:rFonts w:ascii="Times New Roman" w:hAnsi="Times New Roman"/>
          <w:sz w:val="24"/>
          <w:szCs w:val="24"/>
        </w:rPr>
        <w:t xml:space="preserve">make Inland Revenue more reluctant to enter into co-location arrangements with other government agencies.  Such a result </w:t>
      </w:r>
      <w:r>
        <w:rPr>
          <w:rFonts w:ascii="Times New Roman" w:hAnsi="Times New Roman"/>
          <w:sz w:val="24"/>
          <w:szCs w:val="24"/>
        </w:rPr>
        <w:t>is</w:t>
      </w:r>
      <w:r w:rsidR="00471188">
        <w:rPr>
          <w:rFonts w:ascii="Times New Roman" w:hAnsi="Times New Roman"/>
          <w:sz w:val="24"/>
          <w:szCs w:val="24"/>
        </w:rPr>
        <w:t xml:space="preserve"> counter to the Government’s policy of increasing</w:t>
      </w:r>
      <w:r w:rsidR="00471188" w:rsidRPr="008533B0">
        <w:rPr>
          <w:rFonts w:ascii="Times New Roman" w:hAnsi="Times New Roman"/>
          <w:sz w:val="24"/>
          <w:szCs w:val="24"/>
        </w:rPr>
        <w:t xml:space="preserve"> efficiency in the deliver</w:t>
      </w:r>
      <w:r w:rsidR="00471188">
        <w:rPr>
          <w:rFonts w:ascii="Times New Roman" w:hAnsi="Times New Roman"/>
          <w:sz w:val="24"/>
          <w:szCs w:val="24"/>
        </w:rPr>
        <w:t>y of government services and achieving</w:t>
      </w:r>
      <w:r w:rsidR="00471188" w:rsidRPr="008533B0">
        <w:rPr>
          <w:rFonts w:ascii="Times New Roman" w:hAnsi="Times New Roman"/>
          <w:sz w:val="24"/>
          <w:szCs w:val="24"/>
        </w:rPr>
        <w:t xml:space="preserve"> cost reductions across government</w:t>
      </w:r>
      <w:r w:rsidR="00471188">
        <w:rPr>
          <w:rFonts w:ascii="Times New Roman" w:hAnsi="Times New Roman"/>
          <w:sz w:val="24"/>
          <w:szCs w:val="24"/>
        </w:rPr>
        <w:t>.</w:t>
      </w:r>
      <w:bookmarkEnd w:id="12"/>
    </w:p>
    <w:p w:rsidR="000545DC" w:rsidRPr="004342F0" w:rsidRDefault="00D943DD" w:rsidP="004342F0">
      <w:pPr>
        <w:pStyle w:val="RISheading"/>
        <w:rPr>
          <w:spacing w:val="0"/>
          <w:w w:val="100"/>
        </w:rPr>
      </w:pPr>
      <w:bookmarkStart w:id="13" w:name="_Toc244580364"/>
      <w:bookmarkStart w:id="14" w:name="_Toc244587040"/>
      <w:bookmarkStart w:id="15" w:name="_Toc244857274"/>
      <w:bookmarkStart w:id="16" w:name="_Toc244912539"/>
      <w:bookmarkStart w:id="17" w:name="_Toc244916996"/>
      <w:r w:rsidRPr="004342F0">
        <w:rPr>
          <w:spacing w:val="0"/>
          <w:w w:val="100"/>
        </w:rPr>
        <w:t>OBJECTIVES</w:t>
      </w:r>
      <w:bookmarkEnd w:id="13"/>
      <w:bookmarkEnd w:id="14"/>
      <w:bookmarkEnd w:id="15"/>
      <w:bookmarkEnd w:id="16"/>
      <w:bookmarkEnd w:id="17"/>
    </w:p>
    <w:p w:rsidR="000545DC" w:rsidRDefault="00087CD6" w:rsidP="007551FD">
      <w:pPr>
        <w:pStyle w:val="Bullet-list"/>
        <w:numPr>
          <w:ilvl w:val="0"/>
          <w:numId w:val="2"/>
        </w:numPr>
        <w:tabs>
          <w:tab w:val="num" w:pos="567"/>
        </w:tabs>
        <w:spacing w:after="0" w:line="240" w:lineRule="auto"/>
        <w:ind w:left="0" w:firstLine="0"/>
        <w:rPr>
          <w:rFonts w:ascii="Times New Roman" w:hAnsi="Times New Roman"/>
          <w:sz w:val="24"/>
          <w:szCs w:val="24"/>
        </w:rPr>
      </w:pPr>
      <w:bookmarkStart w:id="18" w:name="_Ref417304391"/>
      <w:r w:rsidRPr="00DA5BE7">
        <w:rPr>
          <w:rFonts w:ascii="Times New Roman" w:hAnsi="Times New Roman"/>
          <w:sz w:val="24"/>
          <w:szCs w:val="24"/>
        </w:rPr>
        <w:t xml:space="preserve">The key objectives </w:t>
      </w:r>
      <w:r w:rsidR="007B2D7A">
        <w:rPr>
          <w:rFonts w:ascii="Times New Roman" w:hAnsi="Times New Roman"/>
          <w:sz w:val="24"/>
          <w:szCs w:val="24"/>
        </w:rPr>
        <w:t>to facilitate</w:t>
      </w:r>
      <w:r>
        <w:rPr>
          <w:rFonts w:ascii="Times New Roman" w:hAnsi="Times New Roman"/>
          <w:sz w:val="24"/>
          <w:szCs w:val="24"/>
        </w:rPr>
        <w:t xml:space="preserve"> co</w:t>
      </w:r>
      <w:r w:rsidR="00171250">
        <w:rPr>
          <w:rFonts w:ascii="Times New Roman" w:hAnsi="Times New Roman"/>
          <w:sz w:val="24"/>
          <w:szCs w:val="24"/>
        </w:rPr>
        <w:t>-</w:t>
      </w:r>
      <w:r>
        <w:rPr>
          <w:rFonts w:ascii="Times New Roman" w:hAnsi="Times New Roman"/>
          <w:sz w:val="24"/>
          <w:szCs w:val="24"/>
        </w:rPr>
        <w:t>location</w:t>
      </w:r>
      <w:r w:rsidR="005C647B">
        <w:rPr>
          <w:rFonts w:ascii="Times New Roman" w:hAnsi="Times New Roman"/>
          <w:sz w:val="24"/>
          <w:szCs w:val="24"/>
        </w:rPr>
        <w:t xml:space="preserve"> are to</w:t>
      </w:r>
      <w:r>
        <w:rPr>
          <w:rFonts w:ascii="Times New Roman" w:hAnsi="Times New Roman"/>
          <w:sz w:val="24"/>
          <w:szCs w:val="24"/>
        </w:rPr>
        <w:t>:</w:t>
      </w:r>
      <w:bookmarkEnd w:id="18"/>
    </w:p>
    <w:p w:rsidR="00171250" w:rsidRDefault="002D0A2F" w:rsidP="007551FD">
      <w:pPr>
        <w:pStyle w:val="ListParagraph"/>
        <w:numPr>
          <w:ilvl w:val="0"/>
          <w:numId w:val="6"/>
        </w:numPr>
        <w:rPr>
          <w:rFonts w:ascii="Times New Roman" w:hAnsi="Times New Roman"/>
          <w:sz w:val="24"/>
          <w:szCs w:val="24"/>
        </w:rPr>
      </w:pPr>
      <w:r>
        <w:rPr>
          <w:rFonts w:ascii="Times New Roman" w:hAnsi="Times New Roman"/>
          <w:sz w:val="24"/>
          <w:szCs w:val="24"/>
        </w:rPr>
        <w:t>reduce the risks</w:t>
      </w:r>
      <w:r w:rsidR="00171250">
        <w:rPr>
          <w:rFonts w:ascii="Times New Roman" w:hAnsi="Times New Roman"/>
          <w:sz w:val="24"/>
          <w:szCs w:val="24"/>
        </w:rPr>
        <w:t xml:space="preserve"> </w:t>
      </w:r>
      <w:r w:rsidR="00E74837">
        <w:rPr>
          <w:rFonts w:ascii="Times New Roman" w:hAnsi="Times New Roman"/>
          <w:sz w:val="24"/>
          <w:szCs w:val="24"/>
        </w:rPr>
        <w:t>for</w:t>
      </w:r>
      <w:r w:rsidR="00171250">
        <w:rPr>
          <w:rFonts w:ascii="Times New Roman" w:hAnsi="Times New Roman"/>
          <w:sz w:val="24"/>
          <w:szCs w:val="24"/>
        </w:rPr>
        <w:t xml:space="preserve"> Inland Revenue employees </w:t>
      </w:r>
      <w:r w:rsidR="00464E3D">
        <w:rPr>
          <w:rFonts w:ascii="Times New Roman" w:hAnsi="Times New Roman"/>
          <w:sz w:val="24"/>
          <w:szCs w:val="24"/>
        </w:rPr>
        <w:t xml:space="preserve">and co-located staff from other government agencies </w:t>
      </w:r>
      <w:r w:rsidR="00171250">
        <w:rPr>
          <w:rFonts w:ascii="Times New Roman" w:hAnsi="Times New Roman"/>
          <w:sz w:val="24"/>
          <w:szCs w:val="24"/>
        </w:rPr>
        <w:t>in a co-location environment;</w:t>
      </w:r>
    </w:p>
    <w:p w:rsidR="0002720D" w:rsidRDefault="0002720D" w:rsidP="007551FD">
      <w:pPr>
        <w:pStyle w:val="ListParagraph"/>
        <w:numPr>
          <w:ilvl w:val="0"/>
          <w:numId w:val="6"/>
        </w:numPr>
        <w:rPr>
          <w:rFonts w:ascii="Times New Roman" w:hAnsi="Times New Roman"/>
          <w:sz w:val="24"/>
          <w:szCs w:val="24"/>
        </w:rPr>
      </w:pPr>
      <w:r>
        <w:rPr>
          <w:rFonts w:ascii="Times New Roman" w:hAnsi="Times New Roman"/>
          <w:sz w:val="24"/>
          <w:szCs w:val="24"/>
        </w:rPr>
        <w:t xml:space="preserve">confirm for taxpayers </w:t>
      </w:r>
      <w:r w:rsidR="002D0A2F">
        <w:rPr>
          <w:rFonts w:ascii="Times New Roman" w:hAnsi="Times New Roman"/>
          <w:sz w:val="24"/>
          <w:szCs w:val="24"/>
        </w:rPr>
        <w:t>secrecy</w:t>
      </w:r>
      <w:r>
        <w:rPr>
          <w:rFonts w:ascii="Times New Roman" w:hAnsi="Times New Roman"/>
          <w:sz w:val="24"/>
          <w:szCs w:val="24"/>
        </w:rPr>
        <w:t xml:space="preserve"> will be </w:t>
      </w:r>
      <w:r w:rsidR="00FC13BA">
        <w:rPr>
          <w:rFonts w:ascii="Times New Roman" w:hAnsi="Times New Roman"/>
          <w:sz w:val="24"/>
          <w:szCs w:val="24"/>
        </w:rPr>
        <w:t>maintained</w:t>
      </w:r>
      <w:r>
        <w:rPr>
          <w:rFonts w:ascii="Times New Roman" w:hAnsi="Times New Roman"/>
          <w:sz w:val="24"/>
          <w:szCs w:val="24"/>
        </w:rPr>
        <w:t xml:space="preserve"> in a co-location environment</w:t>
      </w:r>
      <w:r w:rsidR="00FC13BA">
        <w:rPr>
          <w:rFonts w:ascii="Times New Roman" w:hAnsi="Times New Roman"/>
          <w:sz w:val="24"/>
          <w:szCs w:val="24"/>
        </w:rPr>
        <w:t xml:space="preserve"> (bearing in mind the importance of taxpayer secrecy in the administration of the tax system)</w:t>
      </w:r>
      <w:r>
        <w:rPr>
          <w:rFonts w:ascii="Times New Roman" w:hAnsi="Times New Roman"/>
          <w:sz w:val="24"/>
          <w:szCs w:val="24"/>
        </w:rPr>
        <w:t>; and</w:t>
      </w:r>
    </w:p>
    <w:p w:rsidR="00087CD6" w:rsidRDefault="00087CD6" w:rsidP="007551FD">
      <w:pPr>
        <w:pStyle w:val="ListParagraph"/>
        <w:numPr>
          <w:ilvl w:val="0"/>
          <w:numId w:val="6"/>
        </w:numPr>
        <w:rPr>
          <w:rFonts w:ascii="Times New Roman" w:hAnsi="Times New Roman"/>
          <w:sz w:val="24"/>
          <w:szCs w:val="24"/>
        </w:rPr>
      </w:pPr>
      <w:proofErr w:type="gramStart"/>
      <w:r>
        <w:rPr>
          <w:rFonts w:ascii="Times New Roman" w:hAnsi="Times New Roman"/>
          <w:sz w:val="24"/>
          <w:szCs w:val="24"/>
        </w:rPr>
        <w:t>enable</w:t>
      </w:r>
      <w:proofErr w:type="gramEnd"/>
      <w:r>
        <w:rPr>
          <w:rFonts w:ascii="Times New Roman" w:hAnsi="Times New Roman"/>
          <w:sz w:val="24"/>
          <w:szCs w:val="24"/>
        </w:rPr>
        <w:t xml:space="preserve"> Inland Revenue to deliver </w:t>
      </w:r>
      <w:r w:rsidR="00171250">
        <w:rPr>
          <w:rFonts w:ascii="Times New Roman" w:hAnsi="Times New Roman"/>
          <w:sz w:val="24"/>
          <w:szCs w:val="24"/>
        </w:rPr>
        <w:t>better</w:t>
      </w:r>
      <w:r>
        <w:rPr>
          <w:rFonts w:ascii="Times New Roman" w:hAnsi="Times New Roman"/>
          <w:sz w:val="24"/>
          <w:szCs w:val="24"/>
        </w:rPr>
        <w:t xml:space="preserve"> public services</w:t>
      </w:r>
      <w:r w:rsidR="00171250">
        <w:rPr>
          <w:rFonts w:ascii="Times New Roman" w:hAnsi="Times New Roman"/>
          <w:sz w:val="24"/>
          <w:szCs w:val="24"/>
        </w:rPr>
        <w:t xml:space="preserve"> in an efficient manner without imposing significant additional administrative costs</w:t>
      </w:r>
      <w:r w:rsidR="0002720D">
        <w:rPr>
          <w:rFonts w:ascii="Times New Roman" w:hAnsi="Times New Roman"/>
          <w:sz w:val="24"/>
          <w:szCs w:val="24"/>
        </w:rPr>
        <w:t>.</w:t>
      </w:r>
    </w:p>
    <w:p w:rsidR="00087CD6" w:rsidRDefault="00087CD6" w:rsidP="00087CD6">
      <w:pPr>
        <w:pStyle w:val="ListParagraph"/>
        <w:rPr>
          <w:rFonts w:ascii="Times New Roman" w:hAnsi="Times New Roman"/>
          <w:sz w:val="24"/>
          <w:szCs w:val="24"/>
        </w:rPr>
      </w:pPr>
    </w:p>
    <w:p w:rsidR="00320A3C" w:rsidRPr="004342F0" w:rsidRDefault="00D943DD" w:rsidP="004342F0">
      <w:pPr>
        <w:pStyle w:val="RISheading"/>
        <w:rPr>
          <w:spacing w:val="0"/>
          <w:w w:val="100"/>
        </w:rPr>
      </w:pPr>
      <w:bookmarkStart w:id="19" w:name="_Toc244580365"/>
      <w:bookmarkStart w:id="20" w:name="_Toc244587041"/>
      <w:bookmarkStart w:id="21" w:name="_Toc244857275"/>
      <w:bookmarkStart w:id="22" w:name="_Toc244912540"/>
      <w:bookmarkStart w:id="23" w:name="_Toc244916997"/>
      <w:r w:rsidRPr="004342F0">
        <w:rPr>
          <w:spacing w:val="0"/>
          <w:w w:val="100"/>
        </w:rPr>
        <w:t>REGULATORY IMPACT ANALYSIS</w:t>
      </w:r>
      <w:bookmarkEnd w:id="19"/>
      <w:bookmarkEnd w:id="20"/>
      <w:bookmarkEnd w:id="21"/>
      <w:bookmarkEnd w:id="22"/>
      <w:bookmarkEnd w:id="23"/>
      <w:r w:rsidRPr="004342F0">
        <w:rPr>
          <w:spacing w:val="0"/>
          <w:w w:val="100"/>
        </w:rPr>
        <w:t xml:space="preserve"> </w:t>
      </w:r>
    </w:p>
    <w:p w:rsidR="00A2485E" w:rsidRDefault="007636FF" w:rsidP="007551FD">
      <w:pPr>
        <w:pStyle w:val="Bullet-list"/>
        <w:numPr>
          <w:ilvl w:val="0"/>
          <w:numId w:val="2"/>
        </w:numPr>
        <w:tabs>
          <w:tab w:val="num" w:pos="567"/>
        </w:tabs>
        <w:spacing w:after="0" w:line="240" w:lineRule="auto"/>
        <w:ind w:left="0" w:firstLine="0"/>
        <w:rPr>
          <w:rFonts w:ascii="Times New Roman" w:hAnsi="Times New Roman"/>
          <w:sz w:val="24"/>
          <w:szCs w:val="24"/>
        </w:rPr>
      </w:pPr>
      <w:r>
        <w:rPr>
          <w:rFonts w:ascii="Times New Roman" w:hAnsi="Times New Roman"/>
          <w:sz w:val="24"/>
          <w:szCs w:val="24"/>
        </w:rPr>
        <w:t>Four</w:t>
      </w:r>
      <w:r w:rsidR="00A2485E" w:rsidRPr="00A2485E">
        <w:rPr>
          <w:rFonts w:ascii="Times New Roman" w:hAnsi="Times New Roman"/>
          <w:sz w:val="24"/>
          <w:szCs w:val="24"/>
        </w:rPr>
        <w:t xml:space="preserve"> broad options and the status quo (option </w:t>
      </w:r>
      <w:r>
        <w:rPr>
          <w:rFonts w:ascii="Times New Roman" w:hAnsi="Times New Roman"/>
          <w:sz w:val="24"/>
          <w:szCs w:val="24"/>
        </w:rPr>
        <w:t>5</w:t>
      </w:r>
      <w:r w:rsidR="00A2485E" w:rsidRPr="00A2485E">
        <w:rPr>
          <w:rFonts w:ascii="Times New Roman" w:hAnsi="Times New Roman"/>
          <w:sz w:val="24"/>
          <w:szCs w:val="24"/>
        </w:rPr>
        <w:t>) have been considered for addressing the problems and achieving the stated objectives.  These options are:</w:t>
      </w:r>
    </w:p>
    <w:p w:rsidR="00A2485E" w:rsidRDefault="00A2485E" w:rsidP="00A2485E">
      <w:pPr>
        <w:pStyle w:val="Bullet-list"/>
        <w:spacing w:after="0" w:line="240" w:lineRule="auto"/>
        <w:rPr>
          <w:rFonts w:ascii="Times New Roman" w:hAnsi="Times New Roman"/>
          <w:sz w:val="24"/>
          <w:szCs w:val="24"/>
        </w:rPr>
      </w:pPr>
    </w:p>
    <w:p w:rsidR="00A2485E" w:rsidRDefault="00A2485E" w:rsidP="007551FD">
      <w:pPr>
        <w:pStyle w:val="ListParagraph"/>
        <w:numPr>
          <w:ilvl w:val="0"/>
          <w:numId w:val="7"/>
        </w:numPr>
        <w:rPr>
          <w:rFonts w:ascii="Times New Roman" w:hAnsi="Times New Roman"/>
          <w:sz w:val="24"/>
          <w:szCs w:val="24"/>
        </w:rPr>
      </w:pPr>
      <w:r w:rsidRPr="00480310">
        <w:rPr>
          <w:rFonts w:ascii="Times New Roman" w:hAnsi="Times New Roman"/>
          <w:b/>
          <w:sz w:val="24"/>
          <w:szCs w:val="24"/>
        </w:rPr>
        <w:t xml:space="preserve">Option </w:t>
      </w:r>
      <w:r w:rsidR="00480310" w:rsidRPr="00480310">
        <w:rPr>
          <w:rFonts w:ascii="Times New Roman" w:hAnsi="Times New Roman"/>
          <w:b/>
          <w:sz w:val="24"/>
          <w:szCs w:val="24"/>
        </w:rPr>
        <w:t>1</w:t>
      </w:r>
      <w:r w:rsidRPr="00480310">
        <w:rPr>
          <w:rFonts w:ascii="Times New Roman" w:hAnsi="Times New Roman"/>
          <w:b/>
          <w:sz w:val="24"/>
          <w:szCs w:val="24"/>
        </w:rPr>
        <w:t>:</w:t>
      </w:r>
      <w:r w:rsidRPr="00A2485E">
        <w:rPr>
          <w:rFonts w:ascii="Times New Roman" w:hAnsi="Times New Roman"/>
          <w:sz w:val="24"/>
          <w:szCs w:val="24"/>
        </w:rPr>
        <w:t xml:space="preserve"> </w:t>
      </w:r>
      <w:r>
        <w:rPr>
          <w:rFonts w:ascii="Times New Roman" w:hAnsi="Times New Roman"/>
          <w:sz w:val="24"/>
          <w:szCs w:val="24"/>
        </w:rPr>
        <w:t xml:space="preserve">lowering the overall secrecy standard in </w:t>
      </w:r>
      <w:r w:rsidR="002B5E97">
        <w:rPr>
          <w:rFonts w:ascii="Times New Roman" w:hAnsi="Times New Roman"/>
          <w:sz w:val="24"/>
          <w:szCs w:val="24"/>
        </w:rPr>
        <w:t xml:space="preserve">section 6 of </w:t>
      </w:r>
      <w:r>
        <w:rPr>
          <w:rFonts w:ascii="Times New Roman" w:hAnsi="Times New Roman"/>
          <w:sz w:val="24"/>
          <w:szCs w:val="24"/>
        </w:rPr>
        <w:t xml:space="preserve">the </w:t>
      </w:r>
      <w:r w:rsidR="002B5E97">
        <w:rPr>
          <w:rFonts w:ascii="Times New Roman" w:hAnsi="Times New Roman"/>
          <w:sz w:val="24"/>
          <w:szCs w:val="24"/>
        </w:rPr>
        <w:t>TAA</w:t>
      </w:r>
      <w:r>
        <w:rPr>
          <w:rFonts w:ascii="Times New Roman" w:hAnsi="Times New Roman"/>
          <w:sz w:val="24"/>
          <w:szCs w:val="24"/>
        </w:rPr>
        <w:t xml:space="preserve"> to </w:t>
      </w:r>
      <w:r w:rsidR="00B42FF9">
        <w:rPr>
          <w:rFonts w:ascii="Times New Roman" w:hAnsi="Times New Roman"/>
          <w:sz w:val="24"/>
          <w:szCs w:val="24"/>
        </w:rPr>
        <w:t>reduce</w:t>
      </w:r>
      <w:r>
        <w:rPr>
          <w:rFonts w:ascii="Times New Roman" w:hAnsi="Times New Roman"/>
          <w:sz w:val="24"/>
          <w:szCs w:val="24"/>
        </w:rPr>
        <w:t xml:space="preserve"> the risks from co-locating with other government agencies</w:t>
      </w:r>
      <w:r w:rsidR="00480310">
        <w:rPr>
          <w:rFonts w:ascii="Times New Roman" w:hAnsi="Times New Roman"/>
          <w:sz w:val="24"/>
          <w:szCs w:val="24"/>
        </w:rPr>
        <w:t xml:space="preserve">.  The current standard </w:t>
      </w:r>
      <w:r w:rsidR="002B5E97">
        <w:rPr>
          <w:rFonts w:ascii="Times New Roman" w:hAnsi="Times New Roman"/>
          <w:sz w:val="24"/>
          <w:szCs w:val="24"/>
        </w:rPr>
        <w:t xml:space="preserve">in section 6 </w:t>
      </w:r>
      <w:r w:rsidR="00480310">
        <w:rPr>
          <w:rFonts w:ascii="Times New Roman" w:hAnsi="Times New Roman"/>
          <w:sz w:val="24"/>
          <w:szCs w:val="24"/>
        </w:rPr>
        <w:t>for Inl</w:t>
      </w:r>
      <w:r w:rsidR="00CB245C">
        <w:rPr>
          <w:rFonts w:ascii="Times New Roman" w:hAnsi="Times New Roman"/>
          <w:sz w:val="24"/>
          <w:szCs w:val="24"/>
        </w:rPr>
        <w:t xml:space="preserve">and Revenue officers </w:t>
      </w:r>
      <w:r w:rsidR="00480310">
        <w:rPr>
          <w:rFonts w:ascii="Times New Roman" w:hAnsi="Times New Roman"/>
          <w:sz w:val="24"/>
          <w:szCs w:val="24"/>
        </w:rPr>
        <w:t>to use “best endeavours” to protect the integrity of the tax system (including ensuring the individual affairs of taxpayers are kept confidential)</w:t>
      </w:r>
      <w:r w:rsidR="00CB245C">
        <w:rPr>
          <w:rFonts w:ascii="Times New Roman" w:hAnsi="Times New Roman"/>
          <w:sz w:val="24"/>
          <w:szCs w:val="24"/>
        </w:rPr>
        <w:t xml:space="preserve"> </w:t>
      </w:r>
      <w:r w:rsidR="00480310">
        <w:rPr>
          <w:rFonts w:ascii="Times New Roman" w:hAnsi="Times New Roman"/>
          <w:sz w:val="24"/>
          <w:szCs w:val="24"/>
        </w:rPr>
        <w:t>is a very high threshold</w:t>
      </w:r>
      <w:r w:rsidR="00CB245C">
        <w:rPr>
          <w:rFonts w:ascii="Times New Roman" w:hAnsi="Times New Roman"/>
          <w:sz w:val="24"/>
          <w:szCs w:val="24"/>
        </w:rPr>
        <w:t>.  Inland Revenue believes that lowering the general secrecy standard to “reasonable endeavours” could reduce some of the risks from co-locating</w:t>
      </w:r>
      <w:r>
        <w:rPr>
          <w:rFonts w:ascii="Times New Roman" w:hAnsi="Times New Roman"/>
          <w:sz w:val="24"/>
          <w:szCs w:val="24"/>
        </w:rPr>
        <w:t>;</w:t>
      </w:r>
    </w:p>
    <w:p w:rsidR="00315D3B" w:rsidRPr="00315D3B" w:rsidRDefault="00315D3B" w:rsidP="00315D3B">
      <w:pPr>
        <w:spacing w:after="0"/>
        <w:ind w:left="357"/>
        <w:rPr>
          <w:rFonts w:ascii="Times New Roman" w:hAnsi="Times New Roman"/>
          <w:sz w:val="20"/>
        </w:rPr>
      </w:pPr>
    </w:p>
    <w:p w:rsidR="00A2485E" w:rsidRDefault="00A2485E" w:rsidP="007551FD">
      <w:pPr>
        <w:pStyle w:val="ListParagraph"/>
        <w:numPr>
          <w:ilvl w:val="0"/>
          <w:numId w:val="7"/>
        </w:numPr>
        <w:rPr>
          <w:rFonts w:ascii="Times New Roman" w:hAnsi="Times New Roman"/>
          <w:sz w:val="24"/>
          <w:szCs w:val="24"/>
        </w:rPr>
      </w:pPr>
      <w:r w:rsidRPr="00480310">
        <w:rPr>
          <w:rFonts w:ascii="Times New Roman" w:hAnsi="Times New Roman"/>
          <w:b/>
          <w:sz w:val="24"/>
          <w:szCs w:val="24"/>
        </w:rPr>
        <w:t xml:space="preserve">Option </w:t>
      </w:r>
      <w:r w:rsidR="00480310" w:rsidRPr="00480310">
        <w:rPr>
          <w:rFonts w:ascii="Times New Roman" w:hAnsi="Times New Roman"/>
          <w:b/>
          <w:sz w:val="24"/>
          <w:szCs w:val="24"/>
        </w:rPr>
        <w:t>2</w:t>
      </w:r>
      <w:r w:rsidRPr="00480310">
        <w:rPr>
          <w:rFonts w:ascii="Times New Roman" w:hAnsi="Times New Roman"/>
          <w:b/>
          <w:sz w:val="24"/>
          <w:szCs w:val="24"/>
        </w:rPr>
        <w:t>:</w:t>
      </w:r>
      <w:r w:rsidRPr="00A2485E">
        <w:rPr>
          <w:rFonts w:ascii="Times New Roman" w:hAnsi="Times New Roman"/>
          <w:sz w:val="24"/>
          <w:szCs w:val="24"/>
        </w:rPr>
        <w:t xml:space="preserve"> </w:t>
      </w:r>
      <w:r>
        <w:rPr>
          <w:rFonts w:ascii="Times New Roman" w:hAnsi="Times New Roman"/>
          <w:sz w:val="24"/>
          <w:szCs w:val="24"/>
        </w:rPr>
        <w:t>deem the co-located staff from the other government agency to be Inland Revenue staff for the pu</w:t>
      </w:r>
      <w:r w:rsidR="00480310">
        <w:rPr>
          <w:rFonts w:ascii="Times New Roman" w:hAnsi="Times New Roman"/>
          <w:sz w:val="24"/>
          <w:szCs w:val="24"/>
        </w:rPr>
        <w:t>rposes of the secrecy provision</w:t>
      </w:r>
      <w:r w:rsidR="00CB245C">
        <w:rPr>
          <w:rFonts w:ascii="Times New Roman" w:hAnsi="Times New Roman"/>
          <w:sz w:val="24"/>
          <w:szCs w:val="24"/>
        </w:rPr>
        <w:t xml:space="preserve">.  Option 2 would apply the same secrecy requirements </w:t>
      </w:r>
      <w:r w:rsidR="005C647B">
        <w:rPr>
          <w:rFonts w:ascii="Times New Roman" w:hAnsi="Times New Roman"/>
          <w:sz w:val="24"/>
          <w:szCs w:val="24"/>
        </w:rPr>
        <w:t>to</w:t>
      </w:r>
      <w:r w:rsidR="00CB245C">
        <w:rPr>
          <w:rFonts w:ascii="Times New Roman" w:hAnsi="Times New Roman"/>
          <w:sz w:val="24"/>
          <w:szCs w:val="24"/>
        </w:rPr>
        <w:t xml:space="preserve"> the co-located staff as apply to Inland Revenue staff in Inland Revenue open-plan areas and call centres</w:t>
      </w:r>
      <w:r w:rsidR="00480310">
        <w:rPr>
          <w:rFonts w:ascii="Times New Roman" w:hAnsi="Times New Roman"/>
          <w:sz w:val="24"/>
          <w:szCs w:val="24"/>
        </w:rPr>
        <w:t>;</w:t>
      </w:r>
    </w:p>
    <w:p w:rsidR="00315D3B" w:rsidRPr="00315D3B" w:rsidRDefault="00315D3B" w:rsidP="00315D3B">
      <w:pPr>
        <w:spacing w:after="0"/>
        <w:ind w:left="357"/>
        <w:rPr>
          <w:rFonts w:ascii="Times New Roman" w:hAnsi="Times New Roman"/>
          <w:sz w:val="20"/>
        </w:rPr>
      </w:pPr>
    </w:p>
    <w:p w:rsidR="00480310" w:rsidRDefault="00480310" w:rsidP="007551FD">
      <w:pPr>
        <w:pStyle w:val="ListParagraph"/>
        <w:numPr>
          <w:ilvl w:val="0"/>
          <w:numId w:val="7"/>
        </w:numPr>
        <w:rPr>
          <w:rFonts w:ascii="Times New Roman" w:hAnsi="Times New Roman"/>
          <w:sz w:val="24"/>
          <w:szCs w:val="24"/>
        </w:rPr>
      </w:pPr>
      <w:r w:rsidRPr="00480310">
        <w:rPr>
          <w:rFonts w:ascii="Times New Roman" w:hAnsi="Times New Roman"/>
          <w:b/>
          <w:sz w:val="24"/>
          <w:szCs w:val="24"/>
        </w:rPr>
        <w:t>Option 3:</w:t>
      </w:r>
      <w:r>
        <w:rPr>
          <w:rFonts w:ascii="Times New Roman" w:hAnsi="Times New Roman"/>
          <w:sz w:val="24"/>
          <w:szCs w:val="24"/>
        </w:rPr>
        <w:t xml:space="preserve"> include a specific provision that sets out the secrecy requirements in a co-location environment</w:t>
      </w:r>
      <w:r w:rsidR="005160DC">
        <w:rPr>
          <w:rFonts w:ascii="Times New Roman" w:hAnsi="Times New Roman"/>
          <w:sz w:val="24"/>
          <w:szCs w:val="24"/>
        </w:rPr>
        <w:t xml:space="preserve">.  The specific provision </w:t>
      </w:r>
      <w:r w:rsidR="00BD36B3">
        <w:rPr>
          <w:rFonts w:ascii="Times New Roman" w:hAnsi="Times New Roman"/>
          <w:sz w:val="24"/>
          <w:szCs w:val="24"/>
        </w:rPr>
        <w:t>would mean</w:t>
      </w:r>
      <w:r w:rsidR="00BD36B3" w:rsidRPr="00BD36B3">
        <w:rPr>
          <w:rFonts w:ascii="Times New Roman" w:hAnsi="Times New Roman"/>
          <w:sz w:val="24"/>
          <w:szCs w:val="24"/>
        </w:rPr>
        <w:t xml:space="preserve"> that an Inland Revenue employee is deemed to have not breached section 81 by inadvertently disclosing tax secret information to a co-located employee of another government agency</w:t>
      </w:r>
      <w:r w:rsidR="00FB387B">
        <w:rPr>
          <w:rFonts w:ascii="Times New Roman" w:hAnsi="Times New Roman"/>
          <w:sz w:val="24"/>
          <w:szCs w:val="24"/>
        </w:rPr>
        <w:t>.  The employee from the other government agency</w:t>
      </w:r>
      <w:r w:rsidR="00BD36B3" w:rsidRPr="00BD36B3">
        <w:rPr>
          <w:rFonts w:ascii="Times New Roman" w:hAnsi="Times New Roman"/>
          <w:sz w:val="24"/>
          <w:szCs w:val="24"/>
        </w:rPr>
        <w:t xml:space="preserve"> </w:t>
      </w:r>
      <w:r w:rsidR="00FB387B">
        <w:rPr>
          <w:rFonts w:ascii="Times New Roman" w:hAnsi="Times New Roman"/>
          <w:sz w:val="24"/>
          <w:szCs w:val="24"/>
        </w:rPr>
        <w:t>will have</w:t>
      </w:r>
      <w:r w:rsidR="00BD36B3" w:rsidRPr="00BD36B3">
        <w:rPr>
          <w:rFonts w:ascii="Times New Roman" w:hAnsi="Times New Roman"/>
          <w:sz w:val="24"/>
          <w:szCs w:val="24"/>
        </w:rPr>
        <w:t xml:space="preserve"> signed a secrecy ce</w:t>
      </w:r>
      <w:r w:rsidR="00FB387B">
        <w:rPr>
          <w:rFonts w:ascii="Times New Roman" w:hAnsi="Times New Roman"/>
          <w:sz w:val="24"/>
          <w:szCs w:val="24"/>
        </w:rPr>
        <w:t>rtificate under section 87.  The specific provision will only apply when</w:t>
      </w:r>
      <w:r w:rsidR="00BD36B3" w:rsidRPr="00BD36B3">
        <w:rPr>
          <w:rFonts w:ascii="Times New Roman" w:hAnsi="Times New Roman"/>
          <w:sz w:val="24"/>
          <w:szCs w:val="24"/>
        </w:rPr>
        <w:t xml:space="preserve"> the Commissioner </w:t>
      </w:r>
      <w:r w:rsidR="00AB49AE">
        <w:rPr>
          <w:rFonts w:ascii="Times New Roman" w:hAnsi="Times New Roman"/>
          <w:sz w:val="24"/>
          <w:szCs w:val="24"/>
        </w:rPr>
        <w:t xml:space="preserve">of Inland Revenue </w:t>
      </w:r>
      <w:r w:rsidR="00BD36B3" w:rsidRPr="00BD36B3">
        <w:rPr>
          <w:rFonts w:ascii="Times New Roman" w:hAnsi="Times New Roman"/>
          <w:sz w:val="24"/>
          <w:szCs w:val="24"/>
        </w:rPr>
        <w:t xml:space="preserve">considers that the risk of communication is consistent with her obligation at all times to use best endeavours to protect </w:t>
      </w:r>
      <w:r w:rsidR="00BD36B3">
        <w:rPr>
          <w:rFonts w:ascii="Times New Roman" w:hAnsi="Times New Roman"/>
          <w:sz w:val="24"/>
          <w:szCs w:val="24"/>
        </w:rPr>
        <w:t>the integrity of the tax system</w:t>
      </w:r>
      <w:r>
        <w:rPr>
          <w:rFonts w:ascii="Times New Roman" w:hAnsi="Times New Roman"/>
          <w:sz w:val="24"/>
          <w:szCs w:val="24"/>
        </w:rPr>
        <w:t>;</w:t>
      </w:r>
    </w:p>
    <w:p w:rsidR="00315D3B" w:rsidRPr="00EA4859" w:rsidRDefault="00315D3B" w:rsidP="00EA4859">
      <w:pPr>
        <w:spacing w:after="0"/>
        <w:ind w:left="357"/>
        <w:rPr>
          <w:rFonts w:ascii="Times New Roman" w:hAnsi="Times New Roman"/>
          <w:sz w:val="24"/>
          <w:szCs w:val="24"/>
        </w:rPr>
      </w:pPr>
    </w:p>
    <w:p w:rsidR="007636FF" w:rsidRDefault="007636FF" w:rsidP="007636FF">
      <w:pPr>
        <w:pStyle w:val="ListParagraph"/>
        <w:numPr>
          <w:ilvl w:val="0"/>
          <w:numId w:val="7"/>
        </w:numPr>
        <w:rPr>
          <w:rFonts w:ascii="Times New Roman" w:hAnsi="Times New Roman"/>
          <w:sz w:val="24"/>
          <w:szCs w:val="24"/>
        </w:rPr>
      </w:pPr>
      <w:r w:rsidRPr="007636FF">
        <w:rPr>
          <w:rFonts w:ascii="Times New Roman" w:hAnsi="Times New Roman"/>
          <w:b/>
          <w:sz w:val="24"/>
          <w:szCs w:val="24"/>
        </w:rPr>
        <w:t>Option 4</w:t>
      </w:r>
      <w:r w:rsidR="00FB387B">
        <w:rPr>
          <w:rFonts w:ascii="Times New Roman" w:hAnsi="Times New Roman"/>
          <w:b/>
          <w:sz w:val="24"/>
          <w:szCs w:val="24"/>
        </w:rPr>
        <w:t xml:space="preserve"> (preferred option)</w:t>
      </w:r>
      <w:r w:rsidRPr="007636FF">
        <w:rPr>
          <w:rFonts w:ascii="Times New Roman" w:hAnsi="Times New Roman"/>
          <w:b/>
          <w:sz w:val="24"/>
          <w:szCs w:val="24"/>
        </w:rPr>
        <w:t xml:space="preserve">: </w:t>
      </w:r>
      <w:r w:rsidRPr="007636FF">
        <w:rPr>
          <w:rFonts w:ascii="Times New Roman" w:hAnsi="Times New Roman"/>
          <w:sz w:val="24"/>
          <w:szCs w:val="24"/>
        </w:rPr>
        <w:t xml:space="preserve">include a general provision for communications by Inland Revenue employees </w:t>
      </w:r>
      <w:r>
        <w:rPr>
          <w:rFonts w:ascii="Times New Roman" w:hAnsi="Times New Roman"/>
          <w:sz w:val="24"/>
          <w:szCs w:val="24"/>
        </w:rPr>
        <w:t>where</w:t>
      </w:r>
      <w:r w:rsidRPr="007636FF">
        <w:rPr>
          <w:rFonts w:ascii="Times New Roman" w:hAnsi="Times New Roman"/>
          <w:sz w:val="24"/>
          <w:szCs w:val="24"/>
        </w:rPr>
        <w:t xml:space="preserve"> the Commissioner </w:t>
      </w:r>
      <w:r w:rsidR="00AB49AE">
        <w:rPr>
          <w:rFonts w:ascii="Times New Roman" w:hAnsi="Times New Roman"/>
          <w:sz w:val="24"/>
          <w:szCs w:val="24"/>
        </w:rPr>
        <w:t xml:space="preserve">of Inland Revenue </w:t>
      </w:r>
      <w:r w:rsidRPr="007636FF">
        <w:rPr>
          <w:rFonts w:ascii="Times New Roman" w:hAnsi="Times New Roman"/>
          <w:sz w:val="24"/>
          <w:szCs w:val="24"/>
        </w:rPr>
        <w:t>expects</w:t>
      </w:r>
      <w:r>
        <w:rPr>
          <w:rFonts w:ascii="Times New Roman" w:hAnsi="Times New Roman"/>
          <w:sz w:val="24"/>
          <w:szCs w:val="24"/>
        </w:rPr>
        <w:t xml:space="preserve"> them</w:t>
      </w:r>
      <w:r w:rsidRPr="007636FF">
        <w:rPr>
          <w:rFonts w:ascii="Times New Roman" w:hAnsi="Times New Roman"/>
          <w:sz w:val="24"/>
          <w:szCs w:val="24"/>
        </w:rPr>
        <w:t xml:space="preserve"> to perform their duties</w:t>
      </w:r>
      <w:r>
        <w:rPr>
          <w:rFonts w:ascii="Times New Roman" w:hAnsi="Times New Roman"/>
          <w:sz w:val="24"/>
          <w:szCs w:val="24"/>
        </w:rPr>
        <w:t xml:space="preserve">.  The employee will not breach the secrecy provision in those circumstances if the employee communicates the information unintentionally to an employee of Inland Revenue or </w:t>
      </w:r>
      <w:r w:rsidR="00A9382E">
        <w:rPr>
          <w:rFonts w:ascii="Times New Roman" w:hAnsi="Times New Roman"/>
          <w:sz w:val="24"/>
          <w:szCs w:val="24"/>
        </w:rPr>
        <w:t xml:space="preserve">an employee of </w:t>
      </w:r>
      <w:r>
        <w:rPr>
          <w:rFonts w:ascii="Times New Roman" w:hAnsi="Times New Roman"/>
          <w:sz w:val="24"/>
          <w:szCs w:val="24"/>
        </w:rPr>
        <w:t>another state agency</w:t>
      </w:r>
      <w:r w:rsidR="00A9382E">
        <w:rPr>
          <w:rFonts w:ascii="Times New Roman" w:hAnsi="Times New Roman"/>
          <w:sz w:val="24"/>
          <w:szCs w:val="24"/>
        </w:rPr>
        <w:t xml:space="preserve"> subject to section 87 of the TAA</w:t>
      </w:r>
      <w:r w:rsidR="00EA4859">
        <w:rPr>
          <w:rFonts w:ascii="Times New Roman" w:hAnsi="Times New Roman"/>
          <w:sz w:val="24"/>
          <w:szCs w:val="24"/>
        </w:rPr>
        <w:t>;</w:t>
      </w:r>
    </w:p>
    <w:p w:rsidR="00EA4859" w:rsidRPr="00EA4859" w:rsidRDefault="00EA4859" w:rsidP="00EA4859">
      <w:pPr>
        <w:spacing w:after="0"/>
        <w:ind w:left="357"/>
        <w:rPr>
          <w:rFonts w:ascii="Times New Roman" w:hAnsi="Times New Roman"/>
          <w:sz w:val="24"/>
          <w:szCs w:val="24"/>
        </w:rPr>
      </w:pPr>
    </w:p>
    <w:p w:rsidR="00480310" w:rsidRPr="00480310" w:rsidRDefault="00480310" w:rsidP="007551FD">
      <w:pPr>
        <w:pStyle w:val="ListParagraph"/>
        <w:numPr>
          <w:ilvl w:val="0"/>
          <w:numId w:val="7"/>
        </w:numPr>
        <w:rPr>
          <w:rFonts w:ascii="Times New Roman" w:hAnsi="Times New Roman"/>
          <w:b/>
          <w:sz w:val="24"/>
          <w:szCs w:val="24"/>
        </w:rPr>
      </w:pPr>
      <w:r w:rsidRPr="00480310">
        <w:rPr>
          <w:rFonts w:ascii="Times New Roman" w:hAnsi="Times New Roman"/>
          <w:b/>
          <w:sz w:val="24"/>
          <w:szCs w:val="24"/>
        </w:rPr>
        <w:t xml:space="preserve">Option </w:t>
      </w:r>
      <w:r w:rsidR="007636FF">
        <w:rPr>
          <w:rFonts w:ascii="Times New Roman" w:hAnsi="Times New Roman"/>
          <w:b/>
          <w:sz w:val="24"/>
          <w:szCs w:val="24"/>
        </w:rPr>
        <w:t>5</w:t>
      </w:r>
      <w:r w:rsidRPr="00480310">
        <w:rPr>
          <w:rFonts w:ascii="Times New Roman" w:hAnsi="Times New Roman"/>
          <w:b/>
          <w:sz w:val="24"/>
          <w:szCs w:val="24"/>
        </w:rPr>
        <w:t xml:space="preserve">: </w:t>
      </w:r>
      <w:r>
        <w:rPr>
          <w:rFonts w:ascii="Times New Roman" w:hAnsi="Times New Roman"/>
          <w:sz w:val="24"/>
          <w:szCs w:val="24"/>
        </w:rPr>
        <w:t>maintain</w:t>
      </w:r>
      <w:r w:rsidRPr="00480310">
        <w:rPr>
          <w:rFonts w:ascii="Times New Roman" w:hAnsi="Times New Roman"/>
          <w:sz w:val="24"/>
          <w:szCs w:val="24"/>
        </w:rPr>
        <w:t xml:space="preserve"> the sta</w:t>
      </w:r>
      <w:r>
        <w:rPr>
          <w:rFonts w:ascii="Times New Roman" w:hAnsi="Times New Roman"/>
          <w:sz w:val="24"/>
          <w:szCs w:val="24"/>
        </w:rPr>
        <w:t>t</w:t>
      </w:r>
      <w:r w:rsidRPr="00480310">
        <w:rPr>
          <w:rFonts w:ascii="Times New Roman" w:hAnsi="Times New Roman"/>
          <w:sz w:val="24"/>
          <w:szCs w:val="24"/>
        </w:rPr>
        <w:t>us quo.</w:t>
      </w:r>
    </w:p>
    <w:p w:rsidR="00480310" w:rsidRPr="00480310" w:rsidRDefault="00480310" w:rsidP="00480310">
      <w:pPr>
        <w:rPr>
          <w:rFonts w:ascii="Times New Roman" w:hAnsi="Times New Roman"/>
          <w:b/>
          <w:sz w:val="24"/>
          <w:szCs w:val="24"/>
        </w:rPr>
      </w:pPr>
    </w:p>
    <w:p w:rsidR="00FC43D1" w:rsidRPr="004342F0" w:rsidRDefault="00480310" w:rsidP="007551FD">
      <w:pPr>
        <w:pStyle w:val="Bullet-list"/>
        <w:numPr>
          <w:ilvl w:val="0"/>
          <w:numId w:val="2"/>
        </w:numPr>
        <w:tabs>
          <w:tab w:val="num" w:pos="567"/>
        </w:tabs>
        <w:spacing w:after="0" w:line="240" w:lineRule="auto"/>
        <w:ind w:left="0" w:firstLine="0"/>
        <w:rPr>
          <w:rFonts w:ascii="Times New Roman" w:hAnsi="Times New Roman"/>
          <w:sz w:val="24"/>
          <w:szCs w:val="24"/>
        </w:rPr>
      </w:pPr>
      <w:r w:rsidRPr="00480310">
        <w:rPr>
          <w:rFonts w:ascii="Times New Roman" w:hAnsi="Times New Roman"/>
          <w:sz w:val="24"/>
          <w:szCs w:val="24"/>
        </w:rPr>
        <w:lastRenderedPageBreak/>
        <w:t xml:space="preserve">The impacts of options </w:t>
      </w:r>
      <w:r w:rsidR="00CB245C">
        <w:rPr>
          <w:rFonts w:ascii="Times New Roman" w:hAnsi="Times New Roman"/>
          <w:sz w:val="24"/>
          <w:szCs w:val="24"/>
        </w:rPr>
        <w:t>1</w:t>
      </w:r>
      <w:r w:rsidRPr="00480310">
        <w:rPr>
          <w:rFonts w:ascii="Times New Roman" w:hAnsi="Times New Roman"/>
          <w:sz w:val="24"/>
          <w:szCs w:val="24"/>
        </w:rPr>
        <w:t xml:space="preserve"> to </w:t>
      </w:r>
      <w:r w:rsidR="007636FF">
        <w:rPr>
          <w:rFonts w:ascii="Times New Roman" w:hAnsi="Times New Roman"/>
          <w:sz w:val="24"/>
          <w:szCs w:val="24"/>
        </w:rPr>
        <w:t>4</w:t>
      </w:r>
      <w:r w:rsidRPr="00480310">
        <w:rPr>
          <w:rFonts w:ascii="Times New Roman" w:hAnsi="Times New Roman"/>
          <w:sz w:val="24"/>
          <w:szCs w:val="24"/>
        </w:rPr>
        <w:t xml:space="preserve"> and the status quo option, and whether they meet the objectives in paragraph </w:t>
      </w:r>
      <w:r w:rsidR="00CB245C">
        <w:rPr>
          <w:rFonts w:ascii="Times New Roman" w:hAnsi="Times New Roman"/>
          <w:sz w:val="24"/>
          <w:szCs w:val="24"/>
        </w:rPr>
        <w:fldChar w:fldCharType="begin"/>
      </w:r>
      <w:r w:rsidR="00CB245C">
        <w:rPr>
          <w:rFonts w:ascii="Times New Roman" w:hAnsi="Times New Roman"/>
          <w:sz w:val="24"/>
          <w:szCs w:val="24"/>
        </w:rPr>
        <w:instrText xml:space="preserve"> REF _Ref417304391 \r \h </w:instrText>
      </w:r>
      <w:r w:rsidR="00CB245C">
        <w:rPr>
          <w:rFonts w:ascii="Times New Roman" w:hAnsi="Times New Roman"/>
          <w:sz w:val="24"/>
          <w:szCs w:val="24"/>
        </w:rPr>
      </w:r>
      <w:r w:rsidR="00CB245C">
        <w:rPr>
          <w:rFonts w:ascii="Times New Roman" w:hAnsi="Times New Roman"/>
          <w:sz w:val="24"/>
          <w:szCs w:val="24"/>
        </w:rPr>
        <w:fldChar w:fldCharType="separate"/>
      </w:r>
      <w:r w:rsidR="00296297">
        <w:rPr>
          <w:rFonts w:ascii="Times New Roman" w:hAnsi="Times New Roman"/>
          <w:sz w:val="24"/>
          <w:szCs w:val="24"/>
        </w:rPr>
        <w:t>7</w:t>
      </w:r>
      <w:r w:rsidR="00CB245C">
        <w:rPr>
          <w:rFonts w:ascii="Times New Roman" w:hAnsi="Times New Roman"/>
          <w:sz w:val="24"/>
          <w:szCs w:val="24"/>
        </w:rPr>
        <w:fldChar w:fldCharType="end"/>
      </w:r>
      <w:r w:rsidRPr="00480310">
        <w:rPr>
          <w:rFonts w:ascii="Times New Roman" w:hAnsi="Times New Roman"/>
          <w:sz w:val="24"/>
          <w:szCs w:val="24"/>
        </w:rPr>
        <w:t>, are summarised in the table below.</w:t>
      </w:r>
    </w:p>
    <w:p w:rsidR="000B2A05" w:rsidRDefault="000B2A05">
      <w:pPr>
        <w:spacing w:after="0" w:line="240" w:lineRule="auto"/>
        <w:rPr>
          <w:rFonts w:ascii="Times New Roman" w:hAnsi="Times New Roman"/>
          <w:sz w:val="24"/>
          <w:szCs w:val="24"/>
          <w:lang w:val="en-AU" w:eastAsia="en-AU"/>
        </w:rPr>
        <w:sectPr w:rsidR="000B2A05" w:rsidSect="006474EE">
          <w:footerReference w:type="even" r:id="rId8"/>
          <w:footerReference w:type="default" r:id="rId9"/>
          <w:pgSz w:w="11907" w:h="16840" w:code="9"/>
          <w:pgMar w:top="1134" w:right="1418" w:bottom="1134" w:left="1418" w:header="567" w:footer="567" w:gutter="0"/>
          <w:pgNumType w:start="1"/>
          <w:cols w:space="720"/>
          <w:docGrid w:linePitch="360"/>
        </w:sectPr>
      </w:pPr>
      <w:bookmarkStart w:id="24" w:name="_Toc244580366"/>
      <w:bookmarkStart w:id="25" w:name="_Toc244587042"/>
      <w:bookmarkStart w:id="26" w:name="_Toc244857276"/>
      <w:bookmarkStart w:id="27" w:name="_Toc244912541"/>
      <w:bookmarkStart w:id="28" w:name="_Toc244916998"/>
    </w:p>
    <w:p w:rsidR="000B2A05" w:rsidRDefault="000B2A05">
      <w:pPr>
        <w:spacing w:after="0" w:line="240" w:lineRule="auto"/>
        <w:rPr>
          <w:rFonts w:ascii="Times New Roman" w:hAnsi="Times New Roman"/>
          <w:sz w:val="24"/>
          <w:szCs w:val="24"/>
          <w:lang w:val="en-AU" w:eastAsia="en-AU"/>
        </w:rPr>
      </w:pPr>
    </w:p>
    <w:p w:rsidR="00D943DD" w:rsidRDefault="00D943DD" w:rsidP="004342F0">
      <w:pPr>
        <w:pStyle w:val="spacer"/>
        <w:rPr>
          <w:rFonts w:ascii="Times New Roman" w:hAnsi="Times New Roman"/>
          <w:sz w:val="24"/>
          <w:szCs w:val="24"/>
          <w:lang w:val="en-AU"/>
        </w:rPr>
      </w:pPr>
    </w:p>
    <w:tbl>
      <w:tblPr>
        <w:tblStyle w:val="TableGrid2"/>
        <w:tblW w:w="0" w:type="auto"/>
        <w:tblInd w:w="-176" w:type="dxa"/>
        <w:tblLayout w:type="fixed"/>
        <w:tblLook w:val="04A0" w:firstRow="1" w:lastRow="0" w:firstColumn="1" w:lastColumn="0" w:noHBand="0" w:noVBand="1"/>
      </w:tblPr>
      <w:tblGrid>
        <w:gridCol w:w="1277"/>
        <w:gridCol w:w="1090"/>
        <w:gridCol w:w="1178"/>
        <w:gridCol w:w="2693"/>
        <w:gridCol w:w="2693"/>
        <w:gridCol w:w="2693"/>
        <w:gridCol w:w="2127"/>
      </w:tblGrid>
      <w:tr w:rsidR="00CB77B9" w:rsidRPr="000B2A05" w:rsidTr="003E6699">
        <w:trPr>
          <w:gridAfter w:val="5"/>
          <w:wAfter w:w="11384" w:type="dxa"/>
          <w:trHeight w:val="240"/>
        </w:trPr>
        <w:tc>
          <w:tcPr>
            <w:tcW w:w="1277" w:type="dxa"/>
            <w:vMerge w:val="restart"/>
            <w:vAlign w:val="center"/>
          </w:tcPr>
          <w:p w:rsidR="00CB77B9" w:rsidRPr="000B2A05" w:rsidRDefault="00CB77B9" w:rsidP="000B2A05">
            <w:pPr>
              <w:spacing w:after="0" w:line="240" w:lineRule="auto"/>
              <w:jc w:val="both"/>
              <w:rPr>
                <w:rFonts w:ascii="Times New Roman" w:hAnsi="Times New Roman"/>
                <w:b/>
                <w:i/>
                <w:sz w:val="20"/>
                <w:lang w:eastAsia="en-US"/>
              </w:rPr>
            </w:pPr>
            <w:r w:rsidRPr="000B2A05">
              <w:rPr>
                <w:rFonts w:ascii="Times New Roman" w:hAnsi="Times New Roman"/>
                <w:b/>
                <w:i/>
                <w:sz w:val="20"/>
                <w:lang w:eastAsia="en-US"/>
              </w:rPr>
              <w:t>Option</w:t>
            </w:r>
          </w:p>
        </w:tc>
        <w:tc>
          <w:tcPr>
            <w:tcW w:w="1090" w:type="dxa"/>
            <w:vMerge w:val="restart"/>
            <w:vAlign w:val="center"/>
          </w:tcPr>
          <w:p w:rsidR="00CB77B9" w:rsidRPr="000B2A05" w:rsidRDefault="00CB77B9" w:rsidP="000B2A05">
            <w:pPr>
              <w:spacing w:after="0" w:line="240" w:lineRule="auto"/>
              <w:jc w:val="both"/>
              <w:rPr>
                <w:rFonts w:ascii="Times New Roman" w:hAnsi="Times New Roman"/>
                <w:b/>
                <w:i/>
                <w:sz w:val="20"/>
                <w:lang w:eastAsia="en-US"/>
              </w:rPr>
            </w:pPr>
            <w:r w:rsidRPr="000B2A05">
              <w:rPr>
                <w:rFonts w:ascii="Times New Roman" w:hAnsi="Times New Roman"/>
                <w:b/>
                <w:i/>
                <w:sz w:val="20"/>
                <w:lang w:eastAsia="en-US"/>
              </w:rPr>
              <w:t xml:space="preserve">Meets objectives </w:t>
            </w:r>
            <w:r>
              <w:rPr>
                <w:rFonts w:ascii="Times New Roman" w:hAnsi="Times New Roman"/>
                <w:b/>
                <w:i/>
                <w:sz w:val="20"/>
                <w:lang w:eastAsia="en-US"/>
              </w:rPr>
              <w:t>(</w:t>
            </w:r>
            <w:r w:rsidRPr="000B2A05">
              <w:rPr>
                <w:rFonts w:ascii="Times New Roman" w:hAnsi="Times New Roman"/>
                <w:b/>
                <w:i/>
                <w:sz w:val="20"/>
                <w:lang w:eastAsia="en-US"/>
              </w:rPr>
              <w:t>a</w:t>
            </w:r>
            <w:r>
              <w:rPr>
                <w:rFonts w:ascii="Times New Roman" w:hAnsi="Times New Roman"/>
                <w:b/>
                <w:i/>
                <w:sz w:val="20"/>
                <w:lang w:eastAsia="en-US"/>
              </w:rPr>
              <w:t>)</w:t>
            </w:r>
            <w:r w:rsidRPr="000B2A05">
              <w:rPr>
                <w:rFonts w:ascii="Times New Roman" w:hAnsi="Times New Roman"/>
                <w:b/>
                <w:i/>
                <w:sz w:val="20"/>
                <w:lang w:eastAsia="en-US"/>
              </w:rPr>
              <w:t xml:space="preserve">, </w:t>
            </w:r>
            <w:r>
              <w:rPr>
                <w:rFonts w:ascii="Times New Roman" w:hAnsi="Times New Roman"/>
                <w:b/>
                <w:i/>
                <w:sz w:val="20"/>
                <w:lang w:eastAsia="en-US"/>
              </w:rPr>
              <w:t>(</w:t>
            </w:r>
            <w:r w:rsidRPr="000B2A05">
              <w:rPr>
                <w:rFonts w:ascii="Times New Roman" w:hAnsi="Times New Roman"/>
                <w:b/>
                <w:i/>
                <w:sz w:val="20"/>
                <w:lang w:eastAsia="en-US"/>
              </w:rPr>
              <w:t>b</w:t>
            </w:r>
            <w:r>
              <w:rPr>
                <w:rFonts w:ascii="Times New Roman" w:hAnsi="Times New Roman"/>
                <w:b/>
                <w:i/>
                <w:sz w:val="20"/>
                <w:lang w:eastAsia="en-US"/>
              </w:rPr>
              <w:t>)</w:t>
            </w:r>
            <w:r w:rsidRPr="000B2A05">
              <w:rPr>
                <w:rFonts w:ascii="Times New Roman" w:hAnsi="Times New Roman"/>
                <w:b/>
                <w:i/>
                <w:sz w:val="20"/>
                <w:lang w:eastAsia="en-US"/>
              </w:rPr>
              <w:t xml:space="preserve">, or </w:t>
            </w:r>
            <w:r>
              <w:rPr>
                <w:rFonts w:ascii="Times New Roman" w:hAnsi="Times New Roman"/>
                <w:b/>
                <w:i/>
                <w:sz w:val="20"/>
                <w:lang w:eastAsia="en-US"/>
              </w:rPr>
              <w:t>(</w:t>
            </w:r>
            <w:r w:rsidRPr="000B2A05">
              <w:rPr>
                <w:rFonts w:ascii="Times New Roman" w:hAnsi="Times New Roman"/>
                <w:b/>
                <w:i/>
                <w:sz w:val="20"/>
                <w:lang w:eastAsia="en-US"/>
              </w:rPr>
              <w:t>c</w:t>
            </w:r>
            <w:r>
              <w:rPr>
                <w:rFonts w:ascii="Times New Roman" w:hAnsi="Times New Roman"/>
                <w:b/>
                <w:i/>
                <w:sz w:val="20"/>
                <w:lang w:eastAsia="en-US"/>
              </w:rPr>
              <w:t>)</w:t>
            </w:r>
            <w:r w:rsidRPr="000B2A05">
              <w:rPr>
                <w:rFonts w:ascii="Times New Roman" w:hAnsi="Times New Roman"/>
                <w:b/>
                <w:i/>
                <w:sz w:val="20"/>
                <w:lang w:eastAsia="en-US"/>
              </w:rPr>
              <w:t>?</w:t>
            </w:r>
          </w:p>
        </w:tc>
      </w:tr>
      <w:tr w:rsidR="00AD7FEE" w:rsidRPr="000B2A05" w:rsidTr="00AD7FEE">
        <w:trPr>
          <w:trHeight w:val="669"/>
        </w:trPr>
        <w:tc>
          <w:tcPr>
            <w:tcW w:w="1277" w:type="dxa"/>
            <w:vMerge/>
          </w:tcPr>
          <w:p w:rsidR="00AD7FEE" w:rsidRPr="000B2A05" w:rsidRDefault="00AD7FEE" w:rsidP="000B2A05">
            <w:pPr>
              <w:spacing w:after="0" w:line="240" w:lineRule="auto"/>
              <w:jc w:val="both"/>
              <w:rPr>
                <w:rFonts w:ascii="Times New Roman" w:hAnsi="Times New Roman"/>
                <w:b/>
                <w:sz w:val="20"/>
                <w:lang w:eastAsia="en-US"/>
              </w:rPr>
            </w:pPr>
          </w:p>
        </w:tc>
        <w:tc>
          <w:tcPr>
            <w:tcW w:w="1090" w:type="dxa"/>
            <w:vMerge/>
          </w:tcPr>
          <w:p w:rsidR="00AD7FEE" w:rsidRPr="000B2A05" w:rsidRDefault="00AD7FEE" w:rsidP="000B2A05">
            <w:pPr>
              <w:spacing w:after="0" w:line="240" w:lineRule="auto"/>
              <w:jc w:val="both"/>
              <w:rPr>
                <w:rFonts w:ascii="Times New Roman" w:hAnsi="Times New Roman"/>
                <w:sz w:val="20"/>
                <w:lang w:eastAsia="en-US"/>
              </w:rPr>
            </w:pPr>
          </w:p>
        </w:tc>
        <w:tc>
          <w:tcPr>
            <w:tcW w:w="1178" w:type="dxa"/>
            <w:vAlign w:val="center"/>
          </w:tcPr>
          <w:p w:rsidR="00AD7FEE" w:rsidRDefault="00AD7FEE" w:rsidP="000B2A05">
            <w:pPr>
              <w:spacing w:after="0" w:line="240" w:lineRule="auto"/>
              <w:jc w:val="both"/>
              <w:rPr>
                <w:rFonts w:ascii="Times New Roman" w:hAnsi="Times New Roman"/>
                <w:b/>
                <w:i/>
                <w:sz w:val="20"/>
                <w:lang w:eastAsia="en-US"/>
              </w:rPr>
            </w:pPr>
            <w:r w:rsidRPr="000B2A05">
              <w:rPr>
                <w:rFonts w:ascii="Times New Roman" w:hAnsi="Times New Roman"/>
                <w:b/>
                <w:i/>
                <w:sz w:val="20"/>
                <w:lang w:eastAsia="en-US"/>
              </w:rPr>
              <w:t>Fiscal/</w:t>
            </w:r>
          </w:p>
          <w:p w:rsidR="00AD7FEE" w:rsidRPr="000B2A05" w:rsidRDefault="00AD7FEE" w:rsidP="000B2A05">
            <w:pPr>
              <w:spacing w:after="0" w:line="240" w:lineRule="auto"/>
              <w:jc w:val="both"/>
              <w:rPr>
                <w:rFonts w:ascii="Times New Roman" w:hAnsi="Times New Roman"/>
                <w:b/>
                <w:i/>
                <w:sz w:val="20"/>
                <w:lang w:eastAsia="en-US"/>
              </w:rPr>
            </w:pPr>
            <w:r w:rsidRPr="000B2A05">
              <w:rPr>
                <w:rFonts w:ascii="Times New Roman" w:hAnsi="Times New Roman"/>
                <w:b/>
                <w:i/>
                <w:sz w:val="20"/>
                <w:lang w:eastAsia="en-US"/>
              </w:rPr>
              <w:t>economic impact</w:t>
            </w:r>
          </w:p>
        </w:tc>
        <w:tc>
          <w:tcPr>
            <w:tcW w:w="2693" w:type="dxa"/>
            <w:vAlign w:val="center"/>
          </w:tcPr>
          <w:p w:rsidR="00AD7FEE" w:rsidRPr="000B2A05" w:rsidRDefault="00AD7FEE" w:rsidP="00AD7FEE">
            <w:pPr>
              <w:spacing w:after="0" w:line="240" w:lineRule="auto"/>
              <w:jc w:val="center"/>
              <w:rPr>
                <w:rFonts w:ascii="Times New Roman" w:hAnsi="Times New Roman"/>
                <w:b/>
                <w:i/>
                <w:sz w:val="20"/>
                <w:lang w:eastAsia="en-US"/>
              </w:rPr>
            </w:pPr>
            <w:r w:rsidRPr="000B2A05">
              <w:rPr>
                <w:rFonts w:ascii="Times New Roman" w:hAnsi="Times New Roman"/>
                <w:b/>
                <w:i/>
                <w:sz w:val="20"/>
                <w:lang w:eastAsia="en-US"/>
              </w:rPr>
              <w:t xml:space="preserve">Administrative </w:t>
            </w:r>
            <w:r>
              <w:rPr>
                <w:rFonts w:ascii="Times New Roman" w:hAnsi="Times New Roman"/>
                <w:b/>
                <w:i/>
                <w:sz w:val="20"/>
                <w:lang w:eastAsia="en-US"/>
              </w:rPr>
              <w:t xml:space="preserve">impact for Inland Revenue </w:t>
            </w:r>
          </w:p>
        </w:tc>
        <w:tc>
          <w:tcPr>
            <w:tcW w:w="2693" w:type="dxa"/>
            <w:vAlign w:val="center"/>
          </w:tcPr>
          <w:p w:rsidR="00AD7FEE" w:rsidRPr="000B2A05" w:rsidRDefault="00AD7FEE" w:rsidP="000B2A05">
            <w:pPr>
              <w:spacing w:after="0" w:line="240" w:lineRule="auto"/>
              <w:jc w:val="center"/>
              <w:rPr>
                <w:rFonts w:ascii="Times New Roman" w:hAnsi="Times New Roman"/>
                <w:b/>
                <w:i/>
                <w:sz w:val="20"/>
                <w:lang w:eastAsia="en-US"/>
              </w:rPr>
            </w:pPr>
            <w:r>
              <w:rPr>
                <w:rFonts w:ascii="Times New Roman" w:hAnsi="Times New Roman"/>
                <w:b/>
                <w:i/>
                <w:sz w:val="20"/>
                <w:lang w:eastAsia="en-US"/>
              </w:rPr>
              <w:t>Compliance impact for taxpayers</w:t>
            </w:r>
          </w:p>
        </w:tc>
        <w:tc>
          <w:tcPr>
            <w:tcW w:w="2693" w:type="dxa"/>
            <w:vAlign w:val="center"/>
          </w:tcPr>
          <w:p w:rsidR="00AD7FEE" w:rsidRPr="000B2A05" w:rsidRDefault="00975268" w:rsidP="000B2A05">
            <w:pPr>
              <w:spacing w:after="0" w:line="240" w:lineRule="auto"/>
              <w:jc w:val="center"/>
              <w:rPr>
                <w:rFonts w:ascii="Times New Roman" w:hAnsi="Times New Roman"/>
                <w:b/>
                <w:i/>
                <w:sz w:val="20"/>
                <w:lang w:eastAsia="en-US"/>
              </w:rPr>
            </w:pPr>
            <w:r>
              <w:rPr>
                <w:rFonts w:ascii="Times New Roman" w:hAnsi="Times New Roman"/>
                <w:b/>
                <w:i/>
                <w:sz w:val="20"/>
                <w:lang w:eastAsia="en-US"/>
              </w:rPr>
              <w:t>R</w:t>
            </w:r>
            <w:r w:rsidR="00AD7FEE">
              <w:rPr>
                <w:rFonts w:ascii="Times New Roman" w:hAnsi="Times New Roman"/>
                <w:b/>
                <w:i/>
                <w:sz w:val="20"/>
                <w:lang w:eastAsia="en-US"/>
              </w:rPr>
              <w:t>isks</w:t>
            </w:r>
          </w:p>
        </w:tc>
        <w:tc>
          <w:tcPr>
            <w:tcW w:w="2127" w:type="dxa"/>
            <w:tcBorders>
              <w:bottom w:val="single" w:sz="4" w:space="0" w:color="auto"/>
            </w:tcBorders>
          </w:tcPr>
          <w:p w:rsidR="00AD7FEE" w:rsidRPr="008937F0" w:rsidRDefault="00AD7FEE" w:rsidP="000B2A05">
            <w:pPr>
              <w:spacing w:after="0" w:line="240" w:lineRule="auto"/>
              <w:jc w:val="both"/>
              <w:rPr>
                <w:rFonts w:ascii="Times New Roman" w:hAnsi="Times New Roman"/>
                <w:b/>
                <w:i/>
                <w:sz w:val="20"/>
                <w:lang w:eastAsia="en-US"/>
              </w:rPr>
            </w:pPr>
            <w:r w:rsidRPr="008937F0">
              <w:rPr>
                <w:rFonts w:ascii="Times New Roman" w:hAnsi="Times New Roman"/>
                <w:b/>
                <w:i/>
                <w:sz w:val="20"/>
                <w:lang w:eastAsia="en-US"/>
              </w:rPr>
              <w:t>Summary</w:t>
            </w:r>
          </w:p>
        </w:tc>
      </w:tr>
      <w:tr w:rsidR="00AD7FEE" w:rsidRPr="000B2A05" w:rsidTr="00AD7FEE">
        <w:trPr>
          <w:trHeight w:val="615"/>
        </w:trPr>
        <w:tc>
          <w:tcPr>
            <w:tcW w:w="1277" w:type="dxa"/>
          </w:tcPr>
          <w:p w:rsidR="00AD7FEE" w:rsidRPr="000B2A05" w:rsidRDefault="00AD7FEE" w:rsidP="000B2A05">
            <w:pPr>
              <w:spacing w:after="0" w:line="240" w:lineRule="auto"/>
              <w:rPr>
                <w:rFonts w:ascii="Times New Roman" w:hAnsi="Times New Roman"/>
                <w:b/>
                <w:sz w:val="20"/>
                <w:lang w:eastAsia="en-US"/>
              </w:rPr>
            </w:pPr>
            <w:r>
              <w:rPr>
                <w:rFonts w:ascii="Times New Roman" w:hAnsi="Times New Roman"/>
                <w:b/>
                <w:sz w:val="20"/>
                <w:lang w:eastAsia="en-US"/>
              </w:rPr>
              <w:t>Option 1</w:t>
            </w:r>
          </w:p>
          <w:p w:rsidR="00AD7FEE" w:rsidRPr="000B2A05" w:rsidRDefault="00AD7FEE" w:rsidP="000B2A05">
            <w:pPr>
              <w:spacing w:after="0" w:line="240" w:lineRule="auto"/>
              <w:rPr>
                <w:rFonts w:ascii="Times New Roman" w:hAnsi="Times New Roman"/>
                <w:sz w:val="20"/>
                <w:lang w:eastAsia="en-US"/>
              </w:rPr>
            </w:pPr>
          </w:p>
          <w:p w:rsidR="00AD7FEE" w:rsidRPr="000B2A05" w:rsidRDefault="00AD7FEE" w:rsidP="000B2A05">
            <w:pPr>
              <w:spacing w:after="0" w:line="240" w:lineRule="auto"/>
              <w:rPr>
                <w:rFonts w:ascii="Times New Roman" w:hAnsi="Times New Roman"/>
                <w:i/>
                <w:sz w:val="20"/>
                <w:lang w:eastAsia="en-US"/>
              </w:rPr>
            </w:pPr>
          </w:p>
        </w:tc>
        <w:tc>
          <w:tcPr>
            <w:tcW w:w="1090" w:type="dxa"/>
          </w:tcPr>
          <w:p w:rsidR="00AD7FEE" w:rsidRPr="000B2A05" w:rsidRDefault="00AD7FEE" w:rsidP="000B2A05">
            <w:pPr>
              <w:spacing w:after="0" w:line="240" w:lineRule="auto"/>
              <w:rPr>
                <w:rFonts w:ascii="Times New Roman" w:hAnsi="Times New Roman"/>
                <w:sz w:val="20"/>
                <w:lang w:eastAsia="en-US"/>
              </w:rPr>
            </w:pPr>
            <w:proofErr w:type="spellStart"/>
            <w:r>
              <w:rPr>
                <w:rFonts w:ascii="Times New Roman" w:hAnsi="Times New Roman"/>
                <w:sz w:val="20"/>
                <w:lang w:eastAsia="en-US"/>
              </w:rPr>
              <w:t>b,c</w:t>
            </w:r>
            <w:proofErr w:type="spellEnd"/>
          </w:p>
        </w:tc>
        <w:tc>
          <w:tcPr>
            <w:tcW w:w="1178" w:type="dxa"/>
          </w:tcPr>
          <w:p w:rsidR="00AD7FEE" w:rsidRPr="000B2A05" w:rsidRDefault="00AD7FEE" w:rsidP="000B2A05">
            <w:pPr>
              <w:spacing w:after="0" w:line="240" w:lineRule="auto"/>
              <w:rPr>
                <w:rFonts w:asciiTheme="minorHAnsi" w:hAnsiTheme="minorHAnsi"/>
                <w:lang w:eastAsia="en-US"/>
              </w:rPr>
            </w:pPr>
            <w:r>
              <w:rPr>
                <w:rFonts w:asciiTheme="minorHAnsi" w:hAnsiTheme="minorHAnsi"/>
                <w:lang w:eastAsia="en-US"/>
              </w:rPr>
              <w:t>Nil</w:t>
            </w:r>
          </w:p>
        </w:tc>
        <w:tc>
          <w:tcPr>
            <w:tcW w:w="2693" w:type="dxa"/>
            <w:tcBorders>
              <w:right w:val="single" w:sz="4" w:space="0" w:color="auto"/>
            </w:tcBorders>
          </w:tcPr>
          <w:p w:rsidR="00AD7FEE" w:rsidRDefault="00AD7FEE" w:rsidP="000B2A05">
            <w:pPr>
              <w:spacing w:after="0" w:line="240" w:lineRule="auto"/>
              <w:rPr>
                <w:rFonts w:ascii="Times New Roman" w:hAnsi="Times New Roman"/>
                <w:sz w:val="20"/>
                <w:lang w:eastAsia="en-US"/>
              </w:rPr>
            </w:pPr>
            <w:r>
              <w:rPr>
                <w:rFonts w:ascii="Times New Roman" w:hAnsi="Times New Roman"/>
                <w:sz w:val="20"/>
                <w:lang w:eastAsia="en-US"/>
              </w:rPr>
              <w:t>Lowering the overall standard in s</w:t>
            </w:r>
            <w:r w:rsidR="00AB49AE">
              <w:rPr>
                <w:rFonts w:ascii="Times New Roman" w:hAnsi="Times New Roman"/>
                <w:sz w:val="20"/>
                <w:lang w:eastAsia="en-US"/>
              </w:rPr>
              <w:t>ection</w:t>
            </w:r>
            <w:r>
              <w:rPr>
                <w:rFonts w:ascii="Times New Roman" w:hAnsi="Times New Roman"/>
                <w:sz w:val="20"/>
                <w:lang w:eastAsia="en-US"/>
              </w:rPr>
              <w:t> 6 would not provide Inland Revenue employees with any clarity as to the required standard of secrecy in a co-located environment because:</w:t>
            </w:r>
          </w:p>
          <w:p w:rsidR="00AD7FEE" w:rsidRDefault="00AD7FEE" w:rsidP="007551FD">
            <w:pPr>
              <w:pStyle w:val="ListParagraph"/>
              <w:numPr>
                <w:ilvl w:val="0"/>
                <w:numId w:val="7"/>
              </w:numPr>
              <w:rPr>
                <w:rFonts w:ascii="Times New Roman" w:hAnsi="Times New Roman"/>
                <w:sz w:val="20"/>
              </w:rPr>
            </w:pPr>
            <w:r>
              <w:rPr>
                <w:rFonts w:ascii="Times New Roman" w:hAnsi="Times New Roman"/>
                <w:sz w:val="20"/>
              </w:rPr>
              <w:t>the change would not affect the specific secrecy requirements in s</w:t>
            </w:r>
            <w:r w:rsidR="00AB49AE">
              <w:rPr>
                <w:rFonts w:ascii="Times New Roman" w:hAnsi="Times New Roman"/>
                <w:sz w:val="20"/>
              </w:rPr>
              <w:t>ection</w:t>
            </w:r>
            <w:r>
              <w:rPr>
                <w:rFonts w:ascii="Times New Roman" w:hAnsi="Times New Roman"/>
                <w:sz w:val="20"/>
              </w:rPr>
              <w:t> 81; and</w:t>
            </w:r>
          </w:p>
          <w:p w:rsidR="00AD7FEE" w:rsidRDefault="00AD7FEE" w:rsidP="007551FD">
            <w:pPr>
              <w:pStyle w:val="ListParagraph"/>
              <w:numPr>
                <w:ilvl w:val="0"/>
                <w:numId w:val="7"/>
              </w:numPr>
              <w:rPr>
                <w:rFonts w:ascii="Times New Roman" w:hAnsi="Times New Roman"/>
                <w:sz w:val="20"/>
              </w:rPr>
            </w:pPr>
            <w:proofErr w:type="gramStart"/>
            <w:r>
              <w:rPr>
                <w:rFonts w:ascii="Times New Roman" w:hAnsi="Times New Roman"/>
                <w:sz w:val="20"/>
              </w:rPr>
              <w:t>the</w:t>
            </w:r>
            <w:proofErr w:type="gramEnd"/>
            <w:r>
              <w:rPr>
                <w:rFonts w:ascii="Times New Roman" w:hAnsi="Times New Roman"/>
                <w:sz w:val="20"/>
              </w:rPr>
              <w:t xml:space="preserve"> employees would have to determine in any environment whether reasonable steps had been taken to protect the integrity of the tax system.</w:t>
            </w:r>
          </w:p>
          <w:p w:rsidR="00AD7FEE" w:rsidRDefault="00AD7FEE" w:rsidP="00CB77B9">
            <w:pPr>
              <w:rPr>
                <w:rFonts w:ascii="Times New Roman" w:hAnsi="Times New Roman"/>
                <w:sz w:val="20"/>
                <w:szCs w:val="20"/>
              </w:rPr>
            </w:pPr>
            <w:r>
              <w:rPr>
                <w:rFonts w:ascii="Times New Roman" w:hAnsi="Times New Roman"/>
                <w:sz w:val="20"/>
              </w:rPr>
              <w:t xml:space="preserve">The option would provide Inland Revenue with significant operational flexibility to </w:t>
            </w:r>
            <w:r w:rsidRPr="005345E0">
              <w:rPr>
                <w:rFonts w:ascii="Times New Roman" w:hAnsi="Times New Roman"/>
                <w:sz w:val="20"/>
                <w:szCs w:val="20"/>
              </w:rPr>
              <w:t>deliver better public services in an efficient manner without imposing significant additional administrative costs</w:t>
            </w:r>
            <w:r>
              <w:rPr>
                <w:rFonts w:ascii="Times New Roman" w:hAnsi="Times New Roman"/>
                <w:sz w:val="20"/>
                <w:szCs w:val="20"/>
              </w:rPr>
              <w:t>.</w:t>
            </w:r>
          </w:p>
          <w:p w:rsidR="00AD7FEE" w:rsidRDefault="00AD7FEE" w:rsidP="00975268">
            <w:pPr>
              <w:rPr>
                <w:rFonts w:ascii="Times New Roman" w:hAnsi="Times New Roman"/>
                <w:sz w:val="20"/>
              </w:rPr>
            </w:pPr>
          </w:p>
        </w:tc>
        <w:tc>
          <w:tcPr>
            <w:tcW w:w="2693" w:type="dxa"/>
            <w:tcBorders>
              <w:right w:val="single" w:sz="4" w:space="0" w:color="auto"/>
            </w:tcBorders>
          </w:tcPr>
          <w:p w:rsidR="00975268" w:rsidRDefault="00975268" w:rsidP="00975268">
            <w:pPr>
              <w:rPr>
                <w:rFonts w:ascii="Times New Roman" w:hAnsi="Times New Roman"/>
                <w:sz w:val="20"/>
              </w:rPr>
            </w:pPr>
            <w:r>
              <w:rPr>
                <w:rFonts w:ascii="Times New Roman" w:hAnsi="Times New Roman"/>
                <w:sz w:val="20"/>
              </w:rPr>
              <w:t>Reducing the overall standard in s</w:t>
            </w:r>
            <w:r w:rsidR="00AB49AE">
              <w:rPr>
                <w:rFonts w:ascii="Times New Roman" w:hAnsi="Times New Roman"/>
                <w:sz w:val="20"/>
              </w:rPr>
              <w:t>ection</w:t>
            </w:r>
            <w:r>
              <w:rPr>
                <w:rFonts w:ascii="Times New Roman" w:hAnsi="Times New Roman"/>
                <w:sz w:val="20"/>
              </w:rPr>
              <w:t> 6 could suggest to taxpayers a decreased focus on maintaining the integrity of the tax system, which could undermine taxpayers’ perceptions of the tax system and voluntary compliance.</w:t>
            </w:r>
          </w:p>
          <w:p w:rsidR="00AD7FEE" w:rsidRDefault="00AD7FEE" w:rsidP="00C20F60">
            <w:pPr>
              <w:spacing w:after="0" w:line="240" w:lineRule="auto"/>
              <w:rPr>
                <w:rFonts w:ascii="Times New Roman" w:hAnsi="Times New Roman"/>
                <w:sz w:val="20"/>
              </w:rPr>
            </w:pPr>
          </w:p>
        </w:tc>
        <w:tc>
          <w:tcPr>
            <w:tcW w:w="2693" w:type="dxa"/>
            <w:tcBorders>
              <w:right w:val="single" w:sz="4" w:space="0" w:color="auto"/>
            </w:tcBorders>
          </w:tcPr>
          <w:p w:rsidR="00975268" w:rsidRPr="00CB77B9" w:rsidRDefault="00975268" w:rsidP="00975268">
            <w:pPr>
              <w:rPr>
                <w:rFonts w:ascii="Times New Roman" w:hAnsi="Times New Roman"/>
                <w:sz w:val="20"/>
              </w:rPr>
            </w:pPr>
            <w:r>
              <w:rPr>
                <w:rFonts w:ascii="Times New Roman" w:hAnsi="Times New Roman"/>
                <w:sz w:val="20"/>
              </w:rPr>
              <w:t>The broad-brush approach of reducing the overall standard may have unforeseen consequences in other situations or environments.</w:t>
            </w:r>
          </w:p>
          <w:p w:rsidR="00AD7FEE" w:rsidRPr="00CB77B9" w:rsidRDefault="00AD7FEE" w:rsidP="000B2A05">
            <w:pPr>
              <w:spacing w:after="0" w:line="240" w:lineRule="auto"/>
              <w:rPr>
                <w:rFonts w:ascii="Times New Roman" w:hAnsi="Times New Roman"/>
                <w:sz w:val="20"/>
              </w:rPr>
            </w:pPr>
          </w:p>
        </w:tc>
        <w:tc>
          <w:tcPr>
            <w:tcW w:w="2127" w:type="dxa"/>
            <w:tcBorders>
              <w:top w:val="single" w:sz="4" w:space="0" w:color="auto"/>
              <w:left w:val="single" w:sz="4" w:space="0" w:color="auto"/>
              <w:right w:val="single" w:sz="4" w:space="0" w:color="auto"/>
            </w:tcBorders>
          </w:tcPr>
          <w:p w:rsidR="00AD7FEE" w:rsidRPr="000B2A05" w:rsidRDefault="00AD7FEE" w:rsidP="00831575">
            <w:pPr>
              <w:spacing w:after="0" w:line="240" w:lineRule="auto"/>
              <w:rPr>
                <w:rFonts w:ascii="Times New Roman" w:hAnsi="Times New Roman"/>
                <w:sz w:val="20"/>
                <w:lang w:eastAsia="en-US"/>
              </w:rPr>
            </w:pPr>
            <w:r>
              <w:rPr>
                <w:rFonts w:ascii="Times New Roman" w:hAnsi="Times New Roman"/>
                <w:sz w:val="20"/>
                <w:lang w:eastAsia="en-US"/>
              </w:rPr>
              <w:t xml:space="preserve">Option 1 does not meet all of the stated objectives.  While it provides increased flexibility to Inland Revenue, it may undermine </w:t>
            </w:r>
            <w:r>
              <w:rPr>
                <w:rFonts w:ascii="Times New Roman" w:hAnsi="Times New Roman"/>
                <w:sz w:val="20"/>
              </w:rPr>
              <w:t>taxpayers’ perceptions of the tax system and voluntary compliance.</w:t>
            </w:r>
          </w:p>
        </w:tc>
      </w:tr>
      <w:tr w:rsidR="00AD7FEE" w:rsidRPr="000B2A05" w:rsidTr="00AD7FEE">
        <w:trPr>
          <w:trHeight w:val="410"/>
        </w:trPr>
        <w:tc>
          <w:tcPr>
            <w:tcW w:w="1277" w:type="dxa"/>
            <w:tcBorders>
              <w:top w:val="single" w:sz="4" w:space="0" w:color="auto"/>
              <w:left w:val="single" w:sz="4" w:space="0" w:color="auto"/>
              <w:bottom w:val="single" w:sz="4" w:space="0" w:color="auto"/>
            </w:tcBorders>
          </w:tcPr>
          <w:p w:rsidR="00AD7FEE" w:rsidRPr="000B2A05" w:rsidRDefault="00AD7FEE" w:rsidP="000B2A05">
            <w:pPr>
              <w:spacing w:after="0" w:line="240" w:lineRule="auto"/>
              <w:rPr>
                <w:rFonts w:ascii="Times New Roman" w:hAnsi="Times New Roman"/>
                <w:b/>
                <w:sz w:val="20"/>
                <w:lang w:eastAsia="en-US"/>
              </w:rPr>
            </w:pPr>
            <w:r w:rsidRPr="000B2A05">
              <w:rPr>
                <w:rFonts w:ascii="Times New Roman" w:hAnsi="Times New Roman"/>
                <w:b/>
                <w:sz w:val="20"/>
                <w:lang w:eastAsia="en-US"/>
              </w:rPr>
              <w:lastRenderedPageBreak/>
              <w:t>Option 2</w:t>
            </w:r>
          </w:p>
        </w:tc>
        <w:tc>
          <w:tcPr>
            <w:tcW w:w="1090" w:type="dxa"/>
            <w:tcBorders>
              <w:top w:val="single" w:sz="4" w:space="0" w:color="auto"/>
              <w:bottom w:val="single" w:sz="4" w:space="0" w:color="auto"/>
            </w:tcBorders>
          </w:tcPr>
          <w:p w:rsidR="00AD7FEE" w:rsidRPr="000B2A05" w:rsidRDefault="00AD7FEE" w:rsidP="000B2A05">
            <w:pPr>
              <w:spacing w:after="0" w:line="240" w:lineRule="auto"/>
              <w:rPr>
                <w:rFonts w:ascii="Times New Roman" w:hAnsi="Times New Roman"/>
                <w:sz w:val="20"/>
                <w:lang w:eastAsia="en-US"/>
              </w:rPr>
            </w:pPr>
            <w:r>
              <w:rPr>
                <w:rFonts w:ascii="Times New Roman" w:hAnsi="Times New Roman"/>
                <w:sz w:val="20"/>
                <w:lang w:eastAsia="en-US"/>
              </w:rPr>
              <w:t>a, b, c</w:t>
            </w:r>
          </w:p>
        </w:tc>
        <w:tc>
          <w:tcPr>
            <w:tcW w:w="1178" w:type="dxa"/>
            <w:tcBorders>
              <w:top w:val="single" w:sz="4" w:space="0" w:color="auto"/>
              <w:bottom w:val="single" w:sz="4" w:space="0" w:color="auto"/>
            </w:tcBorders>
          </w:tcPr>
          <w:p w:rsidR="00AD7FEE" w:rsidRPr="000B2A05" w:rsidRDefault="00AD7FEE" w:rsidP="000B2A05">
            <w:pPr>
              <w:spacing w:after="0" w:line="240" w:lineRule="auto"/>
              <w:rPr>
                <w:rFonts w:ascii="Times New Roman" w:hAnsi="Times New Roman"/>
                <w:sz w:val="20"/>
                <w:lang w:eastAsia="en-US"/>
              </w:rPr>
            </w:pPr>
            <w:r>
              <w:rPr>
                <w:rFonts w:ascii="Times New Roman" w:hAnsi="Times New Roman"/>
                <w:sz w:val="20"/>
                <w:lang w:eastAsia="en-US"/>
              </w:rPr>
              <w:t>Nil</w:t>
            </w:r>
          </w:p>
        </w:tc>
        <w:tc>
          <w:tcPr>
            <w:tcW w:w="2693" w:type="dxa"/>
            <w:tcBorders>
              <w:right w:val="single" w:sz="4" w:space="0" w:color="auto"/>
            </w:tcBorders>
          </w:tcPr>
          <w:p w:rsidR="00AD7FEE" w:rsidRDefault="00AD7FEE" w:rsidP="00AD7FEE">
            <w:pPr>
              <w:spacing w:after="0" w:line="240" w:lineRule="auto"/>
              <w:rPr>
                <w:rFonts w:ascii="Times New Roman" w:hAnsi="Times New Roman"/>
                <w:sz w:val="20"/>
                <w:lang w:eastAsia="en-US"/>
              </w:rPr>
            </w:pPr>
            <w:r>
              <w:rPr>
                <w:rFonts w:ascii="Times New Roman" w:hAnsi="Times New Roman"/>
                <w:sz w:val="20"/>
                <w:lang w:eastAsia="en-US"/>
              </w:rPr>
              <w:t xml:space="preserve">Option 2 would seem to provide Inland Revenue employees with clarity because they will be able to apply the same internal secrecy standards to co-located environments.  </w:t>
            </w:r>
          </w:p>
          <w:p w:rsidR="00AD7FEE" w:rsidRDefault="00AD7FEE" w:rsidP="00AD7FEE">
            <w:pPr>
              <w:spacing w:after="0" w:line="240" w:lineRule="auto"/>
              <w:rPr>
                <w:rFonts w:ascii="Times New Roman" w:hAnsi="Times New Roman"/>
                <w:sz w:val="20"/>
              </w:rPr>
            </w:pPr>
          </w:p>
          <w:p w:rsidR="00AD7FEE" w:rsidRDefault="00AD7FEE" w:rsidP="00AD7FEE">
            <w:pPr>
              <w:spacing w:after="0" w:line="240" w:lineRule="auto"/>
              <w:rPr>
                <w:rFonts w:ascii="Times New Roman" w:hAnsi="Times New Roman"/>
                <w:sz w:val="20"/>
              </w:rPr>
            </w:pPr>
            <w:r>
              <w:rPr>
                <w:rFonts w:ascii="Times New Roman" w:hAnsi="Times New Roman"/>
                <w:sz w:val="20"/>
              </w:rPr>
              <w:t xml:space="preserve">The option would provide Inland Revenue with significant operational flexibility to </w:t>
            </w:r>
            <w:r w:rsidRPr="005345E0">
              <w:rPr>
                <w:rFonts w:ascii="Times New Roman" w:hAnsi="Times New Roman"/>
                <w:sz w:val="20"/>
                <w:szCs w:val="20"/>
              </w:rPr>
              <w:t>deliver better public services in an efficient manner without imposing significant additional administrative costs</w:t>
            </w:r>
            <w:r>
              <w:rPr>
                <w:rFonts w:ascii="Times New Roman" w:hAnsi="Times New Roman"/>
                <w:sz w:val="20"/>
                <w:szCs w:val="20"/>
              </w:rPr>
              <w:t>.</w:t>
            </w:r>
          </w:p>
          <w:p w:rsidR="00AD7FEE" w:rsidRPr="000B2A05" w:rsidRDefault="00AD7FEE" w:rsidP="00AD7FEE">
            <w:pPr>
              <w:spacing w:after="0" w:line="240" w:lineRule="auto"/>
              <w:rPr>
                <w:rFonts w:ascii="Times New Roman" w:hAnsi="Times New Roman"/>
                <w:sz w:val="20"/>
                <w:lang w:eastAsia="en-US"/>
              </w:rPr>
            </w:pPr>
          </w:p>
        </w:tc>
        <w:tc>
          <w:tcPr>
            <w:tcW w:w="2693" w:type="dxa"/>
            <w:tcBorders>
              <w:right w:val="single" w:sz="4" w:space="0" w:color="auto"/>
            </w:tcBorders>
          </w:tcPr>
          <w:p w:rsidR="000D0783" w:rsidRDefault="00975268" w:rsidP="000B2A05">
            <w:pPr>
              <w:spacing w:after="0" w:line="240" w:lineRule="auto"/>
              <w:rPr>
                <w:rFonts w:ascii="Times New Roman" w:hAnsi="Times New Roman"/>
                <w:sz w:val="20"/>
                <w:lang w:eastAsia="en-US"/>
              </w:rPr>
            </w:pPr>
            <w:r>
              <w:rPr>
                <w:rFonts w:ascii="Times New Roman" w:hAnsi="Times New Roman"/>
                <w:sz w:val="20"/>
                <w:lang w:eastAsia="en-US"/>
              </w:rPr>
              <w:t>Option 2 would suggest to taxpayers that the same high standards that apply internally in Inland Revenue would app</w:t>
            </w:r>
            <w:r w:rsidR="000D0783">
              <w:rPr>
                <w:rFonts w:ascii="Times New Roman" w:hAnsi="Times New Roman"/>
                <w:sz w:val="20"/>
                <w:lang w:eastAsia="en-US"/>
              </w:rPr>
              <w:t>ly in co-located environments.</w:t>
            </w:r>
          </w:p>
          <w:p w:rsidR="000D0783" w:rsidRDefault="000D0783" w:rsidP="000B2A05">
            <w:pPr>
              <w:spacing w:after="0" w:line="240" w:lineRule="auto"/>
              <w:rPr>
                <w:rFonts w:ascii="Times New Roman" w:hAnsi="Times New Roman"/>
                <w:sz w:val="20"/>
                <w:lang w:eastAsia="en-US"/>
              </w:rPr>
            </w:pPr>
          </w:p>
          <w:p w:rsidR="00AD7FEE" w:rsidRPr="000B2A05" w:rsidRDefault="00975268" w:rsidP="002A463D">
            <w:pPr>
              <w:spacing w:after="0" w:line="240" w:lineRule="auto"/>
              <w:rPr>
                <w:rFonts w:ascii="Times New Roman" w:hAnsi="Times New Roman"/>
                <w:sz w:val="20"/>
                <w:lang w:eastAsia="en-US"/>
              </w:rPr>
            </w:pPr>
            <w:r>
              <w:rPr>
                <w:rFonts w:ascii="Times New Roman" w:hAnsi="Times New Roman"/>
                <w:sz w:val="20"/>
                <w:lang w:eastAsia="en-US"/>
              </w:rPr>
              <w:t xml:space="preserve">However, it would arguably also allow sharing of information between Inland Revenue employees and co-located staff which could be inconsistent with the limited specific information sharing provisions in the </w:t>
            </w:r>
            <w:r w:rsidR="002A463D">
              <w:rPr>
                <w:rFonts w:ascii="Times New Roman" w:hAnsi="Times New Roman"/>
                <w:sz w:val="20"/>
                <w:lang w:eastAsia="en-US"/>
              </w:rPr>
              <w:t>TAA</w:t>
            </w:r>
            <w:r>
              <w:rPr>
                <w:rFonts w:ascii="Times New Roman" w:hAnsi="Times New Roman"/>
                <w:sz w:val="20"/>
                <w:lang w:eastAsia="en-US"/>
              </w:rPr>
              <w:t xml:space="preserve">.  In other words, the option may sanction more than is intended.  If taxpayers consider that there is unlimited sharing of information, this may undermine </w:t>
            </w:r>
            <w:r>
              <w:rPr>
                <w:rFonts w:ascii="Times New Roman" w:hAnsi="Times New Roman"/>
                <w:sz w:val="20"/>
              </w:rPr>
              <w:t>taxpayers’ perceptions of the tax system and voluntary compliance.</w:t>
            </w:r>
          </w:p>
        </w:tc>
        <w:tc>
          <w:tcPr>
            <w:tcW w:w="2693" w:type="dxa"/>
            <w:tcBorders>
              <w:right w:val="single" w:sz="4" w:space="0" w:color="auto"/>
            </w:tcBorders>
          </w:tcPr>
          <w:p w:rsidR="00975268" w:rsidRDefault="00975268" w:rsidP="000B2A05">
            <w:pPr>
              <w:spacing w:after="0" w:line="240" w:lineRule="auto"/>
              <w:rPr>
                <w:rFonts w:ascii="Times New Roman" w:hAnsi="Times New Roman"/>
                <w:sz w:val="20"/>
                <w:lang w:eastAsia="en-US"/>
              </w:rPr>
            </w:pPr>
            <w:r>
              <w:rPr>
                <w:rFonts w:ascii="Times New Roman" w:hAnsi="Times New Roman"/>
                <w:sz w:val="20"/>
                <w:lang w:eastAsia="en-US"/>
              </w:rPr>
              <w:t>Section 81 only exempts communications for the purpose of carrying into effect the relevant legislation or performing a duty of the Commissioner.  There is a risk that communications between Inland Revenue employees and co-located staff would not satisfy that requirement (even if the co-located staff were deemed to be Inland Revenue employees).  This would mean that there is a risk that the option will not remedy the relevant policy problem.</w:t>
            </w:r>
          </w:p>
          <w:p w:rsidR="00975268" w:rsidRDefault="00975268" w:rsidP="000B2A05">
            <w:pPr>
              <w:spacing w:after="0" w:line="240" w:lineRule="auto"/>
              <w:rPr>
                <w:rFonts w:ascii="Times New Roman" w:hAnsi="Times New Roman"/>
                <w:sz w:val="20"/>
                <w:lang w:eastAsia="en-US"/>
              </w:rPr>
            </w:pPr>
          </w:p>
          <w:p w:rsidR="00AD7FEE" w:rsidRPr="000B2A05" w:rsidRDefault="00975268" w:rsidP="002A463D">
            <w:pPr>
              <w:spacing w:after="0" w:line="240" w:lineRule="auto"/>
              <w:rPr>
                <w:rFonts w:ascii="Times New Roman" w:hAnsi="Times New Roman"/>
                <w:sz w:val="20"/>
                <w:lang w:eastAsia="en-US"/>
              </w:rPr>
            </w:pPr>
            <w:r>
              <w:rPr>
                <w:rFonts w:ascii="Times New Roman" w:hAnsi="Times New Roman"/>
                <w:sz w:val="20"/>
                <w:lang w:eastAsia="en-US"/>
              </w:rPr>
              <w:t>Having the co-located staff sign secrecy certificates under section 81 would mean that they were subject to the same sanctions for any secrecy breache</w:t>
            </w:r>
            <w:r w:rsidR="006704BA">
              <w:rPr>
                <w:rFonts w:ascii="Times New Roman" w:hAnsi="Times New Roman"/>
                <w:sz w:val="20"/>
                <w:lang w:eastAsia="en-US"/>
              </w:rPr>
              <w:t xml:space="preserve">s as Inland Revenue employees. </w:t>
            </w:r>
            <w:r w:rsidR="002A463D">
              <w:rPr>
                <w:rFonts w:ascii="Times New Roman" w:hAnsi="Times New Roman"/>
                <w:sz w:val="20"/>
                <w:lang w:eastAsia="en-US"/>
              </w:rPr>
              <w:t xml:space="preserve"> </w:t>
            </w:r>
            <w:r>
              <w:rPr>
                <w:rFonts w:ascii="Times New Roman" w:hAnsi="Times New Roman"/>
                <w:sz w:val="20"/>
                <w:lang w:eastAsia="en-US"/>
              </w:rPr>
              <w:t>However, there has been some level of opposition in the past from other government agencies to having their staff sign Inland Revenue secrecy certificates.  As a result, there is a risk that the other agencies will not agree to sign the certificates.</w:t>
            </w:r>
          </w:p>
        </w:tc>
        <w:tc>
          <w:tcPr>
            <w:tcW w:w="2127" w:type="dxa"/>
            <w:tcBorders>
              <w:top w:val="single" w:sz="4" w:space="0" w:color="auto"/>
              <w:left w:val="single" w:sz="4" w:space="0" w:color="auto"/>
              <w:bottom w:val="single" w:sz="4" w:space="0" w:color="auto"/>
              <w:right w:val="single" w:sz="4" w:space="0" w:color="auto"/>
            </w:tcBorders>
          </w:tcPr>
          <w:p w:rsidR="00AD7FEE" w:rsidRPr="000B2A05" w:rsidRDefault="00AD7FEE" w:rsidP="000B2A05">
            <w:pPr>
              <w:spacing w:after="0" w:line="240" w:lineRule="auto"/>
              <w:rPr>
                <w:rFonts w:ascii="Times New Roman" w:hAnsi="Times New Roman"/>
                <w:sz w:val="20"/>
                <w:lang w:eastAsia="en-US"/>
              </w:rPr>
            </w:pPr>
            <w:r>
              <w:rPr>
                <w:rFonts w:ascii="Times New Roman" w:hAnsi="Times New Roman"/>
                <w:sz w:val="20"/>
                <w:lang w:eastAsia="en-US"/>
              </w:rPr>
              <w:t>Option 2 meets all of the stated objectives, but it arguably allows more information sharing than is intended.</w:t>
            </w:r>
          </w:p>
        </w:tc>
      </w:tr>
      <w:tr w:rsidR="00AD7FEE" w:rsidRPr="000B2A05" w:rsidTr="00AD7FEE">
        <w:trPr>
          <w:trHeight w:val="410"/>
        </w:trPr>
        <w:tc>
          <w:tcPr>
            <w:tcW w:w="1277" w:type="dxa"/>
            <w:tcBorders>
              <w:top w:val="single" w:sz="4" w:space="0" w:color="auto"/>
              <w:left w:val="single" w:sz="4" w:space="0" w:color="auto"/>
              <w:bottom w:val="single" w:sz="4" w:space="0" w:color="auto"/>
            </w:tcBorders>
          </w:tcPr>
          <w:p w:rsidR="00AD7FEE" w:rsidRDefault="00AD7FEE" w:rsidP="000B2A05">
            <w:pPr>
              <w:spacing w:after="0" w:line="240" w:lineRule="auto"/>
              <w:rPr>
                <w:rFonts w:ascii="Times New Roman" w:hAnsi="Times New Roman"/>
                <w:b/>
                <w:sz w:val="20"/>
                <w:lang w:eastAsia="en-US"/>
              </w:rPr>
            </w:pPr>
            <w:r>
              <w:rPr>
                <w:rFonts w:ascii="Times New Roman" w:hAnsi="Times New Roman"/>
                <w:b/>
                <w:sz w:val="20"/>
                <w:lang w:eastAsia="en-US"/>
              </w:rPr>
              <w:t>Option 3</w:t>
            </w:r>
          </w:p>
        </w:tc>
        <w:tc>
          <w:tcPr>
            <w:tcW w:w="1090" w:type="dxa"/>
            <w:tcBorders>
              <w:top w:val="single" w:sz="4" w:space="0" w:color="auto"/>
              <w:bottom w:val="single" w:sz="4" w:space="0" w:color="auto"/>
            </w:tcBorders>
          </w:tcPr>
          <w:p w:rsidR="00AD7FEE" w:rsidRPr="000B2A05" w:rsidRDefault="00AD7FEE" w:rsidP="000B2A05">
            <w:pPr>
              <w:spacing w:after="0" w:line="240" w:lineRule="auto"/>
              <w:rPr>
                <w:rFonts w:ascii="Times New Roman" w:hAnsi="Times New Roman"/>
                <w:sz w:val="20"/>
                <w:lang w:eastAsia="en-US"/>
              </w:rPr>
            </w:pPr>
            <w:r>
              <w:rPr>
                <w:rFonts w:ascii="Times New Roman" w:hAnsi="Times New Roman"/>
                <w:sz w:val="20"/>
                <w:lang w:eastAsia="en-US"/>
              </w:rPr>
              <w:t>a, b, c</w:t>
            </w:r>
          </w:p>
        </w:tc>
        <w:tc>
          <w:tcPr>
            <w:tcW w:w="1178" w:type="dxa"/>
            <w:tcBorders>
              <w:top w:val="single" w:sz="4" w:space="0" w:color="auto"/>
              <w:bottom w:val="single" w:sz="4" w:space="0" w:color="auto"/>
            </w:tcBorders>
          </w:tcPr>
          <w:p w:rsidR="00AD7FEE" w:rsidRPr="000B2A05" w:rsidRDefault="00AD7FEE" w:rsidP="000B2A05">
            <w:pPr>
              <w:spacing w:after="0" w:line="240" w:lineRule="auto"/>
              <w:rPr>
                <w:rFonts w:ascii="Times New Roman" w:hAnsi="Times New Roman"/>
                <w:sz w:val="20"/>
                <w:lang w:eastAsia="en-US"/>
              </w:rPr>
            </w:pPr>
            <w:r>
              <w:rPr>
                <w:rFonts w:ascii="Times New Roman" w:hAnsi="Times New Roman"/>
                <w:sz w:val="20"/>
                <w:lang w:eastAsia="en-US"/>
              </w:rPr>
              <w:t>Nil</w:t>
            </w:r>
          </w:p>
        </w:tc>
        <w:tc>
          <w:tcPr>
            <w:tcW w:w="2693" w:type="dxa"/>
            <w:tcBorders>
              <w:right w:val="single" w:sz="4" w:space="0" w:color="auto"/>
            </w:tcBorders>
          </w:tcPr>
          <w:p w:rsidR="00975268" w:rsidRDefault="00AD7FEE" w:rsidP="00AD7FEE">
            <w:pPr>
              <w:spacing w:after="0" w:line="240" w:lineRule="auto"/>
              <w:rPr>
                <w:rFonts w:ascii="Times New Roman" w:hAnsi="Times New Roman"/>
                <w:sz w:val="20"/>
                <w:lang w:eastAsia="en-US"/>
              </w:rPr>
            </w:pPr>
            <w:r>
              <w:rPr>
                <w:rFonts w:ascii="Times New Roman" w:hAnsi="Times New Roman"/>
                <w:sz w:val="20"/>
                <w:lang w:eastAsia="en-US"/>
              </w:rPr>
              <w:t xml:space="preserve">Option 3 would provide clarity to Inland Revenue employees by setting out the specific secrecy requirements in a co-located environment.  It would also specify the requirement on the </w:t>
            </w:r>
            <w:r>
              <w:rPr>
                <w:rFonts w:ascii="Times New Roman" w:hAnsi="Times New Roman"/>
                <w:sz w:val="20"/>
                <w:lang w:eastAsia="en-US"/>
              </w:rPr>
              <w:lastRenderedPageBreak/>
              <w:t xml:space="preserve">Commissioner to ensure that the </w:t>
            </w:r>
            <w:r w:rsidRPr="00BD36B3">
              <w:rPr>
                <w:rFonts w:ascii="Times New Roman" w:hAnsi="Times New Roman"/>
                <w:sz w:val="20"/>
                <w:lang w:eastAsia="en-US"/>
              </w:rPr>
              <w:t>risk of communication is consistent with her obligation at all times to use best endeavours to protect the integrity of the tax system</w:t>
            </w:r>
            <w:r>
              <w:rPr>
                <w:rFonts w:ascii="Times New Roman" w:hAnsi="Times New Roman"/>
                <w:sz w:val="20"/>
                <w:lang w:eastAsia="en-US"/>
              </w:rPr>
              <w:t>.  Getting the co-located staff to sign a section 87 secrecy certificate would provide them with clarity as to the extent that they can disc</w:t>
            </w:r>
            <w:r w:rsidR="00975268">
              <w:rPr>
                <w:rFonts w:ascii="Times New Roman" w:hAnsi="Times New Roman"/>
                <w:sz w:val="20"/>
                <w:lang w:eastAsia="en-US"/>
              </w:rPr>
              <w:t>lose any information.</w:t>
            </w:r>
          </w:p>
          <w:p w:rsidR="00975268" w:rsidRDefault="00975268" w:rsidP="00AD7FEE">
            <w:pPr>
              <w:spacing w:after="0" w:line="240" w:lineRule="auto"/>
              <w:rPr>
                <w:rFonts w:ascii="Times New Roman" w:hAnsi="Times New Roman"/>
                <w:sz w:val="20"/>
                <w:lang w:eastAsia="en-US"/>
              </w:rPr>
            </w:pPr>
          </w:p>
          <w:p w:rsidR="00AD7FEE" w:rsidRDefault="00AD7FEE" w:rsidP="00AD7FEE">
            <w:pPr>
              <w:spacing w:after="0" w:line="240" w:lineRule="auto"/>
              <w:rPr>
                <w:rFonts w:ascii="Times New Roman" w:hAnsi="Times New Roman"/>
                <w:sz w:val="20"/>
                <w:lang w:eastAsia="en-US"/>
              </w:rPr>
            </w:pPr>
            <w:r>
              <w:rPr>
                <w:rFonts w:ascii="Times New Roman" w:hAnsi="Times New Roman"/>
                <w:sz w:val="20"/>
                <w:lang w:eastAsia="en-US"/>
              </w:rPr>
              <w:t>Further, the relevant co-location arrangement agreement between Inland Revenue and the other government agency could set out any exceptions to the disclosure requirements and the process to be followed in case of any conflicts.</w:t>
            </w:r>
          </w:p>
          <w:p w:rsidR="00AD7FEE" w:rsidRDefault="00AD7FEE" w:rsidP="00AD7FEE">
            <w:pPr>
              <w:spacing w:after="0" w:line="240" w:lineRule="auto"/>
              <w:rPr>
                <w:rFonts w:ascii="Times New Roman" w:hAnsi="Times New Roman"/>
                <w:sz w:val="20"/>
                <w:lang w:eastAsia="en-US"/>
              </w:rPr>
            </w:pPr>
          </w:p>
          <w:p w:rsidR="00975268" w:rsidRDefault="00975268" w:rsidP="00975268">
            <w:pPr>
              <w:spacing w:after="0" w:line="240" w:lineRule="auto"/>
              <w:rPr>
                <w:rFonts w:ascii="Times New Roman" w:hAnsi="Times New Roman"/>
                <w:sz w:val="20"/>
              </w:rPr>
            </w:pPr>
            <w:r>
              <w:rPr>
                <w:rFonts w:ascii="Times New Roman" w:hAnsi="Times New Roman"/>
                <w:sz w:val="20"/>
              </w:rPr>
              <w:t xml:space="preserve">The option would provide Inland Revenue with significant operational flexibility to </w:t>
            </w:r>
            <w:r w:rsidRPr="005345E0">
              <w:rPr>
                <w:rFonts w:ascii="Times New Roman" w:hAnsi="Times New Roman"/>
                <w:sz w:val="20"/>
                <w:szCs w:val="20"/>
              </w:rPr>
              <w:t>deliver better public services in an efficient manner without imposing significant additional administrative costs</w:t>
            </w:r>
            <w:r>
              <w:rPr>
                <w:rFonts w:ascii="Times New Roman" w:hAnsi="Times New Roman"/>
                <w:sz w:val="20"/>
                <w:szCs w:val="20"/>
              </w:rPr>
              <w:t xml:space="preserve"> in a co-location environment.  However, the option will not enable the provision of better public services in a broader range of circumstances.</w:t>
            </w:r>
          </w:p>
          <w:p w:rsidR="00975268" w:rsidRDefault="00975268" w:rsidP="00AD7FEE">
            <w:pPr>
              <w:spacing w:after="0" w:line="240" w:lineRule="auto"/>
              <w:rPr>
                <w:rFonts w:ascii="Times New Roman" w:hAnsi="Times New Roman"/>
                <w:sz w:val="20"/>
                <w:lang w:eastAsia="en-US"/>
              </w:rPr>
            </w:pPr>
          </w:p>
          <w:p w:rsidR="002A463D" w:rsidRPr="000B2A05" w:rsidRDefault="002A463D" w:rsidP="00AD7FEE">
            <w:pPr>
              <w:spacing w:after="0" w:line="240" w:lineRule="auto"/>
              <w:rPr>
                <w:rFonts w:ascii="Times New Roman" w:hAnsi="Times New Roman"/>
                <w:sz w:val="20"/>
                <w:lang w:eastAsia="en-US"/>
              </w:rPr>
            </w:pPr>
          </w:p>
        </w:tc>
        <w:tc>
          <w:tcPr>
            <w:tcW w:w="2693" w:type="dxa"/>
            <w:tcBorders>
              <w:right w:val="single" w:sz="4" w:space="0" w:color="auto"/>
            </w:tcBorders>
          </w:tcPr>
          <w:p w:rsidR="00975268" w:rsidRDefault="00975268" w:rsidP="00975268">
            <w:pPr>
              <w:spacing w:after="0" w:line="240" w:lineRule="auto"/>
              <w:rPr>
                <w:rFonts w:ascii="Times New Roman" w:hAnsi="Times New Roman"/>
                <w:sz w:val="20"/>
              </w:rPr>
            </w:pPr>
            <w:r>
              <w:rPr>
                <w:rFonts w:ascii="Times New Roman" w:hAnsi="Times New Roman"/>
                <w:sz w:val="20"/>
                <w:lang w:eastAsia="en-US"/>
              </w:rPr>
              <w:lastRenderedPageBreak/>
              <w:t xml:space="preserve">Option 3 applies the same high standard of secrecy to the co-located staff (including imposing the same severe sanctions for any breaches).  The option only applies to inadvertent sharing and does </w:t>
            </w:r>
            <w:r>
              <w:rPr>
                <w:rFonts w:ascii="Times New Roman" w:hAnsi="Times New Roman"/>
                <w:sz w:val="20"/>
                <w:lang w:eastAsia="en-US"/>
              </w:rPr>
              <w:lastRenderedPageBreak/>
              <w:t xml:space="preserve">not sanction any wider sharing of information.  This will suggest to taxpayers that the same high standards that apply internally in Inland Revenue would apply in co-located environments and reinforce </w:t>
            </w:r>
            <w:r>
              <w:rPr>
                <w:rFonts w:ascii="Times New Roman" w:hAnsi="Times New Roman"/>
                <w:sz w:val="20"/>
              </w:rPr>
              <w:t xml:space="preserve">taxpayers’ perceptions of the tax system and voluntary compliance.  </w:t>
            </w:r>
          </w:p>
          <w:p w:rsidR="00AD7FEE" w:rsidRPr="000B2A05" w:rsidRDefault="00AD7FEE" w:rsidP="00975268">
            <w:pPr>
              <w:spacing w:after="0" w:line="240" w:lineRule="auto"/>
              <w:rPr>
                <w:rFonts w:ascii="Times New Roman" w:hAnsi="Times New Roman"/>
                <w:sz w:val="20"/>
                <w:lang w:eastAsia="en-US"/>
              </w:rPr>
            </w:pPr>
          </w:p>
        </w:tc>
        <w:tc>
          <w:tcPr>
            <w:tcW w:w="2693" w:type="dxa"/>
            <w:tcBorders>
              <w:right w:val="single" w:sz="4" w:space="0" w:color="auto"/>
            </w:tcBorders>
          </w:tcPr>
          <w:p w:rsidR="00975268" w:rsidRDefault="006704BA" w:rsidP="00975268">
            <w:pPr>
              <w:spacing w:after="0" w:line="240" w:lineRule="auto"/>
              <w:rPr>
                <w:rFonts w:ascii="Times New Roman" w:hAnsi="Times New Roman"/>
                <w:sz w:val="20"/>
                <w:lang w:eastAsia="en-US"/>
              </w:rPr>
            </w:pPr>
            <w:r>
              <w:rPr>
                <w:rFonts w:ascii="Times New Roman" w:hAnsi="Times New Roman"/>
                <w:sz w:val="20"/>
                <w:lang w:eastAsia="en-US"/>
              </w:rPr>
              <w:lastRenderedPageBreak/>
              <w:t>There is a risk that the other agencies will not agree to sign the certificates.</w:t>
            </w:r>
          </w:p>
          <w:p w:rsidR="00AD7FEE" w:rsidRPr="000B2A05" w:rsidRDefault="00AD7FEE" w:rsidP="000B2A05">
            <w:pPr>
              <w:spacing w:after="0" w:line="240" w:lineRule="auto"/>
              <w:rPr>
                <w:rFonts w:ascii="Times New Roman" w:hAnsi="Times New Roman"/>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AD7FEE" w:rsidRPr="000B2A05" w:rsidRDefault="00AD7FEE" w:rsidP="007636FF">
            <w:pPr>
              <w:spacing w:after="0" w:line="240" w:lineRule="auto"/>
              <w:rPr>
                <w:rFonts w:ascii="Times New Roman" w:hAnsi="Times New Roman"/>
                <w:sz w:val="20"/>
                <w:lang w:eastAsia="en-US"/>
              </w:rPr>
            </w:pPr>
            <w:r>
              <w:rPr>
                <w:rFonts w:ascii="Times New Roman" w:hAnsi="Times New Roman"/>
                <w:sz w:val="20"/>
                <w:lang w:eastAsia="en-US"/>
              </w:rPr>
              <w:t xml:space="preserve">While option 3 meets all the objectives, it only allows </w:t>
            </w:r>
            <w:r w:rsidR="00FB387B">
              <w:rPr>
                <w:rFonts w:ascii="Times New Roman" w:hAnsi="Times New Roman"/>
                <w:sz w:val="20"/>
                <w:lang w:eastAsia="en-US"/>
              </w:rPr>
              <w:t xml:space="preserve">inadvertent </w:t>
            </w:r>
            <w:r>
              <w:rPr>
                <w:rFonts w:ascii="Times New Roman" w:hAnsi="Times New Roman"/>
                <w:sz w:val="20"/>
                <w:lang w:eastAsia="en-US"/>
              </w:rPr>
              <w:t xml:space="preserve">communication of tax secret information in limited circumstances.  </w:t>
            </w:r>
          </w:p>
        </w:tc>
      </w:tr>
      <w:tr w:rsidR="00AD7FEE" w:rsidRPr="000B2A05" w:rsidTr="00AD7FEE">
        <w:trPr>
          <w:trHeight w:val="410"/>
        </w:trPr>
        <w:tc>
          <w:tcPr>
            <w:tcW w:w="1277" w:type="dxa"/>
            <w:tcBorders>
              <w:top w:val="single" w:sz="4" w:space="0" w:color="auto"/>
              <w:left w:val="single" w:sz="4" w:space="0" w:color="auto"/>
            </w:tcBorders>
          </w:tcPr>
          <w:p w:rsidR="00AD7FEE" w:rsidRDefault="00AD7FEE" w:rsidP="007636FF">
            <w:pPr>
              <w:spacing w:after="0" w:line="240" w:lineRule="auto"/>
              <w:rPr>
                <w:rFonts w:ascii="Times New Roman" w:hAnsi="Times New Roman"/>
                <w:b/>
                <w:sz w:val="20"/>
                <w:lang w:eastAsia="en-US"/>
              </w:rPr>
            </w:pPr>
            <w:r>
              <w:rPr>
                <w:rFonts w:ascii="Times New Roman" w:hAnsi="Times New Roman"/>
                <w:b/>
                <w:sz w:val="20"/>
                <w:lang w:eastAsia="en-US"/>
              </w:rPr>
              <w:lastRenderedPageBreak/>
              <w:t xml:space="preserve">Option 4 </w:t>
            </w:r>
          </w:p>
        </w:tc>
        <w:tc>
          <w:tcPr>
            <w:tcW w:w="1090" w:type="dxa"/>
            <w:tcBorders>
              <w:top w:val="single" w:sz="4" w:space="0" w:color="auto"/>
            </w:tcBorders>
          </w:tcPr>
          <w:p w:rsidR="00AD7FEE" w:rsidRDefault="00AD7FEE" w:rsidP="000B2A05">
            <w:pPr>
              <w:spacing w:after="0" w:line="240" w:lineRule="auto"/>
              <w:rPr>
                <w:rFonts w:ascii="Times New Roman" w:hAnsi="Times New Roman"/>
                <w:sz w:val="20"/>
                <w:lang w:eastAsia="en-US"/>
              </w:rPr>
            </w:pPr>
            <w:r>
              <w:rPr>
                <w:rFonts w:ascii="Times New Roman" w:hAnsi="Times New Roman"/>
                <w:sz w:val="20"/>
                <w:lang w:eastAsia="en-US"/>
              </w:rPr>
              <w:t>a, b, c</w:t>
            </w:r>
          </w:p>
        </w:tc>
        <w:tc>
          <w:tcPr>
            <w:tcW w:w="1178" w:type="dxa"/>
            <w:tcBorders>
              <w:top w:val="single" w:sz="4" w:space="0" w:color="auto"/>
            </w:tcBorders>
          </w:tcPr>
          <w:p w:rsidR="00AD7FEE" w:rsidRDefault="00AD7FEE" w:rsidP="000B2A05">
            <w:pPr>
              <w:spacing w:after="0" w:line="240" w:lineRule="auto"/>
              <w:rPr>
                <w:rFonts w:ascii="Times New Roman" w:hAnsi="Times New Roman"/>
                <w:sz w:val="20"/>
                <w:lang w:eastAsia="en-US"/>
              </w:rPr>
            </w:pPr>
            <w:r>
              <w:rPr>
                <w:rFonts w:ascii="Times New Roman" w:hAnsi="Times New Roman"/>
                <w:sz w:val="20"/>
                <w:lang w:eastAsia="en-US"/>
              </w:rPr>
              <w:t>Nil</w:t>
            </w:r>
          </w:p>
        </w:tc>
        <w:tc>
          <w:tcPr>
            <w:tcW w:w="2693" w:type="dxa"/>
            <w:tcBorders>
              <w:right w:val="single" w:sz="4" w:space="0" w:color="auto"/>
            </w:tcBorders>
          </w:tcPr>
          <w:p w:rsidR="00975268" w:rsidRDefault="00975268" w:rsidP="00975268">
            <w:pPr>
              <w:spacing w:after="0" w:line="240" w:lineRule="auto"/>
              <w:rPr>
                <w:rFonts w:ascii="Times New Roman" w:hAnsi="Times New Roman"/>
                <w:sz w:val="20"/>
                <w:lang w:eastAsia="en-US"/>
              </w:rPr>
            </w:pPr>
            <w:r>
              <w:rPr>
                <w:rFonts w:ascii="Times New Roman" w:hAnsi="Times New Roman"/>
                <w:sz w:val="20"/>
                <w:lang w:eastAsia="en-US"/>
              </w:rPr>
              <w:t>Option 4 provides clarity to Inland Revenue employees in a broad range of c</w:t>
            </w:r>
            <w:r w:rsidR="002A463D">
              <w:rPr>
                <w:rFonts w:ascii="Times New Roman" w:hAnsi="Times New Roman"/>
                <w:sz w:val="20"/>
                <w:lang w:eastAsia="en-US"/>
              </w:rPr>
              <w:t>ircumstances.  It applies wherever</w:t>
            </w:r>
            <w:r w:rsidRPr="004F6CDB">
              <w:rPr>
                <w:rFonts w:ascii="Times New Roman" w:hAnsi="Times New Roman"/>
                <w:sz w:val="20"/>
                <w:lang w:eastAsia="en-US"/>
              </w:rPr>
              <w:t xml:space="preserve"> the Commissioner </w:t>
            </w:r>
            <w:r w:rsidR="002A463D">
              <w:rPr>
                <w:rFonts w:ascii="Times New Roman" w:hAnsi="Times New Roman"/>
                <w:sz w:val="20"/>
                <w:lang w:eastAsia="en-US"/>
              </w:rPr>
              <w:t xml:space="preserve">of Inland Revenue </w:t>
            </w:r>
            <w:r w:rsidRPr="004F6CDB">
              <w:rPr>
                <w:rFonts w:ascii="Times New Roman" w:hAnsi="Times New Roman"/>
                <w:sz w:val="20"/>
                <w:lang w:eastAsia="en-US"/>
              </w:rPr>
              <w:t xml:space="preserve">expects them to perform their duties.  </w:t>
            </w:r>
            <w:r>
              <w:rPr>
                <w:rFonts w:ascii="Times New Roman" w:hAnsi="Times New Roman"/>
                <w:sz w:val="20"/>
                <w:lang w:eastAsia="en-US"/>
              </w:rPr>
              <w:t xml:space="preserve">This may extend beyond the strict confines of the office to include situations such as where two employees are driving to a location.  </w:t>
            </w:r>
            <w:r w:rsidRPr="004F6CDB">
              <w:rPr>
                <w:rFonts w:ascii="Times New Roman" w:hAnsi="Times New Roman"/>
                <w:sz w:val="20"/>
                <w:lang w:eastAsia="en-US"/>
              </w:rPr>
              <w:t>The employee will not breach the secrecy provision in those circumstances if the employee communicates the information unintentionally to an employee of Inland Revenue or another state agency</w:t>
            </w:r>
            <w:r>
              <w:rPr>
                <w:rFonts w:ascii="Times New Roman" w:hAnsi="Times New Roman"/>
                <w:sz w:val="20"/>
                <w:lang w:eastAsia="en-US"/>
              </w:rPr>
              <w:t xml:space="preserve"> (</w:t>
            </w:r>
            <w:proofErr w:type="spellStart"/>
            <w:r>
              <w:rPr>
                <w:rFonts w:ascii="Times New Roman" w:hAnsi="Times New Roman"/>
                <w:sz w:val="20"/>
                <w:lang w:eastAsia="en-US"/>
              </w:rPr>
              <w:t>eg</w:t>
            </w:r>
            <w:proofErr w:type="spellEnd"/>
            <w:r>
              <w:rPr>
                <w:rFonts w:ascii="Times New Roman" w:hAnsi="Times New Roman"/>
                <w:sz w:val="20"/>
                <w:lang w:eastAsia="en-US"/>
              </w:rPr>
              <w:t>, where they answer a phone call while travelling in the car)</w:t>
            </w:r>
            <w:r w:rsidRPr="004F6CDB">
              <w:rPr>
                <w:rFonts w:ascii="Times New Roman" w:hAnsi="Times New Roman"/>
                <w:sz w:val="20"/>
                <w:lang w:eastAsia="en-US"/>
              </w:rPr>
              <w:t>.</w:t>
            </w:r>
          </w:p>
          <w:p w:rsidR="00975268" w:rsidRDefault="00975268" w:rsidP="00975268">
            <w:pPr>
              <w:spacing w:after="0" w:line="240" w:lineRule="auto"/>
              <w:rPr>
                <w:rFonts w:ascii="Times New Roman" w:hAnsi="Times New Roman"/>
                <w:sz w:val="20"/>
                <w:lang w:eastAsia="en-US"/>
              </w:rPr>
            </w:pPr>
          </w:p>
          <w:p w:rsidR="00975268" w:rsidRDefault="00975268" w:rsidP="00975268">
            <w:pPr>
              <w:spacing w:after="0" w:line="240" w:lineRule="auto"/>
              <w:rPr>
                <w:rFonts w:ascii="Times New Roman" w:hAnsi="Times New Roman"/>
                <w:sz w:val="20"/>
              </w:rPr>
            </w:pPr>
            <w:r>
              <w:rPr>
                <w:rFonts w:ascii="Times New Roman" w:hAnsi="Times New Roman"/>
                <w:sz w:val="20"/>
              </w:rPr>
              <w:t xml:space="preserve">The option would provide Inland Revenue with significant operational flexibility to </w:t>
            </w:r>
            <w:r w:rsidRPr="005345E0">
              <w:rPr>
                <w:rFonts w:ascii="Times New Roman" w:hAnsi="Times New Roman"/>
                <w:sz w:val="20"/>
                <w:szCs w:val="20"/>
              </w:rPr>
              <w:t>deliver better public services in an efficient manner without imposing significant additional administrative costs</w:t>
            </w:r>
            <w:r>
              <w:rPr>
                <w:rFonts w:ascii="Times New Roman" w:hAnsi="Times New Roman"/>
                <w:sz w:val="20"/>
                <w:szCs w:val="20"/>
              </w:rPr>
              <w:t xml:space="preserve"> in a broader range of circumstances.</w:t>
            </w:r>
          </w:p>
          <w:p w:rsidR="00AD7FEE" w:rsidRDefault="00AD7FEE" w:rsidP="000B2A05">
            <w:pPr>
              <w:spacing w:after="0" w:line="240" w:lineRule="auto"/>
              <w:rPr>
                <w:rFonts w:ascii="Times New Roman" w:hAnsi="Times New Roman"/>
                <w:sz w:val="20"/>
                <w:lang w:eastAsia="en-US"/>
              </w:rPr>
            </w:pPr>
          </w:p>
        </w:tc>
        <w:tc>
          <w:tcPr>
            <w:tcW w:w="2693" w:type="dxa"/>
            <w:tcBorders>
              <w:right w:val="single" w:sz="4" w:space="0" w:color="auto"/>
            </w:tcBorders>
          </w:tcPr>
          <w:p w:rsidR="002A463D" w:rsidRDefault="002A463D" w:rsidP="002A463D">
            <w:pPr>
              <w:spacing w:after="0" w:line="240" w:lineRule="auto"/>
              <w:rPr>
                <w:rFonts w:ascii="Times New Roman" w:hAnsi="Times New Roman"/>
                <w:sz w:val="20"/>
              </w:rPr>
            </w:pPr>
            <w:r>
              <w:rPr>
                <w:rFonts w:ascii="Times New Roman" w:hAnsi="Times New Roman"/>
                <w:sz w:val="20"/>
                <w:lang w:eastAsia="en-US"/>
              </w:rPr>
              <w:t xml:space="preserve">The exemption only applies if the person communicated to </w:t>
            </w:r>
            <w:proofErr w:type="gramStart"/>
            <w:r>
              <w:rPr>
                <w:rFonts w:ascii="Times New Roman" w:hAnsi="Times New Roman"/>
                <w:sz w:val="20"/>
                <w:lang w:eastAsia="en-US"/>
              </w:rPr>
              <w:t>is</w:t>
            </w:r>
            <w:proofErr w:type="gramEnd"/>
            <w:r>
              <w:rPr>
                <w:rFonts w:ascii="Times New Roman" w:hAnsi="Times New Roman"/>
                <w:sz w:val="20"/>
                <w:lang w:eastAsia="en-US"/>
              </w:rPr>
              <w:t xml:space="preserve"> subject to section 87.  This means that they need to have signed a secrecy certificate.  As a result, the same standard of secrecy that applies in Inland Revenue offices will apply to co-located offices.  Inland Revenue considers that the option will reinforce </w:t>
            </w:r>
            <w:r>
              <w:rPr>
                <w:rFonts w:ascii="Times New Roman" w:hAnsi="Times New Roman"/>
                <w:sz w:val="20"/>
              </w:rPr>
              <w:t>taxpayers’ perceptions of the tax system and voluntary compliance.</w:t>
            </w:r>
          </w:p>
          <w:p w:rsidR="002A463D" w:rsidRPr="0062384B" w:rsidRDefault="002A463D" w:rsidP="002A463D">
            <w:pPr>
              <w:spacing w:after="0" w:line="240" w:lineRule="auto"/>
              <w:rPr>
                <w:rFonts w:ascii="Times New Roman" w:hAnsi="Times New Roman"/>
                <w:b/>
                <w:sz w:val="20"/>
                <w:lang w:eastAsia="en-US"/>
              </w:rPr>
            </w:pPr>
          </w:p>
          <w:p w:rsidR="006704BA" w:rsidRDefault="006704BA" w:rsidP="006704BA">
            <w:pPr>
              <w:spacing w:after="0" w:line="240" w:lineRule="auto"/>
              <w:rPr>
                <w:rFonts w:ascii="Times New Roman" w:hAnsi="Times New Roman"/>
                <w:sz w:val="20"/>
                <w:lang w:eastAsia="en-US"/>
              </w:rPr>
            </w:pPr>
            <w:r>
              <w:rPr>
                <w:rFonts w:ascii="Times New Roman" w:hAnsi="Times New Roman"/>
                <w:sz w:val="20"/>
                <w:lang w:eastAsia="en-US"/>
              </w:rPr>
              <w:t>While there is no specific reference to the obligation on employees to use their best endeavours at all times to protect the integrity of the tax system, the employees are still subject to section 6.</w:t>
            </w:r>
          </w:p>
          <w:p w:rsidR="006704BA" w:rsidRDefault="006704BA" w:rsidP="006704BA">
            <w:pPr>
              <w:spacing w:after="0" w:line="240" w:lineRule="auto"/>
              <w:rPr>
                <w:rFonts w:ascii="Times New Roman" w:hAnsi="Times New Roman"/>
                <w:sz w:val="20"/>
                <w:lang w:eastAsia="en-US"/>
              </w:rPr>
            </w:pPr>
          </w:p>
          <w:p w:rsidR="00AD7FEE" w:rsidRDefault="006704BA" w:rsidP="006704BA">
            <w:pPr>
              <w:spacing w:after="0" w:line="240" w:lineRule="auto"/>
              <w:rPr>
                <w:rFonts w:ascii="Times New Roman" w:hAnsi="Times New Roman"/>
                <w:sz w:val="20"/>
                <w:lang w:eastAsia="en-US"/>
              </w:rPr>
            </w:pPr>
            <w:r>
              <w:rPr>
                <w:rFonts w:ascii="Times New Roman" w:hAnsi="Times New Roman"/>
                <w:sz w:val="20"/>
                <w:lang w:eastAsia="en-US"/>
              </w:rPr>
              <w:t>While the more general nature of the provision could suggest more information sharing than is currently the case, this is not intended to be the case.  Any sharing of information would have to be unintentional.</w:t>
            </w:r>
          </w:p>
          <w:p w:rsidR="006704BA" w:rsidRDefault="006704BA" w:rsidP="006704BA">
            <w:pPr>
              <w:spacing w:after="0" w:line="240" w:lineRule="auto"/>
              <w:rPr>
                <w:rFonts w:ascii="Times New Roman" w:hAnsi="Times New Roman"/>
                <w:sz w:val="20"/>
                <w:lang w:eastAsia="en-US"/>
              </w:rPr>
            </w:pPr>
          </w:p>
          <w:p w:rsidR="006704BA" w:rsidRDefault="006704BA" w:rsidP="006704BA">
            <w:pPr>
              <w:spacing w:after="0" w:line="240" w:lineRule="auto"/>
              <w:rPr>
                <w:rFonts w:ascii="Times New Roman" w:hAnsi="Times New Roman"/>
                <w:sz w:val="20"/>
                <w:lang w:eastAsia="en-US"/>
              </w:rPr>
            </w:pPr>
          </w:p>
          <w:p w:rsidR="006704BA" w:rsidRDefault="006704BA" w:rsidP="006704BA">
            <w:pPr>
              <w:spacing w:after="0" w:line="240" w:lineRule="auto"/>
              <w:rPr>
                <w:rFonts w:ascii="Times New Roman" w:hAnsi="Times New Roman"/>
                <w:sz w:val="20"/>
                <w:lang w:eastAsia="en-US"/>
              </w:rPr>
            </w:pPr>
          </w:p>
        </w:tc>
        <w:tc>
          <w:tcPr>
            <w:tcW w:w="2693" w:type="dxa"/>
            <w:tcBorders>
              <w:right w:val="single" w:sz="4" w:space="0" w:color="auto"/>
            </w:tcBorders>
          </w:tcPr>
          <w:p w:rsidR="006704BA" w:rsidRDefault="006704BA" w:rsidP="006704BA">
            <w:pPr>
              <w:spacing w:after="0" w:line="240" w:lineRule="auto"/>
              <w:rPr>
                <w:rFonts w:ascii="Times New Roman" w:hAnsi="Times New Roman"/>
                <w:sz w:val="20"/>
                <w:lang w:eastAsia="en-US"/>
              </w:rPr>
            </w:pPr>
            <w:r>
              <w:rPr>
                <w:rFonts w:ascii="Times New Roman" w:hAnsi="Times New Roman"/>
                <w:sz w:val="20"/>
                <w:lang w:eastAsia="en-US"/>
              </w:rPr>
              <w:t>There is a risk that the other agencies will not agree to sign the certificates.</w:t>
            </w:r>
          </w:p>
          <w:p w:rsidR="006704BA" w:rsidRDefault="006704BA" w:rsidP="006704BA">
            <w:pPr>
              <w:spacing w:after="0" w:line="240" w:lineRule="auto"/>
              <w:rPr>
                <w:rFonts w:ascii="Times New Roman" w:hAnsi="Times New Roman"/>
                <w:sz w:val="20"/>
                <w:lang w:eastAsia="en-US"/>
              </w:rPr>
            </w:pPr>
          </w:p>
          <w:p w:rsidR="006704BA" w:rsidRDefault="006704BA" w:rsidP="006704BA">
            <w:pPr>
              <w:spacing w:after="0" w:line="240" w:lineRule="auto"/>
              <w:rPr>
                <w:rFonts w:ascii="Times New Roman" w:hAnsi="Times New Roman"/>
                <w:sz w:val="20"/>
              </w:rPr>
            </w:pPr>
            <w:r>
              <w:rPr>
                <w:rFonts w:ascii="Times New Roman" w:hAnsi="Times New Roman"/>
                <w:sz w:val="20"/>
                <w:lang w:eastAsia="en-US"/>
              </w:rPr>
              <w:t xml:space="preserve">There is a small risk that the general nature of the provision will suggest to taxpayers that Inland Revenue is lowering its overall secrecy standard.  This could undermine </w:t>
            </w:r>
            <w:r>
              <w:rPr>
                <w:rFonts w:ascii="Times New Roman" w:hAnsi="Times New Roman"/>
                <w:sz w:val="20"/>
              </w:rPr>
              <w:t>taxpayers’ perceptions of the tax system and voluntary compliance.  However, the specific requirement in the proposed provision, that the sharing be unintentional, should mitigate any significant risk.</w:t>
            </w:r>
          </w:p>
          <w:p w:rsidR="006704BA" w:rsidRDefault="006704BA" w:rsidP="006704BA">
            <w:pPr>
              <w:spacing w:after="0" w:line="240" w:lineRule="auto"/>
              <w:rPr>
                <w:rFonts w:ascii="Times New Roman" w:hAnsi="Times New Roman"/>
                <w:sz w:val="20"/>
                <w:lang w:eastAsia="en-US"/>
              </w:rPr>
            </w:pPr>
          </w:p>
          <w:p w:rsidR="00AD7FEE" w:rsidRDefault="00AD7FEE" w:rsidP="000B2A05">
            <w:pPr>
              <w:spacing w:after="0" w:line="240" w:lineRule="auto"/>
              <w:rPr>
                <w:rFonts w:ascii="Times New Roman" w:hAnsi="Times New Roman"/>
                <w:sz w:val="20"/>
                <w:lang w:eastAsia="en-US"/>
              </w:rPr>
            </w:pPr>
          </w:p>
        </w:tc>
        <w:tc>
          <w:tcPr>
            <w:tcW w:w="2127" w:type="dxa"/>
            <w:tcBorders>
              <w:top w:val="single" w:sz="4" w:space="0" w:color="auto"/>
              <w:left w:val="single" w:sz="4" w:space="0" w:color="auto"/>
              <w:right w:val="single" w:sz="4" w:space="0" w:color="auto"/>
            </w:tcBorders>
          </w:tcPr>
          <w:p w:rsidR="00AD7FEE" w:rsidRDefault="00AD7FEE" w:rsidP="0062384B">
            <w:pPr>
              <w:spacing w:after="0" w:line="240" w:lineRule="auto"/>
              <w:rPr>
                <w:rFonts w:ascii="Times New Roman" w:hAnsi="Times New Roman"/>
                <w:sz w:val="20"/>
                <w:lang w:eastAsia="en-US"/>
              </w:rPr>
            </w:pPr>
            <w:r>
              <w:rPr>
                <w:rFonts w:ascii="Times New Roman" w:hAnsi="Times New Roman"/>
                <w:sz w:val="20"/>
                <w:lang w:eastAsia="en-US"/>
              </w:rPr>
              <w:t xml:space="preserve">Option 4 is the preferred option because it meets all the objectives and allows </w:t>
            </w:r>
            <w:r w:rsidR="00FB387B">
              <w:rPr>
                <w:rFonts w:ascii="Times New Roman" w:hAnsi="Times New Roman"/>
                <w:sz w:val="20"/>
                <w:lang w:eastAsia="en-US"/>
              </w:rPr>
              <w:t xml:space="preserve">inadvertent </w:t>
            </w:r>
            <w:r>
              <w:rPr>
                <w:rFonts w:ascii="Times New Roman" w:hAnsi="Times New Roman"/>
                <w:sz w:val="20"/>
                <w:lang w:eastAsia="en-US"/>
              </w:rPr>
              <w:t xml:space="preserve">communication of tax secret information in a broader range of circumstances.  Inland Revenue considers that the option will reinforce </w:t>
            </w:r>
            <w:r>
              <w:rPr>
                <w:rFonts w:ascii="Times New Roman" w:hAnsi="Times New Roman"/>
                <w:sz w:val="20"/>
              </w:rPr>
              <w:t>taxpayers’ perceptions of the tax system and voluntary compliance.</w:t>
            </w:r>
          </w:p>
        </w:tc>
      </w:tr>
      <w:tr w:rsidR="00AD7FEE" w:rsidRPr="000B2A05" w:rsidTr="00AD7FEE">
        <w:trPr>
          <w:trHeight w:val="410"/>
        </w:trPr>
        <w:tc>
          <w:tcPr>
            <w:tcW w:w="1277" w:type="dxa"/>
            <w:tcBorders>
              <w:top w:val="single" w:sz="4" w:space="0" w:color="auto"/>
              <w:left w:val="single" w:sz="4" w:space="0" w:color="auto"/>
            </w:tcBorders>
          </w:tcPr>
          <w:p w:rsidR="00AD7FEE" w:rsidRDefault="00AD7FEE" w:rsidP="000B2A05">
            <w:pPr>
              <w:spacing w:after="0" w:line="240" w:lineRule="auto"/>
              <w:rPr>
                <w:rFonts w:ascii="Times New Roman" w:hAnsi="Times New Roman"/>
                <w:b/>
                <w:sz w:val="20"/>
                <w:lang w:eastAsia="en-US"/>
              </w:rPr>
            </w:pPr>
            <w:r>
              <w:rPr>
                <w:rFonts w:ascii="Times New Roman" w:hAnsi="Times New Roman"/>
                <w:b/>
                <w:sz w:val="20"/>
                <w:lang w:eastAsia="en-US"/>
              </w:rPr>
              <w:t>Option 5</w:t>
            </w:r>
          </w:p>
          <w:p w:rsidR="00AD7FEE" w:rsidRDefault="00AD7FEE" w:rsidP="000B2A05">
            <w:pPr>
              <w:spacing w:after="0" w:line="240" w:lineRule="auto"/>
              <w:rPr>
                <w:rFonts w:ascii="Times New Roman" w:hAnsi="Times New Roman"/>
                <w:b/>
                <w:sz w:val="20"/>
                <w:lang w:eastAsia="en-US"/>
              </w:rPr>
            </w:pPr>
            <w:r>
              <w:rPr>
                <w:rFonts w:ascii="Times New Roman" w:hAnsi="Times New Roman"/>
                <w:b/>
                <w:sz w:val="20"/>
                <w:lang w:eastAsia="en-US"/>
              </w:rPr>
              <w:t>(status quo)</w:t>
            </w:r>
          </w:p>
        </w:tc>
        <w:tc>
          <w:tcPr>
            <w:tcW w:w="1090" w:type="dxa"/>
            <w:tcBorders>
              <w:top w:val="single" w:sz="4" w:space="0" w:color="auto"/>
            </w:tcBorders>
          </w:tcPr>
          <w:p w:rsidR="00AD7FEE" w:rsidRPr="000B2A05" w:rsidRDefault="00AD7FEE" w:rsidP="000B2A05">
            <w:pPr>
              <w:spacing w:after="0" w:line="240" w:lineRule="auto"/>
              <w:rPr>
                <w:rFonts w:ascii="Times New Roman" w:hAnsi="Times New Roman"/>
                <w:sz w:val="20"/>
                <w:lang w:eastAsia="en-US"/>
              </w:rPr>
            </w:pPr>
            <w:r>
              <w:rPr>
                <w:rFonts w:ascii="Times New Roman" w:hAnsi="Times New Roman"/>
                <w:sz w:val="20"/>
                <w:lang w:eastAsia="en-US"/>
              </w:rPr>
              <w:t>c</w:t>
            </w:r>
          </w:p>
        </w:tc>
        <w:tc>
          <w:tcPr>
            <w:tcW w:w="1178" w:type="dxa"/>
            <w:tcBorders>
              <w:top w:val="single" w:sz="4" w:space="0" w:color="auto"/>
            </w:tcBorders>
          </w:tcPr>
          <w:p w:rsidR="00AD7FEE" w:rsidRPr="000B2A05" w:rsidRDefault="00AD7FEE" w:rsidP="000B2A05">
            <w:pPr>
              <w:spacing w:after="0" w:line="240" w:lineRule="auto"/>
              <w:rPr>
                <w:rFonts w:ascii="Times New Roman" w:hAnsi="Times New Roman"/>
                <w:sz w:val="20"/>
                <w:lang w:eastAsia="en-US"/>
              </w:rPr>
            </w:pPr>
            <w:r>
              <w:rPr>
                <w:rFonts w:ascii="Times New Roman" w:hAnsi="Times New Roman"/>
                <w:sz w:val="20"/>
                <w:lang w:eastAsia="en-US"/>
              </w:rPr>
              <w:t>Nil</w:t>
            </w:r>
          </w:p>
        </w:tc>
        <w:tc>
          <w:tcPr>
            <w:tcW w:w="2693" w:type="dxa"/>
            <w:tcBorders>
              <w:right w:val="single" w:sz="4" w:space="0" w:color="auto"/>
            </w:tcBorders>
          </w:tcPr>
          <w:p w:rsidR="00AD7FEE" w:rsidRPr="000B2A05" w:rsidRDefault="00975268" w:rsidP="000B2A05">
            <w:pPr>
              <w:spacing w:after="0" w:line="240" w:lineRule="auto"/>
              <w:rPr>
                <w:rFonts w:ascii="Times New Roman" w:hAnsi="Times New Roman"/>
                <w:sz w:val="20"/>
                <w:lang w:eastAsia="en-US"/>
              </w:rPr>
            </w:pPr>
            <w:r>
              <w:rPr>
                <w:rFonts w:ascii="Times New Roman" w:hAnsi="Times New Roman"/>
                <w:sz w:val="20"/>
                <w:lang w:eastAsia="en-US"/>
              </w:rPr>
              <w:t>As discussed above at [</w:t>
            </w:r>
            <w:r>
              <w:rPr>
                <w:rFonts w:ascii="Times New Roman" w:hAnsi="Times New Roman"/>
                <w:sz w:val="20"/>
                <w:lang w:eastAsia="en-US"/>
              </w:rPr>
              <w:fldChar w:fldCharType="begin"/>
            </w:r>
            <w:r>
              <w:rPr>
                <w:rFonts w:ascii="Times New Roman" w:hAnsi="Times New Roman"/>
                <w:sz w:val="20"/>
                <w:lang w:eastAsia="en-US"/>
              </w:rPr>
              <w:instrText xml:space="preserve"> REF _Ref417378968 \r \h </w:instrText>
            </w:r>
            <w:r>
              <w:rPr>
                <w:rFonts w:ascii="Times New Roman" w:hAnsi="Times New Roman"/>
                <w:sz w:val="20"/>
                <w:lang w:eastAsia="en-US"/>
              </w:rPr>
            </w:r>
            <w:r>
              <w:rPr>
                <w:rFonts w:ascii="Times New Roman" w:hAnsi="Times New Roman"/>
                <w:sz w:val="20"/>
                <w:lang w:eastAsia="en-US"/>
              </w:rPr>
              <w:fldChar w:fldCharType="separate"/>
            </w:r>
            <w:r w:rsidR="00296297">
              <w:rPr>
                <w:rFonts w:ascii="Times New Roman" w:hAnsi="Times New Roman"/>
                <w:sz w:val="20"/>
                <w:lang w:eastAsia="en-US"/>
              </w:rPr>
              <w:t>6</w:t>
            </w:r>
            <w:r>
              <w:rPr>
                <w:rFonts w:ascii="Times New Roman" w:hAnsi="Times New Roman"/>
                <w:sz w:val="20"/>
                <w:lang w:eastAsia="en-US"/>
              </w:rPr>
              <w:fldChar w:fldCharType="end"/>
            </w:r>
            <w:r>
              <w:rPr>
                <w:rFonts w:ascii="Times New Roman" w:hAnsi="Times New Roman"/>
                <w:sz w:val="20"/>
                <w:lang w:eastAsia="en-US"/>
              </w:rPr>
              <w:t>].</w:t>
            </w:r>
          </w:p>
        </w:tc>
        <w:tc>
          <w:tcPr>
            <w:tcW w:w="2693" w:type="dxa"/>
            <w:tcBorders>
              <w:right w:val="single" w:sz="4" w:space="0" w:color="auto"/>
            </w:tcBorders>
          </w:tcPr>
          <w:p w:rsidR="00AD7FEE" w:rsidRPr="000B2A05" w:rsidRDefault="006704BA" w:rsidP="000B2A05">
            <w:pPr>
              <w:spacing w:after="0" w:line="240" w:lineRule="auto"/>
              <w:rPr>
                <w:rFonts w:ascii="Times New Roman" w:hAnsi="Times New Roman"/>
                <w:sz w:val="20"/>
                <w:lang w:eastAsia="en-US"/>
              </w:rPr>
            </w:pPr>
            <w:r>
              <w:rPr>
                <w:rFonts w:ascii="Times New Roman" w:hAnsi="Times New Roman"/>
                <w:sz w:val="20"/>
                <w:lang w:eastAsia="en-US"/>
              </w:rPr>
              <w:t>As discussed above at [</w:t>
            </w:r>
            <w:r>
              <w:rPr>
                <w:rFonts w:ascii="Times New Roman" w:hAnsi="Times New Roman"/>
                <w:sz w:val="20"/>
                <w:lang w:eastAsia="en-US"/>
              </w:rPr>
              <w:fldChar w:fldCharType="begin"/>
            </w:r>
            <w:r>
              <w:rPr>
                <w:rFonts w:ascii="Times New Roman" w:hAnsi="Times New Roman"/>
                <w:sz w:val="20"/>
                <w:lang w:eastAsia="en-US"/>
              </w:rPr>
              <w:instrText xml:space="preserve"> REF _Ref417378968 \r \h </w:instrText>
            </w:r>
            <w:r>
              <w:rPr>
                <w:rFonts w:ascii="Times New Roman" w:hAnsi="Times New Roman"/>
                <w:sz w:val="20"/>
                <w:lang w:eastAsia="en-US"/>
              </w:rPr>
            </w:r>
            <w:r>
              <w:rPr>
                <w:rFonts w:ascii="Times New Roman" w:hAnsi="Times New Roman"/>
                <w:sz w:val="20"/>
                <w:lang w:eastAsia="en-US"/>
              </w:rPr>
              <w:fldChar w:fldCharType="separate"/>
            </w:r>
            <w:r w:rsidR="00296297">
              <w:rPr>
                <w:rFonts w:ascii="Times New Roman" w:hAnsi="Times New Roman"/>
                <w:sz w:val="20"/>
                <w:lang w:eastAsia="en-US"/>
              </w:rPr>
              <w:t>6</w:t>
            </w:r>
            <w:r>
              <w:rPr>
                <w:rFonts w:ascii="Times New Roman" w:hAnsi="Times New Roman"/>
                <w:sz w:val="20"/>
                <w:lang w:eastAsia="en-US"/>
              </w:rPr>
              <w:fldChar w:fldCharType="end"/>
            </w:r>
            <w:r>
              <w:rPr>
                <w:rFonts w:ascii="Times New Roman" w:hAnsi="Times New Roman"/>
                <w:sz w:val="20"/>
                <w:lang w:eastAsia="en-US"/>
              </w:rPr>
              <w:t>].</w:t>
            </w:r>
          </w:p>
        </w:tc>
        <w:tc>
          <w:tcPr>
            <w:tcW w:w="2693" w:type="dxa"/>
            <w:tcBorders>
              <w:right w:val="single" w:sz="4" w:space="0" w:color="auto"/>
            </w:tcBorders>
          </w:tcPr>
          <w:p w:rsidR="00AD7FEE" w:rsidRPr="000B2A05" w:rsidRDefault="006704BA" w:rsidP="000B2A05">
            <w:pPr>
              <w:spacing w:after="0" w:line="240" w:lineRule="auto"/>
              <w:rPr>
                <w:rFonts w:ascii="Times New Roman" w:hAnsi="Times New Roman"/>
                <w:sz w:val="20"/>
                <w:lang w:eastAsia="en-US"/>
              </w:rPr>
            </w:pPr>
            <w:r>
              <w:rPr>
                <w:rFonts w:ascii="Times New Roman" w:hAnsi="Times New Roman"/>
                <w:sz w:val="20"/>
                <w:lang w:eastAsia="en-US"/>
              </w:rPr>
              <w:t>As discussed above at [</w:t>
            </w:r>
            <w:r>
              <w:rPr>
                <w:rFonts w:ascii="Times New Roman" w:hAnsi="Times New Roman"/>
                <w:sz w:val="20"/>
                <w:lang w:eastAsia="en-US"/>
              </w:rPr>
              <w:fldChar w:fldCharType="begin"/>
            </w:r>
            <w:r>
              <w:rPr>
                <w:rFonts w:ascii="Times New Roman" w:hAnsi="Times New Roman"/>
                <w:sz w:val="20"/>
                <w:lang w:eastAsia="en-US"/>
              </w:rPr>
              <w:instrText xml:space="preserve"> REF _Ref417378968 \r \h </w:instrText>
            </w:r>
            <w:r>
              <w:rPr>
                <w:rFonts w:ascii="Times New Roman" w:hAnsi="Times New Roman"/>
                <w:sz w:val="20"/>
                <w:lang w:eastAsia="en-US"/>
              </w:rPr>
            </w:r>
            <w:r>
              <w:rPr>
                <w:rFonts w:ascii="Times New Roman" w:hAnsi="Times New Roman"/>
                <w:sz w:val="20"/>
                <w:lang w:eastAsia="en-US"/>
              </w:rPr>
              <w:fldChar w:fldCharType="separate"/>
            </w:r>
            <w:r w:rsidR="00296297">
              <w:rPr>
                <w:rFonts w:ascii="Times New Roman" w:hAnsi="Times New Roman"/>
                <w:sz w:val="20"/>
                <w:lang w:eastAsia="en-US"/>
              </w:rPr>
              <w:t>6</w:t>
            </w:r>
            <w:r>
              <w:rPr>
                <w:rFonts w:ascii="Times New Roman" w:hAnsi="Times New Roman"/>
                <w:sz w:val="20"/>
                <w:lang w:eastAsia="en-US"/>
              </w:rPr>
              <w:fldChar w:fldCharType="end"/>
            </w:r>
            <w:r>
              <w:rPr>
                <w:rFonts w:ascii="Times New Roman" w:hAnsi="Times New Roman"/>
                <w:sz w:val="20"/>
                <w:lang w:eastAsia="en-US"/>
              </w:rPr>
              <w:t>].</w:t>
            </w:r>
          </w:p>
        </w:tc>
        <w:tc>
          <w:tcPr>
            <w:tcW w:w="2127" w:type="dxa"/>
            <w:tcBorders>
              <w:top w:val="single" w:sz="4" w:space="0" w:color="auto"/>
              <w:left w:val="single" w:sz="4" w:space="0" w:color="auto"/>
              <w:right w:val="single" w:sz="4" w:space="0" w:color="auto"/>
            </w:tcBorders>
          </w:tcPr>
          <w:p w:rsidR="00AD7FEE" w:rsidRPr="000B2A05" w:rsidRDefault="00AD7FEE" w:rsidP="000B2A05">
            <w:pPr>
              <w:spacing w:after="0" w:line="240" w:lineRule="auto"/>
              <w:rPr>
                <w:rFonts w:ascii="Times New Roman" w:hAnsi="Times New Roman"/>
                <w:sz w:val="20"/>
                <w:lang w:eastAsia="en-US"/>
              </w:rPr>
            </w:pPr>
            <w:r>
              <w:rPr>
                <w:rFonts w:ascii="Times New Roman" w:hAnsi="Times New Roman"/>
                <w:sz w:val="20"/>
                <w:lang w:eastAsia="en-US"/>
              </w:rPr>
              <w:t>As discussed above at [</w:t>
            </w:r>
            <w:r>
              <w:rPr>
                <w:rFonts w:ascii="Times New Roman" w:hAnsi="Times New Roman"/>
                <w:sz w:val="20"/>
                <w:lang w:eastAsia="en-US"/>
              </w:rPr>
              <w:fldChar w:fldCharType="begin"/>
            </w:r>
            <w:r>
              <w:rPr>
                <w:rFonts w:ascii="Times New Roman" w:hAnsi="Times New Roman"/>
                <w:sz w:val="20"/>
                <w:lang w:eastAsia="en-US"/>
              </w:rPr>
              <w:instrText xml:space="preserve"> REF _Ref417378968 \r \h </w:instrText>
            </w:r>
            <w:r>
              <w:rPr>
                <w:rFonts w:ascii="Times New Roman" w:hAnsi="Times New Roman"/>
                <w:sz w:val="20"/>
                <w:lang w:eastAsia="en-US"/>
              </w:rPr>
            </w:r>
            <w:r>
              <w:rPr>
                <w:rFonts w:ascii="Times New Roman" w:hAnsi="Times New Roman"/>
                <w:sz w:val="20"/>
                <w:lang w:eastAsia="en-US"/>
              </w:rPr>
              <w:fldChar w:fldCharType="separate"/>
            </w:r>
            <w:r w:rsidR="00296297">
              <w:rPr>
                <w:rFonts w:ascii="Times New Roman" w:hAnsi="Times New Roman"/>
                <w:sz w:val="20"/>
                <w:lang w:eastAsia="en-US"/>
              </w:rPr>
              <w:t>6</w:t>
            </w:r>
            <w:r>
              <w:rPr>
                <w:rFonts w:ascii="Times New Roman" w:hAnsi="Times New Roman"/>
                <w:sz w:val="20"/>
                <w:lang w:eastAsia="en-US"/>
              </w:rPr>
              <w:fldChar w:fldCharType="end"/>
            </w:r>
            <w:r>
              <w:rPr>
                <w:rFonts w:ascii="Times New Roman" w:hAnsi="Times New Roman"/>
                <w:sz w:val="20"/>
                <w:lang w:eastAsia="en-US"/>
              </w:rPr>
              <w:t>], there are significant risks with maintaining the status quo.</w:t>
            </w:r>
          </w:p>
        </w:tc>
      </w:tr>
    </w:tbl>
    <w:p w:rsidR="00CB245C" w:rsidRDefault="00CB245C" w:rsidP="004342F0">
      <w:pPr>
        <w:pStyle w:val="spacer"/>
        <w:rPr>
          <w:rFonts w:ascii="Times New Roman" w:hAnsi="Times New Roman"/>
          <w:sz w:val="24"/>
          <w:szCs w:val="24"/>
          <w:lang w:val="en-AU"/>
        </w:rPr>
      </w:pPr>
    </w:p>
    <w:p w:rsidR="000B2A05" w:rsidRDefault="000B2A05" w:rsidP="004342F0">
      <w:pPr>
        <w:pStyle w:val="spacer"/>
        <w:rPr>
          <w:rFonts w:ascii="Times New Roman" w:hAnsi="Times New Roman"/>
          <w:sz w:val="24"/>
          <w:szCs w:val="24"/>
          <w:lang w:val="en-AU"/>
        </w:rPr>
        <w:sectPr w:rsidR="000B2A05" w:rsidSect="000B2A05">
          <w:pgSz w:w="16840" w:h="11907" w:orient="landscape" w:code="9"/>
          <w:pgMar w:top="1418" w:right="1134" w:bottom="1418" w:left="1134" w:header="567" w:footer="567" w:gutter="0"/>
          <w:pgNumType w:start="1"/>
          <w:cols w:space="720"/>
          <w:docGrid w:linePitch="360"/>
        </w:sectPr>
      </w:pPr>
    </w:p>
    <w:p w:rsidR="000545DC" w:rsidRPr="004342F0" w:rsidRDefault="00D943DD" w:rsidP="004342F0">
      <w:pPr>
        <w:pStyle w:val="RISheading"/>
        <w:rPr>
          <w:spacing w:val="0"/>
          <w:w w:val="100"/>
        </w:rPr>
      </w:pPr>
      <w:r w:rsidRPr="004342F0">
        <w:rPr>
          <w:spacing w:val="0"/>
          <w:w w:val="100"/>
        </w:rPr>
        <w:lastRenderedPageBreak/>
        <w:t>CONSULTATION</w:t>
      </w:r>
      <w:bookmarkEnd w:id="24"/>
      <w:bookmarkEnd w:id="25"/>
      <w:bookmarkEnd w:id="26"/>
      <w:bookmarkEnd w:id="27"/>
      <w:bookmarkEnd w:id="28"/>
    </w:p>
    <w:p w:rsidR="004B5BB1" w:rsidRDefault="00D4068B" w:rsidP="007551FD">
      <w:pPr>
        <w:pStyle w:val="Bullet-list"/>
        <w:numPr>
          <w:ilvl w:val="0"/>
          <w:numId w:val="2"/>
        </w:numPr>
        <w:tabs>
          <w:tab w:val="num" w:pos="567"/>
        </w:tabs>
        <w:spacing w:after="0" w:line="240" w:lineRule="auto"/>
        <w:ind w:left="0" w:firstLine="0"/>
        <w:rPr>
          <w:rFonts w:ascii="Times New Roman" w:hAnsi="Times New Roman"/>
          <w:sz w:val="24"/>
          <w:szCs w:val="24"/>
        </w:rPr>
      </w:pPr>
      <w:r>
        <w:rPr>
          <w:rFonts w:ascii="Times New Roman" w:hAnsi="Times New Roman"/>
          <w:sz w:val="24"/>
          <w:szCs w:val="24"/>
        </w:rPr>
        <w:t xml:space="preserve">This proposal has been </w:t>
      </w:r>
      <w:r w:rsidR="004B5BB1">
        <w:rPr>
          <w:rFonts w:ascii="Times New Roman" w:hAnsi="Times New Roman"/>
          <w:sz w:val="24"/>
          <w:szCs w:val="24"/>
        </w:rPr>
        <w:t xml:space="preserve">discussed with the Privacy Commissioner.  The Privacy Commissioner said that it seemed very logical to remove barriers to having conversations in the open-plan environment.  The </w:t>
      </w:r>
      <w:r w:rsidR="00EA4859">
        <w:rPr>
          <w:rFonts w:ascii="Times New Roman" w:hAnsi="Times New Roman"/>
          <w:sz w:val="24"/>
          <w:szCs w:val="24"/>
        </w:rPr>
        <w:t xml:space="preserve">Privacy </w:t>
      </w:r>
      <w:r w:rsidR="004B5BB1">
        <w:rPr>
          <w:rFonts w:ascii="Times New Roman" w:hAnsi="Times New Roman"/>
          <w:sz w:val="24"/>
          <w:szCs w:val="24"/>
        </w:rPr>
        <w:t xml:space="preserve">Commissioner noted that the preferred option </w:t>
      </w:r>
      <w:r w:rsidR="0062384B">
        <w:rPr>
          <w:rFonts w:ascii="Times New Roman" w:hAnsi="Times New Roman"/>
          <w:sz w:val="24"/>
          <w:szCs w:val="24"/>
        </w:rPr>
        <w:t>had to</w:t>
      </w:r>
      <w:r w:rsidR="004B5BB1">
        <w:rPr>
          <w:rFonts w:ascii="Times New Roman" w:hAnsi="Times New Roman"/>
          <w:sz w:val="24"/>
          <w:szCs w:val="24"/>
        </w:rPr>
        <w:t xml:space="preserve"> </w:t>
      </w:r>
      <w:r w:rsidR="0062384B">
        <w:rPr>
          <w:rFonts w:ascii="Times New Roman" w:hAnsi="Times New Roman"/>
          <w:sz w:val="24"/>
          <w:szCs w:val="24"/>
        </w:rPr>
        <w:t xml:space="preserve">extend </w:t>
      </w:r>
      <w:r w:rsidR="004B5BB1">
        <w:rPr>
          <w:rFonts w:ascii="Times New Roman" w:hAnsi="Times New Roman"/>
          <w:sz w:val="24"/>
          <w:szCs w:val="24"/>
        </w:rPr>
        <w:t xml:space="preserve">the confidentiality requirements to the co-located staff.  The </w:t>
      </w:r>
      <w:r w:rsidR="00EA4859">
        <w:rPr>
          <w:rFonts w:ascii="Times New Roman" w:hAnsi="Times New Roman"/>
          <w:sz w:val="24"/>
          <w:szCs w:val="24"/>
        </w:rPr>
        <w:t xml:space="preserve">Privacy </w:t>
      </w:r>
      <w:r w:rsidR="004B5BB1">
        <w:rPr>
          <w:rFonts w:ascii="Times New Roman" w:hAnsi="Times New Roman"/>
          <w:sz w:val="24"/>
          <w:szCs w:val="24"/>
        </w:rPr>
        <w:t>Commissioner</w:t>
      </w:r>
      <w:r w:rsidR="00EA5182">
        <w:rPr>
          <w:rFonts w:ascii="Times New Roman" w:hAnsi="Times New Roman"/>
          <w:sz w:val="24"/>
          <w:szCs w:val="24"/>
        </w:rPr>
        <w:t xml:space="preserve"> also</w:t>
      </w:r>
      <w:r w:rsidR="004B5BB1">
        <w:rPr>
          <w:rFonts w:ascii="Times New Roman" w:hAnsi="Times New Roman"/>
          <w:sz w:val="24"/>
          <w:szCs w:val="24"/>
        </w:rPr>
        <w:t xml:space="preserve"> said that she did not have any issues with the proposed option</w:t>
      </w:r>
      <w:r w:rsidR="0062384B">
        <w:rPr>
          <w:rFonts w:ascii="Times New Roman" w:hAnsi="Times New Roman"/>
          <w:sz w:val="24"/>
          <w:szCs w:val="24"/>
        </w:rPr>
        <w:t>s</w:t>
      </w:r>
      <w:r w:rsidR="004B5BB1">
        <w:rPr>
          <w:rFonts w:ascii="Times New Roman" w:hAnsi="Times New Roman"/>
          <w:sz w:val="24"/>
          <w:szCs w:val="24"/>
        </w:rPr>
        <w:t>.</w:t>
      </w:r>
    </w:p>
    <w:p w:rsidR="00D943DD" w:rsidRPr="004342F0" w:rsidRDefault="00D943DD" w:rsidP="004342F0">
      <w:pPr>
        <w:pStyle w:val="spacer"/>
        <w:rPr>
          <w:rFonts w:ascii="Times New Roman" w:hAnsi="Times New Roman"/>
          <w:sz w:val="24"/>
          <w:szCs w:val="24"/>
          <w:lang w:val="en-AU"/>
        </w:rPr>
      </w:pPr>
      <w:bookmarkStart w:id="29" w:name="_Preferred_option_[optional]"/>
      <w:bookmarkStart w:id="30" w:name="_Toc244580367"/>
      <w:bookmarkStart w:id="31" w:name="_Toc244587043"/>
      <w:bookmarkStart w:id="32" w:name="_Toc244857277"/>
      <w:bookmarkStart w:id="33" w:name="_Toc244912542"/>
      <w:bookmarkStart w:id="34" w:name="_Toc244916999"/>
      <w:bookmarkEnd w:id="29"/>
    </w:p>
    <w:p w:rsidR="000545DC" w:rsidRPr="004342F0" w:rsidRDefault="00D943DD" w:rsidP="004342F0">
      <w:pPr>
        <w:pStyle w:val="RISheading"/>
        <w:rPr>
          <w:spacing w:val="0"/>
          <w:w w:val="100"/>
        </w:rPr>
      </w:pPr>
      <w:r w:rsidRPr="004342F0">
        <w:rPr>
          <w:spacing w:val="0"/>
          <w:w w:val="100"/>
        </w:rPr>
        <w:t>CONCLUSIONS AND RECOMMENDATIONS</w:t>
      </w:r>
      <w:bookmarkEnd w:id="30"/>
      <w:bookmarkEnd w:id="31"/>
      <w:bookmarkEnd w:id="32"/>
      <w:bookmarkEnd w:id="33"/>
      <w:bookmarkEnd w:id="34"/>
    </w:p>
    <w:p w:rsidR="00DD4340" w:rsidRDefault="004B5BB1" w:rsidP="007551FD">
      <w:pPr>
        <w:pStyle w:val="Bullet-list"/>
        <w:numPr>
          <w:ilvl w:val="0"/>
          <w:numId w:val="2"/>
        </w:numPr>
        <w:tabs>
          <w:tab w:val="num" w:pos="567"/>
        </w:tabs>
        <w:spacing w:after="0" w:line="240" w:lineRule="auto"/>
        <w:ind w:left="0" w:firstLine="0"/>
        <w:rPr>
          <w:rFonts w:ascii="Times New Roman" w:hAnsi="Times New Roman"/>
          <w:sz w:val="24"/>
          <w:szCs w:val="24"/>
        </w:rPr>
      </w:pPr>
      <w:r>
        <w:rPr>
          <w:rFonts w:ascii="Times New Roman" w:hAnsi="Times New Roman"/>
          <w:sz w:val="24"/>
          <w:szCs w:val="24"/>
        </w:rPr>
        <w:t>Inland Revenue</w:t>
      </w:r>
      <w:r w:rsidR="002A463D">
        <w:rPr>
          <w:rFonts w:ascii="Times New Roman" w:hAnsi="Times New Roman"/>
          <w:sz w:val="24"/>
          <w:szCs w:val="24"/>
        </w:rPr>
        <w:t xml:space="preserve"> prefers</w:t>
      </w:r>
      <w:r>
        <w:rPr>
          <w:rFonts w:ascii="Times New Roman" w:hAnsi="Times New Roman"/>
          <w:sz w:val="24"/>
          <w:szCs w:val="24"/>
        </w:rPr>
        <w:t xml:space="preserve"> option </w:t>
      </w:r>
      <w:r w:rsidR="0062384B">
        <w:rPr>
          <w:rFonts w:ascii="Times New Roman" w:hAnsi="Times New Roman"/>
          <w:sz w:val="24"/>
          <w:szCs w:val="24"/>
        </w:rPr>
        <w:t>4</w:t>
      </w:r>
      <w:r>
        <w:rPr>
          <w:rFonts w:ascii="Times New Roman" w:hAnsi="Times New Roman"/>
          <w:sz w:val="24"/>
          <w:szCs w:val="24"/>
        </w:rPr>
        <w:t xml:space="preserve"> because it best achieves the stated objectives.  </w:t>
      </w:r>
      <w:r w:rsidR="007551FD">
        <w:rPr>
          <w:rFonts w:ascii="Times New Roman" w:hAnsi="Times New Roman"/>
          <w:sz w:val="24"/>
          <w:szCs w:val="24"/>
        </w:rPr>
        <w:t xml:space="preserve">Specifically, option </w:t>
      </w:r>
      <w:r w:rsidR="0062384B">
        <w:rPr>
          <w:rFonts w:ascii="Times New Roman" w:hAnsi="Times New Roman"/>
          <w:sz w:val="24"/>
          <w:szCs w:val="24"/>
        </w:rPr>
        <w:t>4</w:t>
      </w:r>
      <w:r w:rsidR="007551FD">
        <w:rPr>
          <w:rFonts w:ascii="Times New Roman" w:hAnsi="Times New Roman"/>
          <w:sz w:val="24"/>
          <w:szCs w:val="24"/>
        </w:rPr>
        <w:t>:</w:t>
      </w:r>
    </w:p>
    <w:p w:rsidR="007551FD" w:rsidRPr="007551FD" w:rsidRDefault="00FB387B" w:rsidP="007551FD">
      <w:pPr>
        <w:pStyle w:val="Bullet-list"/>
        <w:numPr>
          <w:ilvl w:val="0"/>
          <w:numId w:val="8"/>
        </w:numPr>
        <w:spacing w:after="0" w:line="240" w:lineRule="auto"/>
        <w:rPr>
          <w:rFonts w:ascii="Times New Roman" w:hAnsi="Times New Roman"/>
          <w:sz w:val="24"/>
          <w:szCs w:val="24"/>
        </w:rPr>
      </w:pPr>
      <w:r>
        <w:rPr>
          <w:rFonts w:ascii="Times New Roman" w:hAnsi="Times New Roman"/>
          <w:sz w:val="24"/>
          <w:szCs w:val="24"/>
        </w:rPr>
        <w:t>reduce</w:t>
      </w:r>
      <w:r w:rsidR="00E74837">
        <w:rPr>
          <w:rFonts w:ascii="Times New Roman" w:hAnsi="Times New Roman"/>
          <w:sz w:val="24"/>
          <w:szCs w:val="24"/>
        </w:rPr>
        <w:t>s</w:t>
      </w:r>
      <w:r>
        <w:rPr>
          <w:rFonts w:ascii="Times New Roman" w:hAnsi="Times New Roman"/>
          <w:sz w:val="24"/>
          <w:szCs w:val="24"/>
        </w:rPr>
        <w:t xml:space="preserve"> the risks</w:t>
      </w:r>
      <w:r w:rsidR="007551FD" w:rsidRPr="007551FD">
        <w:rPr>
          <w:rFonts w:ascii="Times New Roman" w:hAnsi="Times New Roman"/>
          <w:sz w:val="24"/>
          <w:szCs w:val="24"/>
        </w:rPr>
        <w:t xml:space="preserve"> </w:t>
      </w:r>
      <w:r>
        <w:rPr>
          <w:rFonts w:ascii="Times New Roman" w:hAnsi="Times New Roman"/>
          <w:sz w:val="24"/>
          <w:szCs w:val="24"/>
        </w:rPr>
        <w:t>for</w:t>
      </w:r>
      <w:r w:rsidR="007551FD" w:rsidRPr="007551FD">
        <w:rPr>
          <w:rFonts w:ascii="Times New Roman" w:hAnsi="Times New Roman"/>
          <w:sz w:val="24"/>
          <w:szCs w:val="24"/>
        </w:rPr>
        <w:t xml:space="preserve"> Inland Revenue employees and co-located staff from other government agencies in a co-location environment;</w:t>
      </w:r>
    </w:p>
    <w:p w:rsidR="007551FD" w:rsidRPr="007551FD" w:rsidRDefault="007551FD" w:rsidP="007551FD">
      <w:pPr>
        <w:pStyle w:val="Bullet-list"/>
        <w:numPr>
          <w:ilvl w:val="0"/>
          <w:numId w:val="8"/>
        </w:numPr>
        <w:spacing w:after="0" w:line="240" w:lineRule="auto"/>
        <w:rPr>
          <w:rFonts w:ascii="Times New Roman" w:hAnsi="Times New Roman"/>
          <w:sz w:val="24"/>
          <w:szCs w:val="24"/>
        </w:rPr>
      </w:pPr>
      <w:r w:rsidRPr="007551FD">
        <w:rPr>
          <w:rFonts w:ascii="Times New Roman" w:hAnsi="Times New Roman"/>
          <w:sz w:val="24"/>
          <w:szCs w:val="24"/>
        </w:rPr>
        <w:t>confirm</w:t>
      </w:r>
      <w:r>
        <w:rPr>
          <w:rFonts w:ascii="Times New Roman" w:hAnsi="Times New Roman"/>
          <w:sz w:val="24"/>
          <w:szCs w:val="24"/>
        </w:rPr>
        <w:t>s</w:t>
      </w:r>
      <w:r w:rsidRPr="007551FD">
        <w:rPr>
          <w:rFonts w:ascii="Times New Roman" w:hAnsi="Times New Roman"/>
          <w:sz w:val="24"/>
          <w:szCs w:val="24"/>
        </w:rPr>
        <w:t xml:space="preserve"> for taxpayers </w:t>
      </w:r>
      <w:r>
        <w:rPr>
          <w:rFonts w:ascii="Times New Roman" w:hAnsi="Times New Roman"/>
          <w:sz w:val="24"/>
          <w:szCs w:val="24"/>
        </w:rPr>
        <w:t>t</w:t>
      </w:r>
      <w:r w:rsidRPr="007551FD">
        <w:rPr>
          <w:rFonts w:ascii="Times New Roman" w:hAnsi="Times New Roman"/>
          <w:sz w:val="24"/>
          <w:szCs w:val="24"/>
        </w:rPr>
        <w:t>hat the same high standards that apply internally in Inland Revenue would apply</w:t>
      </w:r>
      <w:r>
        <w:rPr>
          <w:rFonts w:ascii="Times New Roman" w:hAnsi="Times New Roman"/>
          <w:sz w:val="24"/>
          <w:szCs w:val="24"/>
        </w:rPr>
        <w:t xml:space="preserve"> in co-located environments, reinforcing</w:t>
      </w:r>
      <w:r w:rsidRPr="007551FD">
        <w:rPr>
          <w:rFonts w:ascii="Times New Roman" w:hAnsi="Times New Roman"/>
          <w:sz w:val="24"/>
          <w:szCs w:val="24"/>
        </w:rPr>
        <w:t xml:space="preserve"> taxpayers’ perceptions of the tax system and voluntary compliance; and</w:t>
      </w:r>
    </w:p>
    <w:p w:rsidR="007551FD" w:rsidRPr="007551FD" w:rsidRDefault="007551FD" w:rsidP="007551FD">
      <w:pPr>
        <w:pStyle w:val="Bullet-list"/>
        <w:numPr>
          <w:ilvl w:val="0"/>
          <w:numId w:val="8"/>
        </w:numPr>
        <w:spacing w:after="0" w:line="240" w:lineRule="auto"/>
        <w:rPr>
          <w:rFonts w:ascii="Times New Roman" w:hAnsi="Times New Roman"/>
          <w:sz w:val="24"/>
          <w:szCs w:val="24"/>
        </w:rPr>
      </w:pPr>
      <w:proofErr w:type="gramStart"/>
      <w:r w:rsidRPr="007551FD">
        <w:rPr>
          <w:rFonts w:ascii="Times New Roman" w:hAnsi="Times New Roman"/>
          <w:sz w:val="24"/>
          <w:szCs w:val="24"/>
        </w:rPr>
        <w:t>enable</w:t>
      </w:r>
      <w:r>
        <w:rPr>
          <w:rFonts w:ascii="Times New Roman" w:hAnsi="Times New Roman"/>
          <w:sz w:val="24"/>
          <w:szCs w:val="24"/>
        </w:rPr>
        <w:t>s</w:t>
      </w:r>
      <w:proofErr w:type="gramEnd"/>
      <w:r w:rsidRPr="007551FD">
        <w:rPr>
          <w:rFonts w:ascii="Times New Roman" w:hAnsi="Times New Roman"/>
          <w:sz w:val="24"/>
          <w:szCs w:val="24"/>
        </w:rPr>
        <w:t xml:space="preserve"> Inland Revenue to deliver better public services in an efficient manner without imposing significant additional administrative costs.</w:t>
      </w:r>
    </w:p>
    <w:p w:rsidR="000545DC" w:rsidRPr="004342F0" w:rsidRDefault="00D943DD" w:rsidP="004342F0">
      <w:pPr>
        <w:pStyle w:val="RISheading"/>
        <w:rPr>
          <w:spacing w:val="0"/>
          <w:w w:val="100"/>
        </w:rPr>
      </w:pPr>
      <w:bookmarkStart w:id="35" w:name="_Toc244580368"/>
      <w:bookmarkStart w:id="36" w:name="_Toc244587044"/>
      <w:bookmarkStart w:id="37" w:name="_Toc244857278"/>
      <w:bookmarkStart w:id="38" w:name="_Toc244912543"/>
      <w:bookmarkStart w:id="39" w:name="_Toc244917000"/>
      <w:r w:rsidRPr="004342F0">
        <w:rPr>
          <w:spacing w:val="0"/>
          <w:w w:val="100"/>
        </w:rPr>
        <w:t>IMPLEMENTATION</w:t>
      </w:r>
      <w:bookmarkEnd w:id="35"/>
      <w:bookmarkEnd w:id="36"/>
      <w:bookmarkEnd w:id="37"/>
      <w:bookmarkEnd w:id="38"/>
      <w:bookmarkEnd w:id="39"/>
      <w:r w:rsidRPr="004342F0">
        <w:rPr>
          <w:spacing w:val="0"/>
          <w:w w:val="100"/>
        </w:rPr>
        <w:t xml:space="preserve"> </w:t>
      </w:r>
    </w:p>
    <w:p w:rsidR="00C42A20" w:rsidRDefault="0029184E" w:rsidP="0029184E">
      <w:pPr>
        <w:pStyle w:val="Bullet-list"/>
        <w:numPr>
          <w:ilvl w:val="0"/>
          <w:numId w:val="2"/>
        </w:numPr>
        <w:tabs>
          <w:tab w:val="num" w:pos="567"/>
        </w:tabs>
        <w:spacing w:after="0" w:line="240" w:lineRule="auto"/>
        <w:ind w:left="0" w:firstLine="0"/>
        <w:rPr>
          <w:rFonts w:ascii="Times New Roman" w:hAnsi="Times New Roman"/>
          <w:sz w:val="24"/>
          <w:szCs w:val="24"/>
        </w:rPr>
      </w:pPr>
      <w:r w:rsidRPr="0029184E">
        <w:rPr>
          <w:rFonts w:ascii="Times New Roman" w:hAnsi="Times New Roman"/>
          <w:sz w:val="24"/>
          <w:szCs w:val="24"/>
        </w:rPr>
        <w:t>Any legislative amendments will be included in the proposed Taxation (Business Transformation and Simplification) Bill, which is scheduled for introduction in June 2015, and could be implement</w:t>
      </w:r>
      <w:r>
        <w:rPr>
          <w:rFonts w:ascii="Times New Roman" w:hAnsi="Times New Roman"/>
          <w:sz w:val="24"/>
          <w:szCs w:val="24"/>
        </w:rPr>
        <w:t>ed from the date of enactment.</w:t>
      </w:r>
    </w:p>
    <w:p w:rsidR="0029184E" w:rsidRDefault="0029184E" w:rsidP="0029184E">
      <w:pPr>
        <w:pStyle w:val="Bullet-list"/>
        <w:spacing w:after="0" w:line="240" w:lineRule="auto"/>
        <w:rPr>
          <w:rFonts w:ascii="Times New Roman" w:hAnsi="Times New Roman"/>
          <w:sz w:val="24"/>
          <w:szCs w:val="24"/>
        </w:rPr>
      </w:pPr>
    </w:p>
    <w:p w:rsidR="000545DC" w:rsidRPr="004342F0" w:rsidRDefault="005C647B" w:rsidP="005C647B">
      <w:pPr>
        <w:pStyle w:val="Bullet-list"/>
        <w:numPr>
          <w:ilvl w:val="0"/>
          <w:numId w:val="2"/>
        </w:numPr>
        <w:tabs>
          <w:tab w:val="num" w:pos="567"/>
        </w:tabs>
        <w:spacing w:after="0" w:line="240" w:lineRule="auto"/>
        <w:ind w:left="0" w:firstLine="0"/>
        <w:rPr>
          <w:rFonts w:ascii="Times New Roman" w:hAnsi="Times New Roman"/>
          <w:sz w:val="24"/>
          <w:szCs w:val="24"/>
        </w:rPr>
      </w:pPr>
      <w:r w:rsidRPr="005C647B">
        <w:rPr>
          <w:rFonts w:ascii="Times New Roman" w:hAnsi="Times New Roman"/>
          <w:sz w:val="24"/>
          <w:szCs w:val="24"/>
        </w:rPr>
        <w:t xml:space="preserve">No implementation risks have been identified.  </w:t>
      </w:r>
      <w:r w:rsidR="00EA4859">
        <w:rPr>
          <w:rFonts w:ascii="Times New Roman" w:hAnsi="Times New Roman"/>
          <w:sz w:val="24"/>
          <w:szCs w:val="24"/>
        </w:rPr>
        <w:t>No changes need to be made to</w:t>
      </w:r>
      <w:r w:rsidRPr="005C647B">
        <w:rPr>
          <w:rFonts w:ascii="Times New Roman" w:hAnsi="Times New Roman"/>
          <w:sz w:val="24"/>
          <w:szCs w:val="24"/>
        </w:rPr>
        <w:t xml:space="preserve"> existing systems and there would be no other significant administrative issues.</w:t>
      </w:r>
    </w:p>
    <w:p w:rsidR="00D943DD" w:rsidRPr="004342F0" w:rsidRDefault="00D943DD" w:rsidP="004342F0">
      <w:pPr>
        <w:pStyle w:val="spacer"/>
        <w:rPr>
          <w:rFonts w:ascii="Times New Roman" w:hAnsi="Times New Roman"/>
          <w:sz w:val="24"/>
          <w:szCs w:val="24"/>
          <w:lang w:val="en-AU"/>
        </w:rPr>
      </w:pPr>
      <w:bookmarkStart w:id="40" w:name="_Toc244580369"/>
      <w:bookmarkStart w:id="41" w:name="_Toc244587045"/>
      <w:bookmarkStart w:id="42" w:name="_Toc244857279"/>
      <w:bookmarkStart w:id="43" w:name="_Toc244912544"/>
      <w:bookmarkStart w:id="44" w:name="_Toc244917001"/>
    </w:p>
    <w:p w:rsidR="000545DC" w:rsidRPr="004342F0" w:rsidRDefault="00D943DD" w:rsidP="004342F0">
      <w:pPr>
        <w:pStyle w:val="RISheading"/>
        <w:rPr>
          <w:spacing w:val="0"/>
          <w:w w:val="100"/>
        </w:rPr>
      </w:pPr>
      <w:r w:rsidRPr="004342F0">
        <w:rPr>
          <w:spacing w:val="0"/>
          <w:w w:val="100"/>
        </w:rPr>
        <w:t>MONITORING, EVALUATION AND REVIEW</w:t>
      </w:r>
      <w:bookmarkEnd w:id="40"/>
      <w:bookmarkEnd w:id="41"/>
      <w:bookmarkEnd w:id="42"/>
      <w:bookmarkEnd w:id="43"/>
      <w:bookmarkEnd w:id="44"/>
    </w:p>
    <w:p w:rsidR="00831575" w:rsidRDefault="00831575" w:rsidP="007551FD">
      <w:pPr>
        <w:pStyle w:val="Bullet-list"/>
        <w:numPr>
          <w:ilvl w:val="0"/>
          <w:numId w:val="2"/>
        </w:numPr>
        <w:tabs>
          <w:tab w:val="num" w:pos="567"/>
        </w:tabs>
        <w:spacing w:after="0" w:line="240" w:lineRule="auto"/>
        <w:ind w:left="0" w:firstLine="0"/>
        <w:rPr>
          <w:rFonts w:ascii="Times New Roman" w:hAnsi="Times New Roman"/>
          <w:sz w:val="24"/>
          <w:szCs w:val="24"/>
        </w:rPr>
      </w:pPr>
      <w:r w:rsidRPr="00831575">
        <w:rPr>
          <w:rFonts w:ascii="Times New Roman" w:hAnsi="Times New Roman"/>
          <w:sz w:val="24"/>
          <w:szCs w:val="24"/>
        </w:rPr>
        <w:t>There are no specific plans to monitor, evaluate and review the changes.  If any detailed concerns are raised in relation to these changes, Inland Revenue will determine whether there are substantive grounds for review under the Generic Tax Policy Process (GTPP).</w:t>
      </w:r>
    </w:p>
    <w:p w:rsidR="00831575" w:rsidRPr="00831575" w:rsidRDefault="00831575" w:rsidP="00831575">
      <w:pPr>
        <w:pStyle w:val="Bullet-list"/>
        <w:spacing w:after="0" w:line="240" w:lineRule="auto"/>
        <w:rPr>
          <w:rFonts w:ascii="Times New Roman" w:hAnsi="Times New Roman"/>
          <w:sz w:val="24"/>
          <w:szCs w:val="24"/>
        </w:rPr>
      </w:pPr>
    </w:p>
    <w:p w:rsidR="00594805" w:rsidRPr="00891E50" w:rsidRDefault="00831575" w:rsidP="00891E50">
      <w:pPr>
        <w:pStyle w:val="Bullet-list"/>
        <w:numPr>
          <w:ilvl w:val="0"/>
          <w:numId w:val="2"/>
        </w:numPr>
        <w:tabs>
          <w:tab w:val="num" w:pos="567"/>
        </w:tabs>
        <w:spacing w:after="0" w:line="240" w:lineRule="auto"/>
        <w:ind w:left="0" w:firstLine="0"/>
        <w:rPr>
          <w:rFonts w:ascii="Times New Roman" w:hAnsi="Times New Roman"/>
          <w:sz w:val="24"/>
          <w:szCs w:val="24"/>
        </w:rPr>
      </w:pPr>
      <w:r w:rsidRPr="00831575">
        <w:rPr>
          <w:rFonts w:ascii="Times New Roman" w:hAnsi="Times New Roman"/>
          <w:sz w:val="24"/>
          <w:szCs w:val="24"/>
        </w:rPr>
        <w:t>In general, Inland Revenue’s monitoring, evaluating and reviewing of new legislation takes place takes under the GTPP.  The GTPP is a multi-stage tax policy process that has been used to design tax policy in New Zealand since 1995.  The final stage in the GTPP is the implementation and review stage, which involves post-implementation review of the legislation, and the identification of any remedial issues.  Opportunities for external consultation are also built into this stage.  In practice, any changes identified as necessary for the new legislation to have its intended effect would generally be added to the Tax Policy Work Programme, and proposals would go through the GTPP.</w:t>
      </w:r>
    </w:p>
    <w:sectPr w:rsidR="00594805" w:rsidRPr="00891E50" w:rsidSect="006474EE">
      <w:pgSz w:w="11907" w:h="16840"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A20" w:rsidRDefault="00C42A20" w:rsidP="00F72085">
      <w:r>
        <w:separator/>
      </w:r>
    </w:p>
  </w:endnote>
  <w:endnote w:type="continuationSeparator" w:id="0">
    <w:p w:rsidR="00C42A20" w:rsidRDefault="00C42A20"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20" w:rsidRDefault="00C42A20" w:rsidP="005948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42A20" w:rsidRPr="00281580" w:rsidRDefault="00C42A20" w:rsidP="00594805">
    <w:pPr>
      <w:pStyle w:val="EvenFooter"/>
      <w:rPr>
        <w:caps/>
      </w:rPr>
    </w:pPr>
    <w:r w:rsidRPr="00281580">
      <w:t xml:space="preserve">   |   </w:t>
    </w:r>
    <w:r>
      <w:t>Regulatory Impact Statement -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20" w:rsidRPr="00594805" w:rsidRDefault="00C42A20" w:rsidP="00594805">
    <w:pPr>
      <w:pStyle w:val="Footer"/>
      <w:rPr>
        <w:rStyle w:val="PageNumber"/>
        <w:rFonts w:ascii="Times New Roman" w:hAnsi="Times New Roman"/>
        <w:color w:val="auto"/>
        <w:sz w:val="20"/>
        <w:szCs w:val="20"/>
      </w:rPr>
    </w:pPr>
    <w:r w:rsidRPr="00594805">
      <w:rPr>
        <w:rStyle w:val="PageNumber"/>
        <w:rFonts w:ascii="Times New Roman" w:hAnsi="Times New Roman"/>
        <w:color w:val="auto"/>
        <w:sz w:val="20"/>
        <w:szCs w:val="20"/>
      </w:rPr>
      <w:fldChar w:fldCharType="begin"/>
    </w:r>
    <w:r w:rsidRPr="00594805">
      <w:rPr>
        <w:rStyle w:val="PageNumber"/>
        <w:rFonts w:ascii="Times New Roman" w:hAnsi="Times New Roman"/>
        <w:color w:val="auto"/>
        <w:sz w:val="20"/>
        <w:szCs w:val="20"/>
      </w:rPr>
      <w:instrText xml:space="preserve">PAGE  </w:instrText>
    </w:r>
    <w:r w:rsidRPr="00594805">
      <w:rPr>
        <w:rStyle w:val="PageNumber"/>
        <w:rFonts w:ascii="Times New Roman" w:hAnsi="Times New Roman"/>
        <w:color w:val="auto"/>
        <w:sz w:val="20"/>
        <w:szCs w:val="20"/>
      </w:rPr>
      <w:fldChar w:fldCharType="separate"/>
    </w:r>
    <w:r w:rsidR="00950BF6">
      <w:rPr>
        <w:rStyle w:val="PageNumber"/>
        <w:rFonts w:ascii="Times New Roman" w:hAnsi="Times New Roman"/>
        <w:color w:val="auto"/>
        <w:sz w:val="20"/>
        <w:szCs w:val="20"/>
      </w:rPr>
      <w:t>1</w:t>
    </w:r>
    <w:r w:rsidRPr="00594805">
      <w:rPr>
        <w:rStyle w:val="PageNumber"/>
        <w:rFonts w:ascii="Times New Roman" w:hAnsi="Times New Roman"/>
        <w:color w:val="auto"/>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A20" w:rsidRDefault="00C42A20" w:rsidP="00F72085">
      <w:r>
        <w:separator/>
      </w:r>
    </w:p>
  </w:footnote>
  <w:footnote w:type="continuationSeparator" w:id="0">
    <w:p w:rsidR="00C42A20" w:rsidRDefault="00C42A20" w:rsidP="00F72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555"/>
    <w:multiLevelType w:val="hybridMultilevel"/>
    <w:tmpl w:val="7D7A40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1670033C"/>
    <w:multiLevelType w:val="hybridMultilevel"/>
    <w:tmpl w:val="AE7C488C"/>
    <w:lvl w:ilvl="0" w:tplc="49302404">
      <w:start w:val="1"/>
      <w:numFmt w:val="decimal"/>
      <w:lvlText w:val="%1."/>
      <w:lvlJc w:val="left"/>
      <w:pPr>
        <w:tabs>
          <w:tab w:val="num" w:pos="786"/>
        </w:tabs>
        <w:ind w:left="786" w:hanging="360"/>
      </w:pPr>
      <w:rPr>
        <w:b w:val="0"/>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BEF539F"/>
    <w:multiLevelType w:val="hybridMultilevel"/>
    <w:tmpl w:val="01AA3216"/>
    <w:lvl w:ilvl="0" w:tplc="D1181506">
      <w:start w:val="1"/>
      <w:numFmt w:val="lowerLetter"/>
      <w:lvlText w:val="(%1)"/>
      <w:lvlJc w:val="left"/>
      <w:pPr>
        <w:ind w:left="720" w:hanging="360"/>
      </w:pPr>
      <w:rPr>
        <w:rFonts w:ascii="Times New Roman" w:eastAsia="Times New Roman" w:hAnsi="Times New Roman" w:cs="Times New Roman"/>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B8C510A"/>
    <w:multiLevelType w:val="hybridMultilevel"/>
    <w:tmpl w:val="562E9C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5">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326021A"/>
    <w:multiLevelType w:val="hybridMultilevel"/>
    <w:tmpl w:val="7B527A76"/>
    <w:lvl w:ilvl="0" w:tplc="14090001">
      <w:start w:val="1"/>
      <w:numFmt w:val="bullet"/>
      <w:lvlText w:val=""/>
      <w:lvlJc w:val="left"/>
      <w:pPr>
        <w:tabs>
          <w:tab w:val="num" w:pos="786"/>
        </w:tabs>
        <w:ind w:left="786" w:hanging="360"/>
      </w:pPr>
      <w:rPr>
        <w:rFonts w:ascii="Symbol" w:hAnsi="Symbol" w:hint="default"/>
        <w:b w:val="0"/>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6A4C325A"/>
    <w:multiLevelType w:val="hybridMultilevel"/>
    <w:tmpl w:val="DEFC1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5"/>
  </w:num>
  <w:num w:numId="6">
    <w:abstractNumId w:val="2"/>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8E"/>
    <w:rsid w:val="00001539"/>
    <w:rsid w:val="00002433"/>
    <w:rsid w:val="000037F4"/>
    <w:rsid w:val="00004A8A"/>
    <w:rsid w:val="00005DC9"/>
    <w:rsid w:val="00010986"/>
    <w:rsid w:val="00010F7D"/>
    <w:rsid w:val="00012338"/>
    <w:rsid w:val="00013A18"/>
    <w:rsid w:val="00014196"/>
    <w:rsid w:val="000147DC"/>
    <w:rsid w:val="00015072"/>
    <w:rsid w:val="00016722"/>
    <w:rsid w:val="0002068B"/>
    <w:rsid w:val="000232EB"/>
    <w:rsid w:val="00023BAB"/>
    <w:rsid w:val="00023EA6"/>
    <w:rsid w:val="00024B22"/>
    <w:rsid w:val="0002568E"/>
    <w:rsid w:val="00025954"/>
    <w:rsid w:val="0002720D"/>
    <w:rsid w:val="00030890"/>
    <w:rsid w:val="00030DEA"/>
    <w:rsid w:val="00033950"/>
    <w:rsid w:val="000343E7"/>
    <w:rsid w:val="00035185"/>
    <w:rsid w:val="00036A3D"/>
    <w:rsid w:val="00036EE4"/>
    <w:rsid w:val="00041469"/>
    <w:rsid w:val="00041CD1"/>
    <w:rsid w:val="0004221C"/>
    <w:rsid w:val="000431FE"/>
    <w:rsid w:val="000435AD"/>
    <w:rsid w:val="00045AFC"/>
    <w:rsid w:val="00046F46"/>
    <w:rsid w:val="00047559"/>
    <w:rsid w:val="000523FC"/>
    <w:rsid w:val="000526E4"/>
    <w:rsid w:val="0005434D"/>
    <w:rsid w:val="000545DC"/>
    <w:rsid w:val="0005503E"/>
    <w:rsid w:val="00055373"/>
    <w:rsid w:val="00055D70"/>
    <w:rsid w:val="00056263"/>
    <w:rsid w:val="00056E3D"/>
    <w:rsid w:val="00056F77"/>
    <w:rsid w:val="0005761E"/>
    <w:rsid w:val="00057AC4"/>
    <w:rsid w:val="000606D4"/>
    <w:rsid w:val="00060712"/>
    <w:rsid w:val="00060AAB"/>
    <w:rsid w:val="00060CD3"/>
    <w:rsid w:val="000655B2"/>
    <w:rsid w:val="00070193"/>
    <w:rsid w:val="00073A19"/>
    <w:rsid w:val="00073F31"/>
    <w:rsid w:val="000745D3"/>
    <w:rsid w:val="00074B13"/>
    <w:rsid w:val="00074D02"/>
    <w:rsid w:val="0007562B"/>
    <w:rsid w:val="00076641"/>
    <w:rsid w:val="00080CE0"/>
    <w:rsid w:val="00080DE3"/>
    <w:rsid w:val="00082653"/>
    <w:rsid w:val="00082ABC"/>
    <w:rsid w:val="00083ADB"/>
    <w:rsid w:val="00085660"/>
    <w:rsid w:val="00086007"/>
    <w:rsid w:val="000863E2"/>
    <w:rsid w:val="00086898"/>
    <w:rsid w:val="0008712F"/>
    <w:rsid w:val="00087C41"/>
    <w:rsid w:val="00087CD6"/>
    <w:rsid w:val="00095446"/>
    <w:rsid w:val="00096BFA"/>
    <w:rsid w:val="000A073E"/>
    <w:rsid w:val="000A20D1"/>
    <w:rsid w:val="000A39F4"/>
    <w:rsid w:val="000A43F8"/>
    <w:rsid w:val="000A4419"/>
    <w:rsid w:val="000B005C"/>
    <w:rsid w:val="000B01CC"/>
    <w:rsid w:val="000B0480"/>
    <w:rsid w:val="000B0615"/>
    <w:rsid w:val="000B0C12"/>
    <w:rsid w:val="000B0D42"/>
    <w:rsid w:val="000B16BF"/>
    <w:rsid w:val="000B2052"/>
    <w:rsid w:val="000B2A05"/>
    <w:rsid w:val="000B5B1E"/>
    <w:rsid w:val="000C0912"/>
    <w:rsid w:val="000C2669"/>
    <w:rsid w:val="000C26E9"/>
    <w:rsid w:val="000C3EB5"/>
    <w:rsid w:val="000C43B6"/>
    <w:rsid w:val="000C684B"/>
    <w:rsid w:val="000C6EED"/>
    <w:rsid w:val="000C79FD"/>
    <w:rsid w:val="000D012A"/>
    <w:rsid w:val="000D0783"/>
    <w:rsid w:val="000D0FA0"/>
    <w:rsid w:val="000D2A6B"/>
    <w:rsid w:val="000D31FE"/>
    <w:rsid w:val="000D5E01"/>
    <w:rsid w:val="000D6393"/>
    <w:rsid w:val="000D670A"/>
    <w:rsid w:val="000D77C0"/>
    <w:rsid w:val="000D7C12"/>
    <w:rsid w:val="000E0036"/>
    <w:rsid w:val="000E310A"/>
    <w:rsid w:val="000E3979"/>
    <w:rsid w:val="000E3CE1"/>
    <w:rsid w:val="000E73FF"/>
    <w:rsid w:val="000E7C1C"/>
    <w:rsid w:val="000F03B0"/>
    <w:rsid w:val="000F162C"/>
    <w:rsid w:val="000F3333"/>
    <w:rsid w:val="000F6F99"/>
    <w:rsid w:val="000F7020"/>
    <w:rsid w:val="00101A24"/>
    <w:rsid w:val="00113146"/>
    <w:rsid w:val="00114F56"/>
    <w:rsid w:val="001158BA"/>
    <w:rsid w:val="00116006"/>
    <w:rsid w:val="00116B51"/>
    <w:rsid w:val="0012410B"/>
    <w:rsid w:val="00125812"/>
    <w:rsid w:val="00125ADD"/>
    <w:rsid w:val="00126CD1"/>
    <w:rsid w:val="00127757"/>
    <w:rsid w:val="00130E8F"/>
    <w:rsid w:val="001336E3"/>
    <w:rsid w:val="001339BB"/>
    <w:rsid w:val="00136EED"/>
    <w:rsid w:val="00141B20"/>
    <w:rsid w:val="00141D39"/>
    <w:rsid w:val="00142051"/>
    <w:rsid w:val="00143437"/>
    <w:rsid w:val="00144369"/>
    <w:rsid w:val="00144ADC"/>
    <w:rsid w:val="00144BBB"/>
    <w:rsid w:val="00146FC1"/>
    <w:rsid w:val="00147887"/>
    <w:rsid w:val="00150932"/>
    <w:rsid w:val="001509FC"/>
    <w:rsid w:val="00152D49"/>
    <w:rsid w:val="00157E18"/>
    <w:rsid w:val="00161022"/>
    <w:rsid w:val="00161358"/>
    <w:rsid w:val="001620EB"/>
    <w:rsid w:val="0016538E"/>
    <w:rsid w:val="00166A7A"/>
    <w:rsid w:val="00166C49"/>
    <w:rsid w:val="001674EB"/>
    <w:rsid w:val="00167EE1"/>
    <w:rsid w:val="001705C4"/>
    <w:rsid w:val="00171250"/>
    <w:rsid w:val="00171281"/>
    <w:rsid w:val="001712D6"/>
    <w:rsid w:val="001726B0"/>
    <w:rsid w:val="00175644"/>
    <w:rsid w:val="001767C7"/>
    <w:rsid w:val="001800AF"/>
    <w:rsid w:val="00180A3B"/>
    <w:rsid w:val="00180BD5"/>
    <w:rsid w:val="00180D17"/>
    <w:rsid w:val="00183D99"/>
    <w:rsid w:val="00183EB1"/>
    <w:rsid w:val="00184219"/>
    <w:rsid w:val="00185884"/>
    <w:rsid w:val="001901C1"/>
    <w:rsid w:val="00190331"/>
    <w:rsid w:val="0019141D"/>
    <w:rsid w:val="00191B67"/>
    <w:rsid w:val="00191EEC"/>
    <w:rsid w:val="00194873"/>
    <w:rsid w:val="00194B8A"/>
    <w:rsid w:val="00194CF9"/>
    <w:rsid w:val="00197273"/>
    <w:rsid w:val="001A13C8"/>
    <w:rsid w:val="001A1C61"/>
    <w:rsid w:val="001A1DFB"/>
    <w:rsid w:val="001A5694"/>
    <w:rsid w:val="001A5BEE"/>
    <w:rsid w:val="001B0726"/>
    <w:rsid w:val="001B0A7A"/>
    <w:rsid w:val="001B0DF0"/>
    <w:rsid w:val="001B1A87"/>
    <w:rsid w:val="001B1BDF"/>
    <w:rsid w:val="001B24D5"/>
    <w:rsid w:val="001B2869"/>
    <w:rsid w:val="001B3F6D"/>
    <w:rsid w:val="001B3F81"/>
    <w:rsid w:val="001B4E6C"/>
    <w:rsid w:val="001B54FC"/>
    <w:rsid w:val="001B7122"/>
    <w:rsid w:val="001C0CF6"/>
    <w:rsid w:val="001C2214"/>
    <w:rsid w:val="001C2524"/>
    <w:rsid w:val="001C41C2"/>
    <w:rsid w:val="001C6912"/>
    <w:rsid w:val="001D0A46"/>
    <w:rsid w:val="001D120E"/>
    <w:rsid w:val="001D22ED"/>
    <w:rsid w:val="001D3440"/>
    <w:rsid w:val="001D37FB"/>
    <w:rsid w:val="001D4D62"/>
    <w:rsid w:val="001D53A8"/>
    <w:rsid w:val="001D7325"/>
    <w:rsid w:val="001E12C8"/>
    <w:rsid w:val="001E1A8F"/>
    <w:rsid w:val="001E6AFE"/>
    <w:rsid w:val="001F0773"/>
    <w:rsid w:val="001F0DD3"/>
    <w:rsid w:val="001F1711"/>
    <w:rsid w:val="001F1A2D"/>
    <w:rsid w:val="001F21CB"/>
    <w:rsid w:val="001F6750"/>
    <w:rsid w:val="00200311"/>
    <w:rsid w:val="002008D1"/>
    <w:rsid w:val="00202E20"/>
    <w:rsid w:val="002036AA"/>
    <w:rsid w:val="00203789"/>
    <w:rsid w:val="00204A66"/>
    <w:rsid w:val="00205334"/>
    <w:rsid w:val="00213B41"/>
    <w:rsid w:val="00216DB5"/>
    <w:rsid w:val="00216F08"/>
    <w:rsid w:val="00217A19"/>
    <w:rsid w:val="00222CA5"/>
    <w:rsid w:val="00223298"/>
    <w:rsid w:val="00224A1F"/>
    <w:rsid w:val="00224BD6"/>
    <w:rsid w:val="002253E9"/>
    <w:rsid w:val="002258FC"/>
    <w:rsid w:val="00226226"/>
    <w:rsid w:val="00227D78"/>
    <w:rsid w:val="00227FE4"/>
    <w:rsid w:val="002317B4"/>
    <w:rsid w:val="002331A0"/>
    <w:rsid w:val="00233DC9"/>
    <w:rsid w:val="0023447D"/>
    <w:rsid w:val="0023708B"/>
    <w:rsid w:val="00237318"/>
    <w:rsid w:val="00237FE9"/>
    <w:rsid w:val="0024128C"/>
    <w:rsid w:val="00245DA0"/>
    <w:rsid w:val="00247ADA"/>
    <w:rsid w:val="00251406"/>
    <w:rsid w:val="00257836"/>
    <w:rsid w:val="00264EEE"/>
    <w:rsid w:val="0026530E"/>
    <w:rsid w:val="00265DED"/>
    <w:rsid w:val="00265E6C"/>
    <w:rsid w:val="00266A30"/>
    <w:rsid w:val="0026794D"/>
    <w:rsid w:val="00267FAB"/>
    <w:rsid w:val="00270CAF"/>
    <w:rsid w:val="002712C8"/>
    <w:rsid w:val="002719ED"/>
    <w:rsid w:val="00271EB7"/>
    <w:rsid w:val="0027239E"/>
    <w:rsid w:val="00272E82"/>
    <w:rsid w:val="00273D5C"/>
    <w:rsid w:val="00273ECF"/>
    <w:rsid w:val="00275209"/>
    <w:rsid w:val="0027527B"/>
    <w:rsid w:val="00275B26"/>
    <w:rsid w:val="0027706F"/>
    <w:rsid w:val="00281580"/>
    <w:rsid w:val="00282DD1"/>
    <w:rsid w:val="00283259"/>
    <w:rsid w:val="00283AFA"/>
    <w:rsid w:val="00283D22"/>
    <w:rsid w:val="00287942"/>
    <w:rsid w:val="0029184E"/>
    <w:rsid w:val="00292783"/>
    <w:rsid w:val="0029399F"/>
    <w:rsid w:val="00293E21"/>
    <w:rsid w:val="00294C97"/>
    <w:rsid w:val="00295264"/>
    <w:rsid w:val="00295DFA"/>
    <w:rsid w:val="00296297"/>
    <w:rsid w:val="00296404"/>
    <w:rsid w:val="0029649F"/>
    <w:rsid w:val="002A05D3"/>
    <w:rsid w:val="002A06C6"/>
    <w:rsid w:val="002A107A"/>
    <w:rsid w:val="002A463D"/>
    <w:rsid w:val="002A535E"/>
    <w:rsid w:val="002A5881"/>
    <w:rsid w:val="002A5E7A"/>
    <w:rsid w:val="002A654E"/>
    <w:rsid w:val="002B0025"/>
    <w:rsid w:val="002B0801"/>
    <w:rsid w:val="002B0A3F"/>
    <w:rsid w:val="002B5324"/>
    <w:rsid w:val="002B56E7"/>
    <w:rsid w:val="002B5823"/>
    <w:rsid w:val="002B5E97"/>
    <w:rsid w:val="002B733A"/>
    <w:rsid w:val="002B7F4A"/>
    <w:rsid w:val="002C0074"/>
    <w:rsid w:val="002C097E"/>
    <w:rsid w:val="002C2315"/>
    <w:rsid w:val="002C301D"/>
    <w:rsid w:val="002C4A38"/>
    <w:rsid w:val="002C65B8"/>
    <w:rsid w:val="002C734D"/>
    <w:rsid w:val="002C744C"/>
    <w:rsid w:val="002D01BF"/>
    <w:rsid w:val="002D0A2F"/>
    <w:rsid w:val="002D0FAA"/>
    <w:rsid w:val="002D3E81"/>
    <w:rsid w:val="002D44C7"/>
    <w:rsid w:val="002D4AC3"/>
    <w:rsid w:val="002D52A0"/>
    <w:rsid w:val="002D6691"/>
    <w:rsid w:val="002E0169"/>
    <w:rsid w:val="002E062E"/>
    <w:rsid w:val="002E1226"/>
    <w:rsid w:val="002E1D30"/>
    <w:rsid w:val="002E2678"/>
    <w:rsid w:val="002E28C6"/>
    <w:rsid w:val="002E4DB3"/>
    <w:rsid w:val="002E6D37"/>
    <w:rsid w:val="002E79A6"/>
    <w:rsid w:val="002F10BF"/>
    <w:rsid w:val="002F110D"/>
    <w:rsid w:val="002F32BD"/>
    <w:rsid w:val="002F4407"/>
    <w:rsid w:val="002F5A1A"/>
    <w:rsid w:val="002F6E67"/>
    <w:rsid w:val="002F71F1"/>
    <w:rsid w:val="002F7C03"/>
    <w:rsid w:val="0030111A"/>
    <w:rsid w:val="003020F3"/>
    <w:rsid w:val="003022D4"/>
    <w:rsid w:val="003038AC"/>
    <w:rsid w:val="00305726"/>
    <w:rsid w:val="00306E9B"/>
    <w:rsid w:val="003076FA"/>
    <w:rsid w:val="00310D70"/>
    <w:rsid w:val="0031214B"/>
    <w:rsid w:val="00313F3E"/>
    <w:rsid w:val="00314A19"/>
    <w:rsid w:val="00315307"/>
    <w:rsid w:val="00315D17"/>
    <w:rsid w:val="00315D3B"/>
    <w:rsid w:val="00316B54"/>
    <w:rsid w:val="003176BB"/>
    <w:rsid w:val="00317E1A"/>
    <w:rsid w:val="00320A3C"/>
    <w:rsid w:val="003232C2"/>
    <w:rsid w:val="003237B0"/>
    <w:rsid w:val="0032503F"/>
    <w:rsid w:val="003262CE"/>
    <w:rsid w:val="003264ED"/>
    <w:rsid w:val="003308B4"/>
    <w:rsid w:val="00333209"/>
    <w:rsid w:val="00334A4E"/>
    <w:rsid w:val="003352EF"/>
    <w:rsid w:val="003418C0"/>
    <w:rsid w:val="003424A8"/>
    <w:rsid w:val="003425F7"/>
    <w:rsid w:val="00343012"/>
    <w:rsid w:val="00343233"/>
    <w:rsid w:val="00343B25"/>
    <w:rsid w:val="003441E3"/>
    <w:rsid w:val="003445EA"/>
    <w:rsid w:val="00350175"/>
    <w:rsid w:val="00351EC0"/>
    <w:rsid w:val="00352990"/>
    <w:rsid w:val="00353113"/>
    <w:rsid w:val="00353518"/>
    <w:rsid w:val="00355DAA"/>
    <w:rsid w:val="003613F4"/>
    <w:rsid w:val="00361819"/>
    <w:rsid w:val="00361F3D"/>
    <w:rsid w:val="00362E2F"/>
    <w:rsid w:val="00362FE1"/>
    <w:rsid w:val="00363DCE"/>
    <w:rsid w:val="00365680"/>
    <w:rsid w:val="00366A1A"/>
    <w:rsid w:val="00367B6E"/>
    <w:rsid w:val="00370B2E"/>
    <w:rsid w:val="003726C0"/>
    <w:rsid w:val="00372D68"/>
    <w:rsid w:val="0037447C"/>
    <w:rsid w:val="0037458C"/>
    <w:rsid w:val="00374E9A"/>
    <w:rsid w:val="00375E7C"/>
    <w:rsid w:val="00375FFD"/>
    <w:rsid w:val="00381DB8"/>
    <w:rsid w:val="003826A0"/>
    <w:rsid w:val="00383462"/>
    <w:rsid w:val="00384B58"/>
    <w:rsid w:val="00385683"/>
    <w:rsid w:val="00385EC1"/>
    <w:rsid w:val="00386DD1"/>
    <w:rsid w:val="00387CA4"/>
    <w:rsid w:val="00391389"/>
    <w:rsid w:val="00391E64"/>
    <w:rsid w:val="00395750"/>
    <w:rsid w:val="0039581F"/>
    <w:rsid w:val="00396861"/>
    <w:rsid w:val="0039783E"/>
    <w:rsid w:val="003A0009"/>
    <w:rsid w:val="003A0E47"/>
    <w:rsid w:val="003A4360"/>
    <w:rsid w:val="003A68AA"/>
    <w:rsid w:val="003A7561"/>
    <w:rsid w:val="003A76E4"/>
    <w:rsid w:val="003B09F2"/>
    <w:rsid w:val="003B1384"/>
    <w:rsid w:val="003B35B8"/>
    <w:rsid w:val="003B4A9D"/>
    <w:rsid w:val="003B4B13"/>
    <w:rsid w:val="003B4D2C"/>
    <w:rsid w:val="003B53A6"/>
    <w:rsid w:val="003C0785"/>
    <w:rsid w:val="003C1764"/>
    <w:rsid w:val="003C3AD0"/>
    <w:rsid w:val="003C722C"/>
    <w:rsid w:val="003C7985"/>
    <w:rsid w:val="003C7CAC"/>
    <w:rsid w:val="003C7E67"/>
    <w:rsid w:val="003D20ED"/>
    <w:rsid w:val="003D4ED7"/>
    <w:rsid w:val="003D6531"/>
    <w:rsid w:val="003D6C84"/>
    <w:rsid w:val="003E017A"/>
    <w:rsid w:val="003E1FAF"/>
    <w:rsid w:val="003E20B9"/>
    <w:rsid w:val="003E3836"/>
    <w:rsid w:val="003E39B9"/>
    <w:rsid w:val="003E4AC8"/>
    <w:rsid w:val="003E4BB4"/>
    <w:rsid w:val="003E6699"/>
    <w:rsid w:val="003E68B5"/>
    <w:rsid w:val="003F14AC"/>
    <w:rsid w:val="003F27A7"/>
    <w:rsid w:val="003F2D09"/>
    <w:rsid w:val="003F34BF"/>
    <w:rsid w:val="003F37EA"/>
    <w:rsid w:val="003F47F5"/>
    <w:rsid w:val="003F59CC"/>
    <w:rsid w:val="003F5E57"/>
    <w:rsid w:val="003F5F9D"/>
    <w:rsid w:val="003F7652"/>
    <w:rsid w:val="003F7EDA"/>
    <w:rsid w:val="00401D87"/>
    <w:rsid w:val="00402BF8"/>
    <w:rsid w:val="00403755"/>
    <w:rsid w:val="0040387F"/>
    <w:rsid w:val="004058EF"/>
    <w:rsid w:val="00406227"/>
    <w:rsid w:val="00407D3B"/>
    <w:rsid w:val="0041363C"/>
    <w:rsid w:val="00414E9A"/>
    <w:rsid w:val="00415CC4"/>
    <w:rsid w:val="00415FD6"/>
    <w:rsid w:val="0041696F"/>
    <w:rsid w:val="00420D4C"/>
    <w:rsid w:val="00423B79"/>
    <w:rsid w:val="004240D2"/>
    <w:rsid w:val="00424ADF"/>
    <w:rsid w:val="004303B8"/>
    <w:rsid w:val="00431677"/>
    <w:rsid w:val="00433183"/>
    <w:rsid w:val="00433AED"/>
    <w:rsid w:val="004342F0"/>
    <w:rsid w:val="004350CD"/>
    <w:rsid w:val="004353DD"/>
    <w:rsid w:val="00435F4A"/>
    <w:rsid w:val="00437C49"/>
    <w:rsid w:val="0044117C"/>
    <w:rsid w:val="004418F2"/>
    <w:rsid w:val="00443662"/>
    <w:rsid w:val="00443DF2"/>
    <w:rsid w:val="00444E78"/>
    <w:rsid w:val="004455A5"/>
    <w:rsid w:val="00445911"/>
    <w:rsid w:val="00445F4D"/>
    <w:rsid w:val="00446050"/>
    <w:rsid w:val="00446FC1"/>
    <w:rsid w:val="00447C26"/>
    <w:rsid w:val="00447F1A"/>
    <w:rsid w:val="0045085A"/>
    <w:rsid w:val="00450CBA"/>
    <w:rsid w:val="0045110A"/>
    <w:rsid w:val="00452DA2"/>
    <w:rsid w:val="004532A3"/>
    <w:rsid w:val="00454603"/>
    <w:rsid w:val="00455363"/>
    <w:rsid w:val="00456B8F"/>
    <w:rsid w:val="00457045"/>
    <w:rsid w:val="004574C4"/>
    <w:rsid w:val="00457A91"/>
    <w:rsid w:val="004604E9"/>
    <w:rsid w:val="00460A55"/>
    <w:rsid w:val="004610FB"/>
    <w:rsid w:val="0046180A"/>
    <w:rsid w:val="00462BC6"/>
    <w:rsid w:val="00463FEB"/>
    <w:rsid w:val="00464E3D"/>
    <w:rsid w:val="004660F2"/>
    <w:rsid w:val="00470C11"/>
    <w:rsid w:val="00471188"/>
    <w:rsid w:val="00471759"/>
    <w:rsid w:val="0047175C"/>
    <w:rsid w:val="004721E0"/>
    <w:rsid w:val="00472F9C"/>
    <w:rsid w:val="00473803"/>
    <w:rsid w:val="004755FE"/>
    <w:rsid w:val="004759BF"/>
    <w:rsid w:val="00476857"/>
    <w:rsid w:val="00476B4E"/>
    <w:rsid w:val="0047782F"/>
    <w:rsid w:val="00480310"/>
    <w:rsid w:val="004828C6"/>
    <w:rsid w:val="00484675"/>
    <w:rsid w:val="00484F33"/>
    <w:rsid w:val="004869CF"/>
    <w:rsid w:val="00487545"/>
    <w:rsid w:val="00490239"/>
    <w:rsid w:val="00490B1D"/>
    <w:rsid w:val="00491DC5"/>
    <w:rsid w:val="004929EC"/>
    <w:rsid w:val="004935F6"/>
    <w:rsid w:val="00493B10"/>
    <w:rsid w:val="00493F24"/>
    <w:rsid w:val="00495017"/>
    <w:rsid w:val="0049615F"/>
    <w:rsid w:val="004971EF"/>
    <w:rsid w:val="004A2043"/>
    <w:rsid w:val="004A2FD9"/>
    <w:rsid w:val="004A51CB"/>
    <w:rsid w:val="004A5D55"/>
    <w:rsid w:val="004A6D51"/>
    <w:rsid w:val="004B03BE"/>
    <w:rsid w:val="004B0A80"/>
    <w:rsid w:val="004B1950"/>
    <w:rsid w:val="004B2839"/>
    <w:rsid w:val="004B300A"/>
    <w:rsid w:val="004B4E7B"/>
    <w:rsid w:val="004B5BB1"/>
    <w:rsid w:val="004B7418"/>
    <w:rsid w:val="004B78FA"/>
    <w:rsid w:val="004C0FBA"/>
    <w:rsid w:val="004C1080"/>
    <w:rsid w:val="004C2B29"/>
    <w:rsid w:val="004C3F7B"/>
    <w:rsid w:val="004C3FD4"/>
    <w:rsid w:val="004C4916"/>
    <w:rsid w:val="004C6A1A"/>
    <w:rsid w:val="004C78C4"/>
    <w:rsid w:val="004D2B88"/>
    <w:rsid w:val="004D2EB8"/>
    <w:rsid w:val="004D3A3F"/>
    <w:rsid w:val="004D512D"/>
    <w:rsid w:val="004D58A1"/>
    <w:rsid w:val="004D5D38"/>
    <w:rsid w:val="004D5F74"/>
    <w:rsid w:val="004D6ED4"/>
    <w:rsid w:val="004D7A32"/>
    <w:rsid w:val="004E10E0"/>
    <w:rsid w:val="004E198A"/>
    <w:rsid w:val="004E2A32"/>
    <w:rsid w:val="004E3061"/>
    <w:rsid w:val="004E3F7E"/>
    <w:rsid w:val="004E67E6"/>
    <w:rsid w:val="004F0E40"/>
    <w:rsid w:val="004F19CD"/>
    <w:rsid w:val="004F1F6E"/>
    <w:rsid w:val="004F245D"/>
    <w:rsid w:val="004F5E93"/>
    <w:rsid w:val="004F603D"/>
    <w:rsid w:val="004F6545"/>
    <w:rsid w:val="004F6CDB"/>
    <w:rsid w:val="004F6D32"/>
    <w:rsid w:val="004F6FC8"/>
    <w:rsid w:val="0050046F"/>
    <w:rsid w:val="00500EEF"/>
    <w:rsid w:val="005015CE"/>
    <w:rsid w:val="00501BD9"/>
    <w:rsid w:val="005041A7"/>
    <w:rsid w:val="00504E3C"/>
    <w:rsid w:val="00506456"/>
    <w:rsid w:val="00506825"/>
    <w:rsid w:val="00506FA2"/>
    <w:rsid w:val="00507196"/>
    <w:rsid w:val="005103B1"/>
    <w:rsid w:val="00515680"/>
    <w:rsid w:val="005160DC"/>
    <w:rsid w:val="005173F5"/>
    <w:rsid w:val="00517D7F"/>
    <w:rsid w:val="00517E7D"/>
    <w:rsid w:val="00520779"/>
    <w:rsid w:val="00521E8C"/>
    <w:rsid w:val="00523AAC"/>
    <w:rsid w:val="00523CF5"/>
    <w:rsid w:val="00524195"/>
    <w:rsid w:val="005246FD"/>
    <w:rsid w:val="00525A4C"/>
    <w:rsid w:val="00525C51"/>
    <w:rsid w:val="00530417"/>
    <w:rsid w:val="00530B0F"/>
    <w:rsid w:val="00532095"/>
    <w:rsid w:val="005321B7"/>
    <w:rsid w:val="005328C3"/>
    <w:rsid w:val="0053379A"/>
    <w:rsid w:val="005337D5"/>
    <w:rsid w:val="005345E0"/>
    <w:rsid w:val="0053679A"/>
    <w:rsid w:val="00536C66"/>
    <w:rsid w:val="0054067C"/>
    <w:rsid w:val="00541C62"/>
    <w:rsid w:val="005437B7"/>
    <w:rsid w:val="00543E03"/>
    <w:rsid w:val="00545F4F"/>
    <w:rsid w:val="00545F60"/>
    <w:rsid w:val="00547754"/>
    <w:rsid w:val="0054782B"/>
    <w:rsid w:val="0055051C"/>
    <w:rsid w:val="00550BD7"/>
    <w:rsid w:val="005520E3"/>
    <w:rsid w:val="005536BC"/>
    <w:rsid w:val="005544E5"/>
    <w:rsid w:val="00554B2A"/>
    <w:rsid w:val="00554B2F"/>
    <w:rsid w:val="00557118"/>
    <w:rsid w:val="005612C1"/>
    <w:rsid w:val="00562BC9"/>
    <w:rsid w:val="0056357E"/>
    <w:rsid w:val="00563B07"/>
    <w:rsid w:val="00564874"/>
    <w:rsid w:val="00566834"/>
    <w:rsid w:val="005668F0"/>
    <w:rsid w:val="005677E2"/>
    <w:rsid w:val="0056783D"/>
    <w:rsid w:val="0057019F"/>
    <w:rsid w:val="005704E5"/>
    <w:rsid w:val="00570549"/>
    <w:rsid w:val="0057101F"/>
    <w:rsid w:val="00571A9D"/>
    <w:rsid w:val="00571BA5"/>
    <w:rsid w:val="00573B85"/>
    <w:rsid w:val="00574342"/>
    <w:rsid w:val="005754DE"/>
    <w:rsid w:val="00576798"/>
    <w:rsid w:val="00580450"/>
    <w:rsid w:val="00580CDE"/>
    <w:rsid w:val="00581009"/>
    <w:rsid w:val="005819B2"/>
    <w:rsid w:val="00582409"/>
    <w:rsid w:val="00582DC6"/>
    <w:rsid w:val="00583F9C"/>
    <w:rsid w:val="00585F5E"/>
    <w:rsid w:val="00586DC7"/>
    <w:rsid w:val="00590BD9"/>
    <w:rsid w:val="00590D92"/>
    <w:rsid w:val="00591D93"/>
    <w:rsid w:val="00593561"/>
    <w:rsid w:val="00594553"/>
    <w:rsid w:val="00594805"/>
    <w:rsid w:val="00596392"/>
    <w:rsid w:val="00596EAD"/>
    <w:rsid w:val="00596F55"/>
    <w:rsid w:val="00597DFE"/>
    <w:rsid w:val="00597FAF"/>
    <w:rsid w:val="005A13E7"/>
    <w:rsid w:val="005A196E"/>
    <w:rsid w:val="005A3D06"/>
    <w:rsid w:val="005A3DA9"/>
    <w:rsid w:val="005A62E6"/>
    <w:rsid w:val="005A6CC1"/>
    <w:rsid w:val="005A6CCD"/>
    <w:rsid w:val="005A7107"/>
    <w:rsid w:val="005B174D"/>
    <w:rsid w:val="005B1762"/>
    <w:rsid w:val="005B29AF"/>
    <w:rsid w:val="005B2A71"/>
    <w:rsid w:val="005B39D2"/>
    <w:rsid w:val="005B3B36"/>
    <w:rsid w:val="005B545C"/>
    <w:rsid w:val="005B55F8"/>
    <w:rsid w:val="005B5924"/>
    <w:rsid w:val="005B6561"/>
    <w:rsid w:val="005C0312"/>
    <w:rsid w:val="005C0453"/>
    <w:rsid w:val="005C21D1"/>
    <w:rsid w:val="005C24B6"/>
    <w:rsid w:val="005C29FA"/>
    <w:rsid w:val="005C363D"/>
    <w:rsid w:val="005C3E40"/>
    <w:rsid w:val="005C5F92"/>
    <w:rsid w:val="005C647B"/>
    <w:rsid w:val="005C6EDB"/>
    <w:rsid w:val="005D0763"/>
    <w:rsid w:val="005D0FD8"/>
    <w:rsid w:val="005D3DE0"/>
    <w:rsid w:val="005D4C84"/>
    <w:rsid w:val="005D57F3"/>
    <w:rsid w:val="005D67EA"/>
    <w:rsid w:val="005E0B96"/>
    <w:rsid w:val="005E4156"/>
    <w:rsid w:val="005E6DB6"/>
    <w:rsid w:val="005E7559"/>
    <w:rsid w:val="005F2C40"/>
    <w:rsid w:val="005F4DCE"/>
    <w:rsid w:val="005F5FC9"/>
    <w:rsid w:val="0060184B"/>
    <w:rsid w:val="00601A52"/>
    <w:rsid w:val="00602E73"/>
    <w:rsid w:val="00603627"/>
    <w:rsid w:val="006036A6"/>
    <w:rsid w:val="00603E2B"/>
    <w:rsid w:val="00603FA8"/>
    <w:rsid w:val="006050DD"/>
    <w:rsid w:val="006062EF"/>
    <w:rsid w:val="0061025C"/>
    <w:rsid w:val="00610DB8"/>
    <w:rsid w:val="006121E5"/>
    <w:rsid w:val="00612D19"/>
    <w:rsid w:val="0061317B"/>
    <w:rsid w:val="00613972"/>
    <w:rsid w:val="006159F2"/>
    <w:rsid w:val="00615E70"/>
    <w:rsid w:val="006170F2"/>
    <w:rsid w:val="00617398"/>
    <w:rsid w:val="0061761D"/>
    <w:rsid w:val="006207E9"/>
    <w:rsid w:val="00621E70"/>
    <w:rsid w:val="0062384B"/>
    <w:rsid w:val="00626B7E"/>
    <w:rsid w:val="00632BA7"/>
    <w:rsid w:val="00632C89"/>
    <w:rsid w:val="00632E8C"/>
    <w:rsid w:val="00634F11"/>
    <w:rsid w:val="006359F5"/>
    <w:rsid w:val="00635A18"/>
    <w:rsid w:val="006371BF"/>
    <w:rsid w:val="006377D3"/>
    <w:rsid w:val="00637BB7"/>
    <w:rsid w:val="00642ADD"/>
    <w:rsid w:val="00643396"/>
    <w:rsid w:val="00643788"/>
    <w:rsid w:val="0064402C"/>
    <w:rsid w:val="006445A2"/>
    <w:rsid w:val="00645C45"/>
    <w:rsid w:val="00646179"/>
    <w:rsid w:val="006464FD"/>
    <w:rsid w:val="006474EE"/>
    <w:rsid w:val="0064763A"/>
    <w:rsid w:val="006544DB"/>
    <w:rsid w:val="0065538E"/>
    <w:rsid w:val="00656647"/>
    <w:rsid w:val="0065713B"/>
    <w:rsid w:val="0065713C"/>
    <w:rsid w:val="0065773E"/>
    <w:rsid w:val="00660B1F"/>
    <w:rsid w:val="00662194"/>
    <w:rsid w:val="006637FA"/>
    <w:rsid w:val="00663B17"/>
    <w:rsid w:val="00666A40"/>
    <w:rsid w:val="006704BA"/>
    <w:rsid w:val="00671424"/>
    <w:rsid w:val="006755C1"/>
    <w:rsid w:val="00675A28"/>
    <w:rsid w:val="00676159"/>
    <w:rsid w:val="006772A7"/>
    <w:rsid w:val="006772CA"/>
    <w:rsid w:val="00677EE9"/>
    <w:rsid w:val="006804CF"/>
    <w:rsid w:val="006822DA"/>
    <w:rsid w:val="00682473"/>
    <w:rsid w:val="006829A8"/>
    <w:rsid w:val="00682FBC"/>
    <w:rsid w:val="00683A57"/>
    <w:rsid w:val="0068449E"/>
    <w:rsid w:val="00684A4C"/>
    <w:rsid w:val="006860E3"/>
    <w:rsid w:val="006873EA"/>
    <w:rsid w:val="00692162"/>
    <w:rsid w:val="00693024"/>
    <w:rsid w:val="00694ABE"/>
    <w:rsid w:val="00694E49"/>
    <w:rsid w:val="006A0E74"/>
    <w:rsid w:val="006A0FE1"/>
    <w:rsid w:val="006A218F"/>
    <w:rsid w:val="006A3F76"/>
    <w:rsid w:val="006A4054"/>
    <w:rsid w:val="006A40A1"/>
    <w:rsid w:val="006A5C00"/>
    <w:rsid w:val="006A6165"/>
    <w:rsid w:val="006A6392"/>
    <w:rsid w:val="006A7E28"/>
    <w:rsid w:val="006B2116"/>
    <w:rsid w:val="006B2982"/>
    <w:rsid w:val="006B35BE"/>
    <w:rsid w:val="006C0A4C"/>
    <w:rsid w:val="006C1B43"/>
    <w:rsid w:val="006C1D7C"/>
    <w:rsid w:val="006C3765"/>
    <w:rsid w:val="006C39BF"/>
    <w:rsid w:val="006C4775"/>
    <w:rsid w:val="006C6FA2"/>
    <w:rsid w:val="006C7000"/>
    <w:rsid w:val="006C7763"/>
    <w:rsid w:val="006D012B"/>
    <w:rsid w:val="006D12A7"/>
    <w:rsid w:val="006D1ECD"/>
    <w:rsid w:val="006D2BD5"/>
    <w:rsid w:val="006D3ECE"/>
    <w:rsid w:val="006D4E45"/>
    <w:rsid w:val="006D5350"/>
    <w:rsid w:val="006E0317"/>
    <w:rsid w:val="006E0511"/>
    <w:rsid w:val="006E12C1"/>
    <w:rsid w:val="006E5580"/>
    <w:rsid w:val="006E607F"/>
    <w:rsid w:val="006E7DC2"/>
    <w:rsid w:val="006F0D73"/>
    <w:rsid w:val="006F1342"/>
    <w:rsid w:val="006F3D80"/>
    <w:rsid w:val="006F3EF5"/>
    <w:rsid w:val="006F49F0"/>
    <w:rsid w:val="006F5BEB"/>
    <w:rsid w:val="0070184A"/>
    <w:rsid w:val="00702E8D"/>
    <w:rsid w:val="0070360B"/>
    <w:rsid w:val="00704726"/>
    <w:rsid w:val="007053E7"/>
    <w:rsid w:val="0070569D"/>
    <w:rsid w:val="00705884"/>
    <w:rsid w:val="00705BD1"/>
    <w:rsid w:val="007063F2"/>
    <w:rsid w:val="00706E77"/>
    <w:rsid w:val="007075B8"/>
    <w:rsid w:val="00707B2E"/>
    <w:rsid w:val="00710B00"/>
    <w:rsid w:val="00711471"/>
    <w:rsid w:val="00712398"/>
    <w:rsid w:val="00716DEA"/>
    <w:rsid w:val="0072105B"/>
    <w:rsid w:val="0072284E"/>
    <w:rsid w:val="00723508"/>
    <w:rsid w:val="0073286C"/>
    <w:rsid w:val="007328CC"/>
    <w:rsid w:val="007330DF"/>
    <w:rsid w:val="00733260"/>
    <w:rsid w:val="00735070"/>
    <w:rsid w:val="00735AD3"/>
    <w:rsid w:val="007364DA"/>
    <w:rsid w:val="007409D2"/>
    <w:rsid w:val="00742222"/>
    <w:rsid w:val="00743EA9"/>
    <w:rsid w:val="0074529C"/>
    <w:rsid w:val="00747ECC"/>
    <w:rsid w:val="00750BF8"/>
    <w:rsid w:val="00750E2F"/>
    <w:rsid w:val="007515BC"/>
    <w:rsid w:val="00753328"/>
    <w:rsid w:val="00753433"/>
    <w:rsid w:val="00754E11"/>
    <w:rsid w:val="007551FD"/>
    <w:rsid w:val="0075550C"/>
    <w:rsid w:val="00756097"/>
    <w:rsid w:val="007636FF"/>
    <w:rsid w:val="00764F3A"/>
    <w:rsid w:val="00765CC1"/>
    <w:rsid w:val="007669BA"/>
    <w:rsid w:val="00770261"/>
    <w:rsid w:val="007712EA"/>
    <w:rsid w:val="00772439"/>
    <w:rsid w:val="00773ACD"/>
    <w:rsid w:val="007768C5"/>
    <w:rsid w:val="0077715B"/>
    <w:rsid w:val="007773BD"/>
    <w:rsid w:val="00777B72"/>
    <w:rsid w:val="00777EEE"/>
    <w:rsid w:val="007811C0"/>
    <w:rsid w:val="007819CF"/>
    <w:rsid w:val="0078263F"/>
    <w:rsid w:val="00783657"/>
    <w:rsid w:val="00786840"/>
    <w:rsid w:val="00790852"/>
    <w:rsid w:val="00790EEE"/>
    <w:rsid w:val="00791304"/>
    <w:rsid w:val="00791677"/>
    <w:rsid w:val="00791E8E"/>
    <w:rsid w:val="007931A9"/>
    <w:rsid w:val="00794E52"/>
    <w:rsid w:val="00794E6C"/>
    <w:rsid w:val="007952A7"/>
    <w:rsid w:val="00796982"/>
    <w:rsid w:val="007A02C7"/>
    <w:rsid w:val="007A05C6"/>
    <w:rsid w:val="007A2C70"/>
    <w:rsid w:val="007A375D"/>
    <w:rsid w:val="007A5826"/>
    <w:rsid w:val="007A657A"/>
    <w:rsid w:val="007B249F"/>
    <w:rsid w:val="007B2D7A"/>
    <w:rsid w:val="007B4330"/>
    <w:rsid w:val="007B435A"/>
    <w:rsid w:val="007B5D7E"/>
    <w:rsid w:val="007B788E"/>
    <w:rsid w:val="007C17B1"/>
    <w:rsid w:val="007C43BB"/>
    <w:rsid w:val="007C6ED9"/>
    <w:rsid w:val="007C737B"/>
    <w:rsid w:val="007D1D13"/>
    <w:rsid w:val="007D20FF"/>
    <w:rsid w:val="007D36F2"/>
    <w:rsid w:val="007D3B6C"/>
    <w:rsid w:val="007D57DC"/>
    <w:rsid w:val="007E00A1"/>
    <w:rsid w:val="007E2BB1"/>
    <w:rsid w:val="007E2F2D"/>
    <w:rsid w:val="007E3A3A"/>
    <w:rsid w:val="007E3C1B"/>
    <w:rsid w:val="007E6D47"/>
    <w:rsid w:val="007E71C7"/>
    <w:rsid w:val="007F0096"/>
    <w:rsid w:val="007F2BB3"/>
    <w:rsid w:val="007F35FA"/>
    <w:rsid w:val="007F3724"/>
    <w:rsid w:val="007F4330"/>
    <w:rsid w:val="007F45A7"/>
    <w:rsid w:val="007F4C1B"/>
    <w:rsid w:val="007F62A9"/>
    <w:rsid w:val="008022F1"/>
    <w:rsid w:val="0080288A"/>
    <w:rsid w:val="00802E2A"/>
    <w:rsid w:val="00803569"/>
    <w:rsid w:val="008049CE"/>
    <w:rsid w:val="00807058"/>
    <w:rsid w:val="0080739F"/>
    <w:rsid w:val="0080758E"/>
    <w:rsid w:val="0081025E"/>
    <w:rsid w:val="00812261"/>
    <w:rsid w:val="008124E6"/>
    <w:rsid w:val="00812B72"/>
    <w:rsid w:val="00813360"/>
    <w:rsid w:val="00813620"/>
    <w:rsid w:val="00816F3A"/>
    <w:rsid w:val="008171ED"/>
    <w:rsid w:val="00820A94"/>
    <w:rsid w:val="00822DB3"/>
    <w:rsid w:val="00823B52"/>
    <w:rsid w:val="00823B90"/>
    <w:rsid w:val="008304E8"/>
    <w:rsid w:val="00831575"/>
    <w:rsid w:val="00831ACA"/>
    <w:rsid w:val="00831AD5"/>
    <w:rsid w:val="00831BAA"/>
    <w:rsid w:val="00831E32"/>
    <w:rsid w:val="00834C7B"/>
    <w:rsid w:val="00836367"/>
    <w:rsid w:val="008375CF"/>
    <w:rsid w:val="008425D5"/>
    <w:rsid w:val="00843D20"/>
    <w:rsid w:val="00844454"/>
    <w:rsid w:val="00847192"/>
    <w:rsid w:val="0084731D"/>
    <w:rsid w:val="00850142"/>
    <w:rsid w:val="008511D0"/>
    <w:rsid w:val="008533B0"/>
    <w:rsid w:val="00857420"/>
    <w:rsid w:val="0085773A"/>
    <w:rsid w:val="008603F1"/>
    <w:rsid w:val="00860CCE"/>
    <w:rsid w:val="00862540"/>
    <w:rsid w:val="00862551"/>
    <w:rsid w:val="0086294E"/>
    <w:rsid w:val="00863459"/>
    <w:rsid w:val="008637E1"/>
    <w:rsid w:val="008669BF"/>
    <w:rsid w:val="00867E68"/>
    <w:rsid w:val="008702F1"/>
    <w:rsid w:val="00872CDA"/>
    <w:rsid w:val="0087340F"/>
    <w:rsid w:val="00873D37"/>
    <w:rsid w:val="00874188"/>
    <w:rsid w:val="00876879"/>
    <w:rsid w:val="0088302D"/>
    <w:rsid w:val="008830FE"/>
    <w:rsid w:val="00883A51"/>
    <w:rsid w:val="008841C7"/>
    <w:rsid w:val="00885271"/>
    <w:rsid w:val="00885C28"/>
    <w:rsid w:val="00885F6B"/>
    <w:rsid w:val="008866E0"/>
    <w:rsid w:val="00887803"/>
    <w:rsid w:val="00887ABA"/>
    <w:rsid w:val="00891481"/>
    <w:rsid w:val="00891E50"/>
    <w:rsid w:val="008937F0"/>
    <w:rsid w:val="00893A34"/>
    <w:rsid w:val="00893F1F"/>
    <w:rsid w:val="00897964"/>
    <w:rsid w:val="008A2903"/>
    <w:rsid w:val="008A2ECB"/>
    <w:rsid w:val="008A41D1"/>
    <w:rsid w:val="008A6B32"/>
    <w:rsid w:val="008A6D57"/>
    <w:rsid w:val="008A7DEB"/>
    <w:rsid w:val="008B39F2"/>
    <w:rsid w:val="008B7CC7"/>
    <w:rsid w:val="008C0BAD"/>
    <w:rsid w:val="008C0DD2"/>
    <w:rsid w:val="008C1654"/>
    <w:rsid w:val="008C2E66"/>
    <w:rsid w:val="008C3CF3"/>
    <w:rsid w:val="008C4059"/>
    <w:rsid w:val="008C5061"/>
    <w:rsid w:val="008D321E"/>
    <w:rsid w:val="008D4069"/>
    <w:rsid w:val="008D4C74"/>
    <w:rsid w:val="008D578D"/>
    <w:rsid w:val="008D6F8D"/>
    <w:rsid w:val="008E0799"/>
    <w:rsid w:val="008E144C"/>
    <w:rsid w:val="008E1524"/>
    <w:rsid w:val="008E1751"/>
    <w:rsid w:val="008E35D5"/>
    <w:rsid w:val="008E499D"/>
    <w:rsid w:val="008F1742"/>
    <w:rsid w:val="008F3401"/>
    <w:rsid w:val="008F45DD"/>
    <w:rsid w:val="008F524F"/>
    <w:rsid w:val="008F546B"/>
    <w:rsid w:val="008F7F16"/>
    <w:rsid w:val="009011FA"/>
    <w:rsid w:val="00903A46"/>
    <w:rsid w:val="00907EF1"/>
    <w:rsid w:val="009112D6"/>
    <w:rsid w:val="00911779"/>
    <w:rsid w:val="00912583"/>
    <w:rsid w:val="00912FE6"/>
    <w:rsid w:val="0091537A"/>
    <w:rsid w:val="0091613C"/>
    <w:rsid w:val="00916AA9"/>
    <w:rsid w:val="00917703"/>
    <w:rsid w:val="00921613"/>
    <w:rsid w:val="00921AD9"/>
    <w:rsid w:val="00922DFB"/>
    <w:rsid w:val="00924DAD"/>
    <w:rsid w:val="00924EF9"/>
    <w:rsid w:val="00925DBC"/>
    <w:rsid w:val="00926B17"/>
    <w:rsid w:val="00931139"/>
    <w:rsid w:val="00931186"/>
    <w:rsid w:val="00931C60"/>
    <w:rsid w:val="00932330"/>
    <w:rsid w:val="009366A0"/>
    <w:rsid w:val="009407EE"/>
    <w:rsid w:val="00943B26"/>
    <w:rsid w:val="00946464"/>
    <w:rsid w:val="00950357"/>
    <w:rsid w:val="00950BF6"/>
    <w:rsid w:val="0095200D"/>
    <w:rsid w:val="009542D3"/>
    <w:rsid w:val="00956DA6"/>
    <w:rsid w:val="009575E3"/>
    <w:rsid w:val="00957F52"/>
    <w:rsid w:val="00960387"/>
    <w:rsid w:val="00961C3D"/>
    <w:rsid w:val="00961DC0"/>
    <w:rsid w:val="00962484"/>
    <w:rsid w:val="0096278C"/>
    <w:rsid w:val="009643C4"/>
    <w:rsid w:val="00967BAA"/>
    <w:rsid w:val="00970DF3"/>
    <w:rsid w:val="00975268"/>
    <w:rsid w:val="00975870"/>
    <w:rsid w:val="00975CDC"/>
    <w:rsid w:val="009768F2"/>
    <w:rsid w:val="00981A56"/>
    <w:rsid w:val="00983242"/>
    <w:rsid w:val="00983700"/>
    <w:rsid w:val="00984467"/>
    <w:rsid w:val="0098563C"/>
    <w:rsid w:val="0098603E"/>
    <w:rsid w:val="00986F53"/>
    <w:rsid w:val="0099053A"/>
    <w:rsid w:val="009918E8"/>
    <w:rsid w:val="00991ACC"/>
    <w:rsid w:val="00992345"/>
    <w:rsid w:val="00993572"/>
    <w:rsid w:val="00995D58"/>
    <w:rsid w:val="0099604A"/>
    <w:rsid w:val="009962FE"/>
    <w:rsid w:val="00997E46"/>
    <w:rsid w:val="009A0E5A"/>
    <w:rsid w:val="009A1F84"/>
    <w:rsid w:val="009A237B"/>
    <w:rsid w:val="009A23EE"/>
    <w:rsid w:val="009A2C24"/>
    <w:rsid w:val="009A4293"/>
    <w:rsid w:val="009A6068"/>
    <w:rsid w:val="009B0464"/>
    <w:rsid w:val="009B1209"/>
    <w:rsid w:val="009B3F9B"/>
    <w:rsid w:val="009B4464"/>
    <w:rsid w:val="009B5ED9"/>
    <w:rsid w:val="009B687E"/>
    <w:rsid w:val="009B78C5"/>
    <w:rsid w:val="009C4DC5"/>
    <w:rsid w:val="009C4F2E"/>
    <w:rsid w:val="009C5262"/>
    <w:rsid w:val="009C6B0A"/>
    <w:rsid w:val="009D07A9"/>
    <w:rsid w:val="009D176F"/>
    <w:rsid w:val="009D5865"/>
    <w:rsid w:val="009D5E4C"/>
    <w:rsid w:val="009D6D25"/>
    <w:rsid w:val="009E03FB"/>
    <w:rsid w:val="009E17B9"/>
    <w:rsid w:val="009E39BD"/>
    <w:rsid w:val="009E56D2"/>
    <w:rsid w:val="009F06E5"/>
    <w:rsid w:val="009F09E6"/>
    <w:rsid w:val="009F39B2"/>
    <w:rsid w:val="009F630C"/>
    <w:rsid w:val="009F7B9A"/>
    <w:rsid w:val="009F7F75"/>
    <w:rsid w:val="00A0358C"/>
    <w:rsid w:val="00A03704"/>
    <w:rsid w:val="00A05AD3"/>
    <w:rsid w:val="00A067D6"/>
    <w:rsid w:val="00A06AC7"/>
    <w:rsid w:val="00A11347"/>
    <w:rsid w:val="00A11C67"/>
    <w:rsid w:val="00A12961"/>
    <w:rsid w:val="00A136AC"/>
    <w:rsid w:val="00A13885"/>
    <w:rsid w:val="00A144CF"/>
    <w:rsid w:val="00A169B4"/>
    <w:rsid w:val="00A16CD8"/>
    <w:rsid w:val="00A178DF"/>
    <w:rsid w:val="00A20C92"/>
    <w:rsid w:val="00A214BF"/>
    <w:rsid w:val="00A227F2"/>
    <w:rsid w:val="00A240B1"/>
    <w:rsid w:val="00A241BD"/>
    <w:rsid w:val="00A2485E"/>
    <w:rsid w:val="00A260E7"/>
    <w:rsid w:val="00A2777E"/>
    <w:rsid w:val="00A3103A"/>
    <w:rsid w:val="00A31268"/>
    <w:rsid w:val="00A31E8F"/>
    <w:rsid w:val="00A3580A"/>
    <w:rsid w:val="00A40AF3"/>
    <w:rsid w:val="00A41E37"/>
    <w:rsid w:val="00A41FC7"/>
    <w:rsid w:val="00A44EB9"/>
    <w:rsid w:val="00A458F0"/>
    <w:rsid w:val="00A46A67"/>
    <w:rsid w:val="00A474F8"/>
    <w:rsid w:val="00A51CC9"/>
    <w:rsid w:val="00A51EF6"/>
    <w:rsid w:val="00A52763"/>
    <w:rsid w:val="00A52964"/>
    <w:rsid w:val="00A541BB"/>
    <w:rsid w:val="00A637DD"/>
    <w:rsid w:val="00A65EA6"/>
    <w:rsid w:val="00A72D91"/>
    <w:rsid w:val="00A73D4B"/>
    <w:rsid w:val="00A748A3"/>
    <w:rsid w:val="00A761FA"/>
    <w:rsid w:val="00A771C0"/>
    <w:rsid w:val="00A80CA4"/>
    <w:rsid w:val="00A81192"/>
    <w:rsid w:val="00A81297"/>
    <w:rsid w:val="00A82A72"/>
    <w:rsid w:val="00A85A08"/>
    <w:rsid w:val="00A86724"/>
    <w:rsid w:val="00A8672D"/>
    <w:rsid w:val="00A90B0E"/>
    <w:rsid w:val="00A90B93"/>
    <w:rsid w:val="00A92E1D"/>
    <w:rsid w:val="00A9382E"/>
    <w:rsid w:val="00A94F1D"/>
    <w:rsid w:val="00A95810"/>
    <w:rsid w:val="00A95DA6"/>
    <w:rsid w:val="00A97006"/>
    <w:rsid w:val="00A97DC2"/>
    <w:rsid w:val="00AA0305"/>
    <w:rsid w:val="00AA1E55"/>
    <w:rsid w:val="00AA2A15"/>
    <w:rsid w:val="00AA2A96"/>
    <w:rsid w:val="00AA2B71"/>
    <w:rsid w:val="00AA42A7"/>
    <w:rsid w:val="00AA50D5"/>
    <w:rsid w:val="00AA714E"/>
    <w:rsid w:val="00AB1C8B"/>
    <w:rsid w:val="00AB49AE"/>
    <w:rsid w:val="00AB4B80"/>
    <w:rsid w:val="00AB7678"/>
    <w:rsid w:val="00AC014E"/>
    <w:rsid w:val="00AC238D"/>
    <w:rsid w:val="00AC4B7F"/>
    <w:rsid w:val="00AC7238"/>
    <w:rsid w:val="00AC7BEB"/>
    <w:rsid w:val="00AC7C05"/>
    <w:rsid w:val="00AD162D"/>
    <w:rsid w:val="00AD16E4"/>
    <w:rsid w:val="00AD2189"/>
    <w:rsid w:val="00AD2C02"/>
    <w:rsid w:val="00AD31A9"/>
    <w:rsid w:val="00AD5287"/>
    <w:rsid w:val="00AD6CF5"/>
    <w:rsid w:val="00AD7847"/>
    <w:rsid w:val="00AD7FEE"/>
    <w:rsid w:val="00AE097A"/>
    <w:rsid w:val="00AE1B5A"/>
    <w:rsid w:val="00AE2151"/>
    <w:rsid w:val="00AE249D"/>
    <w:rsid w:val="00AE31B0"/>
    <w:rsid w:val="00AE3EC0"/>
    <w:rsid w:val="00AE64FC"/>
    <w:rsid w:val="00AE6FC4"/>
    <w:rsid w:val="00AF0479"/>
    <w:rsid w:val="00AF26A2"/>
    <w:rsid w:val="00AF3DFB"/>
    <w:rsid w:val="00AF411C"/>
    <w:rsid w:val="00AF4B64"/>
    <w:rsid w:val="00AF7EC6"/>
    <w:rsid w:val="00B01B51"/>
    <w:rsid w:val="00B03333"/>
    <w:rsid w:val="00B033B6"/>
    <w:rsid w:val="00B0379D"/>
    <w:rsid w:val="00B0406A"/>
    <w:rsid w:val="00B06841"/>
    <w:rsid w:val="00B06B03"/>
    <w:rsid w:val="00B07DB6"/>
    <w:rsid w:val="00B113E5"/>
    <w:rsid w:val="00B1162D"/>
    <w:rsid w:val="00B14C06"/>
    <w:rsid w:val="00B153F0"/>
    <w:rsid w:val="00B162A3"/>
    <w:rsid w:val="00B17ECC"/>
    <w:rsid w:val="00B23398"/>
    <w:rsid w:val="00B245B0"/>
    <w:rsid w:val="00B26E56"/>
    <w:rsid w:val="00B31879"/>
    <w:rsid w:val="00B3311C"/>
    <w:rsid w:val="00B33125"/>
    <w:rsid w:val="00B34A3B"/>
    <w:rsid w:val="00B355C5"/>
    <w:rsid w:val="00B3673D"/>
    <w:rsid w:val="00B42FF9"/>
    <w:rsid w:val="00B44C6C"/>
    <w:rsid w:val="00B4757F"/>
    <w:rsid w:val="00B5187A"/>
    <w:rsid w:val="00B5229A"/>
    <w:rsid w:val="00B52E33"/>
    <w:rsid w:val="00B55CD1"/>
    <w:rsid w:val="00B605F9"/>
    <w:rsid w:val="00B61C67"/>
    <w:rsid w:val="00B6314D"/>
    <w:rsid w:val="00B64BD8"/>
    <w:rsid w:val="00B70EFF"/>
    <w:rsid w:val="00B713DA"/>
    <w:rsid w:val="00B71654"/>
    <w:rsid w:val="00B727C2"/>
    <w:rsid w:val="00B738C7"/>
    <w:rsid w:val="00B747AC"/>
    <w:rsid w:val="00B75E1D"/>
    <w:rsid w:val="00B77124"/>
    <w:rsid w:val="00B8023E"/>
    <w:rsid w:val="00B82106"/>
    <w:rsid w:val="00B82526"/>
    <w:rsid w:val="00B82809"/>
    <w:rsid w:val="00B87915"/>
    <w:rsid w:val="00B9084D"/>
    <w:rsid w:val="00B91224"/>
    <w:rsid w:val="00B91420"/>
    <w:rsid w:val="00B92DEC"/>
    <w:rsid w:val="00B9525A"/>
    <w:rsid w:val="00BA015D"/>
    <w:rsid w:val="00BA064C"/>
    <w:rsid w:val="00BA08F9"/>
    <w:rsid w:val="00BA0C85"/>
    <w:rsid w:val="00BA1B22"/>
    <w:rsid w:val="00BA4091"/>
    <w:rsid w:val="00BA4735"/>
    <w:rsid w:val="00BA54D5"/>
    <w:rsid w:val="00BB2DB8"/>
    <w:rsid w:val="00BB3A50"/>
    <w:rsid w:val="00BB4D9B"/>
    <w:rsid w:val="00BB647C"/>
    <w:rsid w:val="00BC0C83"/>
    <w:rsid w:val="00BC33E7"/>
    <w:rsid w:val="00BC5A0A"/>
    <w:rsid w:val="00BC61B1"/>
    <w:rsid w:val="00BC74B2"/>
    <w:rsid w:val="00BD1F16"/>
    <w:rsid w:val="00BD201F"/>
    <w:rsid w:val="00BD27A9"/>
    <w:rsid w:val="00BD36B3"/>
    <w:rsid w:val="00BD55D3"/>
    <w:rsid w:val="00BD787F"/>
    <w:rsid w:val="00BD7E26"/>
    <w:rsid w:val="00BE00F2"/>
    <w:rsid w:val="00BE209A"/>
    <w:rsid w:val="00BE2293"/>
    <w:rsid w:val="00BE2455"/>
    <w:rsid w:val="00BE24AF"/>
    <w:rsid w:val="00BE37DF"/>
    <w:rsid w:val="00BE37E1"/>
    <w:rsid w:val="00BE4B28"/>
    <w:rsid w:val="00BE4ED0"/>
    <w:rsid w:val="00BE57F6"/>
    <w:rsid w:val="00BE6E5D"/>
    <w:rsid w:val="00BE7220"/>
    <w:rsid w:val="00BF021D"/>
    <w:rsid w:val="00BF2D80"/>
    <w:rsid w:val="00BF2DF2"/>
    <w:rsid w:val="00BF32A0"/>
    <w:rsid w:val="00BF34A5"/>
    <w:rsid w:val="00BF3828"/>
    <w:rsid w:val="00BF4F4D"/>
    <w:rsid w:val="00BF5144"/>
    <w:rsid w:val="00BF5E9D"/>
    <w:rsid w:val="00C00747"/>
    <w:rsid w:val="00C01116"/>
    <w:rsid w:val="00C02336"/>
    <w:rsid w:val="00C04254"/>
    <w:rsid w:val="00C043A7"/>
    <w:rsid w:val="00C044F1"/>
    <w:rsid w:val="00C050D3"/>
    <w:rsid w:val="00C10374"/>
    <w:rsid w:val="00C12840"/>
    <w:rsid w:val="00C13480"/>
    <w:rsid w:val="00C1593D"/>
    <w:rsid w:val="00C172E3"/>
    <w:rsid w:val="00C20F60"/>
    <w:rsid w:val="00C217D7"/>
    <w:rsid w:val="00C21910"/>
    <w:rsid w:val="00C22372"/>
    <w:rsid w:val="00C22791"/>
    <w:rsid w:val="00C244FF"/>
    <w:rsid w:val="00C268EB"/>
    <w:rsid w:val="00C27FC3"/>
    <w:rsid w:val="00C30B4A"/>
    <w:rsid w:val="00C33D51"/>
    <w:rsid w:val="00C34065"/>
    <w:rsid w:val="00C35BF3"/>
    <w:rsid w:val="00C3670D"/>
    <w:rsid w:val="00C41370"/>
    <w:rsid w:val="00C41EED"/>
    <w:rsid w:val="00C42A20"/>
    <w:rsid w:val="00C442B6"/>
    <w:rsid w:val="00C459A1"/>
    <w:rsid w:val="00C47A2B"/>
    <w:rsid w:val="00C5096F"/>
    <w:rsid w:val="00C50CC6"/>
    <w:rsid w:val="00C5302D"/>
    <w:rsid w:val="00C5403F"/>
    <w:rsid w:val="00C55956"/>
    <w:rsid w:val="00C55CDD"/>
    <w:rsid w:val="00C5787F"/>
    <w:rsid w:val="00C57E44"/>
    <w:rsid w:val="00C60E71"/>
    <w:rsid w:val="00C61A6F"/>
    <w:rsid w:val="00C62F4A"/>
    <w:rsid w:val="00C6318D"/>
    <w:rsid w:val="00C634DB"/>
    <w:rsid w:val="00C63883"/>
    <w:rsid w:val="00C66506"/>
    <w:rsid w:val="00C70573"/>
    <w:rsid w:val="00C70641"/>
    <w:rsid w:val="00C72EF0"/>
    <w:rsid w:val="00C7318D"/>
    <w:rsid w:val="00C74CC2"/>
    <w:rsid w:val="00C76487"/>
    <w:rsid w:val="00C77322"/>
    <w:rsid w:val="00C77ACD"/>
    <w:rsid w:val="00C81584"/>
    <w:rsid w:val="00C82FC1"/>
    <w:rsid w:val="00C83726"/>
    <w:rsid w:val="00C85536"/>
    <w:rsid w:val="00C87AC7"/>
    <w:rsid w:val="00C9240D"/>
    <w:rsid w:val="00C96565"/>
    <w:rsid w:val="00C975F3"/>
    <w:rsid w:val="00C9766A"/>
    <w:rsid w:val="00C9795B"/>
    <w:rsid w:val="00CA1310"/>
    <w:rsid w:val="00CA27D5"/>
    <w:rsid w:val="00CA3336"/>
    <w:rsid w:val="00CA3630"/>
    <w:rsid w:val="00CA49A2"/>
    <w:rsid w:val="00CA4D80"/>
    <w:rsid w:val="00CA552A"/>
    <w:rsid w:val="00CA55AC"/>
    <w:rsid w:val="00CA5DA4"/>
    <w:rsid w:val="00CA6831"/>
    <w:rsid w:val="00CA683E"/>
    <w:rsid w:val="00CB0179"/>
    <w:rsid w:val="00CB0C87"/>
    <w:rsid w:val="00CB2278"/>
    <w:rsid w:val="00CB245C"/>
    <w:rsid w:val="00CB354D"/>
    <w:rsid w:val="00CB6BD8"/>
    <w:rsid w:val="00CB74C1"/>
    <w:rsid w:val="00CB77B9"/>
    <w:rsid w:val="00CC0031"/>
    <w:rsid w:val="00CC1B2D"/>
    <w:rsid w:val="00CC2C4F"/>
    <w:rsid w:val="00CC3FDF"/>
    <w:rsid w:val="00CC60B9"/>
    <w:rsid w:val="00CD1628"/>
    <w:rsid w:val="00CD2712"/>
    <w:rsid w:val="00CD35A0"/>
    <w:rsid w:val="00CD41EE"/>
    <w:rsid w:val="00CD476F"/>
    <w:rsid w:val="00CD664F"/>
    <w:rsid w:val="00CD7C95"/>
    <w:rsid w:val="00CE3D5E"/>
    <w:rsid w:val="00CE49E7"/>
    <w:rsid w:val="00CE642E"/>
    <w:rsid w:val="00CF034B"/>
    <w:rsid w:val="00CF32E9"/>
    <w:rsid w:val="00CF345C"/>
    <w:rsid w:val="00CF4E94"/>
    <w:rsid w:val="00CF56C1"/>
    <w:rsid w:val="00CF75BA"/>
    <w:rsid w:val="00D0100E"/>
    <w:rsid w:val="00D010E3"/>
    <w:rsid w:val="00D01A19"/>
    <w:rsid w:val="00D02E90"/>
    <w:rsid w:val="00D0482D"/>
    <w:rsid w:val="00D05810"/>
    <w:rsid w:val="00D10925"/>
    <w:rsid w:val="00D15ADE"/>
    <w:rsid w:val="00D167AE"/>
    <w:rsid w:val="00D20416"/>
    <w:rsid w:val="00D20CCF"/>
    <w:rsid w:val="00D21942"/>
    <w:rsid w:val="00D22B65"/>
    <w:rsid w:val="00D23682"/>
    <w:rsid w:val="00D30BD9"/>
    <w:rsid w:val="00D30C9F"/>
    <w:rsid w:val="00D31275"/>
    <w:rsid w:val="00D3196B"/>
    <w:rsid w:val="00D324FC"/>
    <w:rsid w:val="00D3500B"/>
    <w:rsid w:val="00D35F36"/>
    <w:rsid w:val="00D378DF"/>
    <w:rsid w:val="00D4068B"/>
    <w:rsid w:val="00D41322"/>
    <w:rsid w:val="00D42B0C"/>
    <w:rsid w:val="00D47AC5"/>
    <w:rsid w:val="00D5090D"/>
    <w:rsid w:val="00D5113F"/>
    <w:rsid w:val="00D52351"/>
    <w:rsid w:val="00D56336"/>
    <w:rsid w:val="00D56BA7"/>
    <w:rsid w:val="00D576E9"/>
    <w:rsid w:val="00D5781D"/>
    <w:rsid w:val="00D617EF"/>
    <w:rsid w:val="00D62ECD"/>
    <w:rsid w:val="00D65CF2"/>
    <w:rsid w:val="00D6682C"/>
    <w:rsid w:val="00D66CF8"/>
    <w:rsid w:val="00D66DB5"/>
    <w:rsid w:val="00D67F9B"/>
    <w:rsid w:val="00D7008D"/>
    <w:rsid w:val="00D7086E"/>
    <w:rsid w:val="00D70C49"/>
    <w:rsid w:val="00D70F3A"/>
    <w:rsid w:val="00D71EDD"/>
    <w:rsid w:val="00D72BEF"/>
    <w:rsid w:val="00D72C62"/>
    <w:rsid w:val="00D73886"/>
    <w:rsid w:val="00D76AB8"/>
    <w:rsid w:val="00D772B3"/>
    <w:rsid w:val="00D77A52"/>
    <w:rsid w:val="00D81B58"/>
    <w:rsid w:val="00D81C14"/>
    <w:rsid w:val="00D832D5"/>
    <w:rsid w:val="00D83376"/>
    <w:rsid w:val="00D84B5D"/>
    <w:rsid w:val="00D853FF"/>
    <w:rsid w:val="00D8705F"/>
    <w:rsid w:val="00D87A07"/>
    <w:rsid w:val="00D92A15"/>
    <w:rsid w:val="00D934FF"/>
    <w:rsid w:val="00D943DD"/>
    <w:rsid w:val="00D957C0"/>
    <w:rsid w:val="00D965FE"/>
    <w:rsid w:val="00DA0546"/>
    <w:rsid w:val="00DA1332"/>
    <w:rsid w:val="00DA377B"/>
    <w:rsid w:val="00DA48F6"/>
    <w:rsid w:val="00DA5238"/>
    <w:rsid w:val="00DA53C1"/>
    <w:rsid w:val="00DA5621"/>
    <w:rsid w:val="00DA5B67"/>
    <w:rsid w:val="00DA7ECD"/>
    <w:rsid w:val="00DB09E4"/>
    <w:rsid w:val="00DB0D46"/>
    <w:rsid w:val="00DB2D17"/>
    <w:rsid w:val="00DB5E4D"/>
    <w:rsid w:val="00DB5F9F"/>
    <w:rsid w:val="00DB6D1F"/>
    <w:rsid w:val="00DC11CB"/>
    <w:rsid w:val="00DC13EA"/>
    <w:rsid w:val="00DC1BB7"/>
    <w:rsid w:val="00DC3ADA"/>
    <w:rsid w:val="00DC4A0B"/>
    <w:rsid w:val="00DC4D66"/>
    <w:rsid w:val="00DC73B8"/>
    <w:rsid w:val="00DC78F4"/>
    <w:rsid w:val="00DD026E"/>
    <w:rsid w:val="00DD1715"/>
    <w:rsid w:val="00DD2C4D"/>
    <w:rsid w:val="00DD35FE"/>
    <w:rsid w:val="00DD37BF"/>
    <w:rsid w:val="00DD4340"/>
    <w:rsid w:val="00DD44AD"/>
    <w:rsid w:val="00DD45F6"/>
    <w:rsid w:val="00DD5596"/>
    <w:rsid w:val="00DD5A7F"/>
    <w:rsid w:val="00DD6B23"/>
    <w:rsid w:val="00DE1E06"/>
    <w:rsid w:val="00DE342A"/>
    <w:rsid w:val="00DE48C3"/>
    <w:rsid w:val="00DE493A"/>
    <w:rsid w:val="00DE5099"/>
    <w:rsid w:val="00DE58AE"/>
    <w:rsid w:val="00DE7190"/>
    <w:rsid w:val="00DF1157"/>
    <w:rsid w:val="00DF178D"/>
    <w:rsid w:val="00DF2711"/>
    <w:rsid w:val="00DF2E2D"/>
    <w:rsid w:val="00DF38C7"/>
    <w:rsid w:val="00DF4392"/>
    <w:rsid w:val="00DF4E1F"/>
    <w:rsid w:val="00DF5D52"/>
    <w:rsid w:val="00DF69A1"/>
    <w:rsid w:val="00DF6DE1"/>
    <w:rsid w:val="00DF752E"/>
    <w:rsid w:val="00E0035B"/>
    <w:rsid w:val="00E00956"/>
    <w:rsid w:val="00E011B3"/>
    <w:rsid w:val="00E01A14"/>
    <w:rsid w:val="00E01A51"/>
    <w:rsid w:val="00E02EE2"/>
    <w:rsid w:val="00E04B3B"/>
    <w:rsid w:val="00E04D61"/>
    <w:rsid w:val="00E05109"/>
    <w:rsid w:val="00E05894"/>
    <w:rsid w:val="00E0642C"/>
    <w:rsid w:val="00E06BD0"/>
    <w:rsid w:val="00E109E0"/>
    <w:rsid w:val="00E1364D"/>
    <w:rsid w:val="00E14FA3"/>
    <w:rsid w:val="00E151B6"/>
    <w:rsid w:val="00E153CF"/>
    <w:rsid w:val="00E1543D"/>
    <w:rsid w:val="00E15D9B"/>
    <w:rsid w:val="00E169B1"/>
    <w:rsid w:val="00E17572"/>
    <w:rsid w:val="00E176F6"/>
    <w:rsid w:val="00E177EE"/>
    <w:rsid w:val="00E204AA"/>
    <w:rsid w:val="00E245F0"/>
    <w:rsid w:val="00E2566D"/>
    <w:rsid w:val="00E27820"/>
    <w:rsid w:val="00E304B3"/>
    <w:rsid w:val="00E32827"/>
    <w:rsid w:val="00E329AF"/>
    <w:rsid w:val="00E342B0"/>
    <w:rsid w:val="00E350B7"/>
    <w:rsid w:val="00E356BA"/>
    <w:rsid w:val="00E37D1E"/>
    <w:rsid w:val="00E40979"/>
    <w:rsid w:val="00E435B7"/>
    <w:rsid w:val="00E43A26"/>
    <w:rsid w:val="00E466D8"/>
    <w:rsid w:val="00E46AF2"/>
    <w:rsid w:val="00E47557"/>
    <w:rsid w:val="00E503F7"/>
    <w:rsid w:val="00E5543F"/>
    <w:rsid w:val="00E6140D"/>
    <w:rsid w:val="00E61F52"/>
    <w:rsid w:val="00E6414B"/>
    <w:rsid w:val="00E64851"/>
    <w:rsid w:val="00E67C51"/>
    <w:rsid w:val="00E70BD3"/>
    <w:rsid w:val="00E71783"/>
    <w:rsid w:val="00E71967"/>
    <w:rsid w:val="00E7237E"/>
    <w:rsid w:val="00E72A5A"/>
    <w:rsid w:val="00E72D5C"/>
    <w:rsid w:val="00E735B1"/>
    <w:rsid w:val="00E73BE0"/>
    <w:rsid w:val="00E741ED"/>
    <w:rsid w:val="00E74837"/>
    <w:rsid w:val="00E770AD"/>
    <w:rsid w:val="00E77FD2"/>
    <w:rsid w:val="00E81DCB"/>
    <w:rsid w:val="00E85206"/>
    <w:rsid w:val="00E90B31"/>
    <w:rsid w:val="00E90BDF"/>
    <w:rsid w:val="00E929ED"/>
    <w:rsid w:val="00E940AC"/>
    <w:rsid w:val="00E94F36"/>
    <w:rsid w:val="00E95883"/>
    <w:rsid w:val="00EA258A"/>
    <w:rsid w:val="00EA447E"/>
    <w:rsid w:val="00EA4859"/>
    <w:rsid w:val="00EA4DBC"/>
    <w:rsid w:val="00EA50AB"/>
    <w:rsid w:val="00EA5182"/>
    <w:rsid w:val="00EB037F"/>
    <w:rsid w:val="00EB10EA"/>
    <w:rsid w:val="00EB1595"/>
    <w:rsid w:val="00EB31AB"/>
    <w:rsid w:val="00EB4EFE"/>
    <w:rsid w:val="00EB5751"/>
    <w:rsid w:val="00EC175E"/>
    <w:rsid w:val="00EC22D7"/>
    <w:rsid w:val="00EC245A"/>
    <w:rsid w:val="00EC4BAE"/>
    <w:rsid w:val="00EC5B7C"/>
    <w:rsid w:val="00EC5D37"/>
    <w:rsid w:val="00EC6A3F"/>
    <w:rsid w:val="00ED2391"/>
    <w:rsid w:val="00ED3DA3"/>
    <w:rsid w:val="00ED5893"/>
    <w:rsid w:val="00EE6411"/>
    <w:rsid w:val="00EE66C7"/>
    <w:rsid w:val="00EE6B2F"/>
    <w:rsid w:val="00EE70C3"/>
    <w:rsid w:val="00EF02F8"/>
    <w:rsid w:val="00EF0400"/>
    <w:rsid w:val="00EF5730"/>
    <w:rsid w:val="00EF5C83"/>
    <w:rsid w:val="00EF7D7A"/>
    <w:rsid w:val="00F002B2"/>
    <w:rsid w:val="00F00AC2"/>
    <w:rsid w:val="00F01C27"/>
    <w:rsid w:val="00F0204B"/>
    <w:rsid w:val="00F03B3D"/>
    <w:rsid w:val="00F05177"/>
    <w:rsid w:val="00F0601A"/>
    <w:rsid w:val="00F0724E"/>
    <w:rsid w:val="00F12FA2"/>
    <w:rsid w:val="00F14C67"/>
    <w:rsid w:val="00F15518"/>
    <w:rsid w:val="00F17616"/>
    <w:rsid w:val="00F22E5F"/>
    <w:rsid w:val="00F233B0"/>
    <w:rsid w:val="00F24E5E"/>
    <w:rsid w:val="00F25D76"/>
    <w:rsid w:val="00F26DA9"/>
    <w:rsid w:val="00F31D64"/>
    <w:rsid w:val="00F33537"/>
    <w:rsid w:val="00F33736"/>
    <w:rsid w:val="00F33B09"/>
    <w:rsid w:val="00F3434E"/>
    <w:rsid w:val="00F355AD"/>
    <w:rsid w:val="00F358FC"/>
    <w:rsid w:val="00F36D4A"/>
    <w:rsid w:val="00F376EB"/>
    <w:rsid w:val="00F37FE5"/>
    <w:rsid w:val="00F40EC2"/>
    <w:rsid w:val="00F40EFA"/>
    <w:rsid w:val="00F41545"/>
    <w:rsid w:val="00F41EEA"/>
    <w:rsid w:val="00F4341D"/>
    <w:rsid w:val="00F4545C"/>
    <w:rsid w:val="00F45E80"/>
    <w:rsid w:val="00F46AEA"/>
    <w:rsid w:val="00F50177"/>
    <w:rsid w:val="00F51132"/>
    <w:rsid w:val="00F51CC5"/>
    <w:rsid w:val="00F51F90"/>
    <w:rsid w:val="00F567BF"/>
    <w:rsid w:val="00F56AC0"/>
    <w:rsid w:val="00F56F0E"/>
    <w:rsid w:val="00F56F47"/>
    <w:rsid w:val="00F57335"/>
    <w:rsid w:val="00F57A39"/>
    <w:rsid w:val="00F61F72"/>
    <w:rsid w:val="00F62680"/>
    <w:rsid w:val="00F63723"/>
    <w:rsid w:val="00F63BA4"/>
    <w:rsid w:val="00F65E9E"/>
    <w:rsid w:val="00F7025D"/>
    <w:rsid w:val="00F72085"/>
    <w:rsid w:val="00F73FF5"/>
    <w:rsid w:val="00F74EFB"/>
    <w:rsid w:val="00F76F54"/>
    <w:rsid w:val="00F7712A"/>
    <w:rsid w:val="00F77955"/>
    <w:rsid w:val="00F803F8"/>
    <w:rsid w:val="00F8144D"/>
    <w:rsid w:val="00F82B0E"/>
    <w:rsid w:val="00F8415B"/>
    <w:rsid w:val="00F84424"/>
    <w:rsid w:val="00F869F8"/>
    <w:rsid w:val="00F86B46"/>
    <w:rsid w:val="00F86BE3"/>
    <w:rsid w:val="00F90EFD"/>
    <w:rsid w:val="00F926D8"/>
    <w:rsid w:val="00F93F4C"/>
    <w:rsid w:val="00F9535B"/>
    <w:rsid w:val="00F95DE8"/>
    <w:rsid w:val="00F962C7"/>
    <w:rsid w:val="00F96FD2"/>
    <w:rsid w:val="00F9780A"/>
    <w:rsid w:val="00FA06AC"/>
    <w:rsid w:val="00FA0E40"/>
    <w:rsid w:val="00FA11CB"/>
    <w:rsid w:val="00FA13F8"/>
    <w:rsid w:val="00FA1906"/>
    <w:rsid w:val="00FA2EC0"/>
    <w:rsid w:val="00FA31AD"/>
    <w:rsid w:val="00FA3F1F"/>
    <w:rsid w:val="00FA47E1"/>
    <w:rsid w:val="00FA4EA3"/>
    <w:rsid w:val="00FA60D5"/>
    <w:rsid w:val="00FB0933"/>
    <w:rsid w:val="00FB13E0"/>
    <w:rsid w:val="00FB387B"/>
    <w:rsid w:val="00FB38D6"/>
    <w:rsid w:val="00FB4CA8"/>
    <w:rsid w:val="00FB5EBA"/>
    <w:rsid w:val="00FB6B34"/>
    <w:rsid w:val="00FC07C4"/>
    <w:rsid w:val="00FC097E"/>
    <w:rsid w:val="00FC13BA"/>
    <w:rsid w:val="00FC1619"/>
    <w:rsid w:val="00FC19E8"/>
    <w:rsid w:val="00FC22CF"/>
    <w:rsid w:val="00FC3B31"/>
    <w:rsid w:val="00FC43D1"/>
    <w:rsid w:val="00FC4541"/>
    <w:rsid w:val="00FC5866"/>
    <w:rsid w:val="00FC5B63"/>
    <w:rsid w:val="00FC5E53"/>
    <w:rsid w:val="00FD0BDA"/>
    <w:rsid w:val="00FD3EB9"/>
    <w:rsid w:val="00FD4975"/>
    <w:rsid w:val="00FD4992"/>
    <w:rsid w:val="00FD79FF"/>
    <w:rsid w:val="00FE297B"/>
    <w:rsid w:val="00FE3880"/>
    <w:rsid w:val="00FE47DF"/>
    <w:rsid w:val="00FE7555"/>
    <w:rsid w:val="00FE75DD"/>
    <w:rsid w:val="00FF0C5F"/>
    <w:rsid w:val="00FF0CC1"/>
    <w:rsid w:val="00FF253E"/>
    <w:rsid w:val="00FF274C"/>
    <w:rsid w:val="00FF2B67"/>
    <w:rsid w:val="00FF354D"/>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B2A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B2A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2764</Words>
  <Characters>15835</Characters>
  <Application>Microsoft Office Word</Application>
  <DocSecurity>0</DocSecurity>
  <Lines>546</Lines>
  <Paragraphs>123</Paragraphs>
  <ScaleCrop>false</ScaleCrop>
  <HeadingPairs>
    <vt:vector size="2" baseType="variant">
      <vt:variant>
        <vt:lpstr>Title</vt:lpstr>
      </vt:variant>
      <vt:variant>
        <vt:i4>1</vt:i4>
      </vt:variant>
    </vt:vector>
  </HeadingPairs>
  <TitlesOfParts>
    <vt:vector size="1" baseType="lpstr">
      <vt:lpstr>Regulatory impact statement - Co-location and secrecy</vt:lpstr>
    </vt:vector>
  </TitlesOfParts>
  <Company>Inland Revenue</Company>
  <LinksUpToDate>false</LinksUpToDate>
  <CharactersWithSpaces>18476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Co-location and secrecy</dc:title>
  <dc:subject/>
  <dc:creator>Policy and Strategy</dc:creator>
  <cp:keywords/>
  <dc:description>Published on 30 June 2015</dc:description>
  <cp:lastModifiedBy>David Nind</cp:lastModifiedBy>
  <cp:revision>2</cp:revision>
  <dcterms:created xsi:type="dcterms:W3CDTF">2015-06-29T23:30:00Z</dcterms:created>
  <dcterms:modified xsi:type="dcterms:W3CDTF">2015-06-29T23:31:00Z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