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D613A1">
      <w:pPr>
        <w:pStyle w:val="RISheading"/>
        <w:spacing w:before="0"/>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4342F0" w:rsidRDefault="008536A2" w:rsidP="004342F0">
      <w:pPr>
        <w:pStyle w:val="RISheading"/>
        <w:rPr>
          <w:spacing w:val="0"/>
          <w:w w:val="100"/>
        </w:rPr>
      </w:pPr>
      <w:r>
        <w:rPr>
          <w:spacing w:val="0"/>
          <w:w w:val="100"/>
        </w:rPr>
        <w:t>Information</w:t>
      </w:r>
      <w:r w:rsidR="00EE5D40">
        <w:rPr>
          <w:spacing w:val="0"/>
          <w:w w:val="100"/>
        </w:rPr>
        <w:t xml:space="preserve"> s</w:t>
      </w:r>
      <w:r>
        <w:rPr>
          <w:spacing w:val="0"/>
          <w:w w:val="100"/>
        </w:rPr>
        <w:t>haring</w:t>
      </w:r>
      <w:r w:rsidR="00724140">
        <w:rPr>
          <w:spacing w:val="0"/>
          <w:w w:val="100"/>
        </w:rPr>
        <w:t xml:space="preserve"> Arrangement</w:t>
      </w:r>
      <w:r>
        <w:rPr>
          <w:spacing w:val="0"/>
          <w:w w:val="100"/>
        </w:rPr>
        <w:t xml:space="preserve"> with Australia for the recovery of student loan debt</w:t>
      </w:r>
    </w:p>
    <w:p w:rsidR="000545DC" w:rsidRPr="004342F0" w:rsidRDefault="001C6912" w:rsidP="00D613A1">
      <w:pPr>
        <w:pStyle w:val="RISheading"/>
        <w:spacing w:before="360"/>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092296">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9A23EE">
      <w:pPr>
        <w:pStyle w:val="ListParagraph"/>
        <w:ind w:left="0" w:right="170"/>
        <w:contextualSpacing w:val="0"/>
        <w:rPr>
          <w:rFonts w:ascii="Times New Roman" w:hAnsi="Times New Roman"/>
          <w:sz w:val="24"/>
          <w:szCs w:val="24"/>
        </w:rPr>
      </w:pPr>
    </w:p>
    <w:p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to </w:t>
      </w:r>
      <w:r w:rsidR="00E02F13">
        <w:rPr>
          <w:rFonts w:ascii="Times New Roman" w:hAnsi="Times New Roman"/>
          <w:sz w:val="24"/>
          <w:szCs w:val="24"/>
        </w:rPr>
        <w:t>implement an information</w:t>
      </w:r>
      <w:r w:rsidR="00EE5D40">
        <w:rPr>
          <w:rFonts w:ascii="Times New Roman" w:hAnsi="Times New Roman"/>
          <w:sz w:val="24"/>
          <w:szCs w:val="24"/>
        </w:rPr>
        <w:t>-</w:t>
      </w:r>
      <w:r w:rsidR="00E02F13">
        <w:rPr>
          <w:rFonts w:ascii="Times New Roman" w:hAnsi="Times New Roman"/>
          <w:sz w:val="24"/>
          <w:szCs w:val="24"/>
        </w:rPr>
        <w:t>sharing mechanism between Australia and New Zealand for the recovery of student loan debt</w:t>
      </w:r>
      <w:r w:rsidR="001A0A6F">
        <w:rPr>
          <w:rFonts w:ascii="Times New Roman" w:hAnsi="Times New Roman"/>
          <w:sz w:val="24"/>
          <w:szCs w:val="24"/>
        </w:rPr>
        <w:t xml:space="preserve">. </w:t>
      </w:r>
      <w:r w:rsidR="009A3BE0">
        <w:rPr>
          <w:rFonts w:ascii="Times New Roman" w:hAnsi="Times New Roman"/>
          <w:sz w:val="24"/>
          <w:szCs w:val="24"/>
        </w:rPr>
        <w:t>This</w:t>
      </w:r>
      <w:r w:rsidR="00173EB5">
        <w:rPr>
          <w:rFonts w:ascii="Times New Roman" w:hAnsi="Times New Roman"/>
          <w:sz w:val="24"/>
          <w:szCs w:val="24"/>
        </w:rPr>
        <w:t xml:space="preserve"> analysis</w:t>
      </w:r>
      <w:r w:rsidR="009A3BE0">
        <w:rPr>
          <w:rFonts w:ascii="Times New Roman" w:hAnsi="Times New Roman"/>
          <w:sz w:val="24"/>
          <w:szCs w:val="24"/>
        </w:rPr>
        <w:t xml:space="preserve"> follows approval by Cabinet in August of last year to negotiate and progress towards an agreement with Australia for the purpose of exchanging information to assist in the recovery of New Zealand student loan debt held by borrowers currently residing in Australia.</w:t>
      </w:r>
    </w:p>
    <w:p w:rsidR="004342F0" w:rsidRDefault="004342F0" w:rsidP="009A23EE">
      <w:pPr>
        <w:pStyle w:val="Text"/>
        <w:spacing w:before="0" w:after="0" w:line="240" w:lineRule="auto"/>
        <w:ind w:right="170"/>
        <w:rPr>
          <w:rFonts w:ascii="Times New Roman" w:hAnsi="Times New Roman"/>
          <w:sz w:val="24"/>
          <w:szCs w:val="24"/>
          <w:lang w:val="en-NZ"/>
        </w:rPr>
      </w:pPr>
    </w:p>
    <w:p w:rsidR="009A3BE0" w:rsidRDefault="005F08CC"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Ne</w:t>
      </w:r>
      <w:r w:rsidR="003E042C">
        <w:rPr>
          <w:rFonts w:ascii="Times New Roman" w:hAnsi="Times New Roman"/>
          <w:sz w:val="24"/>
          <w:szCs w:val="24"/>
          <w:lang w:val="en-NZ"/>
        </w:rPr>
        <w:t xml:space="preserve">gotiations with Australian officials </w:t>
      </w:r>
      <w:r>
        <w:rPr>
          <w:rFonts w:ascii="Times New Roman" w:hAnsi="Times New Roman"/>
          <w:sz w:val="24"/>
          <w:szCs w:val="24"/>
          <w:lang w:val="en-NZ"/>
        </w:rPr>
        <w:t xml:space="preserve">included </w:t>
      </w:r>
      <w:r w:rsidR="003E042C">
        <w:rPr>
          <w:rFonts w:ascii="Times New Roman" w:hAnsi="Times New Roman"/>
          <w:sz w:val="24"/>
          <w:szCs w:val="24"/>
          <w:lang w:val="en-NZ"/>
        </w:rPr>
        <w:t>a test data exchange to examine the ability of the Australians to perform the relevant information exchange and the likely benefits to New Zealand for having such an exchange.</w:t>
      </w:r>
    </w:p>
    <w:p w:rsidR="003E042C" w:rsidRDefault="003E042C" w:rsidP="009A23EE">
      <w:pPr>
        <w:pStyle w:val="Text"/>
        <w:spacing w:before="0" w:after="0" w:line="240" w:lineRule="auto"/>
        <w:ind w:right="170"/>
        <w:rPr>
          <w:rFonts w:ascii="Times New Roman" w:hAnsi="Times New Roman"/>
          <w:sz w:val="24"/>
          <w:szCs w:val="24"/>
          <w:lang w:val="en-NZ"/>
        </w:rPr>
      </w:pPr>
    </w:p>
    <w:p w:rsidR="00653AE4" w:rsidRDefault="003E042C"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In assessing the likely revenue benefits and determining the cost of the exchange, assumptions were made regarding the frequency </w:t>
      </w:r>
      <w:r w:rsidR="00173EB5">
        <w:rPr>
          <w:rFonts w:ascii="Times New Roman" w:hAnsi="Times New Roman"/>
          <w:sz w:val="24"/>
          <w:szCs w:val="24"/>
          <w:lang w:val="en-NZ"/>
        </w:rPr>
        <w:t xml:space="preserve">of exchange </w:t>
      </w:r>
      <w:r>
        <w:rPr>
          <w:rFonts w:ascii="Times New Roman" w:hAnsi="Times New Roman"/>
          <w:sz w:val="24"/>
          <w:szCs w:val="24"/>
          <w:lang w:val="en-NZ"/>
        </w:rPr>
        <w:t xml:space="preserve">and </w:t>
      </w:r>
      <w:r w:rsidR="003024F1">
        <w:rPr>
          <w:rFonts w:ascii="Times New Roman" w:hAnsi="Times New Roman"/>
          <w:sz w:val="24"/>
          <w:szCs w:val="24"/>
          <w:lang w:val="en-NZ"/>
        </w:rPr>
        <w:t>number</w:t>
      </w:r>
      <w:r>
        <w:rPr>
          <w:rFonts w:ascii="Times New Roman" w:hAnsi="Times New Roman"/>
          <w:sz w:val="24"/>
          <w:szCs w:val="24"/>
          <w:lang w:val="en-NZ"/>
        </w:rPr>
        <w:t xml:space="preserve"> of borrowers whose details will be matched under the proposed facility. </w:t>
      </w:r>
      <w:r w:rsidR="003024F1">
        <w:rPr>
          <w:rFonts w:ascii="Times New Roman" w:hAnsi="Times New Roman"/>
          <w:sz w:val="24"/>
          <w:szCs w:val="24"/>
          <w:lang w:val="en-NZ"/>
        </w:rPr>
        <w:t>Estimation of the</w:t>
      </w:r>
      <w:r w:rsidR="00653AE4">
        <w:rPr>
          <w:rFonts w:ascii="Times New Roman" w:hAnsi="Times New Roman"/>
          <w:sz w:val="24"/>
          <w:szCs w:val="24"/>
          <w:lang w:val="en-NZ"/>
        </w:rPr>
        <w:t xml:space="preserve"> revenue benefits and analysis of the problem also makes assumptions about the extent of the overseas-based borrower population residing in Australia. </w:t>
      </w:r>
      <w:r w:rsidR="003024F1">
        <w:rPr>
          <w:rFonts w:ascii="Times New Roman" w:hAnsi="Times New Roman"/>
          <w:sz w:val="24"/>
          <w:szCs w:val="24"/>
          <w:lang w:val="en-NZ"/>
        </w:rPr>
        <w:t>Because of</w:t>
      </w:r>
      <w:r w:rsidR="00653AE4">
        <w:rPr>
          <w:rFonts w:ascii="Times New Roman" w:hAnsi="Times New Roman"/>
          <w:sz w:val="24"/>
          <w:szCs w:val="24"/>
          <w:lang w:val="en-NZ"/>
        </w:rPr>
        <w:t xml:space="preserve"> the lack of quality contact details held for borrowers overseas,</w:t>
      </w:r>
      <w:r w:rsidR="00E54DA4">
        <w:rPr>
          <w:rFonts w:ascii="Times New Roman" w:hAnsi="Times New Roman"/>
          <w:sz w:val="24"/>
          <w:szCs w:val="24"/>
          <w:lang w:val="en-NZ"/>
        </w:rPr>
        <w:t xml:space="preserve"> particularly </w:t>
      </w:r>
      <w:r w:rsidR="003024F1">
        <w:rPr>
          <w:rFonts w:ascii="Times New Roman" w:hAnsi="Times New Roman"/>
          <w:sz w:val="24"/>
          <w:szCs w:val="24"/>
          <w:lang w:val="en-NZ"/>
        </w:rPr>
        <w:t xml:space="preserve">for </w:t>
      </w:r>
      <w:r w:rsidR="00E54DA4">
        <w:rPr>
          <w:rFonts w:ascii="Times New Roman" w:hAnsi="Times New Roman"/>
          <w:sz w:val="24"/>
          <w:szCs w:val="24"/>
          <w:lang w:val="en-NZ"/>
        </w:rPr>
        <w:t>borrowers in default,</w:t>
      </w:r>
      <w:r w:rsidR="00653AE4">
        <w:rPr>
          <w:rFonts w:ascii="Times New Roman" w:hAnsi="Times New Roman"/>
          <w:sz w:val="24"/>
          <w:szCs w:val="24"/>
          <w:lang w:val="en-NZ"/>
        </w:rPr>
        <w:t xml:space="preserve"> it is difficult to ascertain what proportion of these borrowers are in Australia. </w:t>
      </w:r>
    </w:p>
    <w:p w:rsidR="00653AE4" w:rsidRDefault="00653AE4" w:rsidP="009A23EE">
      <w:pPr>
        <w:pStyle w:val="Text"/>
        <w:spacing w:before="0" w:after="0" w:line="240" w:lineRule="auto"/>
        <w:ind w:right="170"/>
        <w:rPr>
          <w:rFonts w:ascii="Times New Roman" w:hAnsi="Times New Roman"/>
          <w:sz w:val="24"/>
          <w:szCs w:val="24"/>
          <w:lang w:val="en-NZ"/>
        </w:rPr>
      </w:pPr>
    </w:p>
    <w:p w:rsidR="00F91A56" w:rsidRDefault="00653AE4"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The information</w:t>
      </w:r>
      <w:r w:rsidR="00EE5D40">
        <w:rPr>
          <w:rFonts w:ascii="Times New Roman" w:hAnsi="Times New Roman"/>
          <w:sz w:val="24"/>
          <w:szCs w:val="24"/>
          <w:lang w:val="en-NZ"/>
        </w:rPr>
        <w:t>-</w:t>
      </w:r>
      <w:r>
        <w:rPr>
          <w:rFonts w:ascii="Times New Roman" w:hAnsi="Times New Roman"/>
          <w:sz w:val="24"/>
          <w:szCs w:val="24"/>
          <w:lang w:val="en-NZ"/>
        </w:rPr>
        <w:t xml:space="preserve">sharing mechanism requires amendment to both </w:t>
      </w:r>
      <w:r w:rsidR="008B6159">
        <w:rPr>
          <w:rFonts w:ascii="Times New Roman" w:hAnsi="Times New Roman"/>
          <w:sz w:val="24"/>
          <w:szCs w:val="24"/>
          <w:lang w:val="en-NZ"/>
        </w:rPr>
        <w:t xml:space="preserve">Australian and New Zealand legislation. Further work needs to be undertaken to develop the required legislative changes.  </w:t>
      </w:r>
    </w:p>
    <w:p w:rsidR="009A3BE0" w:rsidRPr="004342F0" w:rsidRDefault="009A3BE0" w:rsidP="009A23EE">
      <w:pPr>
        <w:pStyle w:val="Text"/>
        <w:spacing w:before="0" w:after="0" w:line="240" w:lineRule="auto"/>
        <w:ind w:right="170"/>
        <w:rPr>
          <w:rFonts w:ascii="Times New Roman" w:hAnsi="Times New Roman"/>
          <w:sz w:val="24"/>
          <w:szCs w:val="24"/>
          <w:lang w:val="en-NZ"/>
        </w:rPr>
      </w:pPr>
    </w:p>
    <w:p w:rsidR="00385EC1" w:rsidRDefault="009A3BE0"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No public consultation was carried out in respect </w:t>
      </w:r>
      <w:r w:rsidR="003024F1">
        <w:rPr>
          <w:rFonts w:ascii="Times New Roman" w:hAnsi="Times New Roman"/>
          <w:sz w:val="24"/>
          <w:szCs w:val="24"/>
          <w:lang w:val="en-NZ"/>
        </w:rPr>
        <w:t>of</w:t>
      </w:r>
      <w:r>
        <w:rPr>
          <w:rFonts w:ascii="Times New Roman" w:hAnsi="Times New Roman"/>
          <w:sz w:val="24"/>
          <w:szCs w:val="24"/>
          <w:lang w:val="en-NZ"/>
        </w:rPr>
        <w:t xml:space="preserve"> the proposed Arrangement. Extensive consultation occurred between Inland Revenue officials and the Office of the Privacy Commissioner to ensure that </w:t>
      </w:r>
      <w:r w:rsidR="00C21217">
        <w:rPr>
          <w:rFonts w:ascii="Times New Roman" w:hAnsi="Times New Roman"/>
          <w:sz w:val="24"/>
          <w:szCs w:val="24"/>
          <w:lang w:val="en-NZ"/>
        </w:rPr>
        <w:t xml:space="preserve">the potential privacy impacts have been identified and properly considered. Additionally, the Ministry of Foreign Affairs </w:t>
      </w:r>
      <w:r w:rsidR="00B504F3">
        <w:rPr>
          <w:rFonts w:ascii="Times New Roman" w:hAnsi="Times New Roman"/>
          <w:sz w:val="24"/>
          <w:szCs w:val="24"/>
          <w:lang w:val="en-NZ"/>
        </w:rPr>
        <w:t xml:space="preserve">and Trade </w:t>
      </w:r>
      <w:r w:rsidR="00C21217">
        <w:rPr>
          <w:rFonts w:ascii="Times New Roman" w:hAnsi="Times New Roman"/>
          <w:sz w:val="24"/>
          <w:szCs w:val="24"/>
          <w:lang w:val="en-NZ"/>
        </w:rPr>
        <w:t xml:space="preserve">was consulted </w:t>
      </w:r>
      <w:r w:rsidR="00F91A56">
        <w:rPr>
          <w:rFonts w:ascii="Times New Roman" w:hAnsi="Times New Roman"/>
          <w:sz w:val="24"/>
          <w:szCs w:val="24"/>
          <w:lang w:val="en-NZ"/>
        </w:rPr>
        <w:t xml:space="preserve">with regards to the appropriate international instrument to support the proposed exchange of information. </w:t>
      </w:r>
    </w:p>
    <w:p w:rsidR="00E74A1F" w:rsidRDefault="00E74A1F" w:rsidP="003024F1">
      <w:pPr>
        <w:pStyle w:val="Text"/>
        <w:spacing w:before="0" w:after="0" w:line="240" w:lineRule="auto"/>
        <w:ind w:right="170"/>
        <w:rPr>
          <w:rFonts w:ascii="Times New Roman" w:hAnsi="Times New Roman"/>
          <w:sz w:val="24"/>
          <w:szCs w:val="24"/>
          <w:lang w:val="en-NZ"/>
        </w:rPr>
      </w:pPr>
    </w:p>
    <w:p w:rsidR="00E74A1F" w:rsidRPr="004342F0" w:rsidRDefault="00E74A1F" w:rsidP="003024F1">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There is no legislation accompanying this </w:t>
      </w:r>
      <w:r w:rsidR="00CB435E">
        <w:rPr>
          <w:rFonts w:ascii="Times New Roman" w:hAnsi="Times New Roman"/>
          <w:sz w:val="24"/>
          <w:szCs w:val="24"/>
          <w:lang w:val="en-NZ"/>
        </w:rPr>
        <w:t>A</w:t>
      </w:r>
      <w:r>
        <w:rPr>
          <w:rFonts w:ascii="Times New Roman" w:hAnsi="Times New Roman"/>
          <w:sz w:val="24"/>
          <w:szCs w:val="24"/>
          <w:lang w:val="en-NZ"/>
        </w:rPr>
        <w:t xml:space="preserve">rrangement. </w:t>
      </w:r>
      <w:r w:rsidR="00642BDD">
        <w:rPr>
          <w:rFonts w:ascii="Times New Roman" w:hAnsi="Times New Roman"/>
          <w:sz w:val="24"/>
          <w:szCs w:val="24"/>
          <w:lang w:val="en-NZ"/>
        </w:rPr>
        <w:t>However, legisla</w:t>
      </w:r>
      <w:r w:rsidR="001F2F77">
        <w:rPr>
          <w:rFonts w:ascii="Times New Roman" w:hAnsi="Times New Roman"/>
          <w:sz w:val="24"/>
          <w:szCs w:val="24"/>
          <w:lang w:val="en-NZ"/>
        </w:rPr>
        <w:t>tion will be required before exchange of information under this</w:t>
      </w:r>
      <w:r w:rsidR="00642BDD">
        <w:rPr>
          <w:rFonts w:ascii="Times New Roman" w:hAnsi="Times New Roman"/>
          <w:sz w:val="24"/>
          <w:szCs w:val="24"/>
          <w:lang w:val="en-NZ"/>
        </w:rPr>
        <w:t xml:space="preserve"> Arrangement can become operational</w:t>
      </w:r>
      <w:r w:rsidR="00B504F3">
        <w:rPr>
          <w:rFonts w:ascii="Times New Roman" w:hAnsi="Times New Roman"/>
          <w:sz w:val="24"/>
          <w:szCs w:val="24"/>
          <w:lang w:val="en-NZ"/>
        </w:rPr>
        <w:t>. The required</w:t>
      </w:r>
      <w:r w:rsidR="003024F1">
        <w:rPr>
          <w:rFonts w:ascii="Times New Roman" w:hAnsi="Times New Roman"/>
          <w:sz w:val="24"/>
          <w:szCs w:val="24"/>
          <w:lang w:val="en-NZ"/>
        </w:rPr>
        <w:t xml:space="preserve"> legislation</w:t>
      </w:r>
      <w:r w:rsidR="00642BDD">
        <w:rPr>
          <w:rFonts w:ascii="Times New Roman" w:hAnsi="Times New Roman"/>
          <w:sz w:val="24"/>
          <w:szCs w:val="24"/>
          <w:lang w:val="en-NZ"/>
        </w:rPr>
        <w:t xml:space="preserve"> </w:t>
      </w:r>
      <w:r w:rsidR="00173EB5">
        <w:rPr>
          <w:rFonts w:ascii="Times New Roman" w:hAnsi="Times New Roman"/>
          <w:sz w:val="24"/>
          <w:szCs w:val="24"/>
          <w:lang w:val="en-NZ"/>
        </w:rPr>
        <w:t>could be</w:t>
      </w:r>
      <w:r w:rsidR="00642BDD">
        <w:rPr>
          <w:rFonts w:ascii="Times New Roman" w:hAnsi="Times New Roman"/>
          <w:sz w:val="24"/>
          <w:szCs w:val="24"/>
          <w:lang w:val="en-NZ"/>
        </w:rPr>
        <w:t xml:space="preserve"> included in a </w:t>
      </w:r>
      <w:r w:rsidR="00173EB5">
        <w:rPr>
          <w:rFonts w:ascii="Times New Roman" w:hAnsi="Times New Roman"/>
          <w:sz w:val="24"/>
          <w:szCs w:val="24"/>
          <w:lang w:val="en-NZ"/>
        </w:rPr>
        <w:t>s</w:t>
      </w:r>
      <w:r w:rsidR="00642BDD">
        <w:rPr>
          <w:rFonts w:ascii="Times New Roman" w:hAnsi="Times New Roman"/>
          <w:sz w:val="24"/>
          <w:szCs w:val="24"/>
          <w:lang w:val="en-NZ"/>
        </w:rPr>
        <w:t xml:space="preserve">tudent </w:t>
      </w:r>
      <w:r w:rsidR="003024F1">
        <w:rPr>
          <w:rFonts w:ascii="Times New Roman" w:hAnsi="Times New Roman"/>
          <w:sz w:val="24"/>
          <w:szCs w:val="24"/>
          <w:lang w:val="en-NZ"/>
        </w:rPr>
        <w:t>l</w:t>
      </w:r>
      <w:r w:rsidR="00642BDD">
        <w:rPr>
          <w:rFonts w:ascii="Times New Roman" w:hAnsi="Times New Roman"/>
          <w:sz w:val="24"/>
          <w:szCs w:val="24"/>
          <w:lang w:val="en-NZ"/>
        </w:rPr>
        <w:t xml:space="preserve">oan </w:t>
      </w:r>
      <w:r w:rsidR="003024F1">
        <w:rPr>
          <w:rFonts w:ascii="Times New Roman" w:hAnsi="Times New Roman"/>
          <w:sz w:val="24"/>
          <w:szCs w:val="24"/>
          <w:lang w:val="en-NZ"/>
        </w:rPr>
        <w:t>s</w:t>
      </w:r>
      <w:r w:rsidR="00642BDD">
        <w:rPr>
          <w:rFonts w:ascii="Times New Roman" w:hAnsi="Times New Roman"/>
          <w:sz w:val="24"/>
          <w:szCs w:val="24"/>
          <w:lang w:val="en-NZ"/>
        </w:rPr>
        <w:t xml:space="preserve">cheme </w:t>
      </w:r>
      <w:r w:rsidR="003024F1">
        <w:rPr>
          <w:rFonts w:ascii="Times New Roman" w:hAnsi="Times New Roman"/>
          <w:sz w:val="24"/>
          <w:szCs w:val="24"/>
          <w:lang w:val="en-NZ"/>
        </w:rPr>
        <w:t>b</w:t>
      </w:r>
      <w:r w:rsidR="00642BDD">
        <w:rPr>
          <w:rFonts w:ascii="Times New Roman" w:hAnsi="Times New Roman"/>
          <w:sz w:val="24"/>
          <w:szCs w:val="24"/>
          <w:lang w:val="en-NZ"/>
        </w:rPr>
        <w:t xml:space="preserve">ill scheduled for introduction in the second half of this year. </w:t>
      </w:r>
    </w:p>
    <w:p w:rsidR="004342F0" w:rsidRPr="004342F0" w:rsidRDefault="004342F0" w:rsidP="003024F1">
      <w:pPr>
        <w:pStyle w:val="Text"/>
        <w:spacing w:before="0" w:after="0" w:line="240" w:lineRule="auto"/>
        <w:ind w:right="170"/>
        <w:rPr>
          <w:rFonts w:ascii="Times New Roman" w:hAnsi="Times New Roman"/>
          <w:sz w:val="24"/>
          <w:szCs w:val="24"/>
          <w:lang w:val="en-NZ"/>
        </w:rPr>
      </w:pPr>
    </w:p>
    <w:p w:rsidR="005F08CC" w:rsidRDefault="005F08CC" w:rsidP="003024F1">
      <w:pPr>
        <w:jc w:val="both"/>
        <w:rPr>
          <w:rFonts w:ascii="Verdana" w:hAnsi="Verdana"/>
          <w:color w:val="1F497D"/>
          <w:sz w:val="20"/>
        </w:rPr>
      </w:pPr>
      <w:r>
        <w:rPr>
          <w:rFonts w:ascii="Times New Roman" w:hAnsi="Times New Roman"/>
          <w:sz w:val="24"/>
          <w:szCs w:val="24"/>
        </w:rPr>
        <w:t>None of the proposed options are expected to impair private property rights, reduce market competition, or o</w:t>
      </w:r>
      <w:r w:rsidR="00196BB5">
        <w:rPr>
          <w:rFonts w:ascii="Times New Roman" w:hAnsi="Times New Roman"/>
          <w:sz w:val="24"/>
          <w:szCs w:val="24"/>
        </w:rPr>
        <w:t>verride common law principles.</w:t>
      </w:r>
    </w:p>
    <w:p w:rsidR="00085660" w:rsidRDefault="00085660" w:rsidP="003024F1">
      <w:pPr>
        <w:pStyle w:val="Text"/>
        <w:spacing w:before="0" w:after="0" w:line="240" w:lineRule="auto"/>
        <w:ind w:right="170"/>
        <w:rPr>
          <w:rFonts w:ascii="Times New Roman" w:hAnsi="Times New Roman"/>
          <w:sz w:val="24"/>
          <w:szCs w:val="24"/>
          <w:lang w:val="en-NZ"/>
        </w:rPr>
      </w:pPr>
    </w:p>
    <w:p w:rsidR="007B205C" w:rsidRDefault="007B205C" w:rsidP="003024F1">
      <w:pPr>
        <w:pStyle w:val="Text"/>
        <w:spacing w:before="0" w:after="0" w:line="240" w:lineRule="auto"/>
        <w:ind w:right="170"/>
        <w:rPr>
          <w:rFonts w:ascii="Times New Roman" w:hAnsi="Times New Roman"/>
          <w:sz w:val="24"/>
          <w:szCs w:val="24"/>
          <w:lang w:val="en-NZ"/>
        </w:rPr>
      </w:pPr>
    </w:p>
    <w:p w:rsidR="00C224BE" w:rsidRDefault="00C224BE" w:rsidP="003024F1">
      <w:pPr>
        <w:pStyle w:val="Text"/>
        <w:spacing w:before="0" w:after="0" w:line="240" w:lineRule="auto"/>
        <w:ind w:right="170"/>
        <w:rPr>
          <w:rFonts w:ascii="Times New Roman" w:hAnsi="Times New Roman"/>
          <w:sz w:val="24"/>
          <w:szCs w:val="24"/>
          <w:lang w:val="en-NZ"/>
        </w:rPr>
      </w:pPr>
    </w:p>
    <w:p w:rsidR="00C224BE" w:rsidRDefault="00C224BE" w:rsidP="003024F1">
      <w:pPr>
        <w:pStyle w:val="Text"/>
        <w:spacing w:before="0" w:after="0" w:line="240" w:lineRule="auto"/>
        <w:ind w:right="170"/>
        <w:rPr>
          <w:rFonts w:ascii="Times New Roman" w:hAnsi="Times New Roman"/>
          <w:sz w:val="24"/>
          <w:szCs w:val="24"/>
          <w:lang w:val="en-NZ"/>
        </w:rPr>
      </w:pPr>
    </w:p>
    <w:p w:rsidR="00C224BE" w:rsidRPr="004342F0" w:rsidRDefault="00C224BE" w:rsidP="003024F1">
      <w:pPr>
        <w:pStyle w:val="Text"/>
        <w:spacing w:before="0" w:after="0" w:line="240" w:lineRule="auto"/>
        <w:ind w:right="170"/>
        <w:rPr>
          <w:rFonts w:ascii="Times New Roman" w:hAnsi="Times New Roman"/>
          <w:sz w:val="24"/>
          <w:szCs w:val="24"/>
          <w:lang w:val="en-NZ"/>
        </w:rPr>
      </w:pPr>
    </w:p>
    <w:p w:rsidR="00085660" w:rsidRPr="004342F0" w:rsidRDefault="00B504F3" w:rsidP="003024F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Chris Gillion</w:t>
      </w:r>
    </w:p>
    <w:p w:rsidR="009F7B9A" w:rsidRPr="004342F0" w:rsidRDefault="00B504F3" w:rsidP="003024F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xml:space="preserve"> Policy and Strategy</w:t>
      </w:r>
    </w:p>
    <w:p w:rsidR="001C6912" w:rsidRPr="004342F0" w:rsidRDefault="001C6912" w:rsidP="003024F1">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F90B34" w:rsidRDefault="00B504F3" w:rsidP="00C224BE">
      <w:pPr>
        <w:pStyle w:val="Text"/>
        <w:tabs>
          <w:tab w:val="left" w:pos="567"/>
        </w:tabs>
        <w:spacing w:before="0" w:after="0" w:line="240" w:lineRule="auto"/>
        <w:ind w:right="170"/>
        <w:jc w:val="left"/>
        <w:rPr>
          <w:rFonts w:ascii="Times New Roman" w:hAnsi="Times New Roman"/>
          <w:b/>
          <w:sz w:val="24"/>
          <w:szCs w:val="24"/>
        </w:rPr>
      </w:pPr>
      <w:r>
        <w:rPr>
          <w:rFonts w:ascii="Times New Roman" w:hAnsi="Times New Roman"/>
          <w:sz w:val="24"/>
          <w:szCs w:val="24"/>
          <w:lang w:val="en-NZ"/>
        </w:rPr>
        <w:t>10 February 2015</w:t>
      </w:r>
      <w:bookmarkStart w:id="7" w:name="_Toc244580363"/>
      <w:bookmarkStart w:id="8" w:name="_Toc244587039"/>
      <w:bookmarkStart w:id="9" w:name="_Toc244857273"/>
      <w:bookmarkStart w:id="10" w:name="_Toc244912538"/>
      <w:bookmarkStart w:id="11" w:name="_Toc244916995"/>
      <w:r w:rsidR="001C6912" w:rsidRPr="004342F0">
        <w:br w:type="page"/>
      </w:r>
      <w:r w:rsidR="001C6912" w:rsidRPr="00F90B34">
        <w:rPr>
          <w:rFonts w:ascii="Times New Roman" w:hAnsi="Times New Roman"/>
          <w:b/>
          <w:sz w:val="24"/>
          <w:szCs w:val="24"/>
        </w:rPr>
        <w:lastRenderedPageBreak/>
        <w:t>STATUS QUO AND PROBLEM DEFINITION</w:t>
      </w:r>
      <w:bookmarkEnd w:id="7"/>
      <w:bookmarkEnd w:id="8"/>
      <w:bookmarkEnd w:id="9"/>
      <w:bookmarkEnd w:id="10"/>
      <w:bookmarkEnd w:id="11"/>
    </w:p>
    <w:p w:rsidR="00BC68BD" w:rsidRPr="00F90B34" w:rsidRDefault="00955115"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Overseas</w:t>
      </w:r>
      <w:r w:rsidR="003024F1">
        <w:rPr>
          <w:rFonts w:ascii="Times New Roman" w:hAnsi="Times New Roman"/>
          <w:b/>
          <w:sz w:val="24"/>
          <w:szCs w:val="24"/>
        </w:rPr>
        <w:t>-</w:t>
      </w:r>
      <w:r w:rsidRPr="00F90B34">
        <w:rPr>
          <w:rFonts w:ascii="Times New Roman" w:hAnsi="Times New Roman"/>
          <w:b/>
          <w:sz w:val="24"/>
          <w:szCs w:val="24"/>
        </w:rPr>
        <w:t>based</w:t>
      </w:r>
      <w:r w:rsidR="003024F1">
        <w:rPr>
          <w:rFonts w:ascii="Times New Roman" w:hAnsi="Times New Roman"/>
          <w:b/>
          <w:sz w:val="24"/>
          <w:szCs w:val="24"/>
        </w:rPr>
        <w:t>-</w:t>
      </w:r>
      <w:r w:rsidRPr="00F90B34">
        <w:rPr>
          <w:rFonts w:ascii="Times New Roman" w:hAnsi="Times New Roman"/>
          <w:b/>
          <w:sz w:val="24"/>
          <w:szCs w:val="24"/>
        </w:rPr>
        <w:t>borrower</w:t>
      </w:r>
      <w:r w:rsidR="00BC68BD" w:rsidRPr="00F90B34">
        <w:rPr>
          <w:rFonts w:ascii="Times New Roman" w:hAnsi="Times New Roman"/>
          <w:b/>
          <w:sz w:val="24"/>
          <w:szCs w:val="24"/>
        </w:rPr>
        <w:t xml:space="preserve"> debt</w:t>
      </w:r>
    </w:p>
    <w:p w:rsidR="00F43095"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2B6DEA" w:rsidRPr="00F90B34">
        <w:rPr>
          <w:rFonts w:ascii="Times New Roman" w:hAnsi="Times New Roman"/>
          <w:sz w:val="24"/>
          <w:szCs w:val="24"/>
          <w:lang w:val="en-NZ"/>
        </w:rPr>
        <w:t>There is currently over $683</w:t>
      </w:r>
      <w:r w:rsidR="00BF2D66">
        <w:rPr>
          <w:rFonts w:ascii="Times New Roman" w:hAnsi="Times New Roman"/>
          <w:sz w:val="24"/>
          <w:szCs w:val="24"/>
          <w:lang w:val="en-NZ"/>
        </w:rPr>
        <w:t xml:space="preserve"> </w:t>
      </w:r>
      <w:r w:rsidR="002B6DEA" w:rsidRPr="00F90B34">
        <w:rPr>
          <w:rFonts w:ascii="Times New Roman" w:hAnsi="Times New Roman"/>
          <w:sz w:val="24"/>
          <w:szCs w:val="24"/>
          <w:lang w:val="en-NZ"/>
        </w:rPr>
        <w:t>m</w:t>
      </w:r>
      <w:r w:rsidR="00BF2D66">
        <w:rPr>
          <w:rFonts w:ascii="Times New Roman" w:hAnsi="Times New Roman"/>
          <w:sz w:val="24"/>
          <w:szCs w:val="24"/>
          <w:lang w:val="en-NZ"/>
        </w:rPr>
        <w:t>illion</w:t>
      </w:r>
      <w:r w:rsidR="002B6DEA" w:rsidRPr="00F90B34">
        <w:rPr>
          <w:rFonts w:ascii="Times New Roman" w:hAnsi="Times New Roman"/>
          <w:sz w:val="24"/>
          <w:szCs w:val="24"/>
          <w:lang w:val="en-NZ"/>
        </w:rPr>
        <w:t xml:space="preserve"> owing in overseas student loan default. In 2015 this</w:t>
      </w:r>
      <w:r w:rsidR="00F43095" w:rsidRPr="00F90B34">
        <w:rPr>
          <w:rFonts w:ascii="Times New Roman" w:hAnsi="Times New Roman"/>
          <w:sz w:val="24"/>
          <w:szCs w:val="24"/>
          <w:lang w:val="en-NZ"/>
        </w:rPr>
        <w:t xml:space="preserve"> is likely to </w:t>
      </w:r>
      <w:r w:rsidR="002B6DEA" w:rsidRPr="00F90B34">
        <w:rPr>
          <w:rFonts w:ascii="Times New Roman" w:hAnsi="Times New Roman"/>
          <w:sz w:val="24"/>
          <w:szCs w:val="24"/>
          <w:lang w:val="en-NZ"/>
        </w:rPr>
        <w:t>increase to</w:t>
      </w:r>
      <w:r w:rsidR="00F43095" w:rsidRPr="00F90B34">
        <w:rPr>
          <w:rFonts w:ascii="Times New Roman" w:hAnsi="Times New Roman"/>
          <w:sz w:val="24"/>
          <w:szCs w:val="24"/>
          <w:lang w:val="en-NZ"/>
        </w:rPr>
        <w:t xml:space="preserve"> $880 million</w:t>
      </w:r>
      <w:r w:rsidR="003024F1">
        <w:rPr>
          <w:rFonts w:ascii="Times New Roman" w:hAnsi="Times New Roman"/>
          <w:sz w:val="24"/>
          <w:szCs w:val="24"/>
          <w:lang w:val="en-NZ"/>
        </w:rPr>
        <w:t>,</w:t>
      </w:r>
      <w:r w:rsidR="00F43095" w:rsidRPr="00F90B34">
        <w:rPr>
          <w:rFonts w:ascii="Times New Roman" w:hAnsi="Times New Roman"/>
          <w:sz w:val="24"/>
          <w:szCs w:val="24"/>
          <w:lang w:val="en-NZ"/>
        </w:rPr>
        <w:t xml:space="preserve"> which will represent well over 90 percent of all student loan default</w:t>
      </w:r>
      <w:r w:rsidR="002B6DEA" w:rsidRPr="00F90B34">
        <w:rPr>
          <w:rFonts w:ascii="Times New Roman" w:hAnsi="Times New Roman"/>
          <w:sz w:val="24"/>
          <w:szCs w:val="24"/>
          <w:lang w:val="en-NZ"/>
        </w:rPr>
        <w:t xml:space="preserve">. </w:t>
      </w:r>
      <w:r w:rsidR="00D17985">
        <w:rPr>
          <w:rFonts w:ascii="Times New Roman" w:hAnsi="Times New Roman"/>
          <w:sz w:val="24"/>
          <w:szCs w:val="24"/>
          <w:lang w:val="en-NZ"/>
        </w:rPr>
        <w:t xml:space="preserve"> </w:t>
      </w:r>
      <w:r w:rsidR="002B6DEA" w:rsidRPr="00F90B34">
        <w:rPr>
          <w:rFonts w:ascii="Times New Roman" w:hAnsi="Times New Roman"/>
          <w:sz w:val="24"/>
          <w:szCs w:val="24"/>
          <w:lang w:val="en-NZ"/>
        </w:rPr>
        <w:t>A</w:t>
      </w:r>
      <w:r w:rsidR="00222F0F" w:rsidRPr="00F90B34">
        <w:rPr>
          <w:rFonts w:ascii="Times New Roman" w:hAnsi="Times New Roman"/>
          <w:sz w:val="24"/>
          <w:szCs w:val="24"/>
          <w:lang w:val="en-NZ"/>
        </w:rPr>
        <w:t xml:space="preserve">pproximately </w:t>
      </w:r>
      <w:r w:rsidR="00F43095" w:rsidRPr="00F90B34">
        <w:rPr>
          <w:rFonts w:ascii="Times New Roman" w:hAnsi="Times New Roman"/>
          <w:sz w:val="24"/>
          <w:szCs w:val="24"/>
          <w:lang w:val="en-NZ"/>
        </w:rPr>
        <w:t xml:space="preserve">65 percent </w:t>
      </w:r>
      <w:r w:rsidR="002B6DEA" w:rsidRPr="00F90B34">
        <w:rPr>
          <w:rFonts w:ascii="Times New Roman" w:hAnsi="Times New Roman"/>
          <w:sz w:val="24"/>
          <w:szCs w:val="24"/>
          <w:lang w:val="en-NZ"/>
        </w:rPr>
        <w:t>of overseas</w:t>
      </w:r>
      <w:r w:rsidR="00E84AB2">
        <w:rPr>
          <w:rFonts w:ascii="Times New Roman" w:hAnsi="Times New Roman"/>
          <w:sz w:val="24"/>
          <w:szCs w:val="24"/>
          <w:lang w:val="en-NZ"/>
        </w:rPr>
        <w:t>-</w:t>
      </w:r>
      <w:r w:rsidR="002B6DEA" w:rsidRPr="00F90B34">
        <w:rPr>
          <w:rFonts w:ascii="Times New Roman" w:hAnsi="Times New Roman"/>
          <w:sz w:val="24"/>
          <w:szCs w:val="24"/>
          <w:lang w:val="en-NZ"/>
        </w:rPr>
        <w:t xml:space="preserve">based borrower default is estimated to be </w:t>
      </w:r>
      <w:r w:rsidR="00F43095" w:rsidRPr="00F90B34">
        <w:rPr>
          <w:rFonts w:ascii="Times New Roman" w:hAnsi="Times New Roman"/>
          <w:sz w:val="24"/>
          <w:szCs w:val="24"/>
          <w:lang w:val="en-NZ"/>
        </w:rPr>
        <w:t>held by borrowers residing in Australia.</w:t>
      </w:r>
    </w:p>
    <w:p w:rsidR="00554347"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554347" w:rsidRPr="00F90B34">
        <w:rPr>
          <w:rFonts w:ascii="Times New Roman" w:hAnsi="Times New Roman"/>
          <w:sz w:val="24"/>
          <w:szCs w:val="24"/>
          <w:lang w:val="en-NZ"/>
        </w:rPr>
        <w:t>Overall, repayment rates for overseas-based borrowers are very poor</w:t>
      </w:r>
      <w:r w:rsidR="006712FF" w:rsidRPr="00F90B34">
        <w:rPr>
          <w:rFonts w:ascii="Times New Roman" w:hAnsi="Times New Roman"/>
          <w:sz w:val="24"/>
          <w:szCs w:val="24"/>
          <w:lang w:val="en-NZ"/>
        </w:rPr>
        <w:t>.</w:t>
      </w:r>
      <w:r w:rsidR="00554347" w:rsidRPr="00F90B34">
        <w:rPr>
          <w:rFonts w:ascii="Times New Roman" w:hAnsi="Times New Roman"/>
          <w:sz w:val="24"/>
          <w:szCs w:val="24"/>
          <w:lang w:val="en-NZ"/>
        </w:rPr>
        <w:t xml:space="preserve"> </w:t>
      </w:r>
      <w:r w:rsidR="00D17985">
        <w:rPr>
          <w:rFonts w:ascii="Times New Roman" w:hAnsi="Times New Roman"/>
          <w:sz w:val="24"/>
          <w:szCs w:val="24"/>
          <w:lang w:val="en-NZ"/>
        </w:rPr>
        <w:t xml:space="preserve"> </w:t>
      </w:r>
      <w:r w:rsidR="006712FF" w:rsidRPr="00F90B34">
        <w:rPr>
          <w:rFonts w:ascii="Times New Roman" w:hAnsi="Times New Roman"/>
          <w:sz w:val="24"/>
          <w:szCs w:val="24"/>
          <w:lang w:val="en-NZ"/>
        </w:rPr>
        <w:t>N</w:t>
      </w:r>
      <w:r w:rsidR="00554347" w:rsidRPr="00F90B34">
        <w:rPr>
          <w:rFonts w:ascii="Times New Roman" w:hAnsi="Times New Roman"/>
          <w:sz w:val="24"/>
          <w:szCs w:val="24"/>
          <w:lang w:val="en-NZ"/>
        </w:rPr>
        <w:t xml:space="preserve">early 80 percent who had a repayment obligation on 31 March 2014 failed to make their </w:t>
      </w:r>
      <w:proofErr w:type="gramStart"/>
      <w:r w:rsidR="00554347" w:rsidRPr="00F90B34">
        <w:rPr>
          <w:rFonts w:ascii="Times New Roman" w:hAnsi="Times New Roman"/>
          <w:sz w:val="24"/>
          <w:szCs w:val="24"/>
          <w:lang w:val="en-NZ"/>
        </w:rPr>
        <w:t>payments.</w:t>
      </w:r>
      <w:proofErr w:type="gramEnd"/>
      <w:r w:rsidR="00554347" w:rsidRPr="00F90B34">
        <w:rPr>
          <w:rFonts w:ascii="Times New Roman" w:hAnsi="Times New Roman"/>
          <w:sz w:val="24"/>
          <w:szCs w:val="24"/>
          <w:lang w:val="en-NZ"/>
        </w:rPr>
        <w:t xml:space="preserve"> </w:t>
      </w:r>
    </w:p>
    <w:p w:rsidR="00554347"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F43095" w:rsidRPr="00F90B34">
        <w:rPr>
          <w:rFonts w:ascii="Times New Roman" w:hAnsi="Times New Roman"/>
          <w:sz w:val="24"/>
          <w:szCs w:val="24"/>
          <w:lang w:val="en-NZ"/>
        </w:rPr>
        <w:t xml:space="preserve">The key to collecting overdue repayments </w:t>
      </w:r>
      <w:r w:rsidR="003024F1" w:rsidRPr="00F90B34">
        <w:rPr>
          <w:rFonts w:ascii="Times New Roman" w:hAnsi="Times New Roman"/>
          <w:sz w:val="24"/>
          <w:szCs w:val="24"/>
          <w:lang w:val="en-NZ"/>
        </w:rPr>
        <w:t>is</w:t>
      </w:r>
      <w:r w:rsidR="003024F1">
        <w:rPr>
          <w:rFonts w:ascii="Times New Roman" w:hAnsi="Times New Roman"/>
          <w:sz w:val="24"/>
          <w:szCs w:val="24"/>
          <w:lang w:val="en-NZ"/>
        </w:rPr>
        <w:t xml:space="preserve"> holding </w:t>
      </w:r>
      <w:r w:rsidR="00F43095" w:rsidRPr="00F90B34">
        <w:rPr>
          <w:rFonts w:ascii="Times New Roman" w:hAnsi="Times New Roman"/>
          <w:sz w:val="24"/>
          <w:szCs w:val="24"/>
          <w:lang w:val="en-NZ"/>
        </w:rPr>
        <w:t xml:space="preserve">up-to-date contact details </w:t>
      </w:r>
      <w:r w:rsidR="003024F1">
        <w:rPr>
          <w:rFonts w:ascii="Times New Roman" w:hAnsi="Times New Roman"/>
          <w:sz w:val="24"/>
          <w:szCs w:val="24"/>
          <w:lang w:val="en-NZ"/>
        </w:rPr>
        <w:t>for</w:t>
      </w:r>
      <w:r w:rsidR="003757C5" w:rsidRPr="00F90B34">
        <w:rPr>
          <w:rFonts w:ascii="Times New Roman" w:hAnsi="Times New Roman"/>
          <w:sz w:val="24"/>
          <w:szCs w:val="24"/>
          <w:lang w:val="en-NZ"/>
        </w:rPr>
        <w:t xml:space="preserve"> defaulters.</w:t>
      </w:r>
      <w:r w:rsidR="00D17985">
        <w:rPr>
          <w:rFonts w:ascii="Times New Roman" w:hAnsi="Times New Roman"/>
          <w:sz w:val="24"/>
          <w:szCs w:val="24"/>
          <w:lang w:val="en-NZ"/>
        </w:rPr>
        <w:t xml:space="preserve"> </w:t>
      </w:r>
      <w:r w:rsidR="003757C5" w:rsidRPr="00F90B34">
        <w:rPr>
          <w:rFonts w:ascii="Times New Roman" w:hAnsi="Times New Roman"/>
          <w:sz w:val="24"/>
          <w:szCs w:val="24"/>
          <w:lang w:val="en-NZ"/>
        </w:rPr>
        <w:t xml:space="preserve"> </w:t>
      </w:r>
      <w:r w:rsidR="00F43095" w:rsidRPr="00F90B34">
        <w:rPr>
          <w:rFonts w:ascii="Times New Roman" w:hAnsi="Times New Roman"/>
          <w:sz w:val="24"/>
          <w:szCs w:val="24"/>
          <w:lang w:val="en-NZ"/>
        </w:rPr>
        <w:t xml:space="preserve">Inland </w:t>
      </w:r>
      <w:r w:rsidR="00554347" w:rsidRPr="00F90B34">
        <w:rPr>
          <w:rFonts w:ascii="Times New Roman" w:hAnsi="Times New Roman"/>
          <w:sz w:val="24"/>
          <w:szCs w:val="24"/>
          <w:lang w:val="en-NZ"/>
        </w:rPr>
        <w:t xml:space="preserve">Revenue holds some form of contact details for </w:t>
      </w:r>
      <w:r w:rsidR="00217D31">
        <w:rPr>
          <w:rFonts w:ascii="Times New Roman" w:hAnsi="Times New Roman"/>
          <w:sz w:val="24"/>
          <w:szCs w:val="24"/>
          <w:lang w:val="en-NZ"/>
        </w:rPr>
        <w:t xml:space="preserve">only </w:t>
      </w:r>
      <w:r w:rsidR="00554347" w:rsidRPr="00F90B34">
        <w:rPr>
          <w:rFonts w:ascii="Times New Roman" w:hAnsi="Times New Roman"/>
          <w:sz w:val="24"/>
          <w:szCs w:val="24"/>
          <w:lang w:val="en-NZ"/>
        </w:rPr>
        <w:t xml:space="preserve">approximately </w:t>
      </w:r>
      <w:r w:rsidR="00EF70DC" w:rsidRPr="00F90B34">
        <w:rPr>
          <w:rFonts w:ascii="Times New Roman" w:hAnsi="Times New Roman"/>
          <w:sz w:val="24"/>
          <w:szCs w:val="24"/>
          <w:lang w:val="en-NZ"/>
        </w:rPr>
        <w:t>30</w:t>
      </w:r>
      <w:r w:rsidR="00BF2D66">
        <w:rPr>
          <w:rFonts w:ascii="Times New Roman" w:hAnsi="Times New Roman"/>
          <w:sz w:val="24"/>
          <w:szCs w:val="24"/>
          <w:lang w:val="en-NZ"/>
        </w:rPr>
        <w:t xml:space="preserve"> percent</w:t>
      </w:r>
      <w:r w:rsidR="00EF70DC" w:rsidRPr="00F90B34">
        <w:rPr>
          <w:rFonts w:ascii="Times New Roman" w:hAnsi="Times New Roman"/>
          <w:sz w:val="24"/>
          <w:szCs w:val="24"/>
          <w:lang w:val="en-NZ"/>
        </w:rPr>
        <w:t xml:space="preserve"> of overseas-based borrowers. This lack of contact details</w:t>
      </w:r>
      <w:r w:rsidR="00554347" w:rsidRPr="00F90B34">
        <w:rPr>
          <w:rFonts w:ascii="Times New Roman" w:hAnsi="Times New Roman"/>
          <w:sz w:val="24"/>
          <w:szCs w:val="24"/>
          <w:lang w:val="en-NZ"/>
        </w:rPr>
        <w:t xml:space="preserve"> mak</w:t>
      </w:r>
      <w:r w:rsidR="00EF70DC" w:rsidRPr="00F90B34">
        <w:rPr>
          <w:rFonts w:ascii="Times New Roman" w:hAnsi="Times New Roman"/>
          <w:sz w:val="24"/>
          <w:szCs w:val="24"/>
          <w:lang w:val="en-NZ"/>
        </w:rPr>
        <w:t>es</w:t>
      </w:r>
      <w:r w:rsidR="00554347" w:rsidRPr="00F90B34">
        <w:rPr>
          <w:rFonts w:ascii="Times New Roman" w:hAnsi="Times New Roman"/>
          <w:sz w:val="24"/>
          <w:szCs w:val="24"/>
          <w:lang w:val="en-NZ"/>
        </w:rPr>
        <w:t xml:space="preserve"> engaging with overseas-based borrowers difficult</w:t>
      </w:r>
      <w:r w:rsidR="00EF70DC" w:rsidRPr="00F90B34">
        <w:rPr>
          <w:rFonts w:ascii="Times New Roman" w:hAnsi="Times New Roman"/>
          <w:sz w:val="24"/>
          <w:szCs w:val="24"/>
          <w:lang w:val="en-NZ"/>
        </w:rPr>
        <w:t>, including those borrowers based in Australia</w:t>
      </w:r>
      <w:r w:rsidR="00554347" w:rsidRPr="00F90B34">
        <w:rPr>
          <w:rFonts w:ascii="Times New Roman" w:hAnsi="Times New Roman"/>
          <w:sz w:val="24"/>
          <w:szCs w:val="24"/>
          <w:lang w:val="en-NZ"/>
        </w:rPr>
        <w:t>.</w:t>
      </w:r>
    </w:p>
    <w:p w:rsidR="006712FF" w:rsidRPr="00F90B34" w:rsidRDefault="006712FF" w:rsidP="00F90B34">
      <w:pPr>
        <w:spacing w:before="100" w:beforeAutospacing="1" w:after="100" w:afterAutospacing="1" w:line="240" w:lineRule="auto"/>
        <w:jc w:val="both"/>
        <w:rPr>
          <w:rFonts w:ascii="Times New Roman" w:hAnsi="Times New Roman"/>
          <w:b/>
          <w:sz w:val="24"/>
          <w:szCs w:val="24"/>
          <w:lang w:val="en-NZ"/>
        </w:rPr>
      </w:pPr>
      <w:r w:rsidRPr="00F90B34">
        <w:rPr>
          <w:rFonts w:ascii="Times New Roman" w:hAnsi="Times New Roman"/>
          <w:b/>
          <w:sz w:val="24"/>
          <w:szCs w:val="24"/>
          <w:lang w:val="en-NZ"/>
        </w:rPr>
        <w:t>Previous initiatives</w:t>
      </w:r>
    </w:p>
    <w:p w:rsidR="00E77C2B"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6A732E" w:rsidRPr="00F90B34">
        <w:rPr>
          <w:rFonts w:ascii="Times New Roman" w:hAnsi="Times New Roman"/>
          <w:sz w:val="24"/>
          <w:szCs w:val="24"/>
        </w:rPr>
        <w:t>In order to address the high levels of non-compliance by overseas</w:t>
      </w:r>
      <w:r w:rsidR="00E84AB2">
        <w:rPr>
          <w:rFonts w:ascii="Times New Roman" w:hAnsi="Times New Roman"/>
          <w:sz w:val="24"/>
          <w:szCs w:val="24"/>
        </w:rPr>
        <w:t>-</w:t>
      </w:r>
      <w:r w:rsidR="006A732E" w:rsidRPr="00F90B34">
        <w:rPr>
          <w:rFonts w:ascii="Times New Roman" w:hAnsi="Times New Roman"/>
          <w:sz w:val="24"/>
          <w:szCs w:val="24"/>
        </w:rPr>
        <w:t xml:space="preserve">based borrowers, several initiatives have been introduced over the last four years to increase the quality of contact details </w:t>
      </w:r>
      <w:r w:rsidR="00217D31">
        <w:rPr>
          <w:rFonts w:ascii="Times New Roman" w:hAnsi="Times New Roman"/>
          <w:sz w:val="24"/>
          <w:szCs w:val="24"/>
        </w:rPr>
        <w:t xml:space="preserve">held by Inland Revenue </w:t>
      </w:r>
      <w:r w:rsidR="006A732E" w:rsidRPr="00F90B34">
        <w:rPr>
          <w:rFonts w:ascii="Times New Roman" w:hAnsi="Times New Roman"/>
          <w:sz w:val="24"/>
          <w:szCs w:val="24"/>
        </w:rPr>
        <w:t xml:space="preserve">for overseas-based borrowers. </w:t>
      </w:r>
    </w:p>
    <w:p w:rsidR="006A732E"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1C777C" w:rsidRPr="00F90B34">
        <w:rPr>
          <w:rFonts w:ascii="Times New Roman" w:hAnsi="Times New Roman"/>
          <w:sz w:val="24"/>
          <w:szCs w:val="24"/>
        </w:rPr>
        <w:t>From</w:t>
      </w:r>
      <w:r w:rsidR="001229C2" w:rsidRPr="00F90B34">
        <w:rPr>
          <w:rFonts w:ascii="Times New Roman" w:hAnsi="Times New Roman"/>
          <w:sz w:val="24"/>
          <w:szCs w:val="24"/>
        </w:rPr>
        <w:t xml:space="preserve"> 2012</w:t>
      </w:r>
      <w:r w:rsidR="001C777C" w:rsidRPr="00F90B34">
        <w:rPr>
          <w:rFonts w:ascii="Times New Roman" w:hAnsi="Times New Roman"/>
          <w:sz w:val="24"/>
          <w:szCs w:val="24"/>
        </w:rPr>
        <w:t>,</w:t>
      </w:r>
      <w:r w:rsidR="001229C2" w:rsidRPr="00F90B34">
        <w:rPr>
          <w:rFonts w:ascii="Times New Roman" w:hAnsi="Times New Roman"/>
          <w:sz w:val="24"/>
          <w:szCs w:val="24"/>
        </w:rPr>
        <w:t xml:space="preserve"> borrowers applying for a repayment holiday </w:t>
      </w:r>
      <w:r w:rsidR="00CC3C55" w:rsidRPr="00F90B34">
        <w:rPr>
          <w:rFonts w:ascii="Times New Roman" w:hAnsi="Times New Roman"/>
          <w:sz w:val="24"/>
          <w:szCs w:val="24"/>
        </w:rPr>
        <w:t xml:space="preserve">were required </w:t>
      </w:r>
      <w:r w:rsidR="006A732E" w:rsidRPr="00F90B34">
        <w:rPr>
          <w:rFonts w:ascii="Times New Roman" w:hAnsi="Times New Roman"/>
          <w:sz w:val="24"/>
          <w:szCs w:val="24"/>
        </w:rPr>
        <w:t>to</w:t>
      </w:r>
      <w:r w:rsidR="00CC3C55" w:rsidRPr="00F90B34">
        <w:rPr>
          <w:rFonts w:ascii="Times New Roman" w:hAnsi="Times New Roman"/>
          <w:sz w:val="24"/>
          <w:szCs w:val="24"/>
        </w:rPr>
        <w:t xml:space="preserve"> also</w:t>
      </w:r>
      <w:r w:rsidR="006A732E" w:rsidRPr="00F90B34">
        <w:rPr>
          <w:rFonts w:ascii="Times New Roman" w:hAnsi="Times New Roman"/>
          <w:sz w:val="24"/>
          <w:szCs w:val="24"/>
        </w:rPr>
        <w:t xml:space="preserve"> provide details for an alternative contact person based in New Zealand</w:t>
      </w:r>
      <w:r w:rsidR="001229C2" w:rsidRPr="00F90B34">
        <w:rPr>
          <w:rFonts w:ascii="Times New Roman" w:hAnsi="Times New Roman"/>
          <w:sz w:val="24"/>
          <w:szCs w:val="24"/>
        </w:rPr>
        <w:t xml:space="preserve">. </w:t>
      </w:r>
      <w:r w:rsidR="00D17985">
        <w:rPr>
          <w:rFonts w:ascii="Times New Roman" w:hAnsi="Times New Roman"/>
          <w:sz w:val="24"/>
          <w:szCs w:val="24"/>
        </w:rPr>
        <w:t xml:space="preserve"> </w:t>
      </w:r>
      <w:r w:rsidR="00076833">
        <w:rPr>
          <w:rFonts w:ascii="Times New Roman" w:hAnsi="Times New Roman"/>
          <w:sz w:val="24"/>
          <w:szCs w:val="24"/>
        </w:rPr>
        <w:t>In 2013</w:t>
      </w:r>
      <w:r w:rsidR="00217D31">
        <w:rPr>
          <w:rFonts w:ascii="Times New Roman" w:hAnsi="Times New Roman"/>
          <w:sz w:val="24"/>
          <w:szCs w:val="24"/>
        </w:rPr>
        <w:t>,</w:t>
      </w:r>
      <w:r w:rsidR="001229C2" w:rsidRPr="00F90B34">
        <w:rPr>
          <w:rFonts w:ascii="Times New Roman" w:hAnsi="Times New Roman"/>
          <w:sz w:val="24"/>
          <w:szCs w:val="24"/>
        </w:rPr>
        <w:t xml:space="preserve"> legislation was amended to ensure all borrowers have an obligation to notify the Commissioner of Inland Revenue of any change in their contact details.</w:t>
      </w:r>
    </w:p>
    <w:p w:rsidR="006A732E"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6A732E" w:rsidRPr="00F90B34">
        <w:rPr>
          <w:rFonts w:ascii="Times New Roman" w:hAnsi="Times New Roman"/>
          <w:sz w:val="24"/>
          <w:szCs w:val="24"/>
        </w:rPr>
        <w:t xml:space="preserve">Additionally, </w:t>
      </w:r>
      <w:r w:rsidR="00CC3C55" w:rsidRPr="00F90B34">
        <w:rPr>
          <w:rFonts w:ascii="Times New Roman" w:hAnsi="Times New Roman"/>
          <w:sz w:val="24"/>
          <w:szCs w:val="24"/>
        </w:rPr>
        <w:t>Inland Revenue has an information match with</w:t>
      </w:r>
      <w:r w:rsidR="006A732E" w:rsidRPr="00F90B34">
        <w:rPr>
          <w:rFonts w:ascii="Times New Roman" w:hAnsi="Times New Roman"/>
          <w:sz w:val="24"/>
          <w:szCs w:val="24"/>
        </w:rPr>
        <w:t xml:space="preserve"> </w:t>
      </w:r>
      <w:r w:rsidR="00217D31">
        <w:rPr>
          <w:rFonts w:ascii="Times New Roman" w:hAnsi="Times New Roman"/>
          <w:sz w:val="24"/>
          <w:szCs w:val="24"/>
        </w:rPr>
        <w:t xml:space="preserve">the New Zealand </w:t>
      </w:r>
      <w:r w:rsidR="006A732E" w:rsidRPr="00F90B34">
        <w:rPr>
          <w:rFonts w:ascii="Times New Roman" w:hAnsi="Times New Roman"/>
          <w:sz w:val="24"/>
          <w:szCs w:val="24"/>
        </w:rPr>
        <w:t xml:space="preserve">Customs </w:t>
      </w:r>
      <w:r w:rsidR="00217D31">
        <w:rPr>
          <w:rFonts w:ascii="Times New Roman" w:hAnsi="Times New Roman"/>
          <w:sz w:val="24"/>
          <w:szCs w:val="24"/>
        </w:rPr>
        <w:t xml:space="preserve">Service, </w:t>
      </w:r>
      <w:r w:rsidR="006A732E" w:rsidRPr="00F90B34">
        <w:rPr>
          <w:rFonts w:ascii="Times New Roman" w:hAnsi="Times New Roman"/>
          <w:sz w:val="24"/>
          <w:szCs w:val="24"/>
        </w:rPr>
        <w:t xml:space="preserve">which allows Inland Revenue to receive the contact information </w:t>
      </w:r>
      <w:r w:rsidR="00217D31">
        <w:rPr>
          <w:rFonts w:ascii="Times New Roman" w:hAnsi="Times New Roman"/>
          <w:sz w:val="24"/>
          <w:szCs w:val="24"/>
        </w:rPr>
        <w:t>from</w:t>
      </w:r>
      <w:r w:rsidR="00217D31" w:rsidRPr="00F90B34">
        <w:rPr>
          <w:rFonts w:ascii="Times New Roman" w:hAnsi="Times New Roman"/>
          <w:sz w:val="24"/>
          <w:szCs w:val="24"/>
        </w:rPr>
        <w:t xml:space="preserve"> </w:t>
      </w:r>
      <w:r w:rsidR="006A732E" w:rsidRPr="00F90B34">
        <w:rPr>
          <w:rFonts w:ascii="Times New Roman" w:hAnsi="Times New Roman"/>
          <w:sz w:val="24"/>
          <w:szCs w:val="24"/>
        </w:rPr>
        <w:t>the arrival cards of serious defaulters</w:t>
      </w:r>
      <w:r w:rsidR="00217D31">
        <w:rPr>
          <w:rFonts w:ascii="Times New Roman" w:hAnsi="Times New Roman"/>
          <w:sz w:val="24"/>
          <w:szCs w:val="24"/>
        </w:rPr>
        <w:t>. There is also</w:t>
      </w:r>
      <w:r w:rsidR="00CC3C55" w:rsidRPr="00F90B34">
        <w:rPr>
          <w:rFonts w:ascii="Times New Roman" w:hAnsi="Times New Roman"/>
          <w:sz w:val="24"/>
          <w:szCs w:val="24"/>
        </w:rPr>
        <w:t xml:space="preserve"> an </w:t>
      </w:r>
      <w:r w:rsidR="00217D31">
        <w:rPr>
          <w:rFonts w:ascii="Times New Roman" w:hAnsi="Times New Roman"/>
          <w:sz w:val="24"/>
          <w:szCs w:val="24"/>
        </w:rPr>
        <w:t>i</w:t>
      </w:r>
      <w:r w:rsidR="00CC3C55" w:rsidRPr="00F90B34">
        <w:rPr>
          <w:rFonts w:ascii="Times New Roman" w:hAnsi="Times New Roman"/>
          <w:sz w:val="24"/>
          <w:szCs w:val="24"/>
        </w:rPr>
        <w:t>nformation-</w:t>
      </w:r>
      <w:r w:rsidR="00217D31">
        <w:rPr>
          <w:rFonts w:ascii="Times New Roman" w:hAnsi="Times New Roman"/>
          <w:sz w:val="24"/>
          <w:szCs w:val="24"/>
        </w:rPr>
        <w:t>s</w:t>
      </w:r>
      <w:r w:rsidR="006A732E" w:rsidRPr="00F90B34">
        <w:rPr>
          <w:rFonts w:ascii="Times New Roman" w:hAnsi="Times New Roman"/>
          <w:sz w:val="24"/>
          <w:szCs w:val="24"/>
        </w:rPr>
        <w:t xml:space="preserve">haring </w:t>
      </w:r>
      <w:r w:rsidR="00217D31">
        <w:rPr>
          <w:rFonts w:ascii="Times New Roman" w:hAnsi="Times New Roman"/>
          <w:sz w:val="24"/>
          <w:szCs w:val="24"/>
        </w:rPr>
        <w:t>a</w:t>
      </w:r>
      <w:r w:rsidR="006A732E" w:rsidRPr="00F90B34">
        <w:rPr>
          <w:rFonts w:ascii="Times New Roman" w:hAnsi="Times New Roman"/>
          <w:sz w:val="24"/>
          <w:szCs w:val="24"/>
        </w:rPr>
        <w:t>greement with the Depa</w:t>
      </w:r>
      <w:r w:rsidR="004B58C7" w:rsidRPr="00F90B34">
        <w:rPr>
          <w:rFonts w:ascii="Times New Roman" w:hAnsi="Times New Roman"/>
          <w:sz w:val="24"/>
          <w:szCs w:val="24"/>
        </w:rPr>
        <w:t>rtment of Internal Affairs</w:t>
      </w:r>
      <w:r w:rsidR="00217D31">
        <w:rPr>
          <w:rFonts w:ascii="Times New Roman" w:hAnsi="Times New Roman"/>
          <w:sz w:val="24"/>
          <w:szCs w:val="24"/>
        </w:rPr>
        <w:t>,</w:t>
      </w:r>
      <w:r w:rsidR="004B58C7" w:rsidRPr="00F90B34">
        <w:rPr>
          <w:rFonts w:ascii="Times New Roman" w:hAnsi="Times New Roman"/>
          <w:sz w:val="24"/>
          <w:szCs w:val="24"/>
        </w:rPr>
        <w:t xml:space="preserve"> which allows Inland Revenue to receive contact details from passport applications and renewals for overseas</w:t>
      </w:r>
      <w:r w:rsidR="00E84AB2">
        <w:rPr>
          <w:rFonts w:ascii="Times New Roman" w:hAnsi="Times New Roman"/>
          <w:sz w:val="24"/>
          <w:szCs w:val="24"/>
        </w:rPr>
        <w:t>-based</w:t>
      </w:r>
      <w:r w:rsidR="004B58C7" w:rsidRPr="00F90B34">
        <w:rPr>
          <w:rFonts w:ascii="Times New Roman" w:hAnsi="Times New Roman"/>
          <w:sz w:val="24"/>
          <w:szCs w:val="24"/>
        </w:rPr>
        <w:t xml:space="preserve"> borrowers who are either in default of their repayment obligations or whose contact details appear not to be up-to-date.</w:t>
      </w:r>
      <w:r w:rsidR="006A732E" w:rsidRPr="00F90B34">
        <w:rPr>
          <w:rFonts w:ascii="Times New Roman" w:hAnsi="Times New Roman"/>
          <w:sz w:val="24"/>
          <w:szCs w:val="24"/>
        </w:rPr>
        <w:t xml:space="preserve"> </w:t>
      </w:r>
    </w:p>
    <w:p w:rsidR="004B58C7"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4B58C7" w:rsidRPr="00F90B34">
        <w:rPr>
          <w:rFonts w:ascii="Times New Roman" w:hAnsi="Times New Roman"/>
          <w:sz w:val="24"/>
          <w:szCs w:val="24"/>
        </w:rPr>
        <w:t xml:space="preserve">Inland Revenue also entered into contracts with private debt collection agencies in Australia </w:t>
      </w:r>
      <w:r w:rsidR="00217D31">
        <w:rPr>
          <w:rFonts w:ascii="Times New Roman" w:hAnsi="Times New Roman"/>
          <w:sz w:val="24"/>
          <w:szCs w:val="24"/>
        </w:rPr>
        <w:t xml:space="preserve">in </w:t>
      </w:r>
      <w:r w:rsidR="004B58C7" w:rsidRPr="00F90B34">
        <w:rPr>
          <w:rFonts w:ascii="Times New Roman" w:hAnsi="Times New Roman"/>
          <w:sz w:val="24"/>
          <w:szCs w:val="24"/>
        </w:rPr>
        <w:t>2013</w:t>
      </w:r>
      <w:r w:rsidR="00217D31">
        <w:rPr>
          <w:rFonts w:ascii="Times New Roman" w:hAnsi="Times New Roman"/>
          <w:sz w:val="24"/>
          <w:szCs w:val="24"/>
        </w:rPr>
        <w:t>,</w:t>
      </w:r>
      <w:r w:rsidR="004B58C7" w:rsidRPr="00F90B34">
        <w:rPr>
          <w:rFonts w:ascii="Times New Roman" w:hAnsi="Times New Roman"/>
          <w:sz w:val="24"/>
          <w:szCs w:val="24"/>
        </w:rPr>
        <w:t xml:space="preserve"> which allowed </w:t>
      </w:r>
      <w:r w:rsidR="00246488" w:rsidRPr="00F90B34">
        <w:rPr>
          <w:rFonts w:ascii="Times New Roman" w:hAnsi="Times New Roman"/>
          <w:sz w:val="24"/>
          <w:szCs w:val="24"/>
        </w:rPr>
        <w:t>these agencies</w:t>
      </w:r>
      <w:r w:rsidR="004B58C7" w:rsidRPr="00F90B34">
        <w:rPr>
          <w:rFonts w:ascii="Times New Roman" w:hAnsi="Times New Roman"/>
          <w:sz w:val="24"/>
          <w:szCs w:val="24"/>
        </w:rPr>
        <w:t xml:space="preserve"> to </w:t>
      </w:r>
      <w:r w:rsidR="00217D31">
        <w:rPr>
          <w:rFonts w:ascii="Times New Roman" w:hAnsi="Times New Roman"/>
          <w:sz w:val="24"/>
          <w:szCs w:val="24"/>
        </w:rPr>
        <w:t>locate</w:t>
      </w:r>
      <w:r w:rsidR="004B58C7" w:rsidRPr="00F90B34">
        <w:rPr>
          <w:rFonts w:ascii="Times New Roman" w:hAnsi="Times New Roman"/>
          <w:sz w:val="24"/>
          <w:szCs w:val="24"/>
        </w:rPr>
        <w:t xml:space="preserve"> borrowers</w:t>
      </w:r>
      <w:r w:rsidR="00217D31">
        <w:rPr>
          <w:rFonts w:ascii="Times New Roman" w:hAnsi="Times New Roman"/>
          <w:sz w:val="24"/>
          <w:szCs w:val="24"/>
        </w:rPr>
        <w:t>’</w:t>
      </w:r>
      <w:r w:rsidR="004B58C7" w:rsidRPr="00F90B34">
        <w:rPr>
          <w:rFonts w:ascii="Times New Roman" w:hAnsi="Times New Roman"/>
          <w:sz w:val="24"/>
          <w:szCs w:val="24"/>
        </w:rPr>
        <w:t xml:space="preserve"> contact details and pursue debt collection activities on behalf of Inland Revenue when required. </w:t>
      </w:r>
    </w:p>
    <w:p w:rsidR="00E1255E"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E1255E" w:rsidRPr="00F90B34">
        <w:rPr>
          <w:rFonts w:ascii="Times New Roman" w:hAnsi="Times New Roman"/>
          <w:sz w:val="24"/>
          <w:szCs w:val="24"/>
        </w:rPr>
        <w:t xml:space="preserve">The exchange of information underlying the proposed </w:t>
      </w:r>
      <w:r w:rsidR="00CB435E">
        <w:rPr>
          <w:rFonts w:ascii="Times New Roman" w:hAnsi="Times New Roman"/>
          <w:sz w:val="24"/>
          <w:szCs w:val="24"/>
        </w:rPr>
        <w:t>A</w:t>
      </w:r>
      <w:r w:rsidR="00E1255E" w:rsidRPr="00F90B34">
        <w:rPr>
          <w:rFonts w:ascii="Times New Roman" w:hAnsi="Times New Roman"/>
          <w:sz w:val="24"/>
          <w:szCs w:val="24"/>
        </w:rPr>
        <w:t>rrangement</w:t>
      </w:r>
      <w:r w:rsidR="00CC3C55" w:rsidRPr="00F90B34">
        <w:rPr>
          <w:rFonts w:ascii="Times New Roman" w:hAnsi="Times New Roman"/>
          <w:sz w:val="24"/>
          <w:szCs w:val="24"/>
        </w:rPr>
        <w:t xml:space="preserve"> follows these initiatives in scaling up</w:t>
      </w:r>
      <w:r w:rsidR="00E1255E" w:rsidRPr="00F90B34">
        <w:rPr>
          <w:rFonts w:ascii="Times New Roman" w:hAnsi="Times New Roman"/>
          <w:sz w:val="24"/>
          <w:szCs w:val="24"/>
        </w:rPr>
        <w:t xml:space="preserve"> the overseas-based borrower compliance initiative which began in 2010</w:t>
      </w:r>
      <w:r w:rsidR="00CC3C55" w:rsidRPr="00F90B34">
        <w:rPr>
          <w:rFonts w:ascii="Times New Roman" w:hAnsi="Times New Roman"/>
          <w:sz w:val="24"/>
          <w:szCs w:val="24"/>
        </w:rPr>
        <w:t xml:space="preserve"> (</w:t>
      </w:r>
      <w:r w:rsidR="00E1255E" w:rsidRPr="00F90B34">
        <w:rPr>
          <w:rFonts w:ascii="Times New Roman" w:hAnsi="Times New Roman"/>
          <w:sz w:val="24"/>
          <w:szCs w:val="24"/>
        </w:rPr>
        <w:t>and initially focused on borrowers based in Australia</w:t>
      </w:r>
      <w:r w:rsidR="00CC3C55" w:rsidRPr="00F90B34">
        <w:rPr>
          <w:rFonts w:ascii="Times New Roman" w:hAnsi="Times New Roman"/>
          <w:sz w:val="24"/>
          <w:szCs w:val="24"/>
        </w:rPr>
        <w:t>)</w:t>
      </w:r>
      <w:r w:rsidR="00E1255E" w:rsidRPr="00F90B34">
        <w:rPr>
          <w:rFonts w:ascii="Times New Roman" w:hAnsi="Times New Roman"/>
          <w:sz w:val="24"/>
          <w:szCs w:val="24"/>
        </w:rPr>
        <w:t xml:space="preserve">. </w:t>
      </w:r>
      <w:r w:rsidR="00D17985">
        <w:rPr>
          <w:rFonts w:ascii="Times New Roman" w:hAnsi="Times New Roman"/>
          <w:sz w:val="24"/>
          <w:szCs w:val="24"/>
        </w:rPr>
        <w:t xml:space="preserve"> </w:t>
      </w:r>
      <w:r w:rsidR="00E1255E" w:rsidRPr="00F90B34">
        <w:rPr>
          <w:rFonts w:ascii="Times New Roman" w:hAnsi="Times New Roman"/>
          <w:sz w:val="24"/>
          <w:szCs w:val="24"/>
        </w:rPr>
        <w:t>The initiative is run by Inland Revenue, wh</w:t>
      </w:r>
      <w:r w:rsidR="00217D31">
        <w:rPr>
          <w:rFonts w:ascii="Times New Roman" w:hAnsi="Times New Roman"/>
          <w:sz w:val="24"/>
          <w:szCs w:val="24"/>
        </w:rPr>
        <w:t>ich</w:t>
      </w:r>
      <w:r w:rsidR="00E1255E" w:rsidRPr="00F90B34">
        <w:rPr>
          <w:rFonts w:ascii="Times New Roman" w:hAnsi="Times New Roman"/>
          <w:sz w:val="24"/>
          <w:szCs w:val="24"/>
        </w:rPr>
        <w:t xml:space="preserve"> reports on its progress quarterly to the Minister for Tertiary Education, Skills and Employment and the Minister of Revenue. </w:t>
      </w:r>
    </w:p>
    <w:p w:rsidR="00294173" w:rsidRPr="00F90B34" w:rsidRDefault="00294173"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Status quo</w:t>
      </w:r>
    </w:p>
    <w:p w:rsidR="00294173"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6B5929" w:rsidRPr="00F90B34">
        <w:rPr>
          <w:rFonts w:ascii="Times New Roman" w:hAnsi="Times New Roman"/>
          <w:sz w:val="24"/>
          <w:szCs w:val="24"/>
          <w:lang w:val="en-NZ"/>
        </w:rPr>
        <w:t>There is currently no written understanding in place to facilitate and support an information</w:t>
      </w:r>
      <w:r w:rsidR="00EE5D40">
        <w:rPr>
          <w:rFonts w:ascii="Times New Roman" w:hAnsi="Times New Roman"/>
          <w:sz w:val="24"/>
          <w:szCs w:val="24"/>
          <w:lang w:val="en-NZ"/>
        </w:rPr>
        <w:t>-</w:t>
      </w:r>
      <w:r w:rsidR="006B5929" w:rsidRPr="00F90B34">
        <w:rPr>
          <w:rFonts w:ascii="Times New Roman" w:hAnsi="Times New Roman"/>
          <w:sz w:val="24"/>
          <w:szCs w:val="24"/>
          <w:lang w:val="en-NZ"/>
        </w:rPr>
        <w:t>sharing mechanism between New Zealand and Australia to assist in the recovery of student loan debt.</w:t>
      </w:r>
    </w:p>
    <w:p w:rsidR="00CC3C55"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CC3C55" w:rsidRPr="00F90B34">
        <w:rPr>
          <w:rFonts w:ascii="Times New Roman" w:hAnsi="Times New Roman"/>
          <w:sz w:val="24"/>
          <w:szCs w:val="24"/>
        </w:rPr>
        <w:t>At the Australia–New Zealand Leaders’ meeting held in February 2013, it was agreed that officials from Australia and New Zealand would work together to investigate the possible implementation of a reciprocal student debt recovery scheme on a without-prejudice basis</w:t>
      </w:r>
      <w:r>
        <w:rPr>
          <w:rFonts w:ascii="Times New Roman" w:hAnsi="Times New Roman"/>
          <w:sz w:val="24"/>
          <w:szCs w:val="24"/>
        </w:rPr>
        <w:t>.</w:t>
      </w:r>
    </w:p>
    <w:p w:rsidR="00CC3C55"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lastRenderedPageBreak/>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CC3C55" w:rsidRPr="00F90B34">
        <w:rPr>
          <w:rFonts w:ascii="Times New Roman" w:hAnsi="Times New Roman"/>
          <w:sz w:val="24"/>
          <w:szCs w:val="24"/>
        </w:rPr>
        <w:t xml:space="preserve">Following the Australia-New Zealand Leaders’ meeting held in February 2014, the Prime Ministers welcomed progress on work to set up a mechanism to share data to assist New Zealand to recoup unpaid student loans in Australia, with the option of New Zealand providing reciprocal assistance should Australia adopt an overseas-based borrower regime in the future. </w:t>
      </w:r>
    </w:p>
    <w:p w:rsidR="00CC3C55"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CC3C55" w:rsidRPr="00F90B34">
        <w:rPr>
          <w:rFonts w:ascii="Times New Roman" w:hAnsi="Times New Roman"/>
          <w:sz w:val="24"/>
          <w:szCs w:val="24"/>
        </w:rPr>
        <w:t xml:space="preserve">In August 2014, Cabinet agreed that New Zealand officials </w:t>
      </w:r>
      <w:r w:rsidR="00CB435E">
        <w:rPr>
          <w:rFonts w:ascii="Times New Roman" w:hAnsi="Times New Roman"/>
          <w:sz w:val="24"/>
          <w:szCs w:val="24"/>
        </w:rPr>
        <w:t xml:space="preserve">would </w:t>
      </w:r>
      <w:r w:rsidR="00CC3C55" w:rsidRPr="00F90B34">
        <w:rPr>
          <w:rFonts w:ascii="Times New Roman" w:hAnsi="Times New Roman"/>
          <w:sz w:val="24"/>
          <w:szCs w:val="24"/>
        </w:rPr>
        <w:t>enter into formal negotiations with their Australian counterparts in relation to an agreement to exchange information to assist in the recovery of student loan debt</w:t>
      </w:r>
      <w:r w:rsidR="008459F8" w:rsidRPr="00F90B34">
        <w:rPr>
          <w:rFonts w:ascii="Times New Roman" w:hAnsi="Times New Roman"/>
          <w:sz w:val="24"/>
          <w:szCs w:val="24"/>
        </w:rPr>
        <w:t xml:space="preserve"> [CAB Min (14) 26/22 refers].</w:t>
      </w:r>
    </w:p>
    <w:p w:rsidR="00041137"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041137" w:rsidRPr="00F90B34">
        <w:rPr>
          <w:rFonts w:ascii="Times New Roman" w:hAnsi="Times New Roman"/>
          <w:sz w:val="24"/>
          <w:szCs w:val="24"/>
        </w:rPr>
        <w:t>There is a concern that the status quo is not sufficient</w:t>
      </w:r>
      <w:r w:rsidR="00CB435E">
        <w:rPr>
          <w:rFonts w:ascii="Times New Roman" w:hAnsi="Times New Roman"/>
          <w:sz w:val="24"/>
          <w:szCs w:val="24"/>
        </w:rPr>
        <w:t>,</w:t>
      </w:r>
      <w:r w:rsidR="00041137" w:rsidRPr="00F90B34">
        <w:rPr>
          <w:rFonts w:ascii="Times New Roman" w:hAnsi="Times New Roman"/>
          <w:sz w:val="24"/>
          <w:szCs w:val="24"/>
        </w:rPr>
        <w:t xml:space="preserve"> as there is no </w:t>
      </w:r>
      <w:r w:rsidR="004B2492">
        <w:rPr>
          <w:rFonts w:ascii="Times New Roman" w:hAnsi="Times New Roman"/>
          <w:sz w:val="24"/>
          <w:szCs w:val="24"/>
        </w:rPr>
        <w:t xml:space="preserve">official </w:t>
      </w:r>
      <w:r w:rsidR="00041137" w:rsidRPr="00F90B34">
        <w:rPr>
          <w:rFonts w:ascii="Times New Roman" w:hAnsi="Times New Roman"/>
          <w:sz w:val="24"/>
          <w:szCs w:val="24"/>
        </w:rPr>
        <w:t>political commitment between Australia and New Zealand to assist in the recovery of student loan debt.</w:t>
      </w:r>
      <w:r w:rsidR="00050FF7" w:rsidRPr="00F90B34">
        <w:rPr>
          <w:rFonts w:ascii="Times New Roman" w:hAnsi="Times New Roman"/>
          <w:sz w:val="24"/>
          <w:szCs w:val="24"/>
        </w:rPr>
        <w:t xml:space="preserve"> </w:t>
      </w:r>
      <w:r w:rsidR="00D17985">
        <w:rPr>
          <w:rFonts w:ascii="Times New Roman" w:hAnsi="Times New Roman"/>
          <w:sz w:val="24"/>
          <w:szCs w:val="24"/>
        </w:rPr>
        <w:t xml:space="preserve"> </w:t>
      </w:r>
      <w:r w:rsidR="00E84AB2">
        <w:rPr>
          <w:rFonts w:ascii="Times New Roman" w:hAnsi="Times New Roman"/>
          <w:sz w:val="24"/>
          <w:szCs w:val="24"/>
        </w:rPr>
        <w:t xml:space="preserve">As mentioned above, </w:t>
      </w:r>
      <w:r w:rsidR="004B2492">
        <w:rPr>
          <w:rFonts w:ascii="Times New Roman" w:hAnsi="Times New Roman"/>
          <w:sz w:val="24"/>
          <w:szCs w:val="24"/>
        </w:rPr>
        <w:t xml:space="preserve">Australia has previously </w:t>
      </w:r>
      <w:r w:rsidR="00132C9D">
        <w:rPr>
          <w:rFonts w:ascii="Times New Roman" w:hAnsi="Times New Roman"/>
          <w:sz w:val="24"/>
          <w:szCs w:val="24"/>
        </w:rPr>
        <w:t>signalled an intention to cooperate with New Zealand in the recovery of student loan debt</w:t>
      </w:r>
      <w:r w:rsidR="00CB435E">
        <w:rPr>
          <w:rFonts w:ascii="Times New Roman" w:hAnsi="Times New Roman"/>
          <w:sz w:val="24"/>
          <w:szCs w:val="24"/>
        </w:rPr>
        <w:t>;</w:t>
      </w:r>
      <w:r w:rsidR="00132C9D">
        <w:rPr>
          <w:rFonts w:ascii="Times New Roman" w:hAnsi="Times New Roman"/>
          <w:sz w:val="24"/>
          <w:szCs w:val="24"/>
        </w:rPr>
        <w:t xml:space="preserve"> how</w:t>
      </w:r>
      <w:r w:rsidR="00BC61C1">
        <w:rPr>
          <w:rFonts w:ascii="Times New Roman" w:hAnsi="Times New Roman"/>
          <w:sz w:val="24"/>
          <w:szCs w:val="24"/>
        </w:rPr>
        <w:t>ever</w:t>
      </w:r>
      <w:r w:rsidR="00CB435E">
        <w:rPr>
          <w:rFonts w:ascii="Times New Roman" w:hAnsi="Times New Roman"/>
          <w:sz w:val="24"/>
          <w:szCs w:val="24"/>
        </w:rPr>
        <w:t>,</w:t>
      </w:r>
      <w:r w:rsidR="00BC61C1">
        <w:rPr>
          <w:rFonts w:ascii="Times New Roman" w:hAnsi="Times New Roman"/>
          <w:sz w:val="24"/>
          <w:szCs w:val="24"/>
        </w:rPr>
        <w:t xml:space="preserve"> this intention is</w:t>
      </w:r>
      <w:r w:rsidR="00132C9D">
        <w:rPr>
          <w:rFonts w:ascii="Times New Roman" w:hAnsi="Times New Roman"/>
          <w:sz w:val="24"/>
          <w:szCs w:val="24"/>
        </w:rPr>
        <w:t xml:space="preserve"> not</w:t>
      </w:r>
      <w:r w:rsidR="00BC61C1">
        <w:rPr>
          <w:rFonts w:ascii="Times New Roman" w:hAnsi="Times New Roman"/>
          <w:sz w:val="24"/>
          <w:szCs w:val="24"/>
        </w:rPr>
        <w:t xml:space="preserve"> currently</w:t>
      </w:r>
      <w:r w:rsidR="00132C9D">
        <w:rPr>
          <w:rFonts w:ascii="Times New Roman" w:hAnsi="Times New Roman"/>
          <w:sz w:val="24"/>
          <w:szCs w:val="24"/>
        </w:rPr>
        <w:t xml:space="preserve"> formalised in any manner. </w:t>
      </w:r>
      <w:r w:rsidR="00D17985">
        <w:rPr>
          <w:rFonts w:ascii="Times New Roman" w:hAnsi="Times New Roman"/>
          <w:sz w:val="24"/>
          <w:szCs w:val="24"/>
        </w:rPr>
        <w:t xml:space="preserve"> </w:t>
      </w:r>
      <w:r w:rsidR="00082B99" w:rsidRPr="00F90B34">
        <w:rPr>
          <w:rFonts w:ascii="Times New Roman" w:hAnsi="Times New Roman"/>
          <w:sz w:val="24"/>
          <w:szCs w:val="24"/>
        </w:rPr>
        <w:t>Assistance in recovery of student loan debt in Australia would be beneficial to New Zealand, a</w:t>
      </w:r>
      <w:r w:rsidR="00050FF7" w:rsidRPr="00F90B34">
        <w:rPr>
          <w:rFonts w:ascii="Times New Roman" w:hAnsi="Times New Roman"/>
          <w:sz w:val="24"/>
          <w:szCs w:val="24"/>
        </w:rPr>
        <w:t xml:space="preserve">s </w:t>
      </w:r>
      <w:r w:rsidR="00082B99" w:rsidRPr="00F90B34">
        <w:rPr>
          <w:rFonts w:ascii="Times New Roman" w:hAnsi="Times New Roman"/>
          <w:sz w:val="24"/>
          <w:szCs w:val="24"/>
        </w:rPr>
        <w:t>there is a high level of student loan default held by borrowers currently residing in Australia</w:t>
      </w:r>
      <w:r w:rsidR="00050FF7" w:rsidRPr="00F90B34">
        <w:rPr>
          <w:rFonts w:ascii="Times New Roman" w:hAnsi="Times New Roman"/>
          <w:sz w:val="24"/>
          <w:szCs w:val="24"/>
        </w:rPr>
        <w:t xml:space="preserve">. </w:t>
      </w:r>
    </w:p>
    <w:p w:rsidR="00B06550" w:rsidRPr="00F90B34" w:rsidRDefault="00B06550"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Problem definition</w:t>
      </w:r>
    </w:p>
    <w:p w:rsidR="00B5314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842508" w:rsidRPr="00E95B0F">
        <w:rPr>
          <w:rFonts w:ascii="Times New Roman" w:hAnsi="Times New Roman"/>
          <w:sz w:val="24"/>
          <w:szCs w:val="24"/>
        </w:rPr>
        <w:t>The problem addressed in this RIS is limited to implementation</w:t>
      </w:r>
      <w:r w:rsidR="00E95B0F">
        <w:rPr>
          <w:rFonts w:ascii="Times New Roman" w:hAnsi="Times New Roman"/>
          <w:sz w:val="24"/>
          <w:szCs w:val="24"/>
        </w:rPr>
        <w:t xml:space="preserve"> of an agreement following negotiations with Australian officials, as Cabinet approved these negotiations</w:t>
      </w:r>
      <w:r w:rsidR="00E95B0F" w:rsidRPr="00E95B0F">
        <w:rPr>
          <w:rFonts w:ascii="Times New Roman" w:hAnsi="Times New Roman"/>
          <w:sz w:val="24"/>
          <w:szCs w:val="24"/>
        </w:rPr>
        <w:t xml:space="preserve"> in August 2014</w:t>
      </w:r>
      <w:r w:rsidR="00842508" w:rsidRPr="00E95B0F">
        <w:rPr>
          <w:rFonts w:ascii="Times New Roman" w:hAnsi="Times New Roman"/>
          <w:sz w:val="24"/>
          <w:szCs w:val="24"/>
        </w:rPr>
        <w:t>.</w:t>
      </w:r>
      <w:r w:rsidR="00842508">
        <w:rPr>
          <w:rFonts w:ascii="Times New Roman" w:hAnsi="Times New Roman"/>
          <w:sz w:val="24"/>
          <w:szCs w:val="24"/>
        </w:rPr>
        <w:t xml:space="preserve"> </w:t>
      </w:r>
      <w:r w:rsidR="000B5821" w:rsidRPr="00F90B34">
        <w:rPr>
          <w:rFonts w:ascii="Times New Roman" w:hAnsi="Times New Roman"/>
          <w:sz w:val="24"/>
          <w:szCs w:val="24"/>
        </w:rPr>
        <w:t xml:space="preserve">This RIS </w:t>
      </w:r>
      <w:r w:rsidR="00842508">
        <w:rPr>
          <w:rFonts w:ascii="Times New Roman" w:hAnsi="Times New Roman"/>
          <w:sz w:val="24"/>
          <w:szCs w:val="24"/>
        </w:rPr>
        <w:t xml:space="preserve">therefore </w:t>
      </w:r>
      <w:r w:rsidR="000B5821" w:rsidRPr="00F90B34">
        <w:rPr>
          <w:rFonts w:ascii="Times New Roman" w:hAnsi="Times New Roman"/>
          <w:sz w:val="24"/>
          <w:szCs w:val="24"/>
        </w:rPr>
        <w:t xml:space="preserve">identifies the </w:t>
      </w:r>
      <w:r w:rsidR="00B85D28">
        <w:rPr>
          <w:rFonts w:ascii="Times New Roman" w:hAnsi="Times New Roman"/>
          <w:sz w:val="24"/>
          <w:szCs w:val="24"/>
        </w:rPr>
        <w:t xml:space="preserve">implementation </w:t>
      </w:r>
      <w:r w:rsidR="000B5821" w:rsidRPr="00F90B34">
        <w:rPr>
          <w:rFonts w:ascii="Times New Roman" w:hAnsi="Times New Roman"/>
          <w:sz w:val="24"/>
          <w:szCs w:val="24"/>
        </w:rPr>
        <w:t xml:space="preserve">options available </w:t>
      </w:r>
      <w:r w:rsidR="00B85D28">
        <w:rPr>
          <w:rFonts w:ascii="Times New Roman" w:hAnsi="Times New Roman"/>
          <w:sz w:val="24"/>
          <w:szCs w:val="24"/>
        </w:rPr>
        <w:t xml:space="preserve">for </w:t>
      </w:r>
      <w:r w:rsidR="001E6F29" w:rsidRPr="00F90B34">
        <w:rPr>
          <w:rFonts w:ascii="Times New Roman" w:hAnsi="Times New Roman"/>
          <w:sz w:val="24"/>
          <w:szCs w:val="24"/>
        </w:rPr>
        <w:t>an agreement for the assistance in the recovery of student loan debt between Australia and New Zealand</w:t>
      </w:r>
      <w:r w:rsidR="00842508">
        <w:rPr>
          <w:rFonts w:ascii="Times New Roman" w:hAnsi="Times New Roman"/>
          <w:sz w:val="24"/>
          <w:szCs w:val="24"/>
        </w:rPr>
        <w:t>.</w:t>
      </w:r>
      <w:r w:rsidR="000B5821" w:rsidRPr="00F90B34">
        <w:rPr>
          <w:rFonts w:ascii="Times New Roman" w:hAnsi="Times New Roman"/>
          <w:sz w:val="24"/>
          <w:szCs w:val="24"/>
        </w:rPr>
        <w:t xml:space="preserve"> </w:t>
      </w:r>
    </w:p>
    <w:p w:rsidR="00B53144"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B53144" w:rsidRPr="00F90B34">
        <w:rPr>
          <w:rFonts w:ascii="Times New Roman" w:hAnsi="Times New Roman"/>
          <w:sz w:val="24"/>
          <w:szCs w:val="24"/>
        </w:rPr>
        <w:t xml:space="preserve">After </w:t>
      </w:r>
      <w:r w:rsidR="00B85D28">
        <w:rPr>
          <w:rFonts w:ascii="Times New Roman" w:hAnsi="Times New Roman"/>
          <w:sz w:val="24"/>
          <w:szCs w:val="24"/>
        </w:rPr>
        <w:t xml:space="preserve">formal </w:t>
      </w:r>
      <w:r w:rsidR="00B53144" w:rsidRPr="00F90B34">
        <w:rPr>
          <w:rFonts w:ascii="Times New Roman" w:hAnsi="Times New Roman"/>
          <w:sz w:val="24"/>
          <w:szCs w:val="24"/>
        </w:rPr>
        <w:t xml:space="preserve">negotiations with Australian officials, </w:t>
      </w:r>
      <w:r w:rsidR="00842508" w:rsidRPr="00F90B34">
        <w:rPr>
          <w:rFonts w:ascii="Times New Roman" w:hAnsi="Times New Roman"/>
          <w:sz w:val="24"/>
          <w:szCs w:val="24"/>
        </w:rPr>
        <w:t>which took place in September to December of 2014</w:t>
      </w:r>
      <w:r w:rsidR="00842508">
        <w:rPr>
          <w:rFonts w:ascii="Times New Roman" w:hAnsi="Times New Roman"/>
          <w:sz w:val="24"/>
          <w:szCs w:val="24"/>
        </w:rPr>
        <w:t xml:space="preserve">, </w:t>
      </w:r>
      <w:r w:rsidR="00B53144" w:rsidRPr="00F90B34">
        <w:rPr>
          <w:rFonts w:ascii="Times New Roman" w:hAnsi="Times New Roman"/>
          <w:sz w:val="24"/>
          <w:szCs w:val="24"/>
        </w:rPr>
        <w:t xml:space="preserve">it has been </w:t>
      </w:r>
      <w:r w:rsidR="00842508">
        <w:rPr>
          <w:rFonts w:ascii="Times New Roman" w:hAnsi="Times New Roman"/>
          <w:sz w:val="24"/>
          <w:szCs w:val="24"/>
        </w:rPr>
        <w:t>decided</w:t>
      </w:r>
      <w:r w:rsidR="00842508" w:rsidRPr="00F90B34">
        <w:rPr>
          <w:rFonts w:ascii="Times New Roman" w:hAnsi="Times New Roman"/>
          <w:sz w:val="24"/>
          <w:szCs w:val="24"/>
        </w:rPr>
        <w:t xml:space="preserve"> </w:t>
      </w:r>
      <w:r w:rsidR="00B53144" w:rsidRPr="00F90B34">
        <w:rPr>
          <w:rFonts w:ascii="Times New Roman" w:hAnsi="Times New Roman"/>
          <w:sz w:val="24"/>
          <w:szCs w:val="24"/>
        </w:rPr>
        <w:t>that the type of agreement that is acceptable to both jurisdictions is an Arrangement.</w:t>
      </w:r>
      <w:r w:rsidR="00D17985">
        <w:rPr>
          <w:rFonts w:ascii="Times New Roman" w:hAnsi="Times New Roman"/>
          <w:sz w:val="24"/>
          <w:szCs w:val="24"/>
        </w:rPr>
        <w:t xml:space="preserve"> </w:t>
      </w:r>
      <w:r w:rsidR="00B53144" w:rsidRPr="00F90B34">
        <w:rPr>
          <w:rFonts w:ascii="Times New Roman" w:hAnsi="Times New Roman"/>
          <w:sz w:val="24"/>
          <w:szCs w:val="24"/>
        </w:rPr>
        <w:t xml:space="preserve"> An </w:t>
      </w:r>
      <w:r w:rsidR="004B2492">
        <w:rPr>
          <w:rFonts w:ascii="Times New Roman" w:hAnsi="Times New Roman"/>
          <w:sz w:val="24"/>
          <w:szCs w:val="24"/>
        </w:rPr>
        <w:t>A</w:t>
      </w:r>
      <w:r w:rsidR="00B53144" w:rsidRPr="00F90B34">
        <w:rPr>
          <w:rFonts w:ascii="Times New Roman" w:hAnsi="Times New Roman"/>
          <w:sz w:val="24"/>
          <w:szCs w:val="24"/>
        </w:rPr>
        <w:t xml:space="preserve">rrangement is of less than treaty status and instead embodies a moral and political commitment. </w:t>
      </w:r>
    </w:p>
    <w:p w:rsidR="00041137"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F50381" w:rsidRPr="00F90B34">
        <w:rPr>
          <w:rFonts w:ascii="Times New Roman" w:hAnsi="Times New Roman"/>
          <w:sz w:val="24"/>
          <w:szCs w:val="24"/>
        </w:rPr>
        <w:t>In this context, t</w:t>
      </w:r>
      <w:r w:rsidR="00041137" w:rsidRPr="00F90B34">
        <w:rPr>
          <w:rFonts w:ascii="Times New Roman" w:hAnsi="Times New Roman"/>
          <w:sz w:val="24"/>
          <w:szCs w:val="24"/>
        </w:rPr>
        <w:t xml:space="preserve">his RIS is concerned with how to </w:t>
      </w:r>
      <w:r w:rsidR="001E6F29" w:rsidRPr="00F90B34">
        <w:rPr>
          <w:rFonts w:ascii="Times New Roman" w:hAnsi="Times New Roman"/>
          <w:sz w:val="24"/>
          <w:szCs w:val="24"/>
        </w:rPr>
        <w:t>progress</w:t>
      </w:r>
      <w:r w:rsidR="00041137" w:rsidRPr="00F90B34">
        <w:rPr>
          <w:rFonts w:ascii="Times New Roman" w:hAnsi="Times New Roman"/>
          <w:sz w:val="24"/>
          <w:szCs w:val="24"/>
        </w:rPr>
        <w:t xml:space="preserve"> the exchange of information between Australia and New Zealand to assist with the recovery of New Zealand student loan debt held by borrowers residing in Australia. </w:t>
      </w:r>
    </w:p>
    <w:p w:rsidR="00041137" w:rsidRPr="00F90B34" w:rsidRDefault="00F90B34" w:rsidP="00943986">
      <w:pPr>
        <w:spacing w:before="100" w:before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9E5854" w:rsidRPr="00F90B34">
        <w:rPr>
          <w:rFonts w:ascii="Times New Roman" w:hAnsi="Times New Roman"/>
          <w:sz w:val="24"/>
          <w:szCs w:val="24"/>
        </w:rPr>
        <w:t>This RIS does not consider a</w:t>
      </w:r>
      <w:r w:rsidR="00D24EEA" w:rsidRPr="00F90B34">
        <w:rPr>
          <w:rFonts w:ascii="Times New Roman" w:hAnsi="Times New Roman"/>
          <w:sz w:val="24"/>
          <w:szCs w:val="24"/>
        </w:rPr>
        <w:t xml:space="preserve"> legally binding agreement</w:t>
      </w:r>
      <w:r w:rsidR="009E5854" w:rsidRPr="00F90B34">
        <w:rPr>
          <w:rFonts w:ascii="Times New Roman" w:hAnsi="Times New Roman"/>
          <w:sz w:val="24"/>
          <w:szCs w:val="24"/>
        </w:rPr>
        <w:t xml:space="preserve"> </w:t>
      </w:r>
      <w:r w:rsidR="00D24EEA" w:rsidRPr="00F90B34">
        <w:rPr>
          <w:rFonts w:ascii="Times New Roman" w:hAnsi="Times New Roman"/>
          <w:sz w:val="24"/>
          <w:szCs w:val="24"/>
        </w:rPr>
        <w:t>(</w:t>
      </w:r>
      <w:r w:rsidR="009E5854" w:rsidRPr="00F90B34">
        <w:rPr>
          <w:rFonts w:ascii="Times New Roman" w:hAnsi="Times New Roman"/>
          <w:sz w:val="24"/>
          <w:szCs w:val="24"/>
        </w:rPr>
        <w:t>treaty</w:t>
      </w:r>
      <w:r w:rsidR="00D24EEA" w:rsidRPr="00F90B34">
        <w:rPr>
          <w:rFonts w:ascii="Times New Roman" w:hAnsi="Times New Roman"/>
          <w:sz w:val="24"/>
          <w:szCs w:val="24"/>
        </w:rPr>
        <w:t>)</w:t>
      </w:r>
      <w:r w:rsidR="009E5854" w:rsidRPr="00F90B34">
        <w:rPr>
          <w:rFonts w:ascii="Times New Roman" w:hAnsi="Times New Roman"/>
          <w:sz w:val="24"/>
          <w:szCs w:val="24"/>
        </w:rPr>
        <w:t xml:space="preserve"> as an option.</w:t>
      </w:r>
      <w:r w:rsidR="00D17985">
        <w:rPr>
          <w:rFonts w:ascii="Times New Roman" w:hAnsi="Times New Roman"/>
          <w:sz w:val="24"/>
          <w:szCs w:val="24"/>
        </w:rPr>
        <w:t xml:space="preserve"> </w:t>
      </w:r>
      <w:r w:rsidR="009E5854" w:rsidRPr="00F90B34">
        <w:rPr>
          <w:rFonts w:ascii="Times New Roman" w:hAnsi="Times New Roman"/>
          <w:sz w:val="24"/>
          <w:szCs w:val="24"/>
        </w:rPr>
        <w:t xml:space="preserve"> Formal negotiations with Australian officials have indicated </w:t>
      </w:r>
      <w:r w:rsidR="00050FF7" w:rsidRPr="00F90B34">
        <w:rPr>
          <w:rFonts w:ascii="Times New Roman" w:hAnsi="Times New Roman"/>
          <w:sz w:val="24"/>
          <w:szCs w:val="24"/>
        </w:rPr>
        <w:t xml:space="preserve">that their preferred option for an international instrument is an </w:t>
      </w:r>
      <w:r w:rsidR="004B2492">
        <w:rPr>
          <w:rFonts w:ascii="Times New Roman" w:hAnsi="Times New Roman"/>
          <w:sz w:val="24"/>
          <w:szCs w:val="24"/>
        </w:rPr>
        <w:t>A</w:t>
      </w:r>
      <w:r w:rsidR="00050FF7" w:rsidRPr="00F90B34">
        <w:rPr>
          <w:rFonts w:ascii="Times New Roman" w:hAnsi="Times New Roman"/>
          <w:sz w:val="24"/>
          <w:szCs w:val="24"/>
        </w:rPr>
        <w:t>rrangement</w:t>
      </w:r>
      <w:r w:rsidR="009E5854" w:rsidRPr="00F90B34">
        <w:rPr>
          <w:rFonts w:ascii="Times New Roman" w:hAnsi="Times New Roman"/>
          <w:sz w:val="24"/>
          <w:szCs w:val="24"/>
        </w:rPr>
        <w:t xml:space="preserve">. </w:t>
      </w:r>
    </w:p>
    <w:p w:rsidR="000545DC" w:rsidRPr="00F90B34" w:rsidRDefault="00D943DD" w:rsidP="00BB5427">
      <w:pPr>
        <w:spacing w:before="480" w:after="100" w:afterAutospacing="1" w:line="240" w:lineRule="auto"/>
        <w:jc w:val="both"/>
        <w:rPr>
          <w:rFonts w:ascii="Times New Roman" w:hAnsi="Times New Roman"/>
          <w:b/>
          <w:sz w:val="24"/>
          <w:szCs w:val="24"/>
        </w:rPr>
      </w:pPr>
      <w:bookmarkStart w:id="12" w:name="_Toc244580364"/>
      <w:bookmarkStart w:id="13" w:name="_Toc244587040"/>
      <w:bookmarkStart w:id="14" w:name="_Toc244857274"/>
      <w:bookmarkStart w:id="15" w:name="_Toc244912539"/>
      <w:bookmarkStart w:id="16" w:name="_Toc244916996"/>
      <w:r w:rsidRPr="00F90B34">
        <w:rPr>
          <w:rFonts w:ascii="Times New Roman" w:hAnsi="Times New Roman"/>
          <w:b/>
          <w:sz w:val="24"/>
          <w:szCs w:val="24"/>
        </w:rPr>
        <w:t>OBJECTIVES</w:t>
      </w:r>
      <w:bookmarkEnd w:id="12"/>
      <w:bookmarkEnd w:id="13"/>
      <w:bookmarkEnd w:id="14"/>
      <w:bookmarkEnd w:id="15"/>
      <w:bookmarkEnd w:id="16"/>
    </w:p>
    <w:p w:rsidR="001345D4"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1345D4" w:rsidRPr="00F90B34">
        <w:rPr>
          <w:rFonts w:ascii="Times New Roman" w:hAnsi="Times New Roman"/>
          <w:sz w:val="24"/>
          <w:szCs w:val="24"/>
        </w:rPr>
        <w:t>The objectives are to:</w:t>
      </w:r>
    </w:p>
    <w:p w:rsidR="000404D8" w:rsidRDefault="00F90B34" w:rsidP="00F90B34">
      <w:pPr>
        <w:pStyle w:val="ListParagraph"/>
        <w:spacing w:before="100" w:beforeAutospacing="1" w:after="100" w:afterAutospacing="1"/>
        <w:ind w:left="981" w:hanging="414"/>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404D8" w:rsidRPr="00F90B34">
        <w:rPr>
          <w:rFonts w:ascii="Times New Roman" w:hAnsi="Times New Roman"/>
          <w:sz w:val="24"/>
          <w:szCs w:val="24"/>
        </w:rPr>
        <w:t>Support an information exchange between the A</w:t>
      </w:r>
      <w:r w:rsidR="00842508">
        <w:rPr>
          <w:rFonts w:ascii="Times New Roman" w:hAnsi="Times New Roman"/>
          <w:sz w:val="24"/>
          <w:szCs w:val="24"/>
        </w:rPr>
        <w:t xml:space="preserve">ustralian </w:t>
      </w:r>
      <w:r w:rsidR="000404D8" w:rsidRPr="00F90B34">
        <w:rPr>
          <w:rFonts w:ascii="Times New Roman" w:hAnsi="Times New Roman"/>
          <w:sz w:val="24"/>
          <w:szCs w:val="24"/>
        </w:rPr>
        <w:t>T</w:t>
      </w:r>
      <w:r w:rsidR="00842508">
        <w:rPr>
          <w:rFonts w:ascii="Times New Roman" w:hAnsi="Times New Roman"/>
          <w:sz w:val="24"/>
          <w:szCs w:val="24"/>
        </w:rPr>
        <w:t xml:space="preserve">axation </w:t>
      </w:r>
      <w:r w:rsidR="000404D8" w:rsidRPr="00F90B34">
        <w:rPr>
          <w:rFonts w:ascii="Times New Roman" w:hAnsi="Times New Roman"/>
          <w:sz w:val="24"/>
          <w:szCs w:val="24"/>
        </w:rPr>
        <w:t>O</w:t>
      </w:r>
      <w:r w:rsidR="00842508">
        <w:rPr>
          <w:rFonts w:ascii="Times New Roman" w:hAnsi="Times New Roman"/>
          <w:sz w:val="24"/>
          <w:szCs w:val="24"/>
        </w:rPr>
        <w:t>ffice (ATO)</w:t>
      </w:r>
      <w:r w:rsidR="000404D8" w:rsidRPr="00F90B34">
        <w:rPr>
          <w:rFonts w:ascii="Times New Roman" w:hAnsi="Times New Roman"/>
          <w:sz w:val="24"/>
          <w:szCs w:val="24"/>
        </w:rPr>
        <w:t xml:space="preserve"> and Inland Revenue in relation to New Zealand student loan borrowers residing in Australia</w:t>
      </w:r>
      <w:r>
        <w:rPr>
          <w:rFonts w:ascii="Times New Roman" w:hAnsi="Times New Roman"/>
          <w:sz w:val="24"/>
          <w:szCs w:val="24"/>
        </w:rPr>
        <w:t>.</w:t>
      </w:r>
    </w:p>
    <w:p w:rsidR="00F90B34" w:rsidRPr="00F90B34" w:rsidRDefault="00F90B34" w:rsidP="00F90B34">
      <w:pPr>
        <w:pStyle w:val="ListParagraph"/>
        <w:spacing w:before="100" w:beforeAutospacing="1" w:after="100" w:afterAutospacing="1"/>
        <w:ind w:left="567"/>
        <w:rPr>
          <w:rFonts w:ascii="Times New Roman" w:hAnsi="Times New Roman"/>
          <w:sz w:val="24"/>
          <w:szCs w:val="24"/>
        </w:rPr>
      </w:pPr>
    </w:p>
    <w:p w:rsidR="001345D4" w:rsidRPr="00F90B34" w:rsidRDefault="00F90B34" w:rsidP="00F90B34">
      <w:pPr>
        <w:pStyle w:val="ListParagraph"/>
        <w:spacing w:before="100" w:beforeAutospacing="1" w:after="100" w:afterAutospacing="1"/>
        <w:ind w:left="981" w:hanging="414"/>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5751A" w:rsidRPr="00F90B34">
        <w:rPr>
          <w:rFonts w:ascii="Times New Roman" w:hAnsi="Times New Roman"/>
          <w:sz w:val="24"/>
          <w:szCs w:val="24"/>
        </w:rPr>
        <w:t>Commit Australia to enter into</w:t>
      </w:r>
      <w:r w:rsidR="00BD116C" w:rsidRPr="00F90B34">
        <w:rPr>
          <w:rFonts w:ascii="Times New Roman" w:hAnsi="Times New Roman"/>
          <w:sz w:val="24"/>
          <w:szCs w:val="24"/>
        </w:rPr>
        <w:t xml:space="preserve"> </w:t>
      </w:r>
      <w:r w:rsidR="00FE1783">
        <w:rPr>
          <w:rFonts w:ascii="Times New Roman" w:hAnsi="Times New Roman"/>
          <w:sz w:val="24"/>
          <w:szCs w:val="24"/>
        </w:rPr>
        <w:t xml:space="preserve">a </w:t>
      </w:r>
      <w:r w:rsidR="00B53144" w:rsidRPr="00F90B34">
        <w:rPr>
          <w:rFonts w:ascii="Times New Roman" w:hAnsi="Times New Roman"/>
          <w:sz w:val="24"/>
          <w:szCs w:val="24"/>
        </w:rPr>
        <w:t>mechanism for the exchange of information</w:t>
      </w:r>
      <w:r w:rsidR="00C5751A" w:rsidRPr="00F90B34">
        <w:rPr>
          <w:rFonts w:ascii="Times New Roman" w:hAnsi="Times New Roman"/>
          <w:sz w:val="24"/>
          <w:szCs w:val="24"/>
        </w:rPr>
        <w:t xml:space="preserve"> for information on </w:t>
      </w:r>
      <w:r w:rsidR="00CB435E">
        <w:rPr>
          <w:rFonts w:ascii="Times New Roman" w:hAnsi="Times New Roman"/>
          <w:sz w:val="24"/>
          <w:szCs w:val="24"/>
        </w:rPr>
        <w:t>s</w:t>
      </w:r>
      <w:r w:rsidR="00C5751A" w:rsidRPr="00F90B34">
        <w:rPr>
          <w:rFonts w:ascii="Times New Roman" w:hAnsi="Times New Roman"/>
          <w:sz w:val="24"/>
          <w:szCs w:val="24"/>
        </w:rPr>
        <w:t>tudent loan borrowers</w:t>
      </w:r>
      <w:r w:rsidR="00FE1783">
        <w:rPr>
          <w:rFonts w:ascii="Times New Roman" w:hAnsi="Times New Roman"/>
          <w:sz w:val="24"/>
          <w:szCs w:val="24"/>
        </w:rPr>
        <w:t xml:space="preserve">. </w:t>
      </w:r>
      <w:r w:rsidR="006D3949">
        <w:rPr>
          <w:rFonts w:ascii="Times New Roman" w:hAnsi="Times New Roman"/>
          <w:sz w:val="24"/>
          <w:szCs w:val="24"/>
        </w:rPr>
        <w:t xml:space="preserve"> </w:t>
      </w:r>
      <w:r w:rsidR="00FE1783">
        <w:rPr>
          <w:rFonts w:ascii="Times New Roman" w:hAnsi="Times New Roman"/>
          <w:sz w:val="24"/>
          <w:szCs w:val="24"/>
        </w:rPr>
        <w:t xml:space="preserve">This will </w:t>
      </w:r>
      <w:r w:rsidR="001D5C9D" w:rsidRPr="00F90B34">
        <w:rPr>
          <w:rFonts w:ascii="Times New Roman" w:hAnsi="Times New Roman"/>
          <w:sz w:val="24"/>
          <w:szCs w:val="24"/>
        </w:rPr>
        <w:t>require consensus with Australian officials</w:t>
      </w:r>
      <w:r>
        <w:rPr>
          <w:rFonts w:ascii="Times New Roman" w:hAnsi="Times New Roman"/>
          <w:sz w:val="24"/>
          <w:szCs w:val="24"/>
        </w:rPr>
        <w:t>.</w:t>
      </w:r>
    </w:p>
    <w:p w:rsidR="00F90B34" w:rsidRDefault="00F90B34" w:rsidP="00F90B34">
      <w:pPr>
        <w:pStyle w:val="ListParagraph"/>
        <w:spacing w:before="100" w:beforeAutospacing="1" w:after="100" w:afterAutospacing="1"/>
        <w:ind w:left="567"/>
        <w:rPr>
          <w:rFonts w:ascii="Times New Roman" w:hAnsi="Times New Roman"/>
          <w:sz w:val="24"/>
          <w:szCs w:val="24"/>
        </w:rPr>
      </w:pPr>
    </w:p>
    <w:p w:rsidR="00B53144" w:rsidRDefault="00F90B34" w:rsidP="00F90B34">
      <w:pPr>
        <w:pStyle w:val="ListParagraph"/>
        <w:spacing w:before="100" w:beforeAutospacing="1" w:after="100" w:afterAutospacing="1"/>
        <w:ind w:left="981" w:hanging="414"/>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1C5F1B" w:rsidRPr="00F90B34">
        <w:rPr>
          <w:rFonts w:ascii="Times New Roman" w:hAnsi="Times New Roman"/>
          <w:sz w:val="24"/>
          <w:szCs w:val="24"/>
        </w:rPr>
        <w:t xml:space="preserve">Gain access to </w:t>
      </w:r>
      <w:r w:rsidR="00556D93">
        <w:rPr>
          <w:rFonts w:ascii="Times New Roman" w:hAnsi="Times New Roman"/>
          <w:sz w:val="24"/>
          <w:szCs w:val="24"/>
        </w:rPr>
        <w:t>contact</w:t>
      </w:r>
      <w:r w:rsidR="00C5751A" w:rsidRPr="00F90B34">
        <w:rPr>
          <w:rFonts w:ascii="Times New Roman" w:hAnsi="Times New Roman"/>
          <w:sz w:val="24"/>
          <w:szCs w:val="24"/>
        </w:rPr>
        <w:t xml:space="preserve"> information</w:t>
      </w:r>
      <w:r w:rsidR="001C5F1B" w:rsidRPr="00F90B34">
        <w:rPr>
          <w:rFonts w:ascii="Times New Roman" w:hAnsi="Times New Roman"/>
          <w:sz w:val="24"/>
          <w:szCs w:val="24"/>
        </w:rPr>
        <w:t xml:space="preserve"> </w:t>
      </w:r>
      <w:r w:rsidR="00CB435E">
        <w:rPr>
          <w:rFonts w:ascii="Times New Roman" w:hAnsi="Times New Roman"/>
          <w:sz w:val="24"/>
          <w:szCs w:val="24"/>
        </w:rPr>
        <w:t>for</w:t>
      </w:r>
      <w:r w:rsidR="00CB435E" w:rsidRPr="00F90B34">
        <w:rPr>
          <w:rFonts w:ascii="Times New Roman" w:hAnsi="Times New Roman"/>
          <w:sz w:val="24"/>
          <w:szCs w:val="24"/>
        </w:rPr>
        <w:t xml:space="preserve"> </w:t>
      </w:r>
      <w:r w:rsidR="001C5F1B" w:rsidRPr="00F90B34">
        <w:rPr>
          <w:rFonts w:ascii="Times New Roman" w:hAnsi="Times New Roman"/>
          <w:sz w:val="24"/>
          <w:szCs w:val="24"/>
        </w:rPr>
        <w:t>N</w:t>
      </w:r>
      <w:r w:rsidR="00EE5D40">
        <w:rPr>
          <w:rFonts w:ascii="Times New Roman" w:hAnsi="Times New Roman"/>
          <w:sz w:val="24"/>
          <w:szCs w:val="24"/>
        </w:rPr>
        <w:t xml:space="preserve">ew </w:t>
      </w:r>
      <w:r w:rsidR="001C5F1B" w:rsidRPr="00F90B34">
        <w:rPr>
          <w:rFonts w:ascii="Times New Roman" w:hAnsi="Times New Roman"/>
          <w:sz w:val="24"/>
          <w:szCs w:val="24"/>
        </w:rPr>
        <w:t>Z</w:t>
      </w:r>
      <w:r w:rsidR="00EE5D40">
        <w:rPr>
          <w:rFonts w:ascii="Times New Roman" w:hAnsi="Times New Roman"/>
          <w:sz w:val="24"/>
          <w:szCs w:val="24"/>
        </w:rPr>
        <w:t>ealand</w:t>
      </w:r>
      <w:r w:rsidR="001C5F1B" w:rsidRPr="00F90B34">
        <w:rPr>
          <w:rFonts w:ascii="Times New Roman" w:hAnsi="Times New Roman"/>
          <w:sz w:val="24"/>
          <w:szCs w:val="24"/>
        </w:rPr>
        <w:t xml:space="preserve"> student loan borrowers</w:t>
      </w:r>
      <w:r w:rsidR="00C5751A" w:rsidRPr="00F90B34">
        <w:rPr>
          <w:rFonts w:ascii="Times New Roman" w:hAnsi="Times New Roman"/>
          <w:sz w:val="24"/>
          <w:szCs w:val="24"/>
        </w:rPr>
        <w:t xml:space="preserve"> in a cost</w:t>
      </w:r>
      <w:r w:rsidR="00CB435E">
        <w:rPr>
          <w:rFonts w:ascii="Times New Roman" w:hAnsi="Times New Roman"/>
          <w:sz w:val="24"/>
          <w:szCs w:val="24"/>
        </w:rPr>
        <w:t>-</w:t>
      </w:r>
      <w:r w:rsidR="00C5751A" w:rsidRPr="00F90B34">
        <w:rPr>
          <w:rFonts w:ascii="Times New Roman" w:hAnsi="Times New Roman"/>
          <w:sz w:val="24"/>
          <w:szCs w:val="24"/>
        </w:rPr>
        <w:t>effective way</w:t>
      </w:r>
      <w:r>
        <w:rPr>
          <w:rFonts w:ascii="Times New Roman" w:hAnsi="Times New Roman"/>
          <w:sz w:val="24"/>
          <w:szCs w:val="24"/>
        </w:rPr>
        <w:t>.</w:t>
      </w:r>
    </w:p>
    <w:p w:rsidR="00BF2D66" w:rsidRPr="00F90B34" w:rsidRDefault="00BF2D66" w:rsidP="00F90B34">
      <w:pPr>
        <w:pStyle w:val="ListParagraph"/>
        <w:spacing w:before="100" w:beforeAutospacing="1" w:after="100" w:afterAutospacing="1"/>
        <w:ind w:left="981" w:hanging="414"/>
        <w:rPr>
          <w:rFonts w:ascii="Times New Roman" w:hAnsi="Times New Roman"/>
          <w:sz w:val="24"/>
          <w:szCs w:val="24"/>
        </w:rPr>
      </w:pPr>
    </w:p>
    <w:p w:rsidR="00246488" w:rsidRDefault="00F90B34" w:rsidP="00F90B34">
      <w:pPr>
        <w:pStyle w:val="ListParagraph"/>
        <w:spacing w:before="100" w:beforeAutospacing="1" w:after="100" w:afterAutospacing="1"/>
        <w:ind w:left="981" w:hanging="414"/>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0404D8" w:rsidRPr="00F90B34">
        <w:rPr>
          <w:rFonts w:ascii="Times New Roman" w:hAnsi="Times New Roman"/>
          <w:sz w:val="24"/>
          <w:szCs w:val="24"/>
        </w:rPr>
        <w:t>Achieve (c</w:t>
      </w:r>
      <w:r w:rsidR="001D5C9D" w:rsidRPr="00F90B34">
        <w:rPr>
          <w:rFonts w:ascii="Times New Roman" w:hAnsi="Times New Roman"/>
          <w:sz w:val="24"/>
          <w:szCs w:val="24"/>
        </w:rPr>
        <w:t>) in a timely manner, recognising that the quicker Inland Revenue can make contact with these borrowers, the more successful the initiative is likely to be</w:t>
      </w:r>
      <w:r>
        <w:rPr>
          <w:rFonts w:ascii="Times New Roman" w:hAnsi="Times New Roman"/>
          <w:sz w:val="24"/>
          <w:szCs w:val="24"/>
        </w:rPr>
        <w:t>.</w:t>
      </w:r>
    </w:p>
    <w:p w:rsidR="00BF2D66" w:rsidRDefault="00BF2D66" w:rsidP="00F90B34">
      <w:pPr>
        <w:pStyle w:val="ListParagraph"/>
        <w:spacing w:before="100" w:beforeAutospacing="1" w:after="100" w:afterAutospacing="1"/>
        <w:ind w:left="981" w:hanging="414"/>
        <w:rPr>
          <w:rFonts w:ascii="Times New Roman" w:hAnsi="Times New Roman"/>
          <w:sz w:val="24"/>
          <w:szCs w:val="24"/>
        </w:rPr>
      </w:pPr>
    </w:p>
    <w:p w:rsidR="00064834" w:rsidRPr="00F90B34" w:rsidRDefault="00064834" w:rsidP="00F90B34">
      <w:pPr>
        <w:pStyle w:val="ListParagraph"/>
        <w:spacing w:before="100" w:beforeAutospacing="1" w:after="100" w:afterAutospacing="1"/>
        <w:ind w:left="981" w:hanging="414"/>
        <w:rPr>
          <w:rFonts w:ascii="Times New Roman" w:hAnsi="Times New Roman"/>
          <w:sz w:val="24"/>
          <w:szCs w:val="24"/>
        </w:rPr>
      </w:pPr>
      <w:r>
        <w:rPr>
          <w:rFonts w:ascii="Times New Roman" w:hAnsi="Times New Roman"/>
          <w:sz w:val="24"/>
          <w:szCs w:val="24"/>
        </w:rPr>
        <w:t>(e)</w:t>
      </w:r>
      <w:r w:rsidR="00CB435E">
        <w:rPr>
          <w:rFonts w:ascii="Times New Roman" w:hAnsi="Times New Roman"/>
          <w:sz w:val="24"/>
          <w:szCs w:val="24"/>
        </w:rPr>
        <w:tab/>
      </w:r>
      <w:r w:rsidR="009F082F">
        <w:rPr>
          <w:rFonts w:ascii="Times New Roman" w:hAnsi="Times New Roman"/>
          <w:sz w:val="24"/>
          <w:szCs w:val="24"/>
        </w:rPr>
        <w:t>Maintain flexibility to negotiate debt recovery terms, including information requests from Australia to New Zealand on Australian borrowers living in New Zealand (reciprocity)</w:t>
      </w:r>
      <w:r w:rsidR="00CB435E">
        <w:rPr>
          <w:rFonts w:ascii="Times New Roman" w:hAnsi="Times New Roman"/>
          <w:sz w:val="24"/>
          <w:szCs w:val="24"/>
        </w:rPr>
        <w:t>.</w:t>
      </w:r>
    </w:p>
    <w:bookmarkStart w:id="17" w:name="_Toc244580365"/>
    <w:bookmarkStart w:id="18" w:name="_Toc244587041"/>
    <w:bookmarkStart w:id="19" w:name="_Toc244857275"/>
    <w:bookmarkStart w:id="20" w:name="_Toc244912540"/>
    <w:bookmarkStart w:id="21" w:name="_Toc244916997"/>
    <w:p w:rsidR="00FD2B2A"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ED7F04" w:rsidRPr="00F90B34">
        <w:rPr>
          <w:rFonts w:ascii="Times New Roman" w:hAnsi="Times New Roman"/>
          <w:sz w:val="24"/>
          <w:szCs w:val="24"/>
        </w:rPr>
        <w:t xml:space="preserve">The primary objective is to advance an information exchange between the ATO and Inland Revenue in relation to New Zealand student loan borrowers residing </w:t>
      </w:r>
      <w:r w:rsidR="000404D8" w:rsidRPr="00F90B34">
        <w:rPr>
          <w:rFonts w:ascii="Times New Roman" w:hAnsi="Times New Roman"/>
          <w:sz w:val="24"/>
          <w:szCs w:val="24"/>
        </w:rPr>
        <w:t xml:space="preserve">in Australia </w:t>
      </w:r>
      <w:r w:rsidR="00BF2D66">
        <w:rPr>
          <w:rFonts w:ascii="Times New Roman" w:hAnsi="Times New Roman"/>
          <w:sz w:val="24"/>
          <w:szCs w:val="24"/>
        </w:rPr>
        <w:t xml:space="preserve">(objective </w:t>
      </w:r>
      <w:r w:rsidR="000404D8" w:rsidRPr="00F90B34">
        <w:rPr>
          <w:rFonts w:ascii="Times New Roman" w:hAnsi="Times New Roman"/>
          <w:sz w:val="24"/>
          <w:szCs w:val="24"/>
        </w:rPr>
        <w:t>(a)</w:t>
      </w:r>
      <w:r w:rsidR="00BF2D66">
        <w:rPr>
          <w:rFonts w:ascii="Times New Roman" w:hAnsi="Times New Roman"/>
          <w:sz w:val="24"/>
          <w:szCs w:val="24"/>
        </w:rPr>
        <w:t>)</w:t>
      </w:r>
      <w:r w:rsidR="00CE4B6E">
        <w:rPr>
          <w:rFonts w:ascii="Times New Roman" w:hAnsi="Times New Roman"/>
          <w:sz w:val="24"/>
          <w:szCs w:val="24"/>
        </w:rPr>
        <w:t>. The objectives (b), (c),</w:t>
      </w:r>
      <w:r w:rsidR="000404D8" w:rsidRPr="00F90B34">
        <w:rPr>
          <w:rFonts w:ascii="Times New Roman" w:hAnsi="Times New Roman"/>
          <w:sz w:val="24"/>
          <w:szCs w:val="24"/>
        </w:rPr>
        <w:t xml:space="preserve"> (d)</w:t>
      </w:r>
      <w:r w:rsidR="00CE4B6E">
        <w:rPr>
          <w:rFonts w:ascii="Times New Roman" w:hAnsi="Times New Roman"/>
          <w:sz w:val="24"/>
          <w:szCs w:val="24"/>
        </w:rPr>
        <w:t xml:space="preserve"> and (e)</w:t>
      </w:r>
      <w:r w:rsidR="000404D8" w:rsidRPr="00F90B34">
        <w:rPr>
          <w:rFonts w:ascii="Times New Roman" w:hAnsi="Times New Roman"/>
          <w:sz w:val="24"/>
          <w:szCs w:val="24"/>
        </w:rPr>
        <w:t xml:space="preserve"> concern </w:t>
      </w:r>
      <w:r w:rsidR="008E0FDC">
        <w:rPr>
          <w:rFonts w:ascii="Times New Roman" w:hAnsi="Times New Roman"/>
          <w:sz w:val="24"/>
          <w:szCs w:val="24"/>
        </w:rPr>
        <w:t xml:space="preserve">the </w:t>
      </w:r>
      <w:r w:rsidR="000404D8" w:rsidRPr="00F90B34">
        <w:rPr>
          <w:rFonts w:ascii="Times New Roman" w:hAnsi="Times New Roman"/>
          <w:sz w:val="24"/>
          <w:szCs w:val="24"/>
        </w:rPr>
        <w:t>specific criteria to be considered when trying to achieve (a).</w:t>
      </w:r>
    </w:p>
    <w:p w:rsidR="006946BA" w:rsidRDefault="006946BA"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000F1239">
        <w:rPr>
          <w:rFonts w:ascii="Times New Roman" w:hAnsi="Times New Roman"/>
          <w:sz w:val="24"/>
          <w:szCs w:val="24"/>
        </w:rPr>
        <w:tab/>
      </w:r>
      <w:r>
        <w:rPr>
          <w:rFonts w:ascii="Times New Roman" w:hAnsi="Times New Roman"/>
          <w:sz w:val="24"/>
          <w:szCs w:val="24"/>
        </w:rPr>
        <w:t>The ability to maintain flexibility</w:t>
      </w:r>
      <w:r w:rsidR="00650576">
        <w:rPr>
          <w:rFonts w:ascii="Times New Roman" w:hAnsi="Times New Roman"/>
          <w:sz w:val="24"/>
          <w:szCs w:val="24"/>
        </w:rPr>
        <w:t>, particularly</w:t>
      </w:r>
      <w:r w:rsidR="00936F61">
        <w:rPr>
          <w:rFonts w:ascii="Times New Roman" w:hAnsi="Times New Roman"/>
          <w:sz w:val="24"/>
          <w:szCs w:val="24"/>
        </w:rPr>
        <w:t xml:space="preserve"> for the purpose of</w:t>
      </w:r>
      <w:r w:rsidR="00650576">
        <w:rPr>
          <w:rFonts w:ascii="Times New Roman" w:hAnsi="Times New Roman"/>
          <w:sz w:val="24"/>
          <w:szCs w:val="24"/>
        </w:rPr>
        <w:t xml:space="preserve"> </w:t>
      </w:r>
      <w:r w:rsidR="00936F61">
        <w:rPr>
          <w:rFonts w:ascii="Times New Roman" w:hAnsi="Times New Roman"/>
          <w:sz w:val="24"/>
          <w:szCs w:val="24"/>
        </w:rPr>
        <w:t>potentially providing</w:t>
      </w:r>
      <w:r w:rsidR="00650576">
        <w:rPr>
          <w:rFonts w:ascii="Times New Roman" w:hAnsi="Times New Roman"/>
          <w:sz w:val="24"/>
          <w:szCs w:val="24"/>
        </w:rPr>
        <w:t xml:space="preserve"> reciprocal facilities</w:t>
      </w:r>
      <w:r w:rsidR="00936F61">
        <w:rPr>
          <w:rFonts w:ascii="Times New Roman" w:hAnsi="Times New Roman"/>
          <w:sz w:val="24"/>
          <w:szCs w:val="24"/>
        </w:rPr>
        <w:t xml:space="preserve"> in the future for</w:t>
      </w:r>
      <w:r w:rsidR="00650576">
        <w:rPr>
          <w:rFonts w:ascii="Times New Roman" w:hAnsi="Times New Roman"/>
          <w:sz w:val="24"/>
          <w:szCs w:val="24"/>
        </w:rPr>
        <w:t xml:space="preserve"> </w:t>
      </w:r>
      <w:r w:rsidR="00936F61">
        <w:rPr>
          <w:rFonts w:ascii="Times New Roman" w:hAnsi="Times New Roman"/>
          <w:sz w:val="24"/>
          <w:szCs w:val="24"/>
        </w:rPr>
        <w:t>sharing information on</w:t>
      </w:r>
      <w:r w:rsidR="00650576">
        <w:rPr>
          <w:rFonts w:ascii="Times New Roman" w:hAnsi="Times New Roman"/>
          <w:sz w:val="24"/>
          <w:szCs w:val="24"/>
        </w:rPr>
        <w:t xml:space="preserve"> Australian borrowers residing in New Zealand </w:t>
      </w:r>
      <w:r w:rsidR="00E856A4">
        <w:rPr>
          <w:rFonts w:ascii="Times New Roman" w:hAnsi="Times New Roman"/>
          <w:sz w:val="24"/>
          <w:szCs w:val="24"/>
        </w:rPr>
        <w:t xml:space="preserve">(objective </w:t>
      </w:r>
      <w:r>
        <w:rPr>
          <w:rFonts w:ascii="Times New Roman" w:hAnsi="Times New Roman"/>
          <w:sz w:val="24"/>
          <w:szCs w:val="24"/>
        </w:rPr>
        <w:t>(e)</w:t>
      </w:r>
      <w:r w:rsidR="00E856A4">
        <w:rPr>
          <w:rFonts w:ascii="Times New Roman" w:hAnsi="Times New Roman"/>
          <w:sz w:val="24"/>
          <w:szCs w:val="24"/>
        </w:rPr>
        <w:t>)</w:t>
      </w:r>
      <w:r w:rsidR="008E0FDC">
        <w:rPr>
          <w:rFonts w:ascii="Times New Roman" w:hAnsi="Times New Roman"/>
          <w:sz w:val="24"/>
          <w:szCs w:val="24"/>
        </w:rPr>
        <w:t xml:space="preserve"> is likely to</w:t>
      </w:r>
      <w:r>
        <w:rPr>
          <w:rFonts w:ascii="Times New Roman" w:hAnsi="Times New Roman"/>
          <w:sz w:val="24"/>
          <w:szCs w:val="24"/>
        </w:rPr>
        <w:t xml:space="preserve"> involve more lengthy negotiations</w:t>
      </w:r>
      <w:r w:rsidR="00CB435E">
        <w:rPr>
          <w:rFonts w:ascii="Times New Roman" w:hAnsi="Times New Roman"/>
          <w:sz w:val="24"/>
          <w:szCs w:val="24"/>
        </w:rPr>
        <w:t>.</w:t>
      </w:r>
      <w:r>
        <w:rPr>
          <w:rFonts w:ascii="Times New Roman" w:hAnsi="Times New Roman"/>
          <w:sz w:val="24"/>
          <w:szCs w:val="24"/>
        </w:rPr>
        <w:t xml:space="preserve"> </w:t>
      </w:r>
      <w:r w:rsidR="00CB435E">
        <w:rPr>
          <w:rFonts w:ascii="Times New Roman" w:hAnsi="Times New Roman"/>
          <w:sz w:val="24"/>
          <w:szCs w:val="24"/>
        </w:rPr>
        <w:t>A</w:t>
      </w:r>
      <w:r>
        <w:rPr>
          <w:rFonts w:ascii="Times New Roman" w:hAnsi="Times New Roman"/>
          <w:sz w:val="24"/>
          <w:szCs w:val="24"/>
        </w:rPr>
        <w:t xml:space="preserve">ccordingly there is a trade-off between objectives (d) and (e). </w:t>
      </w:r>
    </w:p>
    <w:p w:rsidR="004C49E5" w:rsidRDefault="00574C8B"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000F1239">
        <w:rPr>
          <w:rFonts w:ascii="Times New Roman" w:hAnsi="Times New Roman"/>
          <w:sz w:val="24"/>
          <w:szCs w:val="24"/>
        </w:rPr>
        <w:tab/>
      </w:r>
      <w:r w:rsidR="000346E6">
        <w:rPr>
          <w:rFonts w:ascii="Times New Roman" w:hAnsi="Times New Roman"/>
          <w:sz w:val="24"/>
          <w:szCs w:val="24"/>
        </w:rPr>
        <w:t>For an information exchange to become</w:t>
      </w:r>
      <w:r w:rsidR="004C49E5">
        <w:rPr>
          <w:rFonts w:ascii="Times New Roman" w:hAnsi="Times New Roman"/>
          <w:sz w:val="24"/>
          <w:szCs w:val="24"/>
        </w:rPr>
        <w:t xml:space="preserve"> operational</w:t>
      </w:r>
      <w:r w:rsidR="000346E6">
        <w:rPr>
          <w:rFonts w:ascii="Times New Roman" w:hAnsi="Times New Roman"/>
          <w:sz w:val="24"/>
          <w:szCs w:val="24"/>
        </w:rPr>
        <w:t>, both Australia and New Zealand will require passing amendments to current legislation to allow for the sharing of information. This means that the earliest any information exchange will be operational is the middle of 2016.</w:t>
      </w:r>
    </w:p>
    <w:p w:rsidR="00402D71" w:rsidRDefault="00402D71"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000F1239">
        <w:rPr>
          <w:rFonts w:ascii="Times New Roman" w:hAnsi="Times New Roman"/>
          <w:sz w:val="24"/>
          <w:szCs w:val="24"/>
        </w:rPr>
        <w:tab/>
      </w:r>
      <w:r w:rsidR="00650576">
        <w:rPr>
          <w:rFonts w:ascii="Times New Roman" w:hAnsi="Times New Roman"/>
          <w:sz w:val="24"/>
          <w:szCs w:val="24"/>
        </w:rPr>
        <w:t>Following</w:t>
      </w:r>
      <w:r>
        <w:rPr>
          <w:rFonts w:ascii="Times New Roman" w:hAnsi="Times New Roman"/>
          <w:sz w:val="24"/>
          <w:szCs w:val="24"/>
        </w:rPr>
        <w:t xml:space="preserve"> consultation with the Office of the Privacy Commissioner, </w:t>
      </w:r>
      <w:r w:rsidR="008E0FDC">
        <w:rPr>
          <w:rFonts w:ascii="Times New Roman" w:hAnsi="Times New Roman"/>
          <w:sz w:val="24"/>
          <w:szCs w:val="24"/>
        </w:rPr>
        <w:t>and as stated in the proposed Arrangement</w:t>
      </w:r>
      <w:r w:rsidR="009C2C16">
        <w:rPr>
          <w:rFonts w:ascii="Times New Roman" w:hAnsi="Times New Roman"/>
          <w:sz w:val="24"/>
          <w:szCs w:val="24"/>
        </w:rPr>
        <w:t>,</w:t>
      </w:r>
      <w:r w:rsidR="008E0FDC">
        <w:rPr>
          <w:rFonts w:ascii="Times New Roman" w:hAnsi="Times New Roman"/>
          <w:sz w:val="24"/>
          <w:szCs w:val="24"/>
        </w:rPr>
        <w:t xml:space="preserve"> </w:t>
      </w:r>
      <w:r>
        <w:rPr>
          <w:rFonts w:ascii="Times New Roman" w:hAnsi="Times New Roman"/>
          <w:sz w:val="24"/>
          <w:szCs w:val="24"/>
        </w:rPr>
        <w:t xml:space="preserve">any information sharing will be carried out in accordance with </w:t>
      </w:r>
      <w:r w:rsidR="008E0FDC">
        <w:rPr>
          <w:rFonts w:ascii="Times New Roman" w:hAnsi="Times New Roman"/>
          <w:sz w:val="24"/>
          <w:szCs w:val="24"/>
        </w:rPr>
        <w:t xml:space="preserve">applicable </w:t>
      </w:r>
      <w:r w:rsidR="00BF205B">
        <w:rPr>
          <w:rFonts w:ascii="Times New Roman" w:hAnsi="Times New Roman"/>
          <w:sz w:val="24"/>
          <w:szCs w:val="24"/>
        </w:rPr>
        <w:t>p</w:t>
      </w:r>
      <w:r>
        <w:rPr>
          <w:rFonts w:ascii="Times New Roman" w:hAnsi="Times New Roman"/>
          <w:sz w:val="24"/>
          <w:szCs w:val="24"/>
        </w:rPr>
        <w:t>rivacy</w:t>
      </w:r>
      <w:r w:rsidR="007B0DCF">
        <w:rPr>
          <w:rFonts w:ascii="Times New Roman" w:hAnsi="Times New Roman"/>
          <w:sz w:val="24"/>
          <w:szCs w:val="24"/>
        </w:rPr>
        <w:t xml:space="preserve"> </w:t>
      </w:r>
      <w:r w:rsidR="008E0FDC">
        <w:rPr>
          <w:rFonts w:ascii="Times New Roman" w:hAnsi="Times New Roman"/>
          <w:sz w:val="24"/>
          <w:szCs w:val="24"/>
        </w:rPr>
        <w:t>laws in both jurisdictions.</w:t>
      </w:r>
    </w:p>
    <w:p w:rsidR="00320A3C" w:rsidRPr="00F90B34" w:rsidRDefault="00D943DD"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REGULATORY IMPACT ANALYSIS</w:t>
      </w:r>
      <w:bookmarkEnd w:id="17"/>
      <w:bookmarkEnd w:id="18"/>
      <w:bookmarkEnd w:id="19"/>
      <w:bookmarkEnd w:id="20"/>
      <w:bookmarkEnd w:id="21"/>
      <w:r w:rsidRPr="00F90B34">
        <w:rPr>
          <w:rFonts w:ascii="Times New Roman" w:hAnsi="Times New Roman"/>
          <w:b/>
          <w:sz w:val="24"/>
          <w:szCs w:val="24"/>
        </w:rPr>
        <w:t xml:space="preserve"> </w:t>
      </w:r>
    </w:p>
    <w:bookmarkStart w:id="22" w:name="_Toc244580366"/>
    <w:bookmarkStart w:id="23" w:name="_Toc244587042"/>
    <w:bookmarkStart w:id="24" w:name="_Toc244857276"/>
    <w:bookmarkStart w:id="25" w:name="_Toc244912541"/>
    <w:bookmarkStart w:id="26" w:name="_Toc244916998"/>
    <w:p w:rsidR="001A6C11"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1A6C11" w:rsidRPr="00F90B34">
        <w:rPr>
          <w:rFonts w:ascii="Times New Roman" w:hAnsi="Times New Roman"/>
          <w:sz w:val="24"/>
          <w:szCs w:val="24"/>
        </w:rPr>
        <w:t>This RIS considers the status quo (option one) and one alternative (option two) as options to address the stated problem and achieve the desi</w:t>
      </w:r>
      <w:r w:rsidR="001C5F1B" w:rsidRPr="00F90B34">
        <w:rPr>
          <w:rFonts w:ascii="Times New Roman" w:hAnsi="Times New Roman"/>
          <w:sz w:val="24"/>
          <w:szCs w:val="24"/>
        </w:rPr>
        <w:t xml:space="preserve">red objectives. </w:t>
      </w:r>
    </w:p>
    <w:p w:rsidR="001C5F1B" w:rsidRPr="00F90B34" w:rsidRDefault="001C5F1B"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Status quo (option one)</w:t>
      </w:r>
    </w:p>
    <w:p w:rsidR="00CF703C"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1C5F1B" w:rsidRPr="00F90B34">
        <w:rPr>
          <w:rFonts w:ascii="Times New Roman" w:hAnsi="Times New Roman"/>
          <w:sz w:val="24"/>
          <w:szCs w:val="24"/>
        </w:rPr>
        <w:t xml:space="preserve">There is currently no written understanding between Australia and New Zealand </w:t>
      </w:r>
      <w:r w:rsidR="009C2C16">
        <w:rPr>
          <w:rFonts w:ascii="Times New Roman" w:hAnsi="Times New Roman"/>
          <w:sz w:val="24"/>
          <w:szCs w:val="24"/>
        </w:rPr>
        <w:t>that</w:t>
      </w:r>
      <w:r w:rsidR="009C2C16" w:rsidRPr="00F90B34">
        <w:rPr>
          <w:rFonts w:ascii="Times New Roman" w:hAnsi="Times New Roman"/>
          <w:sz w:val="24"/>
          <w:szCs w:val="24"/>
        </w:rPr>
        <w:t xml:space="preserve"> </w:t>
      </w:r>
      <w:r w:rsidR="003965EE" w:rsidRPr="00F90B34">
        <w:rPr>
          <w:rFonts w:ascii="Times New Roman" w:hAnsi="Times New Roman"/>
          <w:sz w:val="24"/>
          <w:szCs w:val="24"/>
        </w:rPr>
        <w:t>allows for</w:t>
      </w:r>
      <w:r w:rsidR="001C5F1B" w:rsidRPr="00F90B34">
        <w:rPr>
          <w:rFonts w:ascii="Times New Roman" w:hAnsi="Times New Roman"/>
          <w:sz w:val="24"/>
          <w:szCs w:val="24"/>
        </w:rPr>
        <w:t xml:space="preserve"> assistance in the collection of student loan debt.</w:t>
      </w:r>
      <w:r w:rsidR="003965EE" w:rsidRPr="00F90B34">
        <w:rPr>
          <w:rFonts w:ascii="Times New Roman" w:hAnsi="Times New Roman"/>
          <w:sz w:val="24"/>
          <w:szCs w:val="24"/>
        </w:rPr>
        <w:t xml:space="preserve"> </w:t>
      </w:r>
      <w:r w:rsidR="006D3949">
        <w:rPr>
          <w:rFonts w:ascii="Times New Roman" w:hAnsi="Times New Roman"/>
          <w:sz w:val="24"/>
          <w:szCs w:val="24"/>
        </w:rPr>
        <w:t xml:space="preserve"> </w:t>
      </w:r>
      <w:r w:rsidR="00CF703C" w:rsidRPr="00F90B34">
        <w:rPr>
          <w:rFonts w:ascii="Times New Roman" w:hAnsi="Times New Roman"/>
          <w:sz w:val="24"/>
          <w:szCs w:val="24"/>
        </w:rPr>
        <w:t xml:space="preserve">Accordingly, there is currently no ability or mechanism to share information with Australia for the purpose of obtaining contact details on student loan borrowers. </w:t>
      </w:r>
    </w:p>
    <w:p w:rsidR="003965EE"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3965EE" w:rsidRPr="00F90B34">
        <w:rPr>
          <w:rFonts w:ascii="Times New Roman" w:hAnsi="Times New Roman"/>
          <w:sz w:val="24"/>
          <w:szCs w:val="24"/>
        </w:rPr>
        <w:t xml:space="preserve">If the status quo is retained, the ability to implement an information exchange with the ATO is substantially reduced.  </w:t>
      </w:r>
    </w:p>
    <w:p w:rsidR="001C5F1B"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3965EE" w:rsidRPr="00F90B34">
        <w:rPr>
          <w:rFonts w:ascii="Times New Roman" w:hAnsi="Times New Roman"/>
          <w:sz w:val="24"/>
          <w:szCs w:val="24"/>
        </w:rPr>
        <w:t xml:space="preserve">Negotiations between Australian and New Zealand officials </w:t>
      </w:r>
      <w:r w:rsidR="00C23D1A" w:rsidRPr="00F90B34">
        <w:rPr>
          <w:rFonts w:ascii="Times New Roman" w:hAnsi="Times New Roman"/>
          <w:sz w:val="24"/>
          <w:szCs w:val="24"/>
        </w:rPr>
        <w:t xml:space="preserve">have indicated that it is preferable for there to </w:t>
      </w:r>
      <w:r w:rsidR="00842508">
        <w:rPr>
          <w:rFonts w:ascii="Times New Roman" w:hAnsi="Times New Roman"/>
          <w:sz w:val="24"/>
          <w:szCs w:val="24"/>
        </w:rPr>
        <w:t xml:space="preserve">be </w:t>
      </w:r>
      <w:r w:rsidR="00C23D1A" w:rsidRPr="00F90B34">
        <w:rPr>
          <w:rFonts w:ascii="Times New Roman" w:hAnsi="Times New Roman"/>
          <w:sz w:val="24"/>
          <w:szCs w:val="24"/>
        </w:rPr>
        <w:t>a high</w:t>
      </w:r>
      <w:r w:rsidR="009C2C16">
        <w:rPr>
          <w:rFonts w:ascii="Times New Roman" w:hAnsi="Times New Roman"/>
          <w:sz w:val="24"/>
          <w:szCs w:val="24"/>
        </w:rPr>
        <w:t>-</w:t>
      </w:r>
      <w:r w:rsidR="00C23D1A" w:rsidRPr="00F90B34">
        <w:rPr>
          <w:rFonts w:ascii="Times New Roman" w:hAnsi="Times New Roman"/>
          <w:sz w:val="24"/>
          <w:szCs w:val="24"/>
        </w:rPr>
        <w:t xml:space="preserve">level written understanding or arrangement in place to facilitate an information-sharing mechanism between tax </w:t>
      </w:r>
      <w:r w:rsidR="00E57234">
        <w:rPr>
          <w:rFonts w:ascii="Times New Roman" w:hAnsi="Times New Roman"/>
          <w:sz w:val="24"/>
          <w:szCs w:val="24"/>
        </w:rPr>
        <w:t>departments</w:t>
      </w:r>
      <w:r w:rsidR="00E57234" w:rsidRPr="00F90B34">
        <w:rPr>
          <w:rFonts w:ascii="Times New Roman" w:hAnsi="Times New Roman"/>
          <w:sz w:val="24"/>
          <w:szCs w:val="24"/>
        </w:rPr>
        <w:t xml:space="preserve"> </w:t>
      </w:r>
      <w:r w:rsidR="00C23D1A" w:rsidRPr="00F90B34">
        <w:rPr>
          <w:rFonts w:ascii="Times New Roman" w:hAnsi="Times New Roman"/>
          <w:sz w:val="24"/>
          <w:szCs w:val="24"/>
        </w:rPr>
        <w:t xml:space="preserve">in each jurisdiction. </w:t>
      </w:r>
    </w:p>
    <w:p w:rsidR="009524F6"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0907F4" w:rsidRPr="00F90B34">
        <w:rPr>
          <w:rFonts w:ascii="Times New Roman" w:hAnsi="Times New Roman"/>
          <w:sz w:val="24"/>
          <w:szCs w:val="24"/>
        </w:rPr>
        <w:t xml:space="preserve">Therefore, </w:t>
      </w:r>
      <w:r w:rsidR="009C2C16">
        <w:rPr>
          <w:rFonts w:ascii="Times New Roman" w:hAnsi="Times New Roman"/>
          <w:sz w:val="24"/>
          <w:szCs w:val="24"/>
        </w:rPr>
        <w:t>if</w:t>
      </w:r>
      <w:r w:rsidR="000907F4" w:rsidRPr="00F90B34">
        <w:rPr>
          <w:rFonts w:ascii="Times New Roman" w:hAnsi="Times New Roman"/>
          <w:sz w:val="24"/>
          <w:szCs w:val="24"/>
        </w:rPr>
        <w:t xml:space="preserve"> the proposed </w:t>
      </w:r>
      <w:r w:rsidR="007D64CD">
        <w:rPr>
          <w:rFonts w:ascii="Times New Roman" w:hAnsi="Times New Roman"/>
          <w:sz w:val="24"/>
          <w:szCs w:val="24"/>
        </w:rPr>
        <w:t>A</w:t>
      </w:r>
      <w:r w:rsidR="000907F4" w:rsidRPr="00F90B34">
        <w:rPr>
          <w:rFonts w:ascii="Times New Roman" w:hAnsi="Times New Roman"/>
          <w:sz w:val="24"/>
          <w:szCs w:val="24"/>
        </w:rPr>
        <w:t>rrangement</w:t>
      </w:r>
      <w:r w:rsidR="009C2C16">
        <w:rPr>
          <w:rFonts w:ascii="Times New Roman" w:hAnsi="Times New Roman"/>
          <w:sz w:val="24"/>
          <w:szCs w:val="24"/>
        </w:rPr>
        <w:t xml:space="preserve"> is not made</w:t>
      </w:r>
      <w:r w:rsidR="00CF703C" w:rsidRPr="00F90B34">
        <w:rPr>
          <w:rFonts w:ascii="Times New Roman" w:hAnsi="Times New Roman"/>
          <w:sz w:val="24"/>
          <w:szCs w:val="24"/>
        </w:rPr>
        <w:t>,</w:t>
      </w:r>
      <w:r w:rsidR="009524F6" w:rsidRPr="00F90B34">
        <w:rPr>
          <w:rFonts w:ascii="Times New Roman" w:hAnsi="Times New Roman"/>
          <w:sz w:val="24"/>
          <w:szCs w:val="24"/>
        </w:rPr>
        <w:t xml:space="preserve"> there is no support for an information exchange mechanism to assist in the recovery of N</w:t>
      </w:r>
      <w:r w:rsidR="00EE5D40">
        <w:rPr>
          <w:rFonts w:ascii="Times New Roman" w:hAnsi="Times New Roman"/>
          <w:sz w:val="24"/>
          <w:szCs w:val="24"/>
        </w:rPr>
        <w:t xml:space="preserve">ew </w:t>
      </w:r>
      <w:r w:rsidR="009524F6" w:rsidRPr="00F90B34">
        <w:rPr>
          <w:rFonts w:ascii="Times New Roman" w:hAnsi="Times New Roman"/>
          <w:sz w:val="24"/>
          <w:szCs w:val="24"/>
        </w:rPr>
        <w:t>Z</w:t>
      </w:r>
      <w:r w:rsidR="00EE5D40">
        <w:rPr>
          <w:rFonts w:ascii="Times New Roman" w:hAnsi="Times New Roman"/>
          <w:sz w:val="24"/>
          <w:szCs w:val="24"/>
        </w:rPr>
        <w:t>ealand</w:t>
      </w:r>
      <w:r w:rsidR="009524F6" w:rsidRPr="00F90B34">
        <w:rPr>
          <w:rFonts w:ascii="Times New Roman" w:hAnsi="Times New Roman"/>
          <w:sz w:val="24"/>
          <w:szCs w:val="24"/>
        </w:rPr>
        <w:t xml:space="preserve"> student loan debt held in Australia. </w:t>
      </w:r>
    </w:p>
    <w:p w:rsidR="000907F4" w:rsidRPr="00F90B34"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sidR="009524F6" w:rsidRPr="00F90B34">
        <w:rPr>
          <w:rFonts w:ascii="Times New Roman" w:hAnsi="Times New Roman"/>
          <w:sz w:val="24"/>
          <w:szCs w:val="24"/>
        </w:rPr>
        <w:t>If the information exchange is still pursued,</w:t>
      </w:r>
      <w:r w:rsidR="00CF703C" w:rsidRPr="00F90B34">
        <w:rPr>
          <w:rFonts w:ascii="Times New Roman" w:hAnsi="Times New Roman"/>
          <w:sz w:val="24"/>
          <w:szCs w:val="24"/>
        </w:rPr>
        <w:t xml:space="preserve"> re-negotiations with Australia officials will be required to ascertain whether it is possible to implement an information</w:t>
      </w:r>
      <w:r w:rsidR="009C2C16">
        <w:rPr>
          <w:rFonts w:ascii="Times New Roman" w:hAnsi="Times New Roman"/>
          <w:sz w:val="24"/>
          <w:szCs w:val="24"/>
        </w:rPr>
        <w:t>-</w:t>
      </w:r>
      <w:r w:rsidR="00CF703C" w:rsidRPr="00F90B34">
        <w:rPr>
          <w:rFonts w:ascii="Times New Roman" w:hAnsi="Times New Roman"/>
          <w:sz w:val="24"/>
          <w:szCs w:val="24"/>
        </w:rPr>
        <w:t>sharing mechanism either without a high</w:t>
      </w:r>
      <w:r w:rsidR="009C2C16">
        <w:rPr>
          <w:rFonts w:ascii="Times New Roman" w:hAnsi="Times New Roman"/>
          <w:sz w:val="24"/>
          <w:szCs w:val="24"/>
        </w:rPr>
        <w:t>-</w:t>
      </w:r>
      <w:r w:rsidR="00CF703C" w:rsidRPr="00F90B34">
        <w:rPr>
          <w:rFonts w:ascii="Times New Roman" w:hAnsi="Times New Roman"/>
          <w:sz w:val="24"/>
          <w:szCs w:val="24"/>
        </w:rPr>
        <w:t>level agreement or with another</w:t>
      </w:r>
      <w:r w:rsidR="009C2C16">
        <w:rPr>
          <w:rFonts w:ascii="Times New Roman" w:hAnsi="Times New Roman"/>
          <w:sz w:val="24"/>
          <w:szCs w:val="24"/>
        </w:rPr>
        <w:t xml:space="preserve"> kind of</w:t>
      </w:r>
      <w:r w:rsidR="00CF703C" w:rsidRPr="00F90B34">
        <w:rPr>
          <w:rFonts w:ascii="Times New Roman" w:hAnsi="Times New Roman"/>
          <w:sz w:val="24"/>
          <w:szCs w:val="24"/>
        </w:rPr>
        <w:t xml:space="preserve"> high</w:t>
      </w:r>
      <w:r w:rsidR="009C2C16">
        <w:rPr>
          <w:rFonts w:ascii="Times New Roman" w:hAnsi="Times New Roman"/>
          <w:sz w:val="24"/>
          <w:szCs w:val="24"/>
        </w:rPr>
        <w:t>-</w:t>
      </w:r>
      <w:r w:rsidR="00CF703C" w:rsidRPr="00F90B34">
        <w:rPr>
          <w:rFonts w:ascii="Times New Roman" w:hAnsi="Times New Roman"/>
          <w:sz w:val="24"/>
          <w:szCs w:val="24"/>
        </w:rPr>
        <w:t>level agreement (for example</w:t>
      </w:r>
      <w:r w:rsidR="009C2C16">
        <w:rPr>
          <w:rFonts w:ascii="Times New Roman" w:hAnsi="Times New Roman"/>
          <w:sz w:val="24"/>
          <w:szCs w:val="24"/>
        </w:rPr>
        <w:t>,</w:t>
      </w:r>
      <w:r w:rsidR="00CF703C" w:rsidRPr="00F90B34">
        <w:rPr>
          <w:rFonts w:ascii="Times New Roman" w:hAnsi="Times New Roman"/>
          <w:sz w:val="24"/>
          <w:szCs w:val="24"/>
        </w:rPr>
        <w:t xml:space="preserve"> a treaty). </w:t>
      </w:r>
      <w:r w:rsidR="006D3949">
        <w:rPr>
          <w:rFonts w:ascii="Times New Roman" w:hAnsi="Times New Roman"/>
          <w:sz w:val="24"/>
          <w:szCs w:val="24"/>
        </w:rPr>
        <w:t xml:space="preserve"> </w:t>
      </w:r>
      <w:r w:rsidR="00791C52" w:rsidRPr="00F90B34">
        <w:rPr>
          <w:rFonts w:ascii="Times New Roman" w:hAnsi="Times New Roman"/>
          <w:sz w:val="24"/>
          <w:szCs w:val="24"/>
        </w:rPr>
        <w:t xml:space="preserve"> </w:t>
      </w:r>
      <w:r w:rsidR="008459F8" w:rsidRPr="00F90B34">
        <w:rPr>
          <w:rFonts w:ascii="Times New Roman" w:hAnsi="Times New Roman"/>
          <w:sz w:val="24"/>
          <w:szCs w:val="24"/>
        </w:rPr>
        <w:t xml:space="preserve">This is likely to </w:t>
      </w:r>
      <w:r w:rsidR="00791C52" w:rsidRPr="00F90B34">
        <w:rPr>
          <w:rFonts w:ascii="Times New Roman" w:hAnsi="Times New Roman"/>
          <w:sz w:val="24"/>
          <w:szCs w:val="24"/>
        </w:rPr>
        <w:t>substantially</w:t>
      </w:r>
      <w:r w:rsidR="008459F8" w:rsidRPr="00F90B34">
        <w:rPr>
          <w:rFonts w:ascii="Times New Roman" w:hAnsi="Times New Roman"/>
          <w:sz w:val="24"/>
          <w:szCs w:val="24"/>
        </w:rPr>
        <w:t xml:space="preserve"> </w:t>
      </w:r>
      <w:r w:rsidR="00CF703C" w:rsidRPr="00F90B34">
        <w:rPr>
          <w:rFonts w:ascii="Times New Roman" w:hAnsi="Times New Roman"/>
          <w:sz w:val="24"/>
          <w:szCs w:val="24"/>
        </w:rPr>
        <w:t xml:space="preserve">delay </w:t>
      </w:r>
      <w:r w:rsidR="008459F8" w:rsidRPr="00F90B34">
        <w:rPr>
          <w:rFonts w:ascii="Times New Roman" w:hAnsi="Times New Roman"/>
          <w:sz w:val="24"/>
          <w:szCs w:val="24"/>
        </w:rPr>
        <w:t xml:space="preserve">the implementation of an information exchange and the likely benefits. </w:t>
      </w:r>
    </w:p>
    <w:p w:rsidR="001C5F1B" w:rsidRPr="00F90B34" w:rsidRDefault="001C5F1B" w:rsidP="00F90B34">
      <w:pPr>
        <w:spacing w:before="100" w:beforeAutospacing="1" w:after="100" w:afterAutospacing="1" w:line="240" w:lineRule="auto"/>
        <w:jc w:val="both"/>
        <w:rPr>
          <w:rFonts w:ascii="Times New Roman" w:hAnsi="Times New Roman"/>
          <w:b/>
          <w:sz w:val="24"/>
          <w:szCs w:val="24"/>
        </w:rPr>
      </w:pPr>
      <w:r w:rsidRPr="00F90B34">
        <w:rPr>
          <w:rFonts w:ascii="Times New Roman" w:hAnsi="Times New Roman"/>
          <w:b/>
          <w:sz w:val="24"/>
          <w:szCs w:val="24"/>
        </w:rPr>
        <w:t xml:space="preserve">Enter into </w:t>
      </w:r>
      <w:r w:rsidR="00842508">
        <w:rPr>
          <w:rFonts w:ascii="Times New Roman" w:hAnsi="Times New Roman"/>
          <w:b/>
          <w:sz w:val="24"/>
          <w:szCs w:val="24"/>
        </w:rPr>
        <w:t xml:space="preserve">an </w:t>
      </w:r>
      <w:r w:rsidRPr="00F90B34">
        <w:rPr>
          <w:rFonts w:ascii="Times New Roman" w:hAnsi="Times New Roman"/>
          <w:b/>
          <w:sz w:val="24"/>
          <w:szCs w:val="24"/>
        </w:rPr>
        <w:t>Arrangement (option two)</w:t>
      </w:r>
    </w:p>
    <w:p w:rsidR="000A5E41" w:rsidRPr="00F90B34" w:rsidRDefault="00F90B34" w:rsidP="00F90B34">
      <w:pPr>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0A5E41" w:rsidRPr="00F90B34">
        <w:rPr>
          <w:rFonts w:ascii="Times New Roman" w:hAnsi="Times New Roman"/>
          <w:sz w:val="24"/>
          <w:szCs w:val="24"/>
          <w:lang w:val="en-NZ"/>
        </w:rPr>
        <w:t xml:space="preserve">Option two is for the Commissioner of Inland Revenue to enter into an </w:t>
      </w:r>
      <w:r w:rsidR="009C2C16">
        <w:rPr>
          <w:rFonts w:ascii="Times New Roman" w:hAnsi="Times New Roman"/>
          <w:sz w:val="24"/>
          <w:szCs w:val="24"/>
          <w:lang w:val="en-NZ"/>
        </w:rPr>
        <w:t>A</w:t>
      </w:r>
      <w:r w:rsidR="000A5E41" w:rsidRPr="00F90B34">
        <w:rPr>
          <w:rFonts w:ascii="Times New Roman" w:hAnsi="Times New Roman"/>
          <w:sz w:val="24"/>
          <w:szCs w:val="24"/>
          <w:lang w:val="en-NZ"/>
        </w:rPr>
        <w:t>rrangement with the Commis</w:t>
      </w:r>
      <w:r w:rsidRPr="00F90B34">
        <w:rPr>
          <w:rFonts w:ascii="Times New Roman" w:hAnsi="Times New Roman"/>
          <w:sz w:val="24"/>
          <w:szCs w:val="24"/>
          <w:lang w:val="en-NZ"/>
        </w:rPr>
        <w:t>sioner of Taxation (Australia)</w:t>
      </w:r>
      <w:r w:rsidR="00BB13CA">
        <w:rPr>
          <w:rFonts w:ascii="Times New Roman" w:hAnsi="Times New Roman"/>
          <w:sz w:val="24"/>
          <w:szCs w:val="24"/>
          <w:lang w:val="en-NZ"/>
        </w:rPr>
        <w:t xml:space="preserve"> for the exchange of information on N</w:t>
      </w:r>
      <w:r w:rsidR="00EE5D40">
        <w:rPr>
          <w:rFonts w:ascii="Times New Roman" w:hAnsi="Times New Roman"/>
          <w:sz w:val="24"/>
          <w:szCs w:val="24"/>
          <w:lang w:val="en-NZ"/>
        </w:rPr>
        <w:t xml:space="preserve">ew </w:t>
      </w:r>
      <w:r w:rsidR="00BB13CA">
        <w:rPr>
          <w:rFonts w:ascii="Times New Roman" w:hAnsi="Times New Roman"/>
          <w:sz w:val="24"/>
          <w:szCs w:val="24"/>
          <w:lang w:val="en-NZ"/>
        </w:rPr>
        <w:t>Z</w:t>
      </w:r>
      <w:r w:rsidR="00EE5D40">
        <w:rPr>
          <w:rFonts w:ascii="Times New Roman" w:hAnsi="Times New Roman"/>
          <w:sz w:val="24"/>
          <w:szCs w:val="24"/>
          <w:lang w:val="en-NZ"/>
        </w:rPr>
        <w:t>ealand</w:t>
      </w:r>
      <w:r w:rsidR="00BB13CA">
        <w:rPr>
          <w:rFonts w:ascii="Times New Roman" w:hAnsi="Times New Roman"/>
          <w:sz w:val="24"/>
          <w:szCs w:val="24"/>
          <w:lang w:val="en-NZ"/>
        </w:rPr>
        <w:t xml:space="preserve"> student loan borrowers residing in Australia</w:t>
      </w:r>
      <w:r w:rsidRPr="00F90B34">
        <w:rPr>
          <w:rFonts w:ascii="Times New Roman" w:hAnsi="Times New Roman"/>
          <w:sz w:val="24"/>
          <w:szCs w:val="24"/>
          <w:lang w:val="en-NZ"/>
        </w:rPr>
        <w:t>.</w:t>
      </w:r>
      <w:r w:rsidR="006D3949">
        <w:rPr>
          <w:rFonts w:ascii="Times New Roman" w:hAnsi="Times New Roman"/>
          <w:sz w:val="24"/>
          <w:szCs w:val="24"/>
          <w:lang w:val="en-NZ"/>
        </w:rPr>
        <w:t xml:space="preserve"> </w:t>
      </w:r>
      <w:r w:rsidR="00BB13CA">
        <w:rPr>
          <w:rFonts w:ascii="Times New Roman" w:hAnsi="Times New Roman"/>
          <w:sz w:val="24"/>
          <w:szCs w:val="24"/>
          <w:lang w:val="en-NZ"/>
        </w:rPr>
        <w:t xml:space="preserve"> Th</w:t>
      </w:r>
      <w:r w:rsidR="009C2C16">
        <w:rPr>
          <w:rFonts w:ascii="Times New Roman" w:hAnsi="Times New Roman"/>
          <w:sz w:val="24"/>
          <w:szCs w:val="24"/>
          <w:lang w:val="en-NZ"/>
        </w:rPr>
        <w:t>e</w:t>
      </w:r>
      <w:r w:rsidR="00BB13CA">
        <w:rPr>
          <w:rFonts w:ascii="Times New Roman" w:hAnsi="Times New Roman"/>
          <w:sz w:val="24"/>
          <w:szCs w:val="24"/>
          <w:lang w:val="en-NZ"/>
        </w:rPr>
        <w:t xml:space="preserve"> </w:t>
      </w:r>
      <w:r w:rsidR="0073576F">
        <w:rPr>
          <w:rFonts w:ascii="Times New Roman" w:hAnsi="Times New Roman"/>
          <w:sz w:val="24"/>
          <w:szCs w:val="24"/>
          <w:lang w:val="en-NZ"/>
        </w:rPr>
        <w:t xml:space="preserve">information exchange proposed under this </w:t>
      </w:r>
      <w:r w:rsidR="00BB13CA">
        <w:rPr>
          <w:rFonts w:ascii="Times New Roman" w:hAnsi="Times New Roman"/>
          <w:sz w:val="24"/>
          <w:szCs w:val="24"/>
          <w:lang w:val="en-NZ"/>
        </w:rPr>
        <w:t xml:space="preserve">Arrangement will </w:t>
      </w:r>
      <w:r w:rsidR="009C2C16">
        <w:rPr>
          <w:rFonts w:ascii="Times New Roman" w:hAnsi="Times New Roman"/>
          <w:sz w:val="24"/>
          <w:szCs w:val="24"/>
          <w:lang w:val="en-NZ"/>
        </w:rPr>
        <w:t>require</w:t>
      </w:r>
      <w:r w:rsidR="00BB13CA">
        <w:rPr>
          <w:rFonts w:ascii="Times New Roman" w:hAnsi="Times New Roman"/>
          <w:sz w:val="24"/>
          <w:szCs w:val="24"/>
          <w:lang w:val="en-NZ"/>
        </w:rPr>
        <w:t xml:space="preserve"> changes to both Australian and New Zealand legislation. </w:t>
      </w:r>
      <w:r w:rsidR="00F35D70">
        <w:rPr>
          <w:rFonts w:ascii="Times New Roman" w:hAnsi="Times New Roman"/>
          <w:sz w:val="24"/>
          <w:szCs w:val="24"/>
          <w:lang w:val="en-NZ"/>
        </w:rPr>
        <w:t xml:space="preserve">In particular, </w:t>
      </w:r>
      <w:r w:rsidR="009C2C16">
        <w:rPr>
          <w:rFonts w:ascii="Times New Roman" w:hAnsi="Times New Roman"/>
          <w:sz w:val="24"/>
          <w:szCs w:val="24"/>
          <w:lang w:val="en-NZ"/>
        </w:rPr>
        <w:t>it</w:t>
      </w:r>
      <w:r w:rsidR="00F35D70">
        <w:rPr>
          <w:rFonts w:ascii="Times New Roman" w:hAnsi="Times New Roman"/>
          <w:sz w:val="24"/>
          <w:szCs w:val="24"/>
          <w:lang w:val="en-NZ"/>
        </w:rPr>
        <w:t xml:space="preserve"> will require amendment to the tax secrecy provisions in the Tax Administration Act 1994</w:t>
      </w:r>
      <w:r w:rsidR="0097679E">
        <w:rPr>
          <w:rFonts w:ascii="Times New Roman" w:hAnsi="Times New Roman"/>
          <w:sz w:val="24"/>
          <w:szCs w:val="24"/>
          <w:lang w:val="en-NZ"/>
        </w:rPr>
        <w:t xml:space="preserve"> and further changes to either the Tax Administration Act or the Student Loan Scheme Act 2011</w:t>
      </w:r>
      <w:r w:rsidR="00F35D70">
        <w:rPr>
          <w:rFonts w:ascii="Times New Roman" w:hAnsi="Times New Roman"/>
          <w:sz w:val="24"/>
          <w:szCs w:val="24"/>
          <w:lang w:val="en-NZ"/>
        </w:rPr>
        <w:t>.</w:t>
      </w:r>
      <w:r w:rsidR="00BB13CA">
        <w:rPr>
          <w:rFonts w:ascii="Times New Roman" w:hAnsi="Times New Roman"/>
          <w:sz w:val="24"/>
          <w:szCs w:val="24"/>
          <w:lang w:val="en-NZ"/>
        </w:rPr>
        <w:t xml:space="preserve"> </w:t>
      </w:r>
    </w:p>
    <w:p w:rsidR="00681882" w:rsidRPr="00F90B34" w:rsidRDefault="00F90B34" w:rsidP="00F90B34">
      <w:pPr>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0A5E41" w:rsidRPr="00F90B34">
        <w:rPr>
          <w:rFonts w:ascii="Times New Roman" w:hAnsi="Times New Roman"/>
          <w:sz w:val="24"/>
          <w:szCs w:val="24"/>
          <w:lang w:val="en-NZ"/>
        </w:rPr>
        <w:t xml:space="preserve">This </w:t>
      </w:r>
      <w:r w:rsidR="009C2C16">
        <w:rPr>
          <w:rFonts w:ascii="Times New Roman" w:hAnsi="Times New Roman"/>
          <w:sz w:val="24"/>
          <w:szCs w:val="24"/>
          <w:lang w:val="en-NZ"/>
        </w:rPr>
        <w:t>proposed A</w:t>
      </w:r>
      <w:r w:rsidR="000A5E41" w:rsidRPr="00F90B34">
        <w:rPr>
          <w:rFonts w:ascii="Times New Roman" w:hAnsi="Times New Roman"/>
          <w:sz w:val="24"/>
          <w:szCs w:val="24"/>
          <w:lang w:val="en-NZ"/>
        </w:rPr>
        <w:t>rrangement is a high</w:t>
      </w:r>
      <w:r w:rsidR="009C2C16">
        <w:rPr>
          <w:rFonts w:ascii="Times New Roman" w:hAnsi="Times New Roman"/>
          <w:sz w:val="24"/>
          <w:szCs w:val="24"/>
          <w:lang w:val="en-NZ"/>
        </w:rPr>
        <w:t>-</w:t>
      </w:r>
      <w:r w:rsidR="000A5E41" w:rsidRPr="00F90B34">
        <w:rPr>
          <w:rFonts w:ascii="Times New Roman" w:hAnsi="Times New Roman"/>
          <w:sz w:val="24"/>
          <w:szCs w:val="24"/>
          <w:lang w:val="en-NZ"/>
        </w:rPr>
        <w:t xml:space="preserve">level document </w:t>
      </w:r>
      <w:r w:rsidR="009C2C16">
        <w:rPr>
          <w:rFonts w:ascii="Times New Roman" w:hAnsi="Times New Roman"/>
          <w:sz w:val="24"/>
          <w:szCs w:val="24"/>
          <w:lang w:val="en-NZ"/>
        </w:rPr>
        <w:t>that</w:t>
      </w:r>
      <w:r w:rsidR="009C2C16" w:rsidRPr="00F90B34">
        <w:rPr>
          <w:rFonts w:ascii="Times New Roman" w:hAnsi="Times New Roman"/>
          <w:sz w:val="24"/>
          <w:szCs w:val="24"/>
          <w:lang w:val="en-NZ"/>
        </w:rPr>
        <w:t xml:space="preserve"> </w:t>
      </w:r>
      <w:r w:rsidR="000A5E41" w:rsidRPr="00F90B34">
        <w:rPr>
          <w:rFonts w:ascii="Times New Roman" w:hAnsi="Times New Roman"/>
          <w:sz w:val="24"/>
          <w:szCs w:val="24"/>
          <w:lang w:val="en-NZ"/>
        </w:rPr>
        <w:t xml:space="preserve">embodies a moral and political commitment. </w:t>
      </w:r>
      <w:r w:rsidR="006D3949">
        <w:rPr>
          <w:rFonts w:ascii="Times New Roman" w:hAnsi="Times New Roman"/>
          <w:sz w:val="24"/>
          <w:szCs w:val="24"/>
          <w:lang w:val="en-NZ"/>
        </w:rPr>
        <w:t xml:space="preserve"> </w:t>
      </w:r>
      <w:r w:rsidR="000A5E41" w:rsidRPr="00F90B34">
        <w:rPr>
          <w:rFonts w:ascii="Times New Roman" w:hAnsi="Times New Roman"/>
          <w:sz w:val="24"/>
          <w:szCs w:val="24"/>
          <w:lang w:val="en-NZ"/>
        </w:rPr>
        <w:t xml:space="preserve">It allows for the exchange of information between the ATO and Inland Revenue. </w:t>
      </w:r>
      <w:r w:rsidR="006D3949">
        <w:rPr>
          <w:rFonts w:ascii="Times New Roman" w:hAnsi="Times New Roman"/>
          <w:sz w:val="24"/>
          <w:szCs w:val="24"/>
          <w:lang w:val="en-NZ"/>
        </w:rPr>
        <w:t xml:space="preserve"> </w:t>
      </w:r>
      <w:r w:rsidR="000A5E41" w:rsidRPr="00F90B34">
        <w:rPr>
          <w:rFonts w:ascii="Times New Roman" w:hAnsi="Times New Roman"/>
          <w:sz w:val="24"/>
          <w:szCs w:val="24"/>
          <w:lang w:val="en-NZ"/>
        </w:rPr>
        <w:t xml:space="preserve">This information exchange would allow Inland to receive up-to-date contact details </w:t>
      </w:r>
      <w:r w:rsidR="009C2C16">
        <w:rPr>
          <w:rFonts w:ascii="Times New Roman" w:hAnsi="Times New Roman"/>
          <w:sz w:val="24"/>
          <w:szCs w:val="24"/>
          <w:lang w:val="en-NZ"/>
        </w:rPr>
        <w:t>for</w:t>
      </w:r>
      <w:r w:rsidR="000A5E41" w:rsidRPr="00F90B34">
        <w:rPr>
          <w:rFonts w:ascii="Times New Roman" w:hAnsi="Times New Roman"/>
          <w:sz w:val="24"/>
          <w:szCs w:val="24"/>
          <w:lang w:val="en-NZ"/>
        </w:rPr>
        <w:t xml:space="preserve"> New Zealand student loan borrowers residing in Australia through matching borrower details against the ATO database</w:t>
      </w:r>
      <w:r w:rsidR="00842508">
        <w:rPr>
          <w:rFonts w:ascii="Times New Roman" w:hAnsi="Times New Roman"/>
          <w:sz w:val="24"/>
          <w:szCs w:val="24"/>
          <w:lang w:val="en-NZ"/>
        </w:rPr>
        <w:t xml:space="preserve"> of Australian taxpayers</w:t>
      </w:r>
      <w:r w:rsidR="000A5E41" w:rsidRPr="00F90B34">
        <w:rPr>
          <w:rFonts w:ascii="Times New Roman" w:hAnsi="Times New Roman"/>
          <w:sz w:val="24"/>
          <w:szCs w:val="24"/>
          <w:lang w:val="en-NZ"/>
        </w:rPr>
        <w:t xml:space="preserve">. </w:t>
      </w:r>
      <w:r w:rsidR="008F64F6">
        <w:rPr>
          <w:rFonts w:ascii="Times New Roman" w:hAnsi="Times New Roman"/>
          <w:sz w:val="24"/>
          <w:szCs w:val="24"/>
          <w:lang w:val="en-NZ"/>
        </w:rPr>
        <w:t xml:space="preserve"> </w:t>
      </w:r>
      <w:r w:rsidR="000A5E41" w:rsidRPr="00F90B34">
        <w:rPr>
          <w:rFonts w:ascii="Times New Roman" w:hAnsi="Times New Roman"/>
          <w:sz w:val="24"/>
          <w:szCs w:val="24"/>
          <w:lang w:val="en-NZ"/>
        </w:rPr>
        <w:t>Inland Revenue</w:t>
      </w:r>
      <w:r w:rsidR="009C2C16">
        <w:rPr>
          <w:rFonts w:ascii="Times New Roman" w:hAnsi="Times New Roman"/>
          <w:sz w:val="24"/>
          <w:szCs w:val="24"/>
          <w:lang w:val="en-NZ"/>
        </w:rPr>
        <w:t xml:space="preserve"> would then be able</w:t>
      </w:r>
      <w:r w:rsidR="000A5E41" w:rsidRPr="00F90B34">
        <w:rPr>
          <w:rFonts w:ascii="Times New Roman" w:hAnsi="Times New Roman"/>
          <w:sz w:val="24"/>
          <w:szCs w:val="24"/>
          <w:lang w:val="en-NZ"/>
        </w:rPr>
        <w:t xml:space="preserve"> contact those individuals </w:t>
      </w:r>
      <w:r w:rsidR="009C2C16">
        <w:rPr>
          <w:rFonts w:ascii="Times New Roman" w:hAnsi="Times New Roman"/>
          <w:sz w:val="24"/>
          <w:szCs w:val="24"/>
          <w:lang w:val="en-NZ"/>
        </w:rPr>
        <w:t>to</w:t>
      </w:r>
      <w:r w:rsidR="000A5E41" w:rsidRPr="00F90B34">
        <w:rPr>
          <w:rFonts w:ascii="Times New Roman" w:hAnsi="Times New Roman"/>
          <w:sz w:val="24"/>
          <w:szCs w:val="24"/>
          <w:lang w:val="en-NZ"/>
        </w:rPr>
        <w:t xml:space="preserve"> keep them engaged with their loan obligations and, where appropriate, recover outstanding student loan amounts.</w:t>
      </w:r>
    </w:p>
    <w:p w:rsidR="008459F8"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8459F8" w:rsidRPr="00F90B34">
        <w:rPr>
          <w:rFonts w:ascii="Times New Roman" w:hAnsi="Times New Roman"/>
          <w:sz w:val="24"/>
          <w:szCs w:val="24"/>
          <w:lang w:val="en-NZ"/>
        </w:rPr>
        <w:t xml:space="preserve">To </w:t>
      </w:r>
      <w:r w:rsidR="009C2C16">
        <w:rPr>
          <w:rFonts w:ascii="Times New Roman" w:hAnsi="Times New Roman"/>
          <w:sz w:val="24"/>
          <w:szCs w:val="24"/>
          <w:lang w:val="en-NZ"/>
        </w:rPr>
        <w:t>indicate</w:t>
      </w:r>
      <w:r w:rsidR="009C2C16" w:rsidRPr="00F90B34">
        <w:rPr>
          <w:rFonts w:ascii="Times New Roman" w:hAnsi="Times New Roman"/>
          <w:sz w:val="24"/>
          <w:szCs w:val="24"/>
          <w:lang w:val="en-NZ"/>
        </w:rPr>
        <w:t xml:space="preserve"> </w:t>
      </w:r>
      <w:r w:rsidR="008459F8" w:rsidRPr="00F90B34">
        <w:rPr>
          <w:rFonts w:ascii="Times New Roman" w:hAnsi="Times New Roman"/>
          <w:sz w:val="24"/>
          <w:szCs w:val="24"/>
          <w:lang w:val="en-NZ"/>
        </w:rPr>
        <w:t>the potential benefits of the proposed Arrangement, a test information-match occurred in November 2014 between the ATO and Inland Revenue</w:t>
      </w:r>
      <w:r w:rsidR="009C2C16">
        <w:rPr>
          <w:rFonts w:ascii="Times New Roman" w:hAnsi="Times New Roman"/>
          <w:sz w:val="24"/>
          <w:szCs w:val="24"/>
          <w:lang w:val="en-NZ"/>
        </w:rPr>
        <w:t>,</w:t>
      </w:r>
      <w:r w:rsidR="008459F8" w:rsidRPr="00F90B34">
        <w:rPr>
          <w:rFonts w:ascii="Times New Roman" w:hAnsi="Times New Roman"/>
          <w:sz w:val="24"/>
          <w:szCs w:val="24"/>
          <w:lang w:val="en-NZ"/>
        </w:rPr>
        <w:t xml:space="preserve"> using a sample of New Zealand student loan borrower data.</w:t>
      </w:r>
    </w:p>
    <w:p w:rsidR="008459F8" w:rsidRPr="00F90B34" w:rsidRDefault="00F90B34" w:rsidP="00BB698D">
      <w:pPr>
        <w:spacing w:before="100" w:beforeAutospacing="1" w:after="0"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8459F8" w:rsidRPr="00F90B34">
        <w:rPr>
          <w:rFonts w:ascii="Times New Roman" w:hAnsi="Times New Roman"/>
          <w:sz w:val="24"/>
          <w:szCs w:val="24"/>
          <w:lang w:val="en-NZ"/>
        </w:rPr>
        <w:t>The high</w:t>
      </w:r>
      <w:r w:rsidR="009C2C16">
        <w:rPr>
          <w:rFonts w:ascii="Times New Roman" w:hAnsi="Times New Roman"/>
          <w:sz w:val="24"/>
          <w:szCs w:val="24"/>
          <w:lang w:val="en-NZ"/>
        </w:rPr>
        <w:t>-</w:t>
      </w:r>
      <w:r w:rsidR="008459F8" w:rsidRPr="00F90B34">
        <w:rPr>
          <w:rFonts w:ascii="Times New Roman" w:hAnsi="Times New Roman"/>
          <w:sz w:val="24"/>
          <w:szCs w:val="24"/>
          <w:lang w:val="en-NZ"/>
        </w:rPr>
        <w:t>level data match process involved the following:</w:t>
      </w:r>
    </w:p>
    <w:p w:rsidR="008459F8" w:rsidRDefault="008459F8" w:rsidP="00C55EC1">
      <w:pPr>
        <w:pStyle w:val="ListParagraph"/>
        <w:numPr>
          <w:ilvl w:val="0"/>
          <w:numId w:val="9"/>
        </w:numPr>
        <w:spacing w:before="120" w:after="100" w:afterAutospacing="1"/>
        <w:ind w:left="924" w:hanging="357"/>
        <w:contextualSpacing w:val="0"/>
        <w:rPr>
          <w:rFonts w:ascii="Times New Roman" w:hAnsi="Times New Roman"/>
          <w:sz w:val="24"/>
          <w:szCs w:val="24"/>
        </w:rPr>
      </w:pPr>
      <w:r w:rsidRPr="00F90B34">
        <w:rPr>
          <w:rFonts w:ascii="Times New Roman" w:hAnsi="Times New Roman"/>
          <w:sz w:val="24"/>
          <w:szCs w:val="24"/>
        </w:rPr>
        <w:t>Inland Revenue selected 1,000 active student loan cases</w:t>
      </w:r>
      <w:r w:rsidR="009C2C16">
        <w:rPr>
          <w:rFonts w:ascii="Times New Roman" w:hAnsi="Times New Roman"/>
          <w:sz w:val="24"/>
          <w:szCs w:val="24"/>
        </w:rPr>
        <w:t>.</w:t>
      </w:r>
    </w:p>
    <w:p w:rsidR="008459F8" w:rsidRPr="00F90B34" w:rsidRDefault="002805FF" w:rsidP="00C55EC1">
      <w:pPr>
        <w:pStyle w:val="ListParagraph"/>
        <w:numPr>
          <w:ilvl w:val="0"/>
          <w:numId w:val="9"/>
        </w:numPr>
        <w:spacing w:before="40" w:after="100" w:afterAutospacing="1"/>
        <w:ind w:left="924" w:hanging="357"/>
        <w:contextualSpacing w:val="0"/>
        <w:rPr>
          <w:rFonts w:ascii="Times New Roman" w:hAnsi="Times New Roman"/>
          <w:sz w:val="24"/>
          <w:szCs w:val="24"/>
        </w:rPr>
      </w:pPr>
      <w:r>
        <w:rPr>
          <w:rFonts w:ascii="Times New Roman" w:hAnsi="Times New Roman"/>
          <w:sz w:val="24"/>
          <w:szCs w:val="24"/>
        </w:rPr>
        <w:t>The</w:t>
      </w:r>
      <w:r w:rsidR="008459F8" w:rsidRPr="00F90B34">
        <w:rPr>
          <w:rFonts w:ascii="Times New Roman" w:hAnsi="Times New Roman"/>
          <w:sz w:val="24"/>
          <w:szCs w:val="24"/>
        </w:rPr>
        <w:t xml:space="preserve"> cases were sent securely in two batches to the ATO</w:t>
      </w:r>
      <w:r w:rsidR="009C2C16">
        <w:rPr>
          <w:rFonts w:ascii="Times New Roman" w:hAnsi="Times New Roman"/>
          <w:sz w:val="24"/>
          <w:szCs w:val="24"/>
        </w:rPr>
        <w:t>.</w:t>
      </w:r>
    </w:p>
    <w:p w:rsidR="008459F8" w:rsidRPr="00F90B34" w:rsidRDefault="008459F8" w:rsidP="00C55EC1">
      <w:pPr>
        <w:pStyle w:val="ListParagraph"/>
        <w:numPr>
          <w:ilvl w:val="0"/>
          <w:numId w:val="9"/>
        </w:numPr>
        <w:spacing w:before="40" w:after="100" w:afterAutospacing="1"/>
        <w:ind w:left="924" w:hanging="357"/>
        <w:contextualSpacing w:val="0"/>
        <w:rPr>
          <w:rFonts w:ascii="Times New Roman" w:hAnsi="Times New Roman"/>
          <w:sz w:val="24"/>
          <w:szCs w:val="24"/>
        </w:rPr>
      </w:pPr>
      <w:r w:rsidRPr="00F90B34">
        <w:rPr>
          <w:rFonts w:ascii="Times New Roman" w:hAnsi="Times New Roman"/>
          <w:sz w:val="24"/>
          <w:szCs w:val="24"/>
        </w:rPr>
        <w:t>The ATO performed an information-match</w:t>
      </w:r>
      <w:r w:rsidR="009C2C16">
        <w:rPr>
          <w:rFonts w:ascii="Times New Roman" w:hAnsi="Times New Roman"/>
          <w:sz w:val="24"/>
          <w:szCs w:val="24"/>
        </w:rPr>
        <w:t>.</w:t>
      </w:r>
    </w:p>
    <w:p w:rsidR="008459F8" w:rsidRPr="00F90B34" w:rsidRDefault="008459F8" w:rsidP="00C55EC1">
      <w:pPr>
        <w:pStyle w:val="ListParagraph"/>
        <w:numPr>
          <w:ilvl w:val="0"/>
          <w:numId w:val="9"/>
        </w:numPr>
        <w:spacing w:before="40" w:after="100" w:afterAutospacing="1"/>
        <w:ind w:left="924" w:hanging="357"/>
        <w:contextualSpacing w:val="0"/>
        <w:rPr>
          <w:rFonts w:ascii="Times New Roman" w:hAnsi="Times New Roman"/>
          <w:sz w:val="24"/>
          <w:szCs w:val="24"/>
        </w:rPr>
      </w:pPr>
      <w:r w:rsidRPr="00F90B34">
        <w:rPr>
          <w:rFonts w:ascii="Times New Roman" w:hAnsi="Times New Roman"/>
          <w:sz w:val="24"/>
          <w:szCs w:val="24"/>
        </w:rPr>
        <w:t>A high-level report was provided to Inland Revenue</w:t>
      </w:r>
      <w:r w:rsidR="00746B95">
        <w:rPr>
          <w:rFonts w:ascii="Times New Roman" w:hAnsi="Times New Roman"/>
          <w:sz w:val="24"/>
          <w:szCs w:val="24"/>
        </w:rPr>
        <w:t>.</w:t>
      </w:r>
    </w:p>
    <w:p w:rsidR="008459F8"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8459F8" w:rsidRPr="00F90B34">
        <w:rPr>
          <w:rFonts w:ascii="Times New Roman" w:hAnsi="Times New Roman"/>
          <w:sz w:val="24"/>
          <w:szCs w:val="24"/>
          <w:lang w:val="en-NZ"/>
        </w:rPr>
        <w:t>The results of the test match were as follows</w:t>
      </w:r>
      <w:r w:rsidR="00E856A4">
        <w:rPr>
          <w:rFonts w:ascii="Times New Roman" w:hAnsi="Times New Roman"/>
          <w:sz w:val="24"/>
          <w:szCs w:val="24"/>
          <w:lang w:val="en-NZ"/>
        </w:rPr>
        <w:t>:</w:t>
      </w:r>
    </w:p>
    <w:tbl>
      <w:tblPr>
        <w:tblW w:w="9287" w:type="dxa"/>
        <w:tblCellMar>
          <w:top w:w="85" w:type="dxa"/>
          <w:left w:w="57" w:type="dxa"/>
          <w:bottom w:w="85" w:type="dxa"/>
          <w:right w:w="57" w:type="dxa"/>
        </w:tblCellMar>
        <w:tblLook w:val="04A0" w:firstRow="1" w:lastRow="0" w:firstColumn="1" w:lastColumn="0" w:noHBand="0" w:noVBand="1"/>
      </w:tblPr>
      <w:tblGrid>
        <w:gridCol w:w="2093"/>
        <w:gridCol w:w="1199"/>
        <w:gridCol w:w="1199"/>
        <w:gridCol w:w="1199"/>
        <w:gridCol w:w="1199"/>
        <w:gridCol w:w="1199"/>
        <w:gridCol w:w="1199"/>
      </w:tblGrid>
      <w:tr w:rsidR="008459F8" w:rsidRPr="00F90B34" w:rsidTr="002805FF">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116549">
            <w:pPr>
              <w:spacing w:before="100" w:beforeAutospacing="1" w:after="100" w:afterAutospacing="1" w:line="240" w:lineRule="auto"/>
              <w:rPr>
                <w:rFonts w:ascii="Times New Roman" w:eastAsia="Calibri" w:hAnsi="Times New Roman"/>
                <w:b/>
                <w:bCs/>
                <w:szCs w:val="24"/>
              </w:rPr>
            </w:pPr>
            <w:r w:rsidRPr="00F90B34">
              <w:rPr>
                <w:rFonts w:ascii="Times New Roman" w:hAnsi="Times New Roman"/>
                <w:b/>
                <w:bCs/>
                <w:szCs w:val="24"/>
              </w:rPr>
              <w:t>Confidence</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116549">
            <w:pPr>
              <w:spacing w:before="100" w:beforeAutospacing="1" w:after="100" w:afterAutospacing="1" w:line="240" w:lineRule="auto"/>
              <w:jc w:val="center"/>
              <w:rPr>
                <w:rFonts w:ascii="Times New Roman" w:eastAsia="Calibri" w:hAnsi="Times New Roman"/>
                <w:b/>
                <w:bCs/>
                <w:szCs w:val="24"/>
              </w:rPr>
            </w:pPr>
            <w:r w:rsidRPr="00F90B34">
              <w:rPr>
                <w:rFonts w:ascii="Times New Roman" w:hAnsi="Times New Roman"/>
                <w:b/>
                <w:bCs/>
                <w:szCs w:val="24"/>
              </w:rPr>
              <w:t>Group 1</w:t>
            </w:r>
            <w:r w:rsidR="004B2492">
              <w:rPr>
                <w:rFonts w:ascii="Times New Roman" w:hAnsi="Times New Roman"/>
                <w:b/>
                <w:bCs/>
                <w:szCs w:val="24"/>
              </w:rPr>
              <w:t xml:space="preserve"> (up-to-date contact details)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116549">
            <w:pPr>
              <w:spacing w:before="100" w:beforeAutospacing="1" w:after="100" w:afterAutospacing="1" w:line="240" w:lineRule="auto"/>
              <w:jc w:val="center"/>
              <w:rPr>
                <w:rFonts w:ascii="Times New Roman" w:eastAsia="Calibri" w:hAnsi="Times New Roman"/>
                <w:b/>
                <w:bCs/>
                <w:szCs w:val="24"/>
              </w:rPr>
            </w:pPr>
            <w:r w:rsidRPr="00F90B34">
              <w:rPr>
                <w:rFonts w:ascii="Times New Roman" w:hAnsi="Times New Roman"/>
                <w:b/>
                <w:bCs/>
                <w:szCs w:val="24"/>
              </w:rPr>
              <w:t>Group 2</w:t>
            </w:r>
            <w:r w:rsidR="004B2492">
              <w:rPr>
                <w:rFonts w:ascii="Times New Roman" w:hAnsi="Times New Roman"/>
                <w:b/>
                <w:bCs/>
                <w:szCs w:val="24"/>
              </w:rPr>
              <w:t xml:space="preserve"> (contact details not up-to-date)</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116549">
            <w:pPr>
              <w:spacing w:before="100" w:beforeAutospacing="1" w:after="100" w:afterAutospacing="1" w:line="240" w:lineRule="auto"/>
              <w:jc w:val="center"/>
              <w:rPr>
                <w:rFonts w:ascii="Times New Roman" w:eastAsia="Calibri" w:hAnsi="Times New Roman"/>
                <w:b/>
                <w:bCs/>
                <w:szCs w:val="24"/>
              </w:rPr>
            </w:pPr>
            <w:r w:rsidRPr="00F90B34">
              <w:rPr>
                <w:rFonts w:ascii="Times New Roman" w:hAnsi="Times New Roman"/>
                <w:b/>
                <w:bCs/>
                <w:szCs w:val="24"/>
              </w:rPr>
              <w:t>Total</w:t>
            </w:r>
          </w:p>
        </w:tc>
      </w:tr>
      <w:tr w:rsidR="008459F8" w:rsidRPr="00F90B34" w:rsidTr="002805F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rPr>
                <w:rFonts w:ascii="Times New Roman" w:eastAsia="Calibri" w:hAnsi="Times New Roman"/>
                <w:szCs w:val="24"/>
              </w:rPr>
            </w:pPr>
            <w:r w:rsidRPr="00F90B34">
              <w:rPr>
                <w:rFonts w:ascii="Times New Roman" w:hAnsi="Times New Roman"/>
                <w:szCs w:val="24"/>
              </w:rPr>
              <w:t>High confidence of match</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483</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96.6%</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384</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76.8%</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867</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86.7%</w:t>
            </w:r>
          </w:p>
        </w:tc>
      </w:tr>
      <w:tr w:rsidR="008459F8" w:rsidRPr="00F90B34" w:rsidTr="002805F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rPr>
                <w:rFonts w:ascii="Times New Roman" w:eastAsia="Calibri" w:hAnsi="Times New Roman"/>
                <w:szCs w:val="24"/>
              </w:rPr>
            </w:pPr>
            <w:r w:rsidRPr="00F90B34">
              <w:rPr>
                <w:rFonts w:ascii="Times New Roman" w:hAnsi="Times New Roman"/>
                <w:szCs w:val="24"/>
              </w:rPr>
              <w:t>Low confidence of match</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3</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0.6%</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22</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4.4%</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25</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2.5%</w:t>
            </w:r>
          </w:p>
        </w:tc>
      </w:tr>
      <w:tr w:rsidR="008459F8" w:rsidRPr="00F90B34" w:rsidTr="002805F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rPr>
                <w:rFonts w:ascii="Times New Roman" w:eastAsia="Calibri" w:hAnsi="Times New Roman"/>
                <w:szCs w:val="24"/>
              </w:rPr>
            </w:pPr>
            <w:r w:rsidRPr="00F90B34">
              <w:rPr>
                <w:rFonts w:ascii="Times New Roman" w:hAnsi="Times New Roman"/>
                <w:szCs w:val="24"/>
              </w:rPr>
              <w:t>No match</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9</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1.8%</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58</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11.6%</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67</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6.7%</w:t>
            </w:r>
          </w:p>
        </w:tc>
      </w:tr>
      <w:tr w:rsidR="008459F8" w:rsidRPr="00F90B34" w:rsidTr="002805F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rPr>
                <w:rFonts w:ascii="Times New Roman" w:eastAsia="Calibri" w:hAnsi="Times New Roman"/>
                <w:szCs w:val="24"/>
              </w:rPr>
            </w:pPr>
            <w:r w:rsidRPr="00F90B34">
              <w:rPr>
                <w:rFonts w:ascii="Times New Roman" w:hAnsi="Times New Roman"/>
                <w:szCs w:val="24"/>
              </w:rPr>
              <w:t>Inconclusive match</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5</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1.0%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36</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7.2%</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41</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szCs w:val="24"/>
              </w:rPr>
            </w:pPr>
            <w:r w:rsidRPr="00F90B34">
              <w:rPr>
                <w:rFonts w:ascii="Times New Roman" w:hAnsi="Times New Roman"/>
                <w:szCs w:val="24"/>
              </w:rPr>
              <w:t>4.1%</w:t>
            </w:r>
          </w:p>
        </w:tc>
      </w:tr>
      <w:tr w:rsidR="008459F8" w:rsidRPr="00F90B34" w:rsidTr="002805F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rPr>
                <w:rFonts w:ascii="Times New Roman" w:eastAsia="Calibri" w:hAnsi="Times New Roman"/>
                <w:b/>
                <w:bCs/>
                <w:szCs w:val="24"/>
              </w:rPr>
            </w:pPr>
            <w:r w:rsidRPr="00F90B34">
              <w:rPr>
                <w:rFonts w:ascii="Times New Roman" w:hAnsi="Times New Roman"/>
                <w:b/>
                <w:bCs/>
                <w:szCs w:val="24"/>
              </w:rPr>
              <w:t>TOTALS</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500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100.0%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500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100.0%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1,000</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8459F8" w:rsidRPr="00F90B34" w:rsidRDefault="008459F8" w:rsidP="008F64F6">
            <w:pPr>
              <w:spacing w:before="20" w:after="20" w:line="240" w:lineRule="auto"/>
              <w:jc w:val="center"/>
              <w:rPr>
                <w:rFonts w:ascii="Times New Roman" w:eastAsia="Calibri" w:hAnsi="Times New Roman"/>
                <w:b/>
                <w:bCs/>
                <w:szCs w:val="24"/>
              </w:rPr>
            </w:pPr>
            <w:r w:rsidRPr="00F90B34">
              <w:rPr>
                <w:rFonts w:ascii="Times New Roman" w:hAnsi="Times New Roman"/>
                <w:b/>
                <w:bCs/>
                <w:szCs w:val="24"/>
              </w:rPr>
              <w:t>100.0%</w:t>
            </w:r>
          </w:p>
        </w:tc>
      </w:tr>
    </w:tbl>
    <w:p w:rsidR="002A5F38" w:rsidRPr="00F90B34"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1F5FB7">
        <w:rPr>
          <w:rFonts w:ascii="Times New Roman" w:hAnsi="Times New Roman"/>
          <w:sz w:val="24"/>
          <w:szCs w:val="24"/>
          <w:lang w:val="en-NZ"/>
        </w:rPr>
        <w:t>This table outlines the degree of confidence of the information-match performed by ATO using the data Inland Revenue sent on New Zealand borrowers.</w:t>
      </w:r>
      <w:r w:rsidR="009B4B08">
        <w:rPr>
          <w:rFonts w:ascii="Times New Roman" w:hAnsi="Times New Roman"/>
          <w:sz w:val="24"/>
          <w:szCs w:val="24"/>
          <w:lang w:val="en-NZ"/>
        </w:rPr>
        <w:t xml:space="preserve"> </w:t>
      </w:r>
      <w:r w:rsidR="0054281B">
        <w:rPr>
          <w:rFonts w:ascii="Times New Roman" w:hAnsi="Times New Roman"/>
          <w:sz w:val="24"/>
          <w:szCs w:val="24"/>
          <w:lang w:val="en-NZ"/>
        </w:rPr>
        <w:t xml:space="preserve"> This data was separated into two groups of borrowers. </w:t>
      </w:r>
      <w:r w:rsidR="009B4B08">
        <w:rPr>
          <w:rFonts w:ascii="Times New Roman" w:hAnsi="Times New Roman"/>
          <w:sz w:val="24"/>
          <w:szCs w:val="24"/>
          <w:lang w:val="en-NZ"/>
        </w:rPr>
        <w:t xml:space="preserve"> </w:t>
      </w:r>
      <w:r w:rsidR="0054281B">
        <w:rPr>
          <w:rFonts w:ascii="Times New Roman" w:hAnsi="Times New Roman"/>
          <w:sz w:val="24"/>
          <w:szCs w:val="24"/>
          <w:lang w:val="en-NZ"/>
        </w:rPr>
        <w:t>G</w:t>
      </w:r>
      <w:r w:rsidR="004C5222" w:rsidRPr="00F90B34">
        <w:rPr>
          <w:rFonts w:ascii="Times New Roman" w:hAnsi="Times New Roman"/>
          <w:sz w:val="24"/>
          <w:szCs w:val="24"/>
          <w:lang w:val="en-NZ"/>
        </w:rPr>
        <w:t xml:space="preserve">roup 1 consisted of borrowers for whom Inland Revenue believed </w:t>
      </w:r>
      <w:r w:rsidR="009C2C16">
        <w:rPr>
          <w:rFonts w:ascii="Times New Roman" w:hAnsi="Times New Roman"/>
          <w:sz w:val="24"/>
          <w:szCs w:val="24"/>
          <w:lang w:val="en-NZ"/>
        </w:rPr>
        <w:t>it had</w:t>
      </w:r>
      <w:r w:rsidR="004C5222" w:rsidRPr="00F90B34">
        <w:rPr>
          <w:rFonts w:ascii="Times New Roman" w:hAnsi="Times New Roman"/>
          <w:sz w:val="24"/>
          <w:szCs w:val="24"/>
          <w:lang w:val="en-NZ"/>
        </w:rPr>
        <w:t xml:space="preserve"> up-to-date contact details. Group 2 consisted of borrowers who were not considered to have up-to-date contact details currently registered with Inland Revenue. </w:t>
      </w:r>
    </w:p>
    <w:p w:rsidR="002F4360" w:rsidRDefault="00F90B34"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Pr="00F90B34">
        <w:rPr>
          <w:rFonts w:ascii="Times New Roman" w:hAnsi="Times New Roman"/>
          <w:sz w:val="24"/>
          <w:szCs w:val="24"/>
          <w:lang w:val="en-NZ"/>
        </w:rPr>
        <w:tab/>
      </w:r>
      <w:r w:rsidR="002A5F38" w:rsidRPr="00F90B34">
        <w:rPr>
          <w:rFonts w:ascii="Times New Roman" w:hAnsi="Times New Roman"/>
          <w:sz w:val="24"/>
          <w:szCs w:val="24"/>
          <w:lang w:val="en-NZ"/>
        </w:rPr>
        <w:t xml:space="preserve">This </w:t>
      </w:r>
      <w:r w:rsidR="00E856A4">
        <w:rPr>
          <w:rFonts w:ascii="Times New Roman" w:hAnsi="Times New Roman"/>
          <w:sz w:val="24"/>
          <w:szCs w:val="24"/>
          <w:lang w:val="en-NZ"/>
        </w:rPr>
        <w:t xml:space="preserve">test match </w:t>
      </w:r>
      <w:r w:rsidR="002A5F38" w:rsidRPr="00F90B34">
        <w:rPr>
          <w:rFonts w:ascii="Times New Roman" w:hAnsi="Times New Roman"/>
          <w:sz w:val="24"/>
          <w:szCs w:val="24"/>
          <w:lang w:val="en-NZ"/>
        </w:rPr>
        <w:t xml:space="preserve">indicates that an information exchange between the ATO and Inland Revenue is likely to be a good source of </w:t>
      </w:r>
      <w:r w:rsidR="000A3C89">
        <w:rPr>
          <w:rFonts w:ascii="Times New Roman" w:hAnsi="Times New Roman"/>
          <w:sz w:val="24"/>
          <w:szCs w:val="24"/>
          <w:lang w:val="en-NZ"/>
        </w:rPr>
        <w:t>contact details for</w:t>
      </w:r>
      <w:r w:rsidR="002A5F38" w:rsidRPr="00F90B34">
        <w:rPr>
          <w:rFonts w:ascii="Times New Roman" w:hAnsi="Times New Roman"/>
          <w:sz w:val="24"/>
          <w:szCs w:val="24"/>
          <w:lang w:val="en-NZ"/>
        </w:rPr>
        <w:t xml:space="preserve"> New Zealand borrowers residing in Australia.</w:t>
      </w:r>
      <w:r w:rsidR="002F4360">
        <w:rPr>
          <w:rFonts w:ascii="Times New Roman" w:hAnsi="Times New Roman"/>
          <w:sz w:val="24"/>
          <w:szCs w:val="24"/>
          <w:lang w:val="en-NZ"/>
        </w:rPr>
        <w:t xml:space="preserve"> </w:t>
      </w:r>
    </w:p>
    <w:p w:rsidR="008459F8" w:rsidRDefault="002F4360" w:rsidP="00F90B34">
      <w:pPr>
        <w:spacing w:before="100" w:beforeAutospacing="1" w:after="100" w:afterAutospacing="1" w:line="240" w:lineRule="auto"/>
        <w:jc w:val="both"/>
        <w:rPr>
          <w:rFonts w:ascii="Times New Roman" w:hAnsi="Times New Roman"/>
          <w:sz w:val="24"/>
          <w:szCs w:val="24"/>
          <w:lang w:val="en-NZ"/>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lang w:val="en-NZ"/>
        </w:rPr>
        <w:fldChar w:fldCharType="end"/>
      </w:r>
      <w:r w:rsidR="000F1239">
        <w:rPr>
          <w:rFonts w:ascii="Times New Roman" w:hAnsi="Times New Roman"/>
          <w:sz w:val="24"/>
          <w:szCs w:val="24"/>
          <w:lang w:val="en-NZ"/>
        </w:rPr>
        <w:tab/>
      </w:r>
      <w:r>
        <w:rPr>
          <w:rFonts w:ascii="Times New Roman" w:hAnsi="Times New Roman"/>
          <w:sz w:val="24"/>
          <w:szCs w:val="24"/>
          <w:lang w:val="en-NZ"/>
        </w:rPr>
        <w:t xml:space="preserve">The results of this test match were used to estimate the likely revenue benefits </w:t>
      </w:r>
      <w:r w:rsidR="004108D4">
        <w:rPr>
          <w:rFonts w:ascii="Times New Roman" w:hAnsi="Times New Roman"/>
          <w:sz w:val="24"/>
          <w:szCs w:val="24"/>
          <w:lang w:val="en-NZ"/>
        </w:rPr>
        <w:t>from an information</w:t>
      </w:r>
      <w:r w:rsidR="00EE5D40">
        <w:rPr>
          <w:rFonts w:ascii="Times New Roman" w:hAnsi="Times New Roman"/>
          <w:sz w:val="24"/>
          <w:szCs w:val="24"/>
          <w:lang w:val="en-NZ"/>
        </w:rPr>
        <w:t>-</w:t>
      </w:r>
      <w:r w:rsidR="004108D4">
        <w:rPr>
          <w:rFonts w:ascii="Times New Roman" w:hAnsi="Times New Roman"/>
          <w:sz w:val="24"/>
          <w:szCs w:val="24"/>
          <w:lang w:val="en-NZ"/>
        </w:rPr>
        <w:t>exchange mechanism.</w:t>
      </w:r>
      <w:r w:rsidR="00832E3F">
        <w:rPr>
          <w:rFonts w:ascii="Times New Roman" w:hAnsi="Times New Roman"/>
          <w:sz w:val="24"/>
          <w:szCs w:val="24"/>
          <w:lang w:val="en-NZ"/>
        </w:rPr>
        <w:t xml:space="preserve"> Additional assumptions were made regarding the frequency</w:t>
      </w:r>
      <w:r w:rsidR="00166D3C">
        <w:rPr>
          <w:rFonts w:ascii="Times New Roman" w:hAnsi="Times New Roman"/>
          <w:sz w:val="24"/>
          <w:szCs w:val="24"/>
          <w:lang w:val="en-NZ"/>
        </w:rPr>
        <w:t xml:space="preserve"> of exchange</w:t>
      </w:r>
      <w:r w:rsidR="00832E3F">
        <w:rPr>
          <w:rFonts w:ascii="Times New Roman" w:hAnsi="Times New Roman"/>
          <w:sz w:val="24"/>
          <w:szCs w:val="24"/>
          <w:lang w:val="en-NZ"/>
        </w:rPr>
        <w:t xml:space="preserve"> and volume of borrowers’ details sent to the ATO for matching.</w:t>
      </w:r>
      <w:r w:rsidR="004108D4">
        <w:rPr>
          <w:rFonts w:ascii="Times New Roman" w:hAnsi="Times New Roman"/>
          <w:sz w:val="24"/>
          <w:szCs w:val="24"/>
          <w:lang w:val="en-NZ"/>
        </w:rPr>
        <w:t xml:space="preserve"> </w:t>
      </w:r>
      <w:r w:rsidR="009B4B08">
        <w:rPr>
          <w:rFonts w:ascii="Times New Roman" w:hAnsi="Times New Roman"/>
          <w:sz w:val="24"/>
          <w:szCs w:val="24"/>
          <w:lang w:val="en-NZ"/>
        </w:rPr>
        <w:t xml:space="preserve"> </w:t>
      </w:r>
      <w:r w:rsidR="004108D4">
        <w:rPr>
          <w:rFonts w:ascii="Times New Roman" w:hAnsi="Times New Roman"/>
          <w:sz w:val="24"/>
          <w:szCs w:val="24"/>
          <w:lang w:val="en-NZ"/>
        </w:rPr>
        <w:t xml:space="preserve">These benefits were estimated </w:t>
      </w:r>
      <w:r w:rsidR="000F1239" w:rsidRPr="000F1239">
        <w:rPr>
          <w:rFonts w:ascii="Times New Roman" w:hAnsi="Times New Roman"/>
          <w:sz w:val="24"/>
          <w:szCs w:val="24"/>
          <w:lang w:val="en-NZ"/>
        </w:rPr>
        <w:t xml:space="preserve">to be </w:t>
      </w:r>
      <w:r w:rsidR="000A3C89">
        <w:rPr>
          <w:rFonts w:ascii="Times New Roman" w:hAnsi="Times New Roman"/>
          <w:sz w:val="24"/>
          <w:szCs w:val="24"/>
          <w:lang w:val="en-NZ"/>
        </w:rPr>
        <w:t>around</w:t>
      </w:r>
      <w:r w:rsidR="000F1239" w:rsidRPr="000F1239">
        <w:rPr>
          <w:rFonts w:ascii="Times New Roman" w:hAnsi="Times New Roman"/>
          <w:sz w:val="24"/>
          <w:szCs w:val="24"/>
          <w:lang w:val="en-NZ"/>
        </w:rPr>
        <w:t xml:space="preserve"> $NZ10 million in repayments (</w:t>
      </w:r>
      <w:r w:rsidR="000A3C89">
        <w:rPr>
          <w:rFonts w:ascii="Times New Roman" w:hAnsi="Times New Roman"/>
          <w:sz w:val="24"/>
          <w:szCs w:val="24"/>
          <w:lang w:val="en-NZ"/>
        </w:rPr>
        <w:t xml:space="preserve">additional </w:t>
      </w:r>
      <w:r w:rsidR="000F1239" w:rsidRPr="000F1239">
        <w:rPr>
          <w:rFonts w:ascii="Times New Roman" w:hAnsi="Times New Roman"/>
          <w:sz w:val="24"/>
          <w:szCs w:val="24"/>
          <w:lang w:val="en-NZ"/>
        </w:rPr>
        <w:t>to the repayments already being received under the overseas-based borrower compliance initiative) for the first year. Subsequent years are estimated to have a similar increase in borrower repayments from new contacts made as well as from those contacted in previous years who have continued to make their repayments.</w:t>
      </w:r>
    </w:p>
    <w:p w:rsidR="00556D93" w:rsidRDefault="00556D93" w:rsidP="00F90B34">
      <w:pPr>
        <w:spacing w:before="100" w:beforeAutospacing="1" w:after="100" w:afterAutospacing="1" w:line="240" w:lineRule="auto"/>
        <w:jc w:val="both"/>
        <w:rPr>
          <w:rFonts w:ascii="Times New Roman" w:hAnsi="Times New Roman"/>
          <w:sz w:val="24"/>
          <w:szCs w:val="24"/>
        </w:rPr>
        <w:sectPr w:rsidR="00556D93" w:rsidSect="00C224BE">
          <w:footerReference w:type="default" r:id="rId8"/>
          <w:pgSz w:w="11907" w:h="16840" w:code="9"/>
          <w:pgMar w:top="851" w:right="1418" w:bottom="851" w:left="1418" w:header="567" w:footer="397" w:gutter="0"/>
          <w:pgNumType w:start="1"/>
          <w:cols w:space="720"/>
          <w:titlePg/>
          <w:docGrid w:linePitch="360"/>
        </w:sectPr>
      </w:pPr>
    </w:p>
    <w:p w:rsidR="00D943DD" w:rsidRDefault="00F90B34" w:rsidP="00F90B34">
      <w:pPr>
        <w:spacing w:before="100" w:beforeAutospacing="1" w:after="100" w:afterAutospacing="1" w:line="240" w:lineRule="auto"/>
        <w:jc w:val="both"/>
        <w:rPr>
          <w:rFonts w:ascii="Times New Roman" w:hAnsi="Times New Roman"/>
          <w:sz w:val="24"/>
          <w:szCs w:val="24"/>
        </w:rPr>
      </w:pPr>
      <w:r w:rsidRPr="00F90B34">
        <w:rPr>
          <w:rFonts w:ascii="Times New Roman" w:hAnsi="Times New Roman"/>
          <w:sz w:val="24"/>
          <w:szCs w:val="24"/>
          <w:lang w:val="en-NZ"/>
        </w:rPr>
        <w:fldChar w:fldCharType="begin"/>
      </w:r>
      <w:r w:rsidRPr="00F90B34">
        <w:rPr>
          <w:rFonts w:ascii="Times New Roman" w:hAnsi="Times New Roman"/>
          <w:sz w:val="24"/>
          <w:szCs w:val="24"/>
          <w:lang w:val="en-NZ"/>
        </w:rPr>
        <w:instrText xml:space="preserve"> AUTONUM  </w:instrText>
      </w:r>
      <w:r w:rsidRPr="00F90B34">
        <w:rPr>
          <w:rFonts w:ascii="Times New Roman" w:hAnsi="Times New Roman"/>
          <w:sz w:val="24"/>
          <w:szCs w:val="24"/>
        </w:rPr>
        <w:fldChar w:fldCharType="end"/>
      </w:r>
      <w:r w:rsidRPr="00F90B34">
        <w:rPr>
          <w:rFonts w:ascii="Times New Roman" w:hAnsi="Times New Roman"/>
          <w:sz w:val="24"/>
          <w:szCs w:val="24"/>
          <w:lang w:val="en-NZ"/>
        </w:rPr>
        <w:tab/>
      </w:r>
      <w:r>
        <w:rPr>
          <w:rFonts w:ascii="Times New Roman" w:hAnsi="Times New Roman"/>
          <w:sz w:val="24"/>
          <w:szCs w:val="24"/>
          <w:lang w:val="en-NZ"/>
        </w:rPr>
        <w:t xml:space="preserve">This table summarises our impact assessment of the </w:t>
      </w:r>
      <w:r w:rsidR="00556D93">
        <w:rPr>
          <w:rFonts w:ascii="Times New Roman" w:hAnsi="Times New Roman"/>
          <w:sz w:val="24"/>
          <w:szCs w:val="24"/>
          <w:lang w:val="en-NZ"/>
        </w:rPr>
        <w:t>options.</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1277"/>
        <w:gridCol w:w="1700"/>
        <w:gridCol w:w="2126"/>
        <w:gridCol w:w="2126"/>
        <w:gridCol w:w="1843"/>
        <w:gridCol w:w="1843"/>
        <w:gridCol w:w="1984"/>
      </w:tblGrid>
      <w:tr w:rsidR="00115E93" w:rsidTr="00710C8C">
        <w:tc>
          <w:tcPr>
            <w:tcW w:w="1900"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115E93" w:rsidRPr="00891811" w:rsidRDefault="00115E93">
            <w:pPr>
              <w:pStyle w:val="TRBodyText"/>
              <w:spacing w:line="240" w:lineRule="auto"/>
              <w:jc w:val="left"/>
              <w:rPr>
                <w:b/>
                <w:sz w:val="18"/>
                <w:szCs w:val="18"/>
              </w:rPr>
            </w:pPr>
            <w:r w:rsidRPr="003472CD">
              <w:rPr>
                <w:sz w:val="18"/>
                <w:szCs w:val="18"/>
              </w:rPr>
              <w:br w:type="page"/>
            </w:r>
            <w:r w:rsidRPr="00891811">
              <w:rPr>
                <w:b/>
                <w:sz w:val="18"/>
                <w:szCs w:val="18"/>
              </w:rPr>
              <w:t>Options</w:t>
            </w:r>
          </w:p>
        </w:tc>
        <w:tc>
          <w:tcPr>
            <w:tcW w:w="1277" w:type="dxa"/>
            <w:vMerge w:val="restart"/>
            <w:tcBorders>
              <w:top w:val="single" w:sz="4" w:space="0" w:color="auto"/>
              <w:left w:val="single" w:sz="4" w:space="0" w:color="auto"/>
              <w:bottom w:val="single" w:sz="4" w:space="0" w:color="auto"/>
              <w:right w:val="single" w:sz="4" w:space="0" w:color="auto"/>
            </w:tcBorders>
            <w:tcMar>
              <w:bottom w:w="0" w:type="dxa"/>
            </w:tcMar>
            <w:hideMark/>
          </w:tcPr>
          <w:p w:rsidR="00115E93" w:rsidRPr="00891811" w:rsidRDefault="00115E93" w:rsidP="00E856A4">
            <w:pPr>
              <w:pStyle w:val="TRBodyText"/>
              <w:spacing w:line="240" w:lineRule="auto"/>
              <w:jc w:val="left"/>
              <w:rPr>
                <w:b/>
                <w:sz w:val="18"/>
                <w:szCs w:val="18"/>
              </w:rPr>
            </w:pPr>
            <w:r w:rsidRPr="00891811">
              <w:rPr>
                <w:b/>
                <w:sz w:val="18"/>
                <w:szCs w:val="18"/>
              </w:rPr>
              <w:t>Does it meet the objectives</w:t>
            </w:r>
            <w:r w:rsidR="00891811" w:rsidRPr="00891811">
              <w:rPr>
                <w:b/>
                <w:sz w:val="18"/>
                <w:szCs w:val="18"/>
              </w:rPr>
              <w:t xml:space="preserve"> (a, b, </w:t>
            </w:r>
            <w:proofErr w:type="gramStart"/>
            <w:r w:rsidR="00891811" w:rsidRPr="00891811">
              <w:rPr>
                <w:b/>
                <w:sz w:val="18"/>
                <w:szCs w:val="18"/>
              </w:rPr>
              <w:t xml:space="preserve">c </w:t>
            </w:r>
            <w:r w:rsidR="00E856A4">
              <w:rPr>
                <w:b/>
                <w:sz w:val="18"/>
                <w:szCs w:val="18"/>
              </w:rPr>
              <w:t>,</w:t>
            </w:r>
            <w:proofErr w:type="gramEnd"/>
            <w:r w:rsidR="00E856A4">
              <w:rPr>
                <w:b/>
                <w:sz w:val="18"/>
                <w:szCs w:val="18"/>
              </w:rPr>
              <w:t xml:space="preserve"> </w:t>
            </w:r>
            <w:r w:rsidR="00891811" w:rsidRPr="00891811">
              <w:rPr>
                <w:b/>
                <w:sz w:val="18"/>
                <w:szCs w:val="18"/>
              </w:rPr>
              <w:t>d</w:t>
            </w:r>
            <w:r w:rsidR="00E856A4">
              <w:rPr>
                <w:b/>
                <w:sz w:val="18"/>
                <w:szCs w:val="18"/>
              </w:rPr>
              <w:t xml:space="preserve"> or e</w:t>
            </w:r>
            <w:r w:rsidR="00891811" w:rsidRPr="00891811">
              <w:rPr>
                <w:b/>
                <w:sz w:val="18"/>
                <w:szCs w:val="18"/>
              </w:rPr>
              <w:t>)</w:t>
            </w:r>
            <w:r w:rsidRPr="00891811">
              <w:rPr>
                <w:b/>
                <w:sz w:val="18"/>
                <w:szCs w:val="18"/>
              </w:rPr>
              <w:t>?</w:t>
            </w:r>
          </w:p>
        </w:tc>
        <w:tc>
          <w:tcPr>
            <w:tcW w:w="11622" w:type="dxa"/>
            <w:gridSpan w:val="6"/>
            <w:tcBorders>
              <w:top w:val="single" w:sz="4" w:space="0" w:color="auto"/>
              <w:left w:val="single" w:sz="4" w:space="0" w:color="auto"/>
              <w:bottom w:val="single" w:sz="4" w:space="0" w:color="auto"/>
              <w:right w:val="single" w:sz="4" w:space="0" w:color="auto"/>
            </w:tcBorders>
            <w:tcMar>
              <w:bottom w:w="0" w:type="dxa"/>
            </w:tcMa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Impacts</w:t>
            </w:r>
          </w:p>
        </w:tc>
      </w:tr>
      <w:tr w:rsidR="00115E93" w:rsidTr="00710C8C">
        <w:trPr>
          <w:trHeight w:val="566"/>
        </w:trPr>
        <w:tc>
          <w:tcPr>
            <w:tcW w:w="1900"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pPr>
              <w:spacing w:after="0" w:line="240" w:lineRule="auto"/>
              <w:rPr>
                <w:rFonts w:ascii="Times New Roman" w:hAnsi="Times New Roman"/>
                <w:b/>
                <w:sz w:val="18"/>
                <w:szCs w:val="18"/>
                <w:lang w:eastAsia="en-AU"/>
              </w:rPr>
            </w:pPr>
          </w:p>
        </w:tc>
        <w:tc>
          <w:tcPr>
            <w:tcW w:w="1277" w:type="dxa"/>
            <w:vMerge/>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pPr>
              <w:spacing w:after="0" w:line="240" w:lineRule="auto"/>
              <w:rPr>
                <w:rFonts w:ascii="Times New Roman" w:hAnsi="Times New Roman"/>
                <w:b/>
                <w:sz w:val="18"/>
                <w:szCs w:val="18"/>
                <w:lang w:eastAsia="en-AU"/>
              </w:rPr>
            </w:pPr>
          </w:p>
        </w:tc>
        <w:tc>
          <w:tcPr>
            <w:tcW w:w="1700"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Fiscal</w:t>
            </w:r>
          </w:p>
        </w:tc>
        <w:tc>
          <w:tcPr>
            <w:tcW w:w="2126"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Administration</w:t>
            </w:r>
          </w:p>
        </w:tc>
        <w:tc>
          <w:tcPr>
            <w:tcW w:w="2126"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Compliance</w:t>
            </w:r>
          </w:p>
        </w:tc>
        <w:tc>
          <w:tcPr>
            <w:tcW w:w="1843"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3472CD" w:rsidRDefault="00115E93" w:rsidP="00420BDA">
            <w:pPr>
              <w:pStyle w:val="TRBodyText"/>
              <w:spacing w:after="240" w:line="240" w:lineRule="auto"/>
              <w:jc w:val="center"/>
              <w:rPr>
                <w:rFonts w:ascii="Arial" w:hAnsi="Arial"/>
                <w:b/>
                <w:sz w:val="18"/>
                <w:szCs w:val="18"/>
                <w:lang w:val="en-GB"/>
              </w:rPr>
            </w:pPr>
            <w:r w:rsidRPr="00891811">
              <w:rPr>
                <w:b/>
                <w:sz w:val="18"/>
                <w:szCs w:val="18"/>
              </w:rPr>
              <w:t>Environmental , social and cultural</w:t>
            </w:r>
          </w:p>
        </w:tc>
        <w:tc>
          <w:tcPr>
            <w:tcW w:w="1843"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Pr="00891811" w:rsidRDefault="00115E93" w:rsidP="00420BDA">
            <w:pPr>
              <w:spacing w:after="0" w:line="240" w:lineRule="auto"/>
              <w:jc w:val="center"/>
              <w:rPr>
                <w:rFonts w:ascii="Times New Roman" w:hAnsi="Times New Roman"/>
                <w:b/>
                <w:sz w:val="18"/>
                <w:szCs w:val="18"/>
                <w:lang w:eastAsia="en-AU"/>
              </w:rPr>
            </w:pPr>
            <w:r w:rsidRPr="00891811">
              <w:rPr>
                <w:rFonts w:ascii="Times New Roman" w:hAnsi="Times New Roman"/>
                <w:b/>
                <w:sz w:val="18"/>
                <w:szCs w:val="18"/>
                <w:lang w:eastAsia="en-AU"/>
              </w:rPr>
              <w:t>Risks</w:t>
            </w:r>
          </w:p>
        </w:tc>
        <w:tc>
          <w:tcPr>
            <w:tcW w:w="1984" w:type="dxa"/>
            <w:tcBorders>
              <w:top w:val="single" w:sz="4" w:space="0" w:color="auto"/>
              <w:left w:val="single" w:sz="4" w:space="0" w:color="auto"/>
              <w:bottom w:val="single" w:sz="4" w:space="0" w:color="auto"/>
              <w:right w:val="single" w:sz="4" w:space="0" w:color="auto"/>
            </w:tcBorders>
            <w:tcMar>
              <w:bottom w:w="0" w:type="dxa"/>
            </w:tcMar>
            <w:vAlign w:val="center"/>
            <w:hideMark/>
          </w:tcPr>
          <w:p w:rsidR="00115E93" w:rsidRDefault="00115E93" w:rsidP="00420BDA">
            <w:pPr>
              <w:spacing w:after="0" w:line="240" w:lineRule="auto"/>
              <w:jc w:val="center"/>
              <w:rPr>
                <w:rFonts w:ascii="Times New Roman" w:hAnsi="Times New Roman"/>
                <w:b/>
                <w:sz w:val="18"/>
                <w:szCs w:val="18"/>
                <w:lang w:eastAsia="en-AU"/>
              </w:rPr>
            </w:pPr>
            <w:r>
              <w:rPr>
                <w:rFonts w:ascii="Times New Roman" w:hAnsi="Times New Roman"/>
                <w:b/>
                <w:sz w:val="18"/>
                <w:szCs w:val="18"/>
                <w:lang w:eastAsia="en-AU"/>
              </w:rPr>
              <w:t>Net impacts</w:t>
            </w:r>
          </w:p>
        </w:tc>
      </w:tr>
      <w:tr w:rsidR="00115E93" w:rsidRPr="00F61C80" w:rsidTr="00710C8C">
        <w:tc>
          <w:tcPr>
            <w:tcW w:w="1900"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E856A4">
            <w:pPr>
              <w:pStyle w:val="Bullet-list"/>
              <w:spacing w:after="0" w:line="240" w:lineRule="auto"/>
              <w:ind w:left="0" w:firstLine="0"/>
              <w:rPr>
                <w:rFonts w:ascii="Times New Roman" w:hAnsi="Times New Roman"/>
                <w:i/>
                <w:sz w:val="19"/>
                <w:szCs w:val="19"/>
                <w:lang w:eastAsia="en-NZ"/>
              </w:rPr>
            </w:pPr>
            <w:r w:rsidRPr="00F61C80">
              <w:rPr>
                <w:rFonts w:ascii="Times New Roman" w:hAnsi="Times New Roman"/>
                <w:i/>
                <w:sz w:val="19"/>
                <w:szCs w:val="19"/>
                <w:lang w:eastAsia="en-NZ"/>
              </w:rPr>
              <w:t xml:space="preserve">Option one - </w:t>
            </w:r>
            <w:r w:rsidR="00115E93" w:rsidRPr="00F61C80">
              <w:rPr>
                <w:rFonts w:ascii="Times New Roman" w:hAnsi="Times New Roman"/>
                <w:i/>
                <w:sz w:val="19"/>
                <w:szCs w:val="19"/>
                <w:lang w:eastAsia="en-NZ"/>
              </w:rPr>
              <w:t>Retain the status quo</w:t>
            </w:r>
          </w:p>
          <w:p w:rsidR="00115E93" w:rsidRPr="00F61C80" w:rsidRDefault="00115E93">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sz w:val="19"/>
                <w:szCs w:val="19"/>
                <w:lang w:eastAsia="en-NZ"/>
              </w:rPr>
              <w:t xml:space="preserve">(No </w:t>
            </w:r>
            <w:r w:rsidR="0033545E" w:rsidRPr="00F61C80">
              <w:rPr>
                <w:rFonts w:ascii="Times New Roman" w:hAnsi="Times New Roman"/>
                <w:sz w:val="19"/>
                <w:szCs w:val="19"/>
                <w:lang w:eastAsia="en-NZ"/>
              </w:rPr>
              <w:t>A</w:t>
            </w:r>
            <w:r w:rsidRPr="00F61C80">
              <w:rPr>
                <w:rFonts w:ascii="Times New Roman" w:hAnsi="Times New Roman"/>
                <w:sz w:val="19"/>
                <w:szCs w:val="19"/>
                <w:lang w:eastAsia="en-NZ"/>
              </w:rPr>
              <w:t xml:space="preserve">rrangement with the ATO for exchange of information) </w:t>
            </w:r>
          </w:p>
        </w:tc>
        <w:tc>
          <w:tcPr>
            <w:tcW w:w="1277"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pPr>
              <w:pStyle w:val="TRBodyText"/>
              <w:spacing w:line="240" w:lineRule="auto"/>
              <w:jc w:val="left"/>
              <w:rPr>
                <w:sz w:val="19"/>
                <w:szCs w:val="19"/>
                <w:lang w:val="en-GB"/>
              </w:rPr>
            </w:pPr>
            <w:r w:rsidRPr="00F61C80">
              <w:rPr>
                <w:sz w:val="19"/>
                <w:szCs w:val="19"/>
                <w:lang w:val="en-GB"/>
              </w:rPr>
              <w:t>No</w:t>
            </w:r>
            <w:r w:rsidR="004341FB" w:rsidRPr="00F61C80">
              <w:rPr>
                <w:sz w:val="19"/>
                <w:szCs w:val="19"/>
                <w:lang w:val="en-GB"/>
              </w:rPr>
              <w:t>ne</w:t>
            </w:r>
          </w:p>
        </w:tc>
        <w:tc>
          <w:tcPr>
            <w:tcW w:w="1700"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rsidP="000A3C89">
            <w:pPr>
              <w:pStyle w:val="Bullet-list"/>
              <w:spacing w:after="0" w:line="240" w:lineRule="auto"/>
              <w:ind w:left="0" w:firstLine="0"/>
              <w:rPr>
                <w:rFonts w:ascii="Times New Roman" w:hAnsi="Times New Roman"/>
                <w:sz w:val="19"/>
                <w:szCs w:val="19"/>
                <w:lang w:val="en-GB" w:eastAsia="en-NZ"/>
              </w:rPr>
            </w:pPr>
            <w:r w:rsidRPr="00F61C80">
              <w:rPr>
                <w:rFonts w:ascii="Times New Roman" w:hAnsi="Times New Roman"/>
                <w:sz w:val="19"/>
                <w:szCs w:val="19"/>
              </w:rPr>
              <w:t>Revenue negative.  Debt is likely to continue to grow</w:t>
            </w:r>
            <w:r w:rsidR="000A3C89" w:rsidRPr="00F61C80">
              <w:rPr>
                <w:rFonts w:ascii="Times New Roman" w:hAnsi="Times New Roman"/>
                <w:sz w:val="19"/>
                <w:szCs w:val="19"/>
              </w:rPr>
              <w:t>.</w:t>
            </w:r>
            <w:r w:rsidRPr="00F61C80">
              <w:rPr>
                <w:rFonts w:ascii="Times New Roman" w:hAnsi="Times New Roman"/>
                <w:sz w:val="19"/>
                <w:szCs w:val="19"/>
              </w:rPr>
              <w:t xml:space="preserve"> </w:t>
            </w:r>
            <w:r w:rsidR="000A3C89" w:rsidRPr="00F61C80">
              <w:rPr>
                <w:rFonts w:ascii="Times New Roman" w:hAnsi="Times New Roman"/>
                <w:sz w:val="19"/>
                <w:szCs w:val="19"/>
              </w:rPr>
              <w:t>R</w:t>
            </w:r>
            <w:r w:rsidRPr="00F61C80">
              <w:rPr>
                <w:rFonts w:ascii="Times New Roman" w:hAnsi="Times New Roman"/>
                <w:sz w:val="19"/>
                <w:szCs w:val="19"/>
              </w:rPr>
              <w:t>elies on previous initiatives to obtain contact details.</w:t>
            </w:r>
            <w:r w:rsidRPr="00F61C80">
              <w:rPr>
                <w:rFonts w:ascii="Times New Roman" w:hAnsi="Times New Roman"/>
                <w:sz w:val="19"/>
                <w:szCs w:val="19"/>
                <w:lang w:eastAsia="en-NZ"/>
              </w:rPr>
              <w:t xml:space="preserve"> </w:t>
            </w:r>
          </w:p>
        </w:tc>
        <w:tc>
          <w:tcPr>
            <w:tcW w:w="2126" w:type="dxa"/>
            <w:tcBorders>
              <w:top w:val="single" w:sz="4" w:space="0" w:color="auto"/>
              <w:left w:val="single" w:sz="4" w:space="0" w:color="auto"/>
              <w:bottom w:val="single" w:sz="4" w:space="0" w:color="auto"/>
              <w:right w:val="single" w:sz="4" w:space="0" w:color="auto"/>
            </w:tcBorders>
            <w:tcMar>
              <w:bottom w:w="0" w:type="dxa"/>
            </w:tcMar>
            <w:hideMark/>
          </w:tcPr>
          <w:p w:rsidR="0055592B" w:rsidRPr="00F61C80" w:rsidRDefault="000A4678">
            <w:pPr>
              <w:pStyle w:val="TRBodyText"/>
              <w:spacing w:after="240" w:line="240" w:lineRule="auto"/>
              <w:jc w:val="left"/>
              <w:rPr>
                <w:sz w:val="19"/>
                <w:szCs w:val="19"/>
                <w:lang w:eastAsia="en-GB"/>
              </w:rPr>
            </w:pPr>
            <w:r w:rsidRPr="00F61C80">
              <w:rPr>
                <w:sz w:val="19"/>
                <w:szCs w:val="19"/>
              </w:rPr>
              <w:t>Unable to utilise ATO database to obtain contact details for borrowers.</w:t>
            </w:r>
          </w:p>
        </w:tc>
        <w:tc>
          <w:tcPr>
            <w:tcW w:w="212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115E93" w:rsidP="00F61C80">
            <w:pPr>
              <w:pStyle w:val="TRBodyText"/>
              <w:spacing w:after="160" w:line="240" w:lineRule="auto"/>
              <w:jc w:val="left"/>
              <w:rPr>
                <w:sz w:val="19"/>
                <w:szCs w:val="19"/>
              </w:rPr>
            </w:pPr>
            <w:r w:rsidRPr="00F61C80">
              <w:rPr>
                <w:sz w:val="19"/>
                <w:szCs w:val="19"/>
              </w:rPr>
              <w:t>No compliance costs for borrowers.</w:t>
            </w:r>
          </w:p>
          <w:p w:rsidR="00F774C1" w:rsidRPr="00F61C80" w:rsidRDefault="00F774C1">
            <w:pPr>
              <w:pStyle w:val="TRBodyText"/>
              <w:spacing w:after="240" w:line="240" w:lineRule="auto"/>
              <w:jc w:val="left"/>
              <w:rPr>
                <w:sz w:val="19"/>
                <w:szCs w:val="19"/>
                <w:lang w:val="en-GB" w:eastAsia="en-NZ"/>
              </w:rPr>
            </w:pPr>
            <w:r w:rsidRPr="00F61C80">
              <w:rPr>
                <w:sz w:val="19"/>
                <w:szCs w:val="19"/>
              </w:rPr>
              <w:t xml:space="preserve">No expected compliance change for borrowers. </w:t>
            </w:r>
          </w:p>
        </w:tc>
        <w:tc>
          <w:tcPr>
            <w:tcW w:w="1843"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0A3C89" w:rsidP="00F61C80">
            <w:pPr>
              <w:pStyle w:val="TRBodyText"/>
              <w:spacing w:after="120" w:line="240" w:lineRule="auto"/>
              <w:jc w:val="left"/>
              <w:rPr>
                <w:sz w:val="19"/>
                <w:szCs w:val="19"/>
              </w:rPr>
            </w:pPr>
            <w:r w:rsidRPr="00F61C80">
              <w:rPr>
                <w:sz w:val="19"/>
                <w:szCs w:val="19"/>
              </w:rPr>
              <w:t>A</w:t>
            </w:r>
            <w:r w:rsidR="00115E93" w:rsidRPr="00F61C80">
              <w:rPr>
                <w:sz w:val="19"/>
                <w:szCs w:val="19"/>
              </w:rPr>
              <w:t>nnouncements have been made regarding the intention of Australian and New Zealand to work together for student loan debt recovery</w:t>
            </w:r>
            <w:r w:rsidRPr="00F61C80">
              <w:rPr>
                <w:sz w:val="19"/>
                <w:szCs w:val="19"/>
              </w:rPr>
              <w:t>.</w:t>
            </w:r>
            <w:r w:rsidR="00115E93" w:rsidRPr="00F61C80">
              <w:rPr>
                <w:sz w:val="19"/>
                <w:szCs w:val="19"/>
              </w:rPr>
              <w:t xml:space="preserve"> </w:t>
            </w:r>
            <w:r w:rsidRPr="00F61C80">
              <w:rPr>
                <w:sz w:val="19"/>
                <w:szCs w:val="19"/>
              </w:rPr>
              <w:t>F</w:t>
            </w:r>
            <w:r w:rsidR="00115E93" w:rsidRPr="00F61C80">
              <w:rPr>
                <w:sz w:val="19"/>
                <w:szCs w:val="19"/>
              </w:rPr>
              <w:t>ailure to proceed might be perceived negatively.</w:t>
            </w:r>
          </w:p>
        </w:tc>
        <w:tc>
          <w:tcPr>
            <w:tcW w:w="1843"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115E93" w:rsidP="00F61C80">
            <w:pPr>
              <w:pStyle w:val="TRBodyText"/>
              <w:spacing w:after="160" w:line="240" w:lineRule="auto"/>
              <w:jc w:val="left"/>
              <w:rPr>
                <w:sz w:val="19"/>
                <w:szCs w:val="19"/>
              </w:rPr>
            </w:pPr>
            <w:r w:rsidRPr="00F61C80">
              <w:rPr>
                <w:sz w:val="19"/>
                <w:szCs w:val="19"/>
              </w:rPr>
              <w:t>No</w:t>
            </w:r>
            <w:r w:rsidR="002A0B73" w:rsidRPr="00F61C80">
              <w:rPr>
                <w:sz w:val="19"/>
                <w:szCs w:val="19"/>
              </w:rPr>
              <w:t xml:space="preserve"> </w:t>
            </w:r>
            <w:r w:rsidR="00E57234" w:rsidRPr="00F61C80">
              <w:rPr>
                <w:sz w:val="19"/>
                <w:szCs w:val="19"/>
              </w:rPr>
              <w:t>formalised</w:t>
            </w:r>
            <w:r w:rsidRPr="00F61C80">
              <w:rPr>
                <w:sz w:val="19"/>
                <w:szCs w:val="19"/>
              </w:rPr>
              <w:t xml:space="preserve"> political commitment from Australia to assist in student loan debt recovery.</w:t>
            </w:r>
          </w:p>
          <w:p w:rsidR="00115E93" w:rsidRPr="00F61C80" w:rsidRDefault="00115E93" w:rsidP="00F61C80">
            <w:pPr>
              <w:pStyle w:val="TRBodyText"/>
              <w:spacing w:line="240" w:lineRule="auto"/>
              <w:jc w:val="left"/>
              <w:rPr>
                <w:sz w:val="19"/>
                <w:szCs w:val="19"/>
              </w:rPr>
            </w:pPr>
            <w:r w:rsidRPr="00F61C80">
              <w:rPr>
                <w:sz w:val="19"/>
                <w:szCs w:val="19"/>
              </w:rPr>
              <w:t>Potential loss of goodwill between Australia</w:t>
            </w:r>
            <w:r w:rsidR="000A3C89" w:rsidRPr="00F61C80">
              <w:rPr>
                <w:sz w:val="19"/>
                <w:szCs w:val="19"/>
              </w:rPr>
              <w:t xml:space="preserve"> and </w:t>
            </w:r>
            <w:r w:rsidRPr="00F61C80">
              <w:rPr>
                <w:sz w:val="19"/>
                <w:szCs w:val="19"/>
              </w:rPr>
              <w:t>New Zealand.</w:t>
            </w:r>
          </w:p>
        </w:tc>
        <w:tc>
          <w:tcPr>
            <w:tcW w:w="1984"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356228">
            <w:pPr>
              <w:pStyle w:val="TRBodyText"/>
              <w:spacing w:line="240" w:lineRule="auto"/>
              <w:jc w:val="left"/>
              <w:rPr>
                <w:sz w:val="19"/>
                <w:szCs w:val="19"/>
              </w:rPr>
            </w:pPr>
            <w:r w:rsidRPr="00F61C80">
              <w:rPr>
                <w:sz w:val="19"/>
                <w:szCs w:val="19"/>
              </w:rPr>
              <w:t xml:space="preserve">Overall, </w:t>
            </w:r>
            <w:r w:rsidR="00115E93" w:rsidRPr="00F61C80">
              <w:rPr>
                <w:sz w:val="19"/>
                <w:szCs w:val="19"/>
              </w:rPr>
              <w:t>negative</w:t>
            </w:r>
            <w:r w:rsidR="000C7AE2" w:rsidRPr="00F61C80">
              <w:rPr>
                <w:sz w:val="19"/>
                <w:szCs w:val="19"/>
              </w:rPr>
              <w:t>.</w:t>
            </w:r>
          </w:p>
          <w:p w:rsidR="00115E93" w:rsidRPr="00F61C80" w:rsidRDefault="00115E93" w:rsidP="00EE5D40">
            <w:pPr>
              <w:pStyle w:val="TRBodyText"/>
              <w:spacing w:line="240" w:lineRule="auto"/>
              <w:jc w:val="left"/>
              <w:rPr>
                <w:sz w:val="19"/>
                <w:szCs w:val="19"/>
              </w:rPr>
            </w:pPr>
            <w:r w:rsidRPr="00F61C80">
              <w:rPr>
                <w:sz w:val="19"/>
                <w:szCs w:val="19"/>
              </w:rPr>
              <w:t>Does not progress the information</w:t>
            </w:r>
            <w:r w:rsidR="00EE5D40" w:rsidRPr="00F61C80">
              <w:rPr>
                <w:sz w:val="19"/>
                <w:szCs w:val="19"/>
              </w:rPr>
              <w:t>-</w:t>
            </w:r>
            <w:r w:rsidRPr="00F61C80">
              <w:rPr>
                <w:sz w:val="19"/>
                <w:szCs w:val="19"/>
              </w:rPr>
              <w:t>exchange mechanism between Australia and N</w:t>
            </w:r>
            <w:r w:rsidR="000A3C89" w:rsidRPr="00F61C80">
              <w:rPr>
                <w:sz w:val="19"/>
                <w:szCs w:val="19"/>
              </w:rPr>
              <w:t xml:space="preserve">ew </w:t>
            </w:r>
            <w:r w:rsidRPr="00F61C80">
              <w:rPr>
                <w:sz w:val="19"/>
                <w:szCs w:val="19"/>
              </w:rPr>
              <w:t>Z</w:t>
            </w:r>
            <w:r w:rsidR="000A3C89" w:rsidRPr="00F61C80">
              <w:rPr>
                <w:sz w:val="19"/>
                <w:szCs w:val="19"/>
              </w:rPr>
              <w:t>ealand</w:t>
            </w:r>
            <w:r w:rsidRPr="00F61C80">
              <w:rPr>
                <w:sz w:val="19"/>
                <w:szCs w:val="19"/>
              </w:rPr>
              <w:t>.</w:t>
            </w:r>
          </w:p>
        </w:tc>
      </w:tr>
      <w:tr w:rsidR="00115E93" w:rsidRPr="00F61C80" w:rsidTr="00710C8C">
        <w:trPr>
          <w:trHeight w:val="1209"/>
        </w:trPr>
        <w:tc>
          <w:tcPr>
            <w:tcW w:w="1900"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E856A4">
            <w:pPr>
              <w:pStyle w:val="Bullet-list"/>
              <w:spacing w:after="0" w:line="240" w:lineRule="auto"/>
              <w:ind w:left="0" w:firstLine="0"/>
              <w:rPr>
                <w:rFonts w:ascii="Times New Roman" w:hAnsi="Times New Roman"/>
                <w:i/>
                <w:sz w:val="19"/>
                <w:szCs w:val="19"/>
                <w:lang w:eastAsia="en-NZ"/>
              </w:rPr>
            </w:pPr>
            <w:r w:rsidRPr="00F61C80">
              <w:rPr>
                <w:rFonts w:ascii="Times New Roman" w:hAnsi="Times New Roman"/>
                <w:i/>
                <w:sz w:val="19"/>
                <w:szCs w:val="19"/>
                <w:lang w:eastAsia="en-NZ"/>
              </w:rPr>
              <w:t xml:space="preserve">Option two - </w:t>
            </w:r>
            <w:r w:rsidR="00115E93" w:rsidRPr="00F61C80">
              <w:rPr>
                <w:rFonts w:ascii="Times New Roman" w:hAnsi="Times New Roman"/>
                <w:i/>
                <w:sz w:val="19"/>
                <w:szCs w:val="19"/>
                <w:lang w:eastAsia="en-NZ"/>
              </w:rPr>
              <w:t>Enter into an Arrangement with the ATO for the exchange of information</w:t>
            </w:r>
          </w:p>
          <w:p w:rsidR="00E856A4" w:rsidRPr="00F61C80" w:rsidRDefault="00E856A4">
            <w:pPr>
              <w:pStyle w:val="Bullet-list"/>
              <w:spacing w:after="0" w:line="240" w:lineRule="auto"/>
              <w:ind w:left="0" w:firstLine="0"/>
              <w:rPr>
                <w:rFonts w:ascii="Times New Roman" w:hAnsi="Times New Roman"/>
                <w:i/>
                <w:sz w:val="19"/>
                <w:szCs w:val="19"/>
                <w:lang w:eastAsia="en-NZ"/>
              </w:rPr>
            </w:pPr>
          </w:p>
          <w:p w:rsidR="00E856A4" w:rsidRPr="00F61C80" w:rsidRDefault="00E856A4">
            <w:pPr>
              <w:pStyle w:val="Bullet-list"/>
              <w:spacing w:after="0" w:line="240" w:lineRule="auto"/>
              <w:ind w:left="0" w:firstLine="0"/>
              <w:rPr>
                <w:rFonts w:ascii="Times New Roman" w:hAnsi="Times New Roman"/>
                <w:i/>
                <w:sz w:val="19"/>
                <w:szCs w:val="19"/>
                <w:lang w:eastAsia="en-NZ"/>
              </w:rPr>
            </w:pPr>
            <w:r w:rsidRPr="00F61C80">
              <w:rPr>
                <w:rFonts w:ascii="Times New Roman" w:hAnsi="Times New Roman"/>
                <w:i/>
                <w:sz w:val="19"/>
                <w:szCs w:val="19"/>
                <w:lang w:eastAsia="en-NZ"/>
              </w:rPr>
              <w:t>(Preferred option)</w:t>
            </w:r>
          </w:p>
        </w:tc>
        <w:tc>
          <w:tcPr>
            <w:tcW w:w="1277"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rsidP="00B86311">
            <w:pPr>
              <w:pStyle w:val="TRBodyText"/>
              <w:spacing w:after="240" w:line="240" w:lineRule="auto"/>
              <w:jc w:val="left"/>
              <w:rPr>
                <w:sz w:val="19"/>
                <w:szCs w:val="19"/>
              </w:rPr>
            </w:pPr>
            <w:r w:rsidRPr="00F61C80">
              <w:rPr>
                <w:sz w:val="19"/>
                <w:szCs w:val="19"/>
              </w:rPr>
              <w:t>Yes</w:t>
            </w:r>
            <w:r w:rsidR="00891811" w:rsidRPr="00F61C80">
              <w:rPr>
                <w:sz w:val="19"/>
                <w:szCs w:val="19"/>
              </w:rPr>
              <w:t xml:space="preserve"> </w:t>
            </w:r>
            <w:r w:rsidR="00E02F13" w:rsidRPr="00F61C80">
              <w:rPr>
                <w:sz w:val="19"/>
                <w:szCs w:val="19"/>
              </w:rPr>
              <w:t>(a, b, c, d</w:t>
            </w:r>
            <w:r w:rsidR="00B86311" w:rsidRPr="00F61C80">
              <w:rPr>
                <w:sz w:val="19"/>
                <w:szCs w:val="19"/>
              </w:rPr>
              <w:t xml:space="preserve">, and </w:t>
            </w:r>
            <w:r w:rsidR="00F774C1" w:rsidRPr="00F61C80">
              <w:rPr>
                <w:sz w:val="19"/>
                <w:szCs w:val="19"/>
              </w:rPr>
              <w:t>e</w:t>
            </w:r>
            <w:r w:rsidR="00B86311" w:rsidRPr="00F61C80">
              <w:rPr>
                <w:sz w:val="19"/>
                <w:szCs w:val="19"/>
              </w:rPr>
              <w:t>*)</w:t>
            </w:r>
            <w:r w:rsidR="00F774C1" w:rsidRPr="00F61C80">
              <w:rPr>
                <w:sz w:val="19"/>
                <w:szCs w:val="19"/>
              </w:rPr>
              <w:t>.</w:t>
            </w:r>
          </w:p>
        </w:tc>
        <w:tc>
          <w:tcPr>
            <w:tcW w:w="1700"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115E93" w:rsidP="00115E93">
            <w:pPr>
              <w:pStyle w:val="TRBodyText"/>
              <w:spacing w:after="240" w:line="240" w:lineRule="auto"/>
              <w:jc w:val="left"/>
              <w:rPr>
                <w:sz w:val="19"/>
                <w:szCs w:val="19"/>
              </w:rPr>
            </w:pPr>
            <w:r w:rsidRPr="00F61C80">
              <w:rPr>
                <w:sz w:val="19"/>
                <w:szCs w:val="19"/>
              </w:rPr>
              <w:t xml:space="preserve">Revenue positive.  Estimated revenue benefits </w:t>
            </w:r>
            <w:r w:rsidR="000A3C89" w:rsidRPr="00F61C80">
              <w:rPr>
                <w:sz w:val="19"/>
                <w:szCs w:val="19"/>
              </w:rPr>
              <w:t>around</w:t>
            </w:r>
            <w:r w:rsidRPr="00F61C80">
              <w:rPr>
                <w:sz w:val="19"/>
                <w:szCs w:val="19"/>
              </w:rPr>
              <w:t xml:space="preserve"> $10 million in additional repayments in the initial year (</w:t>
            </w:r>
            <w:r w:rsidR="002A0B73" w:rsidRPr="00F61C80">
              <w:rPr>
                <w:sz w:val="19"/>
                <w:szCs w:val="19"/>
              </w:rPr>
              <w:t>2016/17</w:t>
            </w:r>
            <w:r w:rsidRPr="00F61C80">
              <w:rPr>
                <w:sz w:val="19"/>
                <w:szCs w:val="19"/>
              </w:rPr>
              <w:t>).</w:t>
            </w:r>
          </w:p>
          <w:p w:rsidR="00115E93" w:rsidRPr="00F61C80" w:rsidRDefault="00115E93" w:rsidP="00115E93">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sz w:val="19"/>
                <w:szCs w:val="19"/>
              </w:rPr>
              <w:t>Subsequent years are expected to have a similar increase from new contacts in addition to ongoing compliance from those already contacted.</w:t>
            </w:r>
          </w:p>
          <w:p w:rsidR="00115E93" w:rsidRPr="00F61C80" w:rsidRDefault="00115E93">
            <w:pPr>
              <w:pStyle w:val="Bullet-list"/>
              <w:spacing w:after="0" w:line="240" w:lineRule="auto"/>
              <w:ind w:left="0" w:firstLine="0"/>
              <w:rPr>
                <w:rFonts w:ascii="Times New Roman" w:hAnsi="Times New Roman"/>
                <w:sz w:val="19"/>
                <w:szCs w:val="19"/>
                <w:lang w:eastAsia="en-NZ"/>
              </w:rPr>
            </w:pPr>
          </w:p>
        </w:tc>
        <w:tc>
          <w:tcPr>
            <w:tcW w:w="2126" w:type="dxa"/>
            <w:tcBorders>
              <w:top w:val="single" w:sz="4" w:space="0" w:color="auto"/>
              <w:left w:val="single" w:sz="4" w:space="0" w:color="auto"/>
              <w:bottom w:val="single" w:sz="4" w:space="0" w:color="auto"/>
              <w:right w:val="single" w:sz="4" w:space="0" w:color="auto"/>
            </w:tcBorders>
            <w:tcMar>
              <w:bottom w:w="0" w:type="dxa"/>
            </w:tcMar>
          </w:tcPr>
          <w:p w:rsidR="00115E93" w:rsidRPr="00F61C80" w:rsidRDefault="00115E93" w:rsidP="00F61C80">
            <w:pPr>
              <w:pStyle w:val="TRBodyText"/>
              <w:spacing w:after="160" w:line="240" w:lineRule="auto"/>
              <w:jc w:val="left"/>
              <w:rPr>
                <w:sz w:val="19"/>
                <w:szCs w:val="19"/>
              </w:rPr>
            </w:pPr>
            <w:r w:rsidRPr="00F61C80">
              <w:rPr>
                <w:sz w:val="19"/>
                <w:szCs w:val="19"/>
              </w:rPr>
              <w:t>The indicative administrative cost to implement this initiative</w:t>
            </w:r>
            <w:r w:rsidR="005A2CB0" w:rsidRPr="00F61C80">
              <w:rPr>
                <w:sz w:val="19"/>
                <w:szCs w:val="19"/>
              </w:rPr>
              <w:t xml:space="preserve"> is</w:t>
            </w:r>
            <w:r w:rsidRPr="00F61C80">
              <w:rPr>
                <w:sz w:val="19"/>
                <w:szCs w:val="19"/>
              </w:rPr>
              <w:t xml:space="preserve"> $1,143,600 (AUD) over five years. </w:t>
            </w:r>
          </w:p>
          <w:p w:rsidR="002A0B73" w:rsidRPr="00F61C80" w:rsidRDefault="00115E93" w:rsidP="00F61C80">
            <w:pPr>
              <w:pStyle w:val="TRBodyText"/>
              <w:spacing w:after="160" w:line="240" w:lineRule="auto"/>
              <w:jc w:val="left"/>
              <w:rPr>
                <w:sz w:val="19"/>
                <w:szCs w:val="19"/>
              </w:rPr>
            </w:pPr>
            <w:r w:rsidRPr="00F61C80">
              <w:rPr>
                <w:sz w:val="19"/>
                <w:szCs w:val="19"/>
              </w:rPr>
              <w:t>This service is provided on a cost</w:t>
            </w:r>
            <w:r w:rsidR="000A3C89" w:rsidRPr="00F61C80">
              <w:rPr>
                <w:sz w:val="19"/>
                <w:szCs w:val="19"/>
              </w:rPr>
              <w:t>-</w:t>
            </w:r>
            <w:r w:rsidRPr="00F61C80">
              <w:rPr>
                <w:sz w:val="19"/>
                <w:szCs w:val="19"/>
              </w:rPr>
              <w:t xml:space="preserve">recovery basis. </w:t>
            </w:r>
          </w:p>
          <w:p w:rsidR="00115E93" w:rsidRPr="00F61C80" w:rsidRDefault="003472CD" w:rsidP="00F61C80">
            <w:pPr>
              <w:pStyle w:val="TRBodyText"/>
              <w:spacing w:after="160" w:line="240" w:lineRule="auto"/>
              <w:jc w:val="left"/>
              <w:rPr>
                <w:sz w:val="19"/>
                <w:szCs w:val="19"/>
              </w:rPr>
            </w:pPr>
            <w:r w:rsidRPr="00F61C80">
              <w:rPr>
                <w:sz w:val="19"/>
                <w:szCs w:val="19"/>
                <w:lang w:eastAsia="en-NZ"/>
              </w:rPr>
              <w:t>Service</w:t>
            </w:r>
            <w:r w:rsidR="000A3C89" w:rsidRPr="00F61C80">
              <w:rPr>
                <w:sz w:val="19"/>
                <w:szCs w:val="19"/>
                <w:lang w:eastAsia="en-NZ"/>
              </w:rPr>
              <w:t>-</w:t>
            </w:r>
            <w:r w:rsidRPr="00F61C80">
              <w:rPr>
                <w:sz w:val="19"/>
                <w:szCs w:val="19"/>
                <w:lang w:eastAsia="en-NZ"/>
              </w:rPr>
              <w:t>level arrangement and implementing legislation need to be developed</w:t>
            </w:r>
            <w:r w:rsidR="00DD76B1" w:rsidRPr="00F61C80">
              <w:rPr>
                <w:sz w:val="19"/>
                <w:szCs w:val="19"/>
                <w:lang w:eastAsia="en-NZ"/>
              </w:rPr>
              <w:t xml:space="preserve"> for information exchange to be operational</w:t>
            </w:r>
            <w:r w:rsidRPr="00F61C80">
              <w:rPr>
                <w:sz w:val="19"/>
                <w:szCs w:val="19"/>
                <w:lang w:eastAsia="en-NZ"/>
              </w:rPr>
              <w:t>.</w:t>
            </w:r>
            <w:r w:rsidR="00115E93" w:rsidRPr="00F61C80">
              <w:rPr>
                <w:sz w:val="19"/>
                <w:szCs w:val="19"/>
              </w:rPr>
              <w:t xml:space="preserve"> </w:t>
            </w:r>
          </w:p>
          <w:p w:rsidR="0082798A" w:rsidRPr="00F61C80" w:rsidRDefault="0097679E" w:rsidP="00F61C80">
            <w:pPr>
              <w:pStyle w:val="TRBodyText"/>
              <w:spacing w:after="120" w:line="240" w:lineRule="auto"/>
              <w:jc w:val="left"/>
              <w:rPr>
                <w:sz w:val="19"/>
                <w:szCs w:val="19"/>
              </w:rPr>
            </w:pPr>
            <w:r w:rsidRPr="00F61C80">
              <w:rPr>
                <w:sz w:val="19"/>
                <w:szCs w:val="19"/>
              </w:rPr>
              <w:t>An impact assessment has been completed within Inland Revenue</w:t>
            </w:r>
            <w:r w:rsidR="000A3C89" w:rsidRPr="00F61C80">
              <w:rPr>
                <w:sz w:val="19"/>
                <w:szCs w:val="19"/>
              </w:rPr>
              <w:t>. This indicates</w:t>
            </w:r>
            <w:r w:rsidRPr="00F61C80">
              <w:rPr>
                <w:sz w:val="19"/>
                <w:szCs w:val="19"/>
              </w:rPr>
              <w:t xml:space="preserve"> that the administrative impacts of this proposal are likely to be minimal.</w:t>
            </w:r>
          </w:p>
        </w:tc>
        <w:tc>
          <w:tcPr>
            <w:tcW w:w="2126" w:type="dxa"/>
            <w:tcBorders>
              <w:top w:val="single" w:sz="4" w:space="0" w:color="auto"/>
              <w:left w:val="single" w:sz="4" w:space="0" w:color="auto"/>
              <w:bottom w:val="single" w:sz="4" w:space="0" w:color="auto"/>
              <w:right w:val="single" w:sz="4" w:space="0" w:color="auto"/>
            </w:tcBorders>
            <w:tcMar>
              <w:bottom w:w="0" w:type="dxa"/>
            </w:tcMar>
            <w:hideMark/>
          </w:tcPr>
          <w:p w:rsidR="000A4678" w:rsidRPr="00F61C80" w:rsidRDefault="000A4678">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sz w:val="19"/>
                <w:szCs w:val="19"/>
                <w:lang w:eastAsia="en-NZ"/>
              </w:rPr>
              <w:t>Direct positive impact on compliance – experience shows once contacted a large proportion of borrowers start to comply.</w:t>
            </w:r>
          </w:p>
          <w:p w:rsidR="000A4678" w:rsidRPr="00F61C80" w:rsidRDefault="000A4678">
            <w:pPr>
              <w:pStyle w:val="Bullet-list"/>
              <w:spacing w:after="0" w:line="240" w:lineRule="auto"/>
              <w:ind w:left="0" w:firstLine="0"/>
              <w:rPr>
                <w:rFonts w:ascii="Times New Roman" w:hAnsi="Times New Roman"/>
                <w:sz w:val="19"/>
                <w:szCs w:val="19"/>
                <w:lang w:eastAsia="en-NZ"/>
              </w:rPr>
            </w:pPr>
          </w:p>
          <w:p w:rsidR="000A4678" w:rsidRPr="00F61C80" w:rsidRDefault="000A4678" w:rsidP="0097679E">
            <w:pPr>
              <w:pStyle w:val="Bullet-list"/>
              <w:spacing w:after="0" w:line="240" w:lineRule="auto"/>
              <w:ind w:left="0" w:firstLine="0"/>
              <w:rPr>
                <w:rFonts w:ascii="Times New Roman" w:hAnsi="Times New Roman"/>
                <w:sz w:val="19"/>
                <w:szCs w:val="19"/>
                <w:lang w:eastAsia="en-NZ"/>
              </w:rPr>
            </w:pPr>
            <w:r w:rsidRPr="00F61C80">
              <w:rPr>
                <w:rFonts w:ascii="Times New Roman" w:hAnsi="Times New Roman"/>
                <w:sz w:val="19"/>
                <w:szCs w:val="19"/>
                <w:lang w:eastAsia="en-NZ"/>
              </w:rPr>
              <w:t>Indirect positive impact on compliance – illustrates that Inland Revenue is able to obtain details on borrowers living in Australia.</w:t>
            </w:r>
          </w:p>
        </w:tc>
        <w:tc>
          <w:tcPr>
            <w:tcW w:w="1843"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pPr>
              <w:pStyle w:val="TRBodyText"/>
              <w:spacing w:after="240" w:line="240" w:lineRule="auto"/>
              <w:jc w:val="left"/>
              <w:rPr>
                <w:sz w:val="19"/>
                <w:szCs w:val="19"/>
              </w:rPr>
            </w:pPr>
            <w:r w:rsidRPr="00F61C80">
              <w:rPr>
                <w:sz w:val="19"/>
                <w:szCs w:val="19"/>
              </w:rPr>
              <w:t>Change in cultural perception – signals to borrowers in Australia that Inland Revenue is able to obtain contact information from ATO.</w:t>
            </w:r>
          </w:p>
        </w:tc>
        <w:tc>
          <w:tcPr>
            <w:tcW w:w="1843"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rsidP="00115E93">
            <w:pPr>
              <w:pStyle w:val="TRBodyText"/>
              <w:spacing w:after="240" w:line="240" w:lineRule="auto"/>
              <w:jc w:val="left"/>
              <w:rPr>
                <w:sz w:val="19"/>
                <w:szCs w:val="19"/>
                <w:lang w:eastAsia="en-NZ"/>
              </w:rPr>
            </w:pPr>
            <w:r w:rsidRPr="00F61C80">
              <w:rPr>
                <w:sz w:val="19"/>
                <w:szCs w:val="19"/>
                <w:lang w:eastAsia="en-NZ"/>
              </w:rPr>
              <w:t xml:space="preserve">An </w:t>
            </w:r>
            <w:r w:rsidR="0033545E" w:rsidRPr="00F61C80">
              <w:rPr>
                <w:sz w:val="19"/>
                <w:szCs w:val="19"/>
                <w:lang w:eastAsia="en-NZ"/>
              </w:rPr>
              <w:t>A</w:t>
            </w:r>
            <w:r w:rsidRPr="00F61C80">
              <w:rPr>
                <w:sz w:val="19"/>
                <w:szCs w:val="19"/>
                <w:lang w:eastAsia="en-NZ"/>
              </w:rPr>
              <w:t>rrangement between Australia and New Zealand would set a precedent in international cooperation for N</w:t>
            </w:r>
            <w:r w:rsidR="000A3C89" w:rsidRPr="00F61C80">
              <w:rPr>
                <w:sz w:val="19"/>
                <w:szCs w:val="19"/>
                <w:lang w:eastAsia="en-NZ"/>
              </w:rPr>
              <w:t xml:space="preserve">ew </w:t>
            </w:r>
            <w:r w:rsidRPr="00F61C80">
              <w:rPr>
                <w:sz w:val="19"/>
                <w:szCs w:val="19"/>
                <w:lang w:eastAsia="en-NZ"/>
              </w:rPr>
              <w:t>Z</w:t>
            </w:r>
            <w:r w:rsidR="000A3C89" w:rsidRPr="00F61C80">
              <w:rPr>
                <w:sz w:val="19"/>
                <w:szCs w:val="19"/>
                <w:lang w:eastAsia="en-NZ"/>
              </w:rPr>
              <w:t>ealand</w:t>
            </w:r>
            <w:r w:rsidRPr="00F61C80">
              <w:rPr>
                <w:sz w:val="19"/>
                <w:szCs w:val="19"/>
                <w:lang w:eastAsia="en-NZ"/>
              </w:rPr>
              <w:t xml:space="preserve"> student loan debt recovery – may prompt other countries to pursue similar agreements with N</w:t>
            </w:r>
            <w:r w:rsidR="000A3C89" w:rsidRPr="00F61C80">
              <w:rPr>
                <w:sz w:val="19"/>
                <w:szCs w:val="19"/>
                <w:lang w:eastAsia="en-NZ"/>
              </w:rPr>
              <w:t xml:space="preserve">ew </w:t>
            </w:r>
            <w:r w:rsidRPr="00F61C80">
              <w:rPr>
                <w:sz w:val="19"/>
                <w:szCs w:val="19"/>
                <w:lang w:eastAsia="en-NZ"/>
              </w:rPr>
              <w:t>Z</w:t>
            </w:r>
            <w:r w:rsidR="000A3C89" w:rsidRPr="00F61C80">
              <w:rPr>
                <w:sz w:val="19"/>
                <w:szCs w:val="19"/>
                <w:lang w:eastAsia="en-NZ"/>
              </w:rPr>
              <w:t>ealand</w:t>
            </w:r>
            <w:r w:rsidRPr="00F61C80">
              <w:rPr>
                <w:sz w:val="19"/>
                <w:szCs w:val="19"/>
                <w:lang w:eastAsia="en-NZ"/>
              </w:rPr>
              <w:t xml:space="preserve">. </w:t>
            </w:r>
          </w:p>
          <w:p w:rsidR="00356228" w:rsidRPr="00F61C80" w:rsidRDefault="00356228" w:rsidP="00115E93">
            <w:pPr>
              <w:pStyle w:val="TRBodyText"/>
              <w:spacing w:after="240" w:line="240" w:lineRule="auto"/>
              <w:jc w:val="left"/>
              <w:rPr>
                <w:sz w:val="19"/>
                <w:szCs w:val="19"/>
              </w:rPr>
            </w:pPr>
          </w:p>
        </w:tc>
        <w:tc>
          <w:tcPr>
            <w:tcW w:w="1984" w:type="dxa"/>
            <w:tcBorders>
              <w:top w:val="single" w:sz="4" w:space="0" w:color="auto"/>
              <w:left w:val="single" w:sz="4" w:space="0" w:color="auto"/>
              <w:bottom w:val="single" w:sz="4" w:space="0" w:color="auto"/>
              <w:right w:val="single" w:sz="4" w:space="0" w:color="auto"/>
            </w:tcBorders>
            <w:tcMar>
              <w:bottom w:w="0" w:type="dxa"/>
            </w:tcMar>
            <w:hideMark/>
          </w:tcPr>
          <w:p w:rsidR="00115E93" w:rsidRPr="00F61C80" w:rsidRDefault="00115E93" w:rsidP="000A3C89">
            <w:pPr>
              <w:pStyle w:val="TRBodyText"/>
              <w:spacing w:line="240" w:lineRule="auto"/>
              <w:jc w:val="left"/>
              <w:rPr>
                <w:sz w:val="19"/>
                <w:szCs w:val="19"/>
              </w:rPr>
            </w:pPr>
            <w:r w:rsidRPr="00F61C80">
              <w:rPr>
                <w:sz w:val="19"/>
                <w:szCs w:val="19"/>
              </w:rPr>
              <w:t>Overall, positive. Will support access to a reliable source of information on student loan borrowers in Australia.</w:t>
            </w:r>
          </w:p>
        </w:tc>
      </w:tr>
    </w:tbl>
    <w:p w:rsidR="00556D93" w:rsidRDefault="00556D93" w:rsidP="00F90B34">
      <w:pPr>
        <w:spacing w:after="0" w:line="240" w:lineRule="auto"/>
        <w:rPr>
          <w:rFonts w:ascii="Verdana" w:hAnsi="Verdana" w:cstheme="minorBidi"/>
          <w:sz w:val="20"/>
          <w:lang w:eastAsia="en-US"/>
        </w:rPr>
      </w:pPr>
    </w:p>
    <w:p w:rsidR="00B86311" w:rsidRDefault="00B86311" w:rsidP="00F90B34">
      <w:pPr>
        <w:spacing w:after="0" w:line="240" w:lineRule="auto"/>
        <w:rPr>
          <w:rFonts w:ascii="Verdana" w:hAnsi="Verdana" w:cstheme="minorBidi"/>
          <w:sz w:val="20"/>
          <w:lang w:eastAsia="en-US"/>
        </w:rPr>
      </w:pPr>
      <w:r>
        <w:rPr>
          <w:rFonts w:ascii="Verdana" w:hAnsi="Verdana" w:cstheme="minorBidi"/>
          <w:sz w:val="20"/>
          <w:lang w:eastAsia="en-US"/>
        </w:rPr>
        <w:t>*</w:t>
      </w:r>
      <w:r w:rsidRPr="00B86311">
        <w:rPr>
          <w:rFonts w:ascii="Times New Roman" w:hAnsi="Times New Roman"/>
          <w:sz w:val="24"/>
          <w:szCs w:val="24"/>
          <w:lang w:val="en-NZ"/>
        </w:rPr>
        <w:t>The Arrangement is able to be easily amended in the future to incorporate reciprocal information sharing. However, there is no explicit provision in the Arrangement to cover information sharing on Australian student loan borrowers in New Zealand.</w:t>
      </w:r>
      <w:r>
        <w:rPr>
          <w:rFonts w:ascii="Verdana" w:hAnsi="Verdana" w:cstheme="minorBidi"/>
          <w:sz w:val="20"/>
          <w:lang w:eastAsia="en-US"/>
        </w:rPr>
        <w:t xml:space="preserve"> </w:t>
      </w:r>
    </w:p>
    <w:p w:rsidR="00B86311" w:rsidRDefault="00B86311" w:rsidP="00F90B34">
      <w:pPr>
        <w:spacing w:after="0" w:line="240" w:lineRule="auto"/>
        <w:rPr>
          <w:rFonts w:ascii="Verdana" w:hAnsi="Verdana" w:cstheme="minorBidi"/>
          <w:sz w:val="20"/>
          <w:lang w:eastAsia="en-US"/>
        </w:rPr>
        <w:sectPr w:rsidR="00B86311" w:rsidSect="00D91B0E">
          <w:headerReference w:type="default" r:id="rId9"/>
          <w:pgSz w:w="16840" w:h="11907" w:orient="landscape" w:code="9"/>
          <w:pgMar w:top="851" w:right="1134" w:bottom="737" w:left="1134" w:header="567" w:footer="227" w:gutter="0"/>
          <w:cols w:space="720"/>
          <w:docGrid w:linePitch="360"/>
        </w:sectPr>
      </w:pPr>
    </w:p>
    <w:p w:rsidR="000545DC" w:rsidRPr="00556D93" w:rsidRDefault="00D943DD" w:rsidP="00F90B34">
      <w:pPr>
        <w:spacing w:before="100" w:beforeAutospacing="1" w:after="100" w:afterAutospacing="1" w:line="240" w:lineRule="auto"/>
        <w:jc w:val="both"/>
        <w:rPr>
          <w:rFonts w:ascii="Times New Roman" w:hAnsi="Times New Roman"/>
          <w:b/>
          <w:sz w:val="24"/>
          <w:szCs w:val="24"/>
        </w:rPr>
      </w:pPr>
      <w:r w:rsidRPr="00556D93">
        <w:rPr>
          <w:rFonts w:ascii="Times New Roman" w:hAnsi="Times New Roman"/>
          <w:b/>
          <w:sz w:val="24"/>
          <w:szCs w:val="24"/>
        </w:rPr>
        <w:t>CONSULTATION</w:t>
      </w:r>
      <w:bookmarkEnd w:id="22"/>
      <w:bookmarkEnd w:id="23"/>
      <w:bookmarkEnd w:id="24"/>
      <w:bookmarkEnd w:id="25"/>
      <w:bookmarkEnd w:id="26"/>
    </w:p>
    <w:bookmarkStart w:id="27" w:name="_Preferred_option_[optional]"/>
    <w:bookmarkStart w:id="28" w:name="_Toc244580367"/>
    <w:bookmarkStart w:id="29" w:name="_Toc244587043"/>
    <w:bookmarkStart w:id="30" w:name="_Toc244857277"/>
    <w:bookmarkStart w:id="31" w:name="_Toc244912542"/>
    <w:bookmarkStart w:id="32" w:name="_Toc244916999"/>
    <w:bookmarkEnd w:id="27"/>
    <w:p w:rsidR="00D943DD"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7D2F9E" w:rsidRPr="00F90B34">
        <w:rPr>
          <w:rFonts w:ascii="Times New Roman" w:hAnsi="Times New Roman"/>
          <w:sz w:val="24"/>
          <w:szCs w:val="24"/>
        </w:rPr>
        <w:t xml:space="preserve">Inland Revenue officials have developed the proposed </w:t>
      </w:r>
      <w:r w:rsidR="000A3C89">
        <w:rPr>
          <w:rFonts w:ascii="Times New Roman" w:hAnsi="Times New Roman"/>
          <w:sz w:val="24"/>
          <w:szCs w:val="24"/>
        </w:rPr>
        <w:t>A</w:t>
      </w:r>
      <w:r w:rsidR="007D2F9E" w:rsidRPr="00F90B34">
        <w:rPr>
          <w:rFonts w:ascii="Times New Roman" w:hAnsi="Times New Roman"/>
          <w:sz w:val="24"/>
          <w:szCs w:val="24"/>
        </w:rPr>
        <w:t xml:space="preserve">rrangement in consultation with the </w:t>
      </w:r>
      <w:r w:rsidR="00681882" w:rsidRPr="00F90B34">
        <w:rPr>
          <w:rFonts w:ascii="Times New Roman" w:hAnsi="Times New Roman"/>
          <w:sz w:val="24"/>
          <w:szCs w:val="24"/>
        </w:rPr>
        <w:t xml:space="preserve">Ministry of Foreign Affairs and Trade, </w:t>
      </w:r>
      <w:r w:rsidR="003472CD">
        <w:rPr>
          <w:rFonts w:ascii="Times New Roman" w:hAnsi="Times New Roman"/>
          <w:sz w:val="24"/>
          <w:szCs w:val="24"/>
        </w:rPr>
        <w:t xml:space="preserve">the </w:t>
      </w:r>
      <w:r w:rsidR="00681882" w:rsidRPr="00F90B34">
        <w:rPr>
          <w:rFonts w:ascii="Times New Roman" w:hAnsi="Times New Roman"/>
          <w:sz w:val="24"/>
          <w:szCs w:val="24"/>
        </w:rPr>
        <w:t xml:space="preserve">Office of the Privacy Commissioner, </w:t>
      </w:r>
      <w:r w:rsidR="000A3C89">
        <w:rPr>
          <w:rFonts w:ascii="Times New Roman" w:hAnsi="Times New Roman"/>
          <w:sz w:val="24"/>
          <w:szCs w:val="24"/>
        </w:rPr>
        <w:t xml:space="preserve">the </w:t>
      </w:r>
      <w:r w:rsidR="00681882" w:rsidRPr="00F90B34">
        <w:rPr>
          <w:rFonts w:ascii="Times New Roman" w:hAnsi="Times New Roman"/>
          <w:sz w:val="24"/>
          <w:szCs w:val="24"/>
        </w:rPr>
        <w:t>A</w:t>
      </w:r>
      <w:r w:rsidR="00584EA0" w:rsidRPr="00F90B34">
        <w:rPr>
          <w:rFonts w:ascii="Times New Roman" w:hAnsi="Times New Roman"/>
          <w:sz w:val="24"/>
          <w:szCs w:val="24"/>
        </w:rPr>
        <w:t>ustralian Treasury and the ATO.</w:t>
      </w:r>
      <w:r w:rsidR="00BD116C" w:rsidRPr="00F90B34">
        <w:rPr>
          <w:rFonts w:ascii="Times New Roman" w:hAnsi="Times New Roman"/>
          <w:sz w:val="24"/>
          <w:szCs w:val="24"/>
        </w:rPr>
        <w:t xml:space="preserve"> </w:t>
      </w:r>
      <w:r w:rsidR="009B4B08">
        <w:rPr>
          <w:rFonts w:ascii="Times New Roman" w:hAnsi="Times New Roman"/>
          <w:sz w:val="24"/>
          <w:szCs w:val="24"/>
        </w:rPr>
        <w:t xml:space="preserve"> </w:t>
      </w:r>
      <w:r w:rsidR="007D2F9E" w:rsidRPr="00F90B34">
        <w:rPr>
          <w:rFonts w:ascii="Times New Roman" w:hAnsi="Times New Roman"/>
          <w:sz w:val="24"/>
          <w:szCs w:val="24"/>
        </w:rPr>
        <w:t xml:space="preserve">The New Zealand Treasury and the Ministry of Education have also been consulted on the proposed information exchange and proposed </w:t>
      </w:r>
      <w:r w:rsidR="00780C67">
        <w:rPr>
          <w:rFonts w:ascii="Times New Roman" w:hAnsi="Times New Roman"/>
          <w:sz w:val="24"/>
          <w:szCs w:val="24"/>
        </w:rPr>
        <w:t>A</w:t>
      </w:r>
      <w:r w:rsidR="007D2F9E" w:rsidRPr="00F90B34">
        <w:rPr>
          <w:rFonts w:ascii="Times New Roman" w:hAnsi="Times New Roman"/>
          <w:sz w:val="24"/>
          <w:szCs w:val="24"/>
        </w:rPr>
        <w:t>rrangement.</w:t>
      </w:r>
    </w:p>
    <w:p w:rsidR="00584EA0"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DF7F48" w:rsidRPr="00F90B34">
        <w:rPr>
          <w:rFonts w:ascii="Times New Roman" w:hAnsi="Times New Roman"/>
          <w:sz w:val="24"/>
          <w:szCs w:val="24"/>
        </w:rPr>
        <w:t>In particular, t</w:t>
      </w:r>
      <w:r w:rsidR="00584EA0" w:rsidRPr="00F90B34">
        <w:rPr>
          <w:rFonts w:ascii="Times New Roman" w:hAnsi="Times New Roman"/>
          <w:sz w:val="24"/>
          <w:szCs w:val="24"/>
        </w:rPr>
        <w:t>he Office of the Privacy Commissioner has been consulted with regards to the privacy impacts</w:t>
      </w:r>
      <w:r w:rsidR="006111DF" w:rsidRPr="00F90B34">
        <w:rPr>
          <w:rFonts w:ascii="Times New Roman" w:hAnsi="Times New Roman"/>
          <w:sz w:val="24"/>
          <w:szCs w:val="24"/>
        </w:rPr>
        <w:t xml:space="preserve"> and relevant information safeguards in the development of the text of the Arrangement. </w:t>
      </w:r>
      <w:r w:rsidR="009B4B08">
        <w:rPr>
          <w:rFonts w:ascii="Times New Roman" w:hAnsi="Times New Roman"/>
          <w:sz w:val="24"/>
          <w:szCs w:val="24"/>
        </w:rPr>
        <w:t xml:space="preserve"> </w:t>
      </w:r>
      <w:r w:rsidR="00584EA0" w:rsidRPr="00F90B34">
        <w:rPr>
          <w:rFonts w:ascii="Times New Roman" w:hAnsi="Times New Roman"/>
          <w:sz w:val="24"/>
          <w:szCs w:val="24"/>
        </w:rPr>
        <w:t>Inland Revenue</w:t>
      </w:r>
      <w:r w:rsidR="007D2F9E" w:rsidRPr="00F90B34">
        <w:rPr>
          <w:rFonts w:ascii="Times New Roman" w:hAnsi="Times New Roman"/>
          <w:sz w:val="24"/>
          <w:szCs w:val="24"/>
        </w:rPr>
        <w:t xml:space="preserve"> officials </w:t>
      </w:r>
      <w:r w:rsidR="00584EA0" w:rsidRPr="00F90B34">
        <w:rPr>
          <w:rFonts w:ascii="Times New Roman" w:hAnsi="Times New Roman"/>
          <w:sz w:val="24"/>
          <w:szCs w:val="24"/>
        </w:rPr>
        <w:t xml:space="preserve">will continue to consult </w:t>
      </w:r>
      <w:r w:rsidR="007D2F9E" w:rsidRPr="00F90B34">
        <w:rPr>
          <w:rFonts w:ascii="Times New Roman" w:hAnsi="Times New Roman"/>
          <w:sz w:val="24"/>
          <w:szCs w:val="24"/>
        </w:rPr>
        <w:t>with the Office of the Privacy Commissioner</w:t>
      </w:r>
      <w:r w:rsidR="00584EA0" w:rsidRPr="00F90B34">
        <w:rPr>
          <w:rFonts w:ascii="Times New Roman" w:hAnsi="Times New Roman"/>
          <w:sz w:val="24"/>
          <w:szCs w:val="24"/>
        </w:rPr>
        <w:t xml:space="preserve"> in the</w:t>
      </w:r>
      <w:r w:rsidR="007D2F9E" w:rsidRPr="00F90B34">
        <w:rPr>
          <w:rFonts w:ascii="Times New Roman" w:hAnsi="Times New Roman"/>
          <w:sz w:val="24"/>
          <w:szCs w:val="24"/>
        </w:rPr>
        <w:t xml:space="preserve"> drafting and preparation</w:t>
      </w:r>
      <w:r w:rsidR="00246488" w:rsidRPr="00F90B34">
        <w:rPr>
          <w:rFonts w:ascii="Times New Roman" w:hAnsi="Times New Roman"/>
          <w:sz w:val="24"/>
          <w:szCs w:val="24"/>
        </w:rPr>
        <w:t xml:space="preserve"> of the </w:t>
      </w:r>
      <w:r w:rsidR="00584EA0" w:rsidRPr="00F90B34">
        <w:rPr>
          <w:rFonts w:ascii="Times New Roman" w:hAnsi="Times New Roman"/>
          <w:sz w:val="24"/>
          <w:szCs w:val="24"/>
        </w:rPr>
        <w:t>legislation</w:t>
      </w:r>
      <w:r w:rsidR="007D2F9E" w:rsidRPr="00F90B34">
        <w:rPr>
          <w:rFonts w:ascii="Times New Roman" w:hAnsi="Times New Roman"/>
          <w:sz w:val="24"/>
          <w:szCs w:val="24"/>
        </w:rPr>
        <w:t xml:space="preserve"> required to implement the information exchange</w:t>
      </w:r>
      <w:r w:rsidR="00584EA0" w:rsidRPr="00F90B34">
        <w:rPr>
          <w:rFonts w:ascii="Times New Roman" w:hAnsi="Times New Roman"/>
          <w:sz w:val="24"/>
          <w:szCs w:val="24"/>
        </w:rPr>
        <w:t>.</w:t>
      </w:r>
    </w:p>
    <w:p w:rsidR="00DF7F48"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DF7F48" w:rsidRPr="00F90B34">
        <w:rPr>
          <w:rFonts w:ascii="Times New Roman" w:hAnsi="Times New Roman"/>
          <w:sz w:val="24"/>
          <w:szCs w:val="24"/>
        </w:rPr>
        <w:t xml:space="preserve">The Australian </w:t>
      </w:r>
      <w:r w:rsidR="00C93AC1">
        <w:rPr>
          <w:rFonts w:ascii="Times New Roman" w:hAnsi="Times New Roman"/>
          <w:sz w:val="24"/>
          <w:szCs w:val="24"/>
        </w:rPr>
        <w:t>and</w:t>
      </w:r>
      <w:r w:rsidR="00DF7F48" w:rsidRPr="00F90B34">
        <w:rPr>
          <w:rFonts w:ascii="Times New Roman" w:hAnsi="Times New Roman"/>
          <w:sz w:val="24"/>
          <w:szCs w:val="24"/>
        </w:rPr>
        <w:t xml:space="preserve"> </w:t>
      </w:r>
      <w:r w:rsidR="00F91535">
        <w:rPr>
          <w:rFonts w:ascii="Times New Roman" w:hAnsi="Times New Roman"/>
          <w:sz w:val="24"/>
          <w:szCs w:val="24"/>
        </w:rPr>
        <w:t>l</w:t>
      </w:r>
      <w:r w:rsidR="00DF7F48" w:rsidRPr="00F90B34">
        <w:rPr>
          <w:rFonts w:ascii="Times New Roman" w:hAnsi="Times New Roman"/>
          <w:sz w:val="24"/>
          <w:szCs w:val="24"/>
        </w:rPr>
        <w:t xml:space="preserve">egal </w:t>
      </w:r>
      <w:r w:rsidR="00C93AC1" w:rsidRPr="00F90B34">
        <w:rPr>
          <w:rFonts w:ascii="Times New Roman" w:hAnsi="Times New Roman"/>
          <w:sz w:val="24"/>
          <w:szCs w:val="24"/>
        </w:rPr>
        <w:t>d</w:t>
      </w:r>
      <w:r w:rsidR="00C93AC1">
        <w:rPr>
          <w:rFonts w:ascii="Times New Roman" w:hAnsi="Times New Roman"/>
          <w:sz w:val="24"/>
          <w:szCs w:val="24"/>
        </w:rPr>
        <w:t>ivisions</w:t>
      </w:r>
      <w:r w:rsidR="00C93AC1" w:rsidRPr="00F90B34">
        <w:rPr>
          <w:rFonts w:ascii="Times New Roman" w:hAnsi="Times New Roman"/>
          <w:sz w:val="24"/>
          <w:szCs w:val="24"/>
        </w:rPr>
        <w:t xml:space="preserve"> </w:t>
      </w:r>
      <w:r w:rsidR="006661F6" w:rsidRPr="00F90B34">
        <w:rPr>
          <w:rFonts w:ascii="Times New Roman" w:hAnsi="Times New Roman"/>
          <w:sz w:val="24"/>
          <w:szCs w:val="24"/>
        </w:rPr>
        <w:t xml:space="preserve">of the Ministry of Foreign Affairs and Trade </w:t>
      </w:r>
      <w:r w:rsidR="00DF7F48" w:rsidRPr="00F90B34">
        <w:rPr>
          <w:rFonts w:ascii="Times New Roman" w:hAnsi="Times New Roman"/>
          <w:sz w:val="24"/>
          <w:szCs w:val="24"/>
        </w:rPr>
        <w:t>have been consulted extensively with regards to the</w:t>
      </w:r>
      <w:r w:rsidR="006661F6" w:rsidRPr="00F90B34">
        <w:rPr>
          <w:rFonts w:ascii="Times New Roman" w:hAnsi="Times New Roman"/>
          <w:sz w:val="24"/>
          <w:szCs w:val="24"/>
        </w:rPr>
        <w:t xml:space="preserve"> most</w:t>
      </w:r>
      <w:r w:rsidR="00DF7F48" w:rsidRPr="00F90B34">
        <w:rPr>
          <w:rFonts w:ascii="Times New Roman" w:hAnsi="Times New Roman"/>
          <w:sz w:val="24"/>
          <w:szCs w:val="24"/>
        </w:rPr>
        <w:t xml:space="preserve"> appropriate international instrument to bring the information exchange into effect. </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CONCLUSIONS AND RECOMMENDATIONS</w:t>
      </w:r>
      <w:bookmarkEnd w:id="28"/>
      <w:bookmarkEnd w:id="29"/>
      <w:bookmarkEnd w:id="30"/>
      <w:bookmarkEnd w:id="31"/>
      <w:bookmarkEnd w:id="32"/>
    </w:p>
    <w:bookmarkStart w:id="33" w:name="_Toc244580368"/>
    <w:bookmarkStart w:id="34" w:name="_Toc244587044"/>
    <w:bookmarkStart w:id="35" w:name="_Toc244857278"/>
    <w:bookmarkStart w:id="36" w:name="_Toc244912543"/>
    <w:bookmarkStart w:id="37" w:name="_Toc244917000"/>
    <w:p w:rsidR="00BA38A9"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BA38A9" w:rsidRPr="00F90B34">
        <w:rPr>
          <w:rFonts w:ascii="Times New Roman" w:hAnsi="Times New Roman"/>
          <w:sz w:val="24"/>
          <w:szCs w:val="24"/>
        </w:rPr>
        <w:t>Inland Revenue’s recommendation is</w:t>
      </w:r>
      <w:r w:rsidR="00D24EEA" w:rsidRPr="00F90B34">
        <w:rPr>
          <w:rFonts w:ascii="Times New Roman" w:hAnsi="Times New Roman"/>
          <w:sz w:val="24"/>
          <w:szCs w:val="24"/>
        </w:rPr>
        <w:t xml:space="preserve"> for </w:t>
      </w:r>
      <w:r w:rsidR="008536A2" w:rsidRPr="00F90B34">
        <w:rPr>
          <w:rFonts w:ascii="Times New Roman" w:hAnsi="Times New Roman"/>
          <w:sz w:val="24"/>
          <w:szCs w:val="24"/>
        </w:rPr>
        <w:t xml:space="preserve">the Commissioner of </w:t>
      </w:r>
      <w:r w:rsidR="00D24EEA" w:rsidRPr="00F90B34">
        <w:rPr>
          <w:rFonts w:ascii="Times New Roman" w:hAnsi="Times New Roman"/>
          <w:sz w:val="24"/>
          <w:szCs w:val="24"/>
        </w:rPr>
        <w:t>Inland Revenue to enter into an Arrangement with the</w:t>
      </w:r>
      <w:r w:rsidR="008536A2" w:rsidRPr="00F90B34">
        <w:rPr>
          <w:rFonts w:ascii="Times New Roman" w:hAnsi="Times New Roman"/>
          <w:sz w:val="24"/>
          <w:szCs w:val="24"/>
        </w:rPr>
        <w:t xml:space="preserve"> Commissioner of Taxation (Australia)</w:t>
      </w:r>
      <w:r w:rsidR="00D24EEA" w:rsidRPr="00F90B34">
        <w:rPr>
          <w:rFonts w:ascii="Times New Roman" w:hAnsi="Times New Roman"/>
          <w:sz w:val="24"/>
          <w:szCs w:val="24"/>
        </w:rPr>
        <w:t xml:space="preserve">. </w:t>
      </w:r>
      <w:r w:rsidR="009B4B08">
        <w:rPr>
          <w:rFonts w:ascii="Times New Roman" w:hAnsi="Times New Roman"/>
          <w:sz w:val="24"/>
          <w:szCs w:val="24"/>
        </w:rPr>
        <w:t xml:space="preserve"> </w:t>
      </w:r>
      <w:r w:rsidR="00D24EEA" w:rsidRPr="00F90B34">
        <w:rPr>
          <w:rFonts w:ascii="Times New Roman" w:hAnsi="Times New Roman"/>
          <w:sz w:val="24"/>
          <w:szCs w:val="24"/>
        </w:rPr>
        <w:t xml:space="preserve">This option meets </w:t>
      </w:r>
      <w:r w:rsidR="003472CD">
        <w:rPr>
          <w:rFonts w:ascii="Times New Roman" w:hAnsi="Times New Roman"/>
          <w:sz w:val="24"/>
          <w:szCs w:val="24"/>
        </w:rPr>
        <w:t xml:space="preserve">all of </w:t>
      </w:r>
      <w:r w:rsidR="00D24EEA" w:rsidRPr="00F90B34">
        <w:rPr>
          <w:rFonts w:ascii="Times New Roman" w:hAnsi="Times New Roman"/>
          <w:sz w:val="24"/>
          <w:szCs w:val="24"/>
        </w:rPr>
        <w:t>the objectives outlined above.</w:t>
      </w:r>
    </w:p>
    <w:p w:rsidR="00BA38A9"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780C67">
        <w:rPr>
          <w:rFonts w:ascii="Times New Roman" w:hAnsi="Times New Roman"/>
          <w:sz w:val="24"/>
          <w:szCs w:val="24"/>
        </w:rPr>
        <w:t>The</w:t>
      </w:r>
      <w:r w:rsidR="00BA38A9" w:rsidRPr="00F90B34">
        <w:rPr>
          <w:rFonts w:ascii="Times New Roman" w:hAnsi="Times New Roman"/>
          <w:sz w:val="24"/>
          <w:szCs w:val="24"/>
        </w:rPr>
        <w:t xml:space="preserve"> </w:t>
      </w:r>
      <w:r w:rsidR="00F774C1">
        <w:rPr>
          <w:rFonts w:ascii="Times New Roman" w:hAnsi="Times New Roman"/>
          <w:sz w:val="24"/>
          <w:szCs w:val="24"/>
        </w:rPr>
        <w:t>A</w:t>
      </w:r>
      <w:r w:rsidR="00BA38A9" w:rsidRPr="00F90B34">
        <w:rPr>
          <w:rFonts w:ascii="Times New Roman" w:hAnsi="Times New Roman"/>
          <w:sz w:val="24"/>
          <w:szCs w:val="24"/>
        </w:rPr>
        <w:t>rrangement solidifies the intention for Australia to assist New Zealand in the recovery of its student loan debt through an information</w:t>
      </w:r>
      <w:r w:rsidR="00EE5D40">
        <w:rPr>
          <w:rFonts w:ascii="Times New Roman" w:hAnsi="Times New Roman"/>
          <w:sz w:val="24"/>
          <w:szCs w:val="24"/>
        </w:rPr>
        <w:t>-</w:t>
      </w:r>
      <w:r w:rsidR="00BA38A9" w:rsidRPr="00F90B34">
        <w:rPr>
          <w:rFonts w:ascii="Times New Roman" w:hAnsi="Times New Roman"/>
          <w:sz w:val="24"/>
          <w:szCs w:val="24"/>
        </w:rPr>
        <w:t>exchange facility</w:t>
      </w:r>
      <w:r w:rsidR="00857D15" w:rsidRPr="00F90B34">
        <w:rPr>
          <w:rFonts w:ascii="Times New Roman" w:hAnsi="Times New Roman"/>
          <w:sz w:val="24"/>
          <w:szCs w:val="24"/>
        </w:rPr>
        <w:t xml:space="preserve"> (objective (b))</w:t>
      </w:r>
      <w:r w:rsidR="00BA38A9" w:rsidRPr="00F90B34">
        <w:rPr>
          <w:rFonts w:ascii="Times New Roman" w:hAnsi="Times New Roman"/>
          <w:sz w:val="24"/>
          <w:szCs w:val="24"/>
        </w:rPr>
        <w:t>.</w:t>
      </w:r>
    </w:p>
    <w:p w:rsidR="00857D15"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BA38A9" w:rsidRPr="00F90B34">
        <w:rPr>
          <w:rFonts w:ascii="Times New Roman" w:hAnsi="Times New Roman"/>
          <w:sz w:val="24"/>
          <w:szCs w:val="24"/>
        </w:rPr>
        <w:t xml:space="preserve">The status of </w:t>
      </w:r>
      <w:r w:rsidR="00F91535">
        <w:rPr>
          <w:rFonts w:ascii="Times New Roman" w:hAnsi="Times New Roman"/>
          <w:sz w:val="24"/>
          <w:szCs w:val="24"/>
        </w:rPr>
        <w:t xml:space="preserve">the </w:t>
      </w:r>
      <w:r w:rsidR="00F774C1">
        <w:rPr>
          <w:rFonts w:ascii="Times New Roman" w:hAnsi="Times New Roman"/>
          <w:sz w:val="24"/>
          <w:szCs w:val="24"/>
        </w:rPr>
        <w:t>A</w:t>
      </w:r>
      <w:r w:rsidR="00BA38A9" w:rsidRPr="00F90B34">
        <w:rPr>
          <w:rFonts w:ascii="Times New Roman" w:hAnsi="Times New Roman"/>
          <w:sz w:val="24"/>
          <w:szCs w:val="24"/>
        </w:rPr>
        <w:t>rrangement allows the exchange of information to become operational pending the enactment of legislation to allow information to be shared between Australia and New Zealand for this purpose.</w:t>
      </w:r>
      <w:r w:rsidR="00857D15" w:rsidRPr="00F90B34">
        <w:rPr>
          <w:rFonts w:ascii="Times New Roman" w:hAnsi="Times New Roman"/>
          <w:sz w:val="24"/>
          <w:szCs w:val="24"/>
        </w:rPr>
        <w:t xml:space="preserve"> The information</w:t>
      </w:r>
      <w:r w:rsidR="00EE5D40">
        <w:rPr>
          <w:rFonts w:ascii="Times New Roman" w:hAnsi="Times New Roman"/>
          <w:sz w:val="24"/>
          <w:szCs w:val="24"/>
        </w:rPr>
        <w:t>-</w:t>
      </w:r>
      <w:r w:rsidR="00857D15" w:rsidRPr="00F90B34">
        <w:rPr>
          <w:rFonts w:ascii="Times New Roman" w:hAnsi="Times New Roman"/>
          <w:sz w:val="24"/>
          <w:szCs w:val="24"/>
        </w:rPr>
        <w:t>exchange mechanism is expected to become operational in the second half of 2016 (objective (d)).</w:t>
      </w:r>
    </w:p>
    <w:p w:rsidR="00F774C1" w:rsidRPr="00F90B34" w:rsidRDefault="00F774C1"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001466FB">
        <w:rPr>
          <w:rFonts w:ascii="Times New Roman" w:hAnsi="Times New Roman"/>
          <w:sz w:val="24"/>
          <w:szCs w:val="24"/>
        </w:rPr>
        <w:tab/>
      </w:r>
      <w:r>
        <w:rPr>
          <w:rFonts w:ascii="Times New Roman" w:hAnsi="Times New Roman"/>
          <w:sz w:val="24"/>
          <w:szCs w:val="24"/>
        </w:rPr>
        <w:t>The Arrangement supports a one-way information exchange between Australia and New Zealand to assist New Zealand in the recovery of its student loan debt held in Australia. However, the natu</w:t>
      </w:r>
      <w:r w:rsidR="003A761F">
        <w:rPr>
          <w:rFonts w:ascii="Times New Roman" w:hAnsi="Times New Roman"/>
          <w:sz w:val="24"/>
          <w:szCs w:val="24"/>
        </w:rPr>
        <w:t xml:space="preserve">re of an Arrangement means that it </w:t>
      </w:r>
      <w:r w:rsidR="00F91535">
        <w:rPr>
          <w:rFonts w:ascii="Times New Roman" w:hAnsi="Times New Roman"/>
          <w:sz w:val="24"/>
          <w:szCs w:val="24"/>
        </w:rPr>
        <w:t xml:space="preserve">is </w:t>
      </w:r>
      <w:r w:rsidR="003A761F">
        <w:rPr>
          <w:rFonts w:ascii="Times New Roman" w:hAnsi="Times New Roman"/>
          <w:sz w:val="24"/>
          <w:szCs w:val="24"/>
        </w:rPr>
        <w:t xml:space="preserve">able to be amended in the future for the purpose of supporting a reciprocal information exchange (objective (e)). </w:t>
      </w:r>
      <w:r>
        <w:rPr>
          <w:rFonts w:ascii="Times New Roman" w:hAnsi="Times New Roman"/>
          <w:sz w:val="24"/>
          <w:szCs w:val="24"/>
        </w:rPr>
        <w:t xml:space="preserve"> </w:t>
      </w:r>
    </w:p>
    <w:p w:rsidR="00BA38A9"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FD56AD" w:rsidRPr="00F90B34">
        <w:rPr>
          <w:rFonts w:ascii="Times New Roman" w:hAnsi="Times New Roman"/>
          <w:sz w:val="24"/>
          <w:szCs w:val="24"/>
        </w:rPr>
        <w:t>This service is to be provided on a cost</w:t>
      </w:r>
      <w:r w:rsidR="00F91535">
        <w:rPr>
          <w:rFonts w:ascii="Times New Roman" w:hAnsi="Times New Roman"/>
          <w:sz w:val="24"/>
          <w:szCs w:val="24"/>
        </w:rPr>
        <w:t>-</w:t>
      </w:r>
      <w:r w:rsidR="00FD56AD" w:rsidRPr="00F90B34">
        <w:rPr>
          <w:rFonts w:ascii="Times New Roman" w:hAnsi="Times New Roman"/>
          <w:sz w:val="24"/>
          <w:szCs w:val="24"/>
        </w:rPr>
        <w:t>recovery basis</w:t>
      </w:r>
      <w:r w:rsidR="00FD56AD">
        <w:rPr>
          <w:rFonts w:ascii="Times New Roman" w:hAnsi="Times New Roman"/>
          <w:sz w:val="24"/>
          <w:szCs w:val="24"/>
        </w:rPr>
        <w:t>.</w:t>
      </w:r>
      <w:r w:rsidR="00FD56AD" w:rsidRPr="00F90B34">
        <w:rPr>
          <w:rFonts w:ascii="Times New Roman" w:hAnsi="Times New Roman"/>
          <w:sz w:val="24"/>
          <w:szCs w:val="24"/>
        </w:rPr>
        <w:t xml:space="preserve"> </w:t>
      </w:r>
      <w:r w:rsidR="00857D15" w:rsidRPr="00F90B34">
        <w:rPr>
          <w:rFonts w:ascii="Times New Roman" w:hAnsi="Times New Roman"/>
          <w:sz w:val="24"/>
          <w:szCs w:val="24"/>
        </w:rPr>
        <w:t>Australian officials have provided Inland Revenue with an indicative cost of $1,143,600 (AUD) over five years.</w:t>
      </w:r>
      <w:r w:rsidR="009B4B08">
        <w:rPr>
          <w:rFonts w:ascii="Times New Roman" w:hAnsi="Times New Roman"/>
          <w:sz w:val="24"/>
          <w:szCs w:val="24"/>
        </w:rPr>
        <w:t xml:space="preserve"> </w:t>
      </w:r>
      <w:r w:rsidR="00857D15" w:rsidRPr="00F90B34">
        <w:rPr>
          <w:rFonts w:ascii="Times New Roman" w:hAnsi="Times New Roman"/>
          <w:sz w:val="24"/>
          <w:szCs w:val="24"/>
        </w:rPr>
        <w:t xml:space="preserve"> The results of the test match indicate that the ATO is a reliable source of </w:t>
      </w:r>
      <w:r w:rsidR="004241B5" w:rsidRPr="00F90B34">
        <w:rPr>
          <w:rFonts w:ascii="Times New Roman" w:hAnsi="Times New Roman"/>
          <w:sz w:val="24"/>
          <w:szCs w:val="24"/>
        </w:rPr>
        <w:t>information on N</w:t>
      </w:r>
      <w:r w:rsidR="00EE5D40">
        <w:rPr>
          <w:rFonts w:ascii="Times New Roman" w:hAnsi="Times New Roman"/>
          <w:sz w:val="24"/>
          <w:szCs w:val="24"/>
        </w:rPr>
        <w:t xml:space="preserve">ew </w:t>
      </w:r>
      <w:r w:rsidR="004241B5" w:rsidRPr="00F90B34">
        <w:rPr>
          <w:rFonts w:ascii="Times New Roman" w:hAnsi="Times New Roman"/>
          <w:sz w:val="24"/>
          <w:szCs w:val="24"/>
        </w:rPr>
        <w:t>Z</w:t>
      </w:r>
      <w:r w:rsidR="00EE5D40">
        <w:rPr>
          <w:rFonts w:ascii="Times New Roman" w:hAnsi="Times New Roman"/>
          <w:sz w:val="24"/>
          <w:szCs w:val="24"/>
        </w:rPr>
        <w:t>ealand</w:t>
      </w:r>
      <w:r w:rsidR="004241B5" w:rsidRPr="00F90B34">
        <w:rPr>
          <w:rFonts w:ascii="Times New Roman" w:hAnsi="Times New Roman"/>
          <w:sz w:val="24"/>
          <w:szCs w:val="24"/>
        </w:rPr>
        <w:t xml:space="preserve"> borrowers based in Australia (objective (c)).</w:t>
      </w:r>
      <w:r w:rsidR="00BA38A9" w:rsidRPr="00F90B34">
        <w:rPr>
          <w:rFonts w:ascii="Times New Roman" w:hAnsi="Times New Roman"/>
          <w:sz w:val="24"/>
          <w:szCs w:val="24"/>
        </w:rPr>
        <w:t xml:space="preserve"> </w:t>
      </w:r>
    </w:p>
    <w:p w:rsidR="00D943DD"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DF6710" w:rsidRPr="00F90B34">
        <w:rPr>
          <w:rFonts w:ascii="Times New Roman" w:hAnsi="Times New Roman"/>
          <w:sz w:val="24"/>
          <w:szCs w:val="24"/>
        </w:rPr>
        <w:t xml:space="preserve">Entering into an </w:t>
      </w:r>
      <w:r w:rsidR="00F91535">
        <w:rPr>
          <w:rFonts w:ascii="Times New Roman" w:hAnsi="Times New Roman"/>
          <w:sz w:val="24"/>
          <w:szCs w:val="24"/>
        </w:rPr>
        <w:t>A</w:t>
      </w:r>
      <w:r w:rsidR="00DF6710" w:rsidRPr="00F90B34">
        <w:rPr>
          <w:rFonts w:ascii="Times New Roman" w:hAnsi="Times New Roman"/>
          <w:sz w:val="24"/>
          <w:szCs w:val="24"/>
        </w:rPr>
        <w:t>rrangement is considered to be</w:t>
      </w:r>
      <w:r w:rsidR="00D24EEA" w:rsidRPr="00F90B34">
        <w:rPr>
          <w:rFonts w:ascii="Times New Roman" w:hAnsi="Times New Roman"/>
          <w:sz w:val="24"/>
          <w:szCs w:val="24"/>
        </w:rPr>
        <w:t xml:space="preserve"> preferable to the status quo because </w:t>
      </w:r>
      <w:r w:rsidR="00860305" w:rsidRPr="00F90B34">
        <w:rPr>
          <w:rFonts w:ascii="Times New Roman" w:hAnsi="Times New Roman"/>
          <w:sz w:val="24"/>
          <w:szCs w:val="24"/>
        </w:rPr>
        <w:t>it ultimately supports an information exchange with the ATO to assist in the recovery of N</w:t>
      </w:r>
      <w:r w:rsidR="00EE5D40">
        <w:rPr>
          <w:rFonts w:ascii="Times New Roman" w:hAnsi="Times New Roman"/>
          <w:sz w:val="24"/>
          <w:szCs w:val="24"/>
        </w:rPr>
        <w:t xml:space="preserve">ew </w:t>
      </w:r>
      <w:r w:rsidR="00860305" w:rsidRPr="00F90B34">
        <w:rPr>
          <w:rFonts w:ascii="Times New Roman" w:hAnsi="Times New Roman"/>
          <w:sz w:val="24"/>
          <w:szCs w:val="24"/>
        </w:rPr>
        <w:t>Z</w:t>
      </w:r>
      <w:r w:rsidR="00EE5D40">
        <w:rPr>
          <w:rFonts w:ascii="Times New Roman" w:hAnsi="Times New Roman"/>
          <w:sz w:val="24"/>
          <w:szCs w:val="24"/>
        </w:rPr>
        <w:t>ealand</w:t>
      </w:r>
      <w:r w:rsidR="00860305" w:rsidRPr="00F90B34">
        <w:rPr>
          <w:rFonts w:ascii="Times New Roman" w:hAnsi="Times New Roman"/>
          <w:sz w:val="24"/>
          <w:szCs w:val="24"/>
        </w:rPr>
        <w:t xml:space="preserve"> student loan debt (objective (a)), while the status quo does not support this.</w:t>
      </w:r>
      <w:r w:rsidR="00D24EEA" w:rsidRPr="00F90B34">
        <w:rPr>
          <w:rFonts w:ascii="Times New Roman" w:hAnsi="Times New Roman"/>
          <w:sz w:val="24"/>
          <w:szCs w:val="24"/>
        </w:rPr>
        <w:t xml:space="preserve"> </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IMPLEMENTATION</w:t>
      </w:r>
      <w:bookmarkEnd w:id="33"/>
      <w:bookmarkEnd w:id="34"/>
      <w:bookmarkEnd w:id="35"/>
      <w:bookmarkEnd w:id="36"/>
      <w:bookmarkEnd w:id="37"/>
      <w:r w:rsidRPr="00556D93">
        <w:rPr>
          <w:rFonts w:ascii="Times New Roman" w:hAnsi="Times New Roman"/>
          <w:b/>
          <w:sz w:val="24"/>
          <w:szCs w:val="24"/>
        </w:rPr>
        <w:t xml:space="preserve"> </w:t>
      </w:r>
    </w:p>
    <w:bookmarkStart w:id="38" w:name="_Toc244580369"/>
    <w:bookmarkStart w:id="39" w:name="_Toc244587045"/>
    <w:bookmarkStart w:id="40" w:name="_Toc244857279"/>
    <w:bookmarkStart w:id="41" w:name="_Toc244912544"/>
    <w:bookmarkStart w:id="42" w:name="_Toc244917001"/>
    <w:p w:rsidR="00AD1BAF"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AD1BAF" w:rsidRPr="00F90B34">
        <w:rPr>
          <w:rFonts w:ascii="Times New Roman" w:hAnsi="Times New Roman"/>
          <w:sz w:val="24"/>
          <w:szCs w:val="24"/>
        </w:rPr>
        <w:t xml:space="preserve">The Arrangement is required to be signed by the Commissioner of Inland Revenue and the Commissioner of the Australian Taxation Office. </w:t>
      </w:r>
    </w:p>
    <w:p w:rsidR="00AD1BAF"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AD1BAF" w:rsidRPr="00F90B34">
        <w:rPr>
          <w:rFonts w:ascii="Times New Roman" w:hAnsi="Times New Roman"/>
          <w:sz w:val="24"/>
          <w:szCs w:val="24"/>
        </w:rPr>
        <w:t>In order for the exchange of information facility to be operational, legislation will need to be passed in both Australia and New Zealand to allow for the relevant sharing of information.</w:t>
      </w:r>
      <w:r w:rsidR="009B4B08">
        <w:rPr>
          <w:rFonts w:ascii="Times New Roman" w:hAnsi="Times New Roman"/>
          <w:sz w:val="24"/>
          <w:szCs w:val="24"/>
        </w:rPr>
        <w:t xml:space="preserve"> </w:t>
      </w:r>
      <w:r w:rsidR="00AD1BAF" w:rsidRPr="00F90B34">
        <w:rPr>
          <w:rFonts w:ascii="Times New Roman" w:hAnsi="Times New Roman"/>
          <w:sz w:val="24"/>
          <w:szCs w:val="24"/>
        </w:rPr>
        <w:t xml:space="preserve"> </w:t>
      </w:r>
      <w:r w:rsidR="00FD56AD">
        <w:rPr>
          <w:rFonts w:ascii="Times New Roman" w:hAnsi="Times New Roman"/>
          <w:sz w:val="24"/>
          <w:szCs w:val="24"/>
        </w:rPr>
        <w:t>In New Zealand, legislative amendments would</w:t>
      </w:r>
      <w:r w:rsidR="00C93AC1">
        <w:rPr>
          <w:rFonts w:ascii="Times New Roman" w:hAnsi="Times New Roman"/>
          <w:sz w:val="24"/>
          <w:szCs w:val="24"/>
        </w:rPr>
        <w:t xml:space="preserve"> need to</w:t>
      </w:r>
      <w:r w:rsidR="00FD56AD">
        <w:rPr>
          <w:rFonts w:ascii="Times New Roman" w:hAnsi="Times New Roman"/>
          <w:sz w:val="24"/>
          <w:szCs w:val="24"/>
        </w:rPr>
        <w:t xml:space="preserve"> be made to </w:t>
      </w:r>
      <w:r w:rsidR="0098237E">
        <w:rPr>
          <w:rFonts w:ascii="Times New Roman" w:hAnsi="Times New Roman"/>
          <w:sz w:val="24"/>
          <w:szCs w:val="24"/>
        </w:rPr>
        <w:t xml:space="preserve">secrecy provisions in </w:t>
      </w:r>
      <w:r w:rsidR="00FD56AD">
        <w:rPr>
          <w:rFonts w:ascii="Times New Roman" w:hAnsi="Times New Roman"/>
          <w:sz w:val="24"/>
          <w:szCs w:val="24"/>
        </w:rPr>
        <w:t xml:space="preserve">the </w:t>
      </w:r>
      <w:r w:rsidR="0098237E">
        <w:rPr>
          <w:rFonts w:ascii="Times New Roman" w:hAnsi="Times New Roman"/>
          <w:sz w:val="24"/>
          <w:szCs w:val="24"/>
        </w:rPr>
        <w:t>Tax Administration</w:t>
      </w:r>
      <w:r w:rsidR="00FD56AD">
        <w:rPr>
          <w:rFonts w:ascii="Times New Roman" w:hAnsi="Times New Roman"/>
          <w:sz w:val="24"/>
          <w:szCs w:val="24"/>
        </w:rPr>
        <w:t xml:space="preserve"> Act 19</w:t>
      </w:r>
      <w:r w:rsidR="0098237E">
        <w:rPr>
          <w:rFonts w:ascii="Times New Roman" w:hAnsi="Times New Roman"/>
          <w:sz w:val="24"/>
          <w:szCs w:val="24"/>
        </w:rPr>
        <w:t>94</w:t>
      </w:r>
      <w:r w:rsidR="00FD56AD">
        <w:rPr>
          <w:rFonts w:ascii="Times New Roman" w:hAnsi="Times New Roman"/>
          <w:sz w:val="24"/>
          <w:szCs w:val="24"/>
        </w:rPr>
        <w:t>.</w:t>
      </w:r>
      <w:r w:rsidR="009B4B08">
        <w:rPr>
          <w:rFonts w:ascii="Times New Roman" w:hAnsi="Times New Roman"/>
          <w:sz w:val="24"/>
          <w:szCs w:val="24"/>
        </w:rPr>
        <w:t xml:space="preserve"> </w:t>
      </w:r>
      <w:r w:rsidR="00FD56AD">
        <w:rPr>
          <w:rFonts w:ascii="Times New Roman" w:hAnsi="Times New Roman"/>
          <w:sz w:val="24"/>
          <w:szCs w:val="24"/>
        </w:rPr>
        <w:t xml:space="preserve"> </w:t>
      </w:r>
      <w:r w:rsidR="00F91535">
        <w:rPr>
          <w:rFonts w:ascii="Times New Roman" w:hAnsi="Times New Roman"/>
          <w:sz w:val="24"/>
          <w:szCs w:val="24"/>
        </w:rPr>
        <w:t>F</w:t>
      </w:r>
      <w:r w:rsidR="0082798A">
        <w:rPr>
          <w:rFonts w:ascii="Times New Roman" w:hAnsi="Times New Roman"/>
          <w:sz w:val="24"/>
          <w:szCs w:val="24"/>
        </w:rPr>
        <w:t xml:space="preserve">urther amendments </w:t>
      </w:r>
      <w:r w:rsidR="00C93AC1">
        <w:rPr>
          <w:rFonts w:ascii="Times New Roman" w:hAnsi="Times New Roman"/>
          <w:sz w:val="24"/>
          <w:szCs w:val="24"/>
        </w:rPr>
        <w:t xml:space="preserve">would </w:t>
      </w:r>
      <w:r w:rsidR="0082798A">
        <w:rPr>
          <w:rFonts w:ascii="Times New Roman" w:hAnsi="Times New Roman"/>
          <w:sz w:val="24"/>
          <w:szCs w:val="24"/>
        </w:rPr>
        <w:t>be required</w:t>
      </w:r>
      <w:r w:rsidR="00F91535">
        <w:rPr>
          <w:rFonts w:ascii="Times New Roman" w:hAnsi="Times New Roman"/>
          <w:sz w:val="24"/>
          <w:szCs w:val="24"/>
        </w:rPr>
        <w:t>,</w:t>
      </w:r>
      <w:r w:rsidR="0082798A">
        <w:rPr>
          <w:rFonts w:ascii="Times New Roman" w:hAnsi="Times New Roman"/>
          <w:sz w:val="24"/>
          <w:szCs w:val="24"/>
        </w:rPr>
        <w:t xml:space="preserve"> which could be included in either the Tax Administration Act 1994 or the Student Loan Scheme Act 2011.</w:t>
      </w:r>
      <w:r w:rsidR="00F91535">
        <w:rPr>
          <w:rFonts w:ascii="Times New Roman" w:hAnsi="Times New Roman"/>
          <w:sz w:val="24"/>
          <w:szCs w:val="24"/>
        </w:rPr>
        <w:t xml:space="preserve"> </w:t>
      </w:r>
      <w:r w:rsidR="00FD56AD">
        <w:rPr>
          <w:rFonts w:ascii="Times New Roman" w:hAnsi="Times New Roman"/>
          <w:sz w:val="24"/>
          <w:szCs w:val="24"/>
        </w:rPr>
        <w:t>Those</w:t>
      </w:r>
      <w:r w:rsidR="00AD1BAF" w:rsidRPr="00F90B34">
        <w:rPr>
          <w:rFonts w:ascii="Times New Roman" w:hAnsi="Times New Roman"/>
          <w:sz w:val="24"/>
          <w:szCs w:val="24"/>
        </w:rPr>
        <w:t xml:space="preserve"> amendments could be included in a </w:t>
      </w:r>
      <w:r w:rsidR="00F91535">
        <w:rPr>
          <w:rFonts w:ascii="Times New Roman" w:hAnsi="Times New Roman"/>
          <w:sz w:val="24"/>
          <w:szCs w:val="24"/>
        </w:rPr>
        <w:t>s</w:t>
      </w:r>
      <w:r w:rsidR="00AD1BAF" w:rsidRPr="00F90B34">
        <w:rPr>
          <w:rFonts w:ascii="Times New Roman" w:hAnsi="Times New Roman"/>
          <w:sz w:val="24"/>
          <w:szCs w:val="24"/>
        </w:rPr>
        <w:t xml:space="preserve">tudent </w:t>
      </w:r>
      <w:r w:rsidR="00F91535">
        <w:rPr>
          <w:rFonts w:ascii="Times New Roman" w:hAnsi="Times New Roman"/>
          <w:sz w:val="24"/>
          <w:szCs w:val="24"/>
        </w:rPr>
        <w:t>l</w:t>
      </w:r>
      <w:r w:rsidR="00AD1BAF" w:rsidRPr="00F90B34">
        <w:rPr>
          <w:rFonts w:ascii="Times New Roman" w:hAnsi="Times New Roman"/>
          <w:sz w:val="24"/>
          <w:szCs w:val="24"/>
        </w:rPr>
        <w:t xml:space="preserve">oan </w:t>
      </w:r>
      <w:r w:rsidR="00F91535">
        <w:rPr>
          <w:rFonts w:ascii="Times New Roman" w:hAnsi="Times New Roman"/>
          <w:sz w:val="24"/>
          <w:szCs w:val="24"/>
        </w:rPr>
        <w:t>s</w:t>
      </w:r>
      <w:r w:rsidR="00AD1BAF" w:rsidRPr="00F90B34">
        <w:rPr>
          <w:rFonts w:ascii="Times New Roman" w:hAnsi="Times New Roman"/>
          <w:sz w:val="24"/>
          <w:szCs w:val="24"/>
        </w:rPr>
        <w:t xml:space="preserve">cheme </w:t>
      </w:r>
      <w:r w:rsidR="00F91535">
        <w:rPr>
          <w:rFonts w:ascii="Times New Roman" w:hAnsi="Times New Roman"/>
          <w:sz w:val="24"/>
          <w:szCs w:val="24"/>
        </w:rPr>
        <w:t>b</w:t>
      </w:r>
      <w:r w:rsidR="00AD1BAF" w:rsidRPr="00F90B34">
        <w:rPr>
          <w:rFonts w:ascii="Times New Roman" w:hAnsi="Times New Roman"/>
          <w:sz w:val="24"/>
          <w:szCs w:val="24"/>
        </w:rPr>
        <w:t xml:space="preserve">ill, scheduled for introduction in the second half of 2015. </w:t>
      </w:r>
    </w:p>
    <w:p w:rsidR="007A142E" w:rsidRPr="00F90B34"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7A142E" w:rsidRPr="00F90B34">
        <w:rPr>
          <w:rFonts w:ascii="Times New Roman" w:hAnsi="Times New Roman"/>
          <w:sz w:val="24"/>
          <w:szCs w:val="24"/>
        </w:rPr>
        <w:t>Following the approval of the Arrangement, a service</w:t>
      </w:r>
      <w:r w:rsidR="00637DF3">
        <w:rPr>
          <w:rFonts w:ascii="Times New Roman" w:hAnsi="Times New Roman"/>
          <w:sz w:val="24"/>
          <w:szCs w:val="24"/>
        </w:rPr>
        <w:t>-</w:t>
      </w:r>
      <w:r w:rsidR="007A142E" w:rsidRPr="00F90B34">
        <w:rPr>
          <w:rFonts w:ascii="Times New Roman" w:hAnsi="Times New Roman"/>
          <w:sz w:val="24"/>
          <w:szCs w:val="24"/>
        </w:rPr>
        <w:t>level arrangement will be drafted between Australian and New Zealand officials.</w:t>
      </w:r>
      <w:r w:rsidR="00D015D0">
        <w:rPr>
          <w:rFonts w:ascii="Times New Roman" w:hAnsi="Times New Roman"/>
          <w:sz w:val="24"/>
          <w:szCs w:val="24"/>
        </w:rPr>
        <w:t xml:space="preserve"> </w:t>
      </w:r>
      <w:r w:rsidR="007A142E" w:rsidRPr="00F90B34">
        <w:rPr>
          <w:rFonts w:ascii="Times New Roman" w:hAnsi="Times New Roman"/>
          <w:sz w:val="24"/>
          <w:szCs w:val="24"/>
        </w:rPr>
        <w:t xml:space="preserve"> This document will govern the operation</w:t>
      </w:r>
      <w:r w:rsidR="00FD56AD">
        <w:rPr>
          <w:rFonts w:ascii="Times New Roman" w:hAnsi="Times New Roman"/>
          <w:sz w:val="24"/>
          <w:szCs w:val="24"/>
        </w:rPr>
        <w:t>al</w:t>
      </w:r>
      <w:r w:rsidR="007A142E" w:rsidRPr="00F90B34">
        <w:rPr>
          <w:rFonts w:ascii="Times New Roman" w:hAnsi="Times New Roman"/>
          <w:sz w:val="24"/>
          <w:szCs w:val="24"/>
        </w:rPr>
        <w:t xml:space="preserve"> details of how the information exchange will be carried out, and </w:t>
      </w:r>
      <w:r w:rsidR="00637DF3">
        <w:rPr>
          <w:rFonts w:ascii="Times New Roman" w:hAnsi="Times New Roman"/>
          <w:sz w:val="24"/>
          <w:szCs w:val="24"/>
        </w:rPr>
        <w:t xml:space="preserve">it will </w:t>
      </w:r>
      <w:r w:rsidR="007A142E" w:rsidRPr="00F90B34">
        <w:rPr>
          <w:rFonts w:ascii="Times New Roman" w:hAnsi="Times New Roman"/>
          <w:sz w:val="24"/>
          <w:szCs w:val="24"/>
        </w:rPr>
        <w:t>be able to be amended where necessary to ensure efficient operation of the information</w:t>
      </w:r>
      <w:r w:rsidR="00637DF3">
        <w:rPr>
          <w:rFonts w:ascii="Times New Roman" w:hAnsi="Times New Roman"/>
          <w:sz w:val="24"/>
          <w:szCs w:val="24"/>
        </w:rPr>
        <w:t>-</w:t>
      </w:r>
      <w:r w:rsidR="007A142E" w:rsidRPr="00F90B34">
        <w:rPr>
          <w:rFonts w:ascii="Times New Roman" w:hAnsi="Times New Roman"/>
          <w:sz w:val="24"/>
          <w:szCs w:val="24"/>
        </w:rPr>
        <w:t>exchange mechanism.</w:t>
      </w:r>
    </w:p>
    <w:p w:rsidR="0064147F" w:rsidRPr="00F90B34" w:rsidRDefault="00556D93" w:rsidP="00F90B34">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lang w:val="en-NZ"/>
        </w:rPr>
        <w:fldChar w:fldCharType="end"/>
      </w:r>
      <w:r w:rsidRPr="00556D93">
        <w:rPr>
          <w:rFonts w:ascii="Times New Roman" w:hAnsi="Times New Roman"/>
          <w:sz w:val="24"/>
          <w:szCs w:val="24"/>
          <w:lang w:val="en-NZ"/>
        </w:rPr>
        <w:tab/>
      </w:r>
      <w:r w:rsidR="0064147F" w:rsidRPr="00F90B34">
        <w:rPr>
          <w:rFonts w:ascii="Times New Roman" w:hAnsi="Times New Roman"/>
          <w:sz w:val="24"/>
          <w:szCs w:val="24"/>
          <w:lang w:val="en-NZ"/>
        </w:rPr>
        <w:t>The Arrangement include</w:t>
      </w:r>
      <w:r w:rsidR="00C93AC1">
        <w:rPr>
          <w:rFonts w:ascii="Times New Roman" w:hAnsi="Times New Roman"/>
          <w:sz w:val="24"/>
          <w:szCs w:val="24"/>
          <w:lang w:val="en-NZ"/>
        </w:rPr>
        <w:t>s</w:t>
      </w:r>
      <w:r w:rsidR="0064147F" w:rsidRPr="00F90B34">
        <w:rPr>
          <w:rFonts w:ascii="Times New Roman" w:hAnsi="Times New Roman"/>
          <w:sz w:val="24"/>
          <w:szCs w:val="24"/>
          <w:lang w:val="en-NZ"/>
        </w:rPr>
        <w:t xml:space="preserve"> guidelines </w:t>
      </w:r>
      <w:r w:rsidR="00637DF3">
        <w:rPr>
          <w:rFonts w:ascii="Times New Roman" w:hAnsi="Times New Roman"/>
          <w:sz w:val="24"/>
          <w:szCs w:val="24"/>
          <w:lang w:val="en-NZ"/>
        </w:rPr>
        <w:t>for the</w:t>
      </w:r>
      <w:r w:rsidR="0064147F" w:rsidRPr="00F90B34">
        <w:rPr>
          <w:rFonts w:ascii="Times New Roman" w:hAnsi="Times New Roman"/>
          <w:sz w:val="24"/>
          <w:szCs w:val="24"/>
          <w:lang w:val="en-NZ"/>
        </w:rPr>
        <w:t xml:space="preserve"> use of information.</w:t>
      </w:r>
      <w:r w:rsidR="00982725">
        <w:rPr>
          <w:rFonts w:ascii="Times New Roman" w:hAnsi="Times New Roman"/>
          <w:sz w:val="24"/>
          <w:szCs w:val="24"/>
          <w:lang w:val="en-NZ"/>
        </w:rPr>
        <w:t xml:space="preserve"> </w:t>
      </w:r>
      <w:r w:rsidR="0064147F" w:rsidRPr="00F90B34">
        <w:rPr>
          <w:rFonts w:ascii="Times New Roman" w:hAnsi="Times New Roman"/>
          <w:sz w:val="24"/>
          <w:szCs w:val="24"/>
          <w:lang w:val="en-NZ"/>
        </w:rPr>
        <w:t xml:space="preserve"> Specific operational details </w:t>
      </w:r>
      <w:r w:rsidR="00637DF3">
        <w:rPr>
          <w:rFonts w:ascii="Times New Roman" w:hAnsi="Times New Roman"/>
          <w:sz w:val="24"/>
          <w:szCs w:val="24"/>
          <w:lang w:val="en-NZ"/>
        </w:rPr>
        <w:t>of</w:t>
      </w:r>
      <w:r w:rsidR="0064147F" w:rsidRPr="00F90B34">
        <w:rPr>
          <w:rFonts w:ascii="Times New Roman" w:hAnsi="Times New Roman"/>
          <w:sz w:val="24"/>
          <w:szCs w:val="24"/>
          <w:lang w:val="en-NZ"/>
        </w:rPr>
        <w:t xml:space="preserve"> the handling of information and appropriate safeguards will be included in the service</w:t>
      </w:r>
      <w:r w:rsidR="00637DF3">
        <w:rPr>
          <w:rFonts w:ascii="Times New Roman" w:hAnsi="Times New Roman"/>
          <w:sz w:val="24"/>
          <w:szCs w:val="24"/>
          <w:lang w:val="en-NZ"/>
        </w:rPr>
        <w:t>-</w:t>
      </w:r>
      <w:r w:rsidR="0064147F" w:rsidRPr="00F90B34">
        <w:rPr>
          <w:rFonts w:ascii="Times New Roman" w:hAnsi="Times New Roman"/>
          <w:sz w:val="24"/>
          <w:szCs w:val="24"/>
          <w:lang w:val="en-NZ"/>
        </w:rPr>
        <w:t xml:space="preserve">level arrangement. </w:t>
      </w:r>
    </w:p>
    <w:p w:rsidR="00203450" w:rsidRPr="00F90B34" w:rsidRDefault="00556D93" w:rsidP="00C93AC1">
      <w:pPr>
        <w:spacing w:before="100" w:beforeAutospacing="1" w:after="0"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203450" w:rsidRPr="00F90B34">
        <w:rPr>
          <w:rFonts w:ascii="Times New Roman" w:hAnsi="Times New Roman"/>
          <w:sz w:val="24"/>
          <w:szCs w:val="24"/>
        </w:rPr>
        <w:t>Broadly, the exchange of information is intended to work as follows</w:t>
      </w:r>
      <w:r w:rsidR="00FD56AD">
        <w:rPr>
          <w:rFonts w:ascii="Times New Roman" w:hAnsi="Times New Roman"/>
          <w:sz w:val="24"/>
          <w:szCs w:val="24"/>
        </w:rPr>
        <w:t>:</w:t>
      </w:r>
      <w:r w:rsidR="00203450" w:rsidRPr="00F90B34">
        <w:rPr>
          <w:rFonts w:ascii="Times New Roman" w:hAnsi="Times New Roman"/>
          <w:sz w:val="24"/>
          <w:szCs w:val="24"/>
        </w:rPr>
        <w:t xml:space="preserve"> </w:t>
      </w:r>
      <w:r w:rsidR="00E511D7" w:rsidRPr="00F90B34">
        <w:rPr>
          <w:rFonts w:ascii="Times New Roman" w:hAnsi="Times New Roman"/>
          <w:sz w:val="24"/>
          <w:szCs w:val="24"/>
          <w:lang w:val="en-NZ"/>
        </w:rPr>
        <w:t>at</w:t>
      </w:r>
      <w:r w:rsidR="00203450" w:rsidRPr="00F90B34">
        <w:rPr>
          <w:rFonts w:ascii="Times New Roman" w:hAnsi="Times New Roman"/>
          <w:sz w:val="24"/>
          <w:szCs w:val="24"/>
          <w:lang w:val="en-NZ"/>
        </w:rPr>
        <w:t xml:space="preserve"> the request of the New Zealand Central Authority</w:t>
      </w:r>
      <w:r w:rsidR="00D66352" w:rsidRPr="00E61331">
        <w:rPr>
          <w:rStyle w:val="FootnoteReference"/>
          <w:rFonts w:ascii="Times New Roman" w:hAnsi="Times New Roman"/>
          <w:szCs w:val="24"/>
          <w:lang w:val="en-NZ"/>
        </w:rPr>
        <w:footnoteReference w:id="1"/>
      </w:r>
      <w:r w:rsidR="00203450" w:rsidRPr="00F90B34">
        <w:rPr>
          <w:rFonts w:ascii="Times New Roman" w:hAnsi="Times New Roman"/>
          <w:sz w:val="24"/>
          <w:szCs w:val="24"/>
          <w:lang w:val="en-NZ"/>
        </w:rPr>
        <w:t xml:space="preserve">, the Australian Central Authority will take all appropriate steps to provide directly to the requesting Central Authority, as promptly as possible, any </w:t>
      </w:r>
      <w:r w:rsidR="00637DF3">
        <w:rPr>
          <w:rFonts w:ascii="Times New Roman" w:hAnsi="Times New Roman"/>
          <w:sz w:val="24"/>
          <w:szCs w:val="24"/>
          <w:lang w:val="en-NZ"/>
        </w:rPr>
        <w:t>i</w:t>
      </w:r>
      <w:r w:rsidR="00203450" w:rsidRPr="00F90B34">
        <w:rPr>
          <w:rFonts w:ascii="Times New Roman" w:hAnsi="Times New Roman"/>
          <w:sz w:val="24"/>
          <w:szCs w:val="24"/>
          <w:lang w:val="en-NZ"/>
        </w:rPr>
        <w:t xml:space="preserve">nformation it holds on: </w:t>
      </w:r>
    </w:p>
    <w:p w:rsidR="00203450" w:rsidRDefault="00637DF3" w:rsidP="00982725">
      <w:pPr>
        <w:pStyle w:val="ListParagraph"/>
        <w:numPr>
          <w:ilvl w:val="0"/>
          <w:numId w:val="10"/>
        </w:numPr>
        <w:spacing w:before="120" w:after="40"/>
        <w:ind w:left="993" w:hanging="426"/>
        <w:contextualSpacing w:val="0"/>
        <w:rPr>
          <w:rFonts w:ascii="Times New Roman" w:hAnsi="Times New Roman"/>
          <w:sz w:val="24"/>
          <w:szCs w:val="24"/>
        </w:rPr>
      </w:pPr>
      <w:r>
        <w:rPr>
          <w:rFonts w:ascii="Times New Roman" w:hAnsi="Times New Roman"/>
          <w:sz w:val="24"/>
          <w:szCs w:val="24"/>
        </w:rPr>
        <w:t>t</w:t>
      </w:r>
      <w:r w:rsidR="00203450" w:rsidRPr="00556D93">
        <w:rPr>
          <w:rFonts w:ascii="Times New Roman" w:hAnsi="Times New Roman"/>
          <w:sz w:val="24"/>
          <w:szCs w:val="24"/>
        </w:rPr>
        <w:t xml:space="preserve">he most recent residential address of a </w:t>
      </w:r>
      <w:r>
        <w:rPr>
          <w:rFonts w:ascii="Times New Roman" w:hAnsi="Times New Roman"/>
          <w:sz w:val="24"/>
          <w:szCs w:val="24"/>
        </w:rPr>
        <w:t>s</w:t>
      </w:r>
      <w:r w:rsidR="00203450" w:rsidRPr="00556D93">
        <w:rPr>
          <w:rFonts w:ascii="Times New Roman" w:hAnsi="Times New Roman"/>
          <w:sz w:val="24"/>
          <w:szCs w:val="24"/>
        </w:rPr>
        <w:t xml:space="preserve">tudent </w:t>
      </w:r>
      <w:r>
        <w:rPr>
          <w:rFonts w:ascii="Times New Roman" w:hAnsi="Times New Roman"/>
          <w:sz w:val="24"/>
          <w:szCs w:val="24"/>
        </w:rPr>
        <w:t>l</w:t>
      </w:r>
      <w:r w:rsidR="00203450" w:rsidRPr="00556D93">
        <w:rPr>
          <w:rFonts w:ascii="Times New Roman" w:hAnsi="Times New Roman"/>
          <w:sz w:val="24"/>
          <w:szCs w:val="24"/>
        </w:rPr>
        <w:t xml:space="preserve">oan </w:t>
      </w:r>
      <w:r>
        <w:rPr>
          <w:rFonts w:ascii="Times New Roman" w:hAnsi="Times New Roman"/>
          <w:sz w:val="24"/>
          <w:szCs w:val="24"/>
        </w:rPr>
        <w:t>b</w:t>
      </w:r>
      <w:r w:rsidR="00203450" w:rsidRPr="00556D93">
        <w:rPr>
          <w:rFonts w:ascii="Times New Roman" w:hAnsi="Times New Roman"/>
          <w:sz w:val="24"/>
          <w:szCs w:val="24"/>
        </w:rPr>
        <w:t>orrower; and</w:t>
      </w:r>
    </w:p>
    <w:p w:rsidR="00203450" w:rsidRPr="00556D93" w:rsidRDefault="00637DF3" w:rsidP="00982725">
      <w:pPr>
        <w:pStyle w:val="ListParagraph"/>
        <w:numPr>
          <w:ilvl w:val="0"/>
          <w:numId w:val="10"/>
        </w:numPr>
        <w:spacing w:after="100" w:afterAutospacing="1"/>
        <w:ind w:left="993" w:hanging="426"/>
        <w:contextualSpacing w:val="0"/>
        <w:rPr>
          <w:rFonts w:ascii="Times New Roman" w:hAnsi="Times New Roman"/>
          <w:sz w:val="24"/>
          <w:szCs w:val="24"/>
        </w:rPr>
      </w:pPr>
      <w:proofErr w:type="gramStart"/>
      <w:r>
        <w:rPr>
          <w:rFonts w:ascii="Times New Roman" w:hAnsi="Times New Roman"/>
          <w:sz w:val="24"/>
          <w:szCs w:val="24"/>
        </w:rPr>
        <w:t>t</w:t>
      </w:r>
      <w:r w:rsidR="00203450" w:rsidRPr="00556D93">
        <w:rPr>
          <w:rFonts w:ascii="Times New Roman" w:hAnsi="Times New Roman"/>
          <w:sz w:val="24"/>
          <w:szCs w:val="24"/>
        </w:rPr>
        <w:t>he</w:t>
      </w:r>
      <w:proofErr w:type="gramEnd"/>
      <w:r w:rsidR="00203450" w:rsidRPr="00556D93">
        <w:rPr>
          <w:rFonts w:ascii="Times New Roman" w:hAnsi="Times New Roman"/>
          <w:sz w:val="24"/>
          <w:szCs w:val="24"/>
        </w:rPr>
        <w:t xml:space="preserve"> contact information for a </w:t>
      </w:r>
      <w:r>
        <w:rPr>
          <w:rFonts w:ascii="Times New Roman" w:hAnsi="Times New Roman"/>
          <w:sz w:val="24"/>
          <w:szCs w:val="24"/>
        </w:rPr>
        <w:t>s</w:t>
      </w:r>
      <w:r w:rsidR="00203450" w:rsidRPr="00556D93">
        <w:rPr>
          <w:rFonts w:ascii="Times New Roman" w:hAnsi="Times New Roman"/>
          <w:sz w:val="24"/>
          <w:szCs w:val="24"/>
        </w:rPr>
        <w:t xml:space="preserve">tudent </w:t>
      </w:r>
      <w:r>
        <w:rPr>
          <w:rFonts w:ascii="Times New Roman" w:hAnsi="Times New Roman"/>
          <w:sz w:val="24"/>
          <w:szCs w:val="24"/>
        </w:rPr>
        <w:t>l</w:t>
      </w:r>
      <w:r w:rsidR="00203450" w:rsidRPr="00556D93">
        <w:rPr>
          <w:rFonts w:ascii="Times New Roman" w:hAnsi="Times New Roman"/>
          <w:sz w:val="24"/>
          <w:szCs w:val="24"/>
        </w:rPr>
        <w:t xml:space="preserve">oan </w:t>
      </w:r>
      <w:r>
        <w:rPr>
          <w:rFonts w:ascii="Times New Roman" w:hAnsi="Times New Roman"/>
          <w:sz w:val="24"/>
          <w:szCs w:val="24"/>
        </w:rPr>
        <w:t>b</w:t>
      </w:r>
      <w:r w:rsidR="00203450" w:rsidRPr="00556D93">
        <w:rPr>
          <w:rFonts w:ascii="Times New Roman" w:hAnsi="Times New Roman"/>
          <w:sz w:val="24"/>
          <w:szCs w:val="24"/>
        </w:rPr>
        <w:t>orrower.</w:t>
      </w:r>
    </w:p>
    <w:p w:rsidR="00652C9D" w:rsidRDefault="00556D93" w:rsidP="00F90B34">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lang w:val="en-NZ"/>
        </w:rPr>
        <w:fldChar w:fldCharType="end"/>
      </w:r>
      <w:r w:rsidRPr="00556D93">
        <w:rPr>
          <w:rFonts w:ascii="Times New Roman" w:hAnsi="Times New Roman"/>
          <w:sz w:val="24"/>
          <w:szCs w:val="24"/>
          <w:lang w:val="en-NZ"/>
        </w:rPr>
        <w:tab/>
      </w:r>
      <w:r w:rsidR="003141AE" w:rsidRPr="00F90B34">
        <w:rPr>
          <w:rFonts w:ascii="Times New Roman" w:hAnsi="Times New Roman"/>
          <w:sz w:val="24"/>
          <w:szCs w:val="24"/>
          <w:lang w:val="en-NZ"/>
        </w:rPr>
        <w:t>Inland Revenue will then use the contact details in normal</w:t>
      </w:r>
      <w:r w:rsidR="00735806">
        <w:rPr>
          <w:rFonts w:ascii="Times New Roman" w:hAnsi="Times New Roman"/>
          <w:sz w:val="24"/>
          <w:szCs w:val="24"/>
          <w:lang w:val="en-NZ"/>
        </w:rPr>
        <w:t xml:space="preserve"> student loan</w:t>
      </w:r>
      <w:r w:rsidR="003141AE" w:rsidRPr="00F90B34">
        <w:rPr>
          <w:rFonts w:ascii="Times New Roman" w:hAnsi="Times New Roman"/>
          <w:sz w:val="24"/>
          <w:szCs w:val="24"/>
          <w:lang w:val="en-NZ"/>
        </w:rPr>
        <w:t xml:space="preserve"> collection processes</w:t>
      </w:r>
      <w:r w:rsidR="00652C9D">
        <w:rPr>
          <w:rFonts w:ascii="Times New Roman" w:hAnsi="Times New Roman"/>
          <w:sz w:val="24"/>
          <w:szCs w:val="24"/>
          <w:lang w:val="en-NZ"/>
        </w:rPr>
        <w:t xml:space="preserve"> for overseas-based borrowers.</w:t>
      </w:r>
    </w:p>
    <w:p w:rsidR="00203450" w:rsidRPr="00F90B34" w:rsidRDefault="00652C9D" w:rsidP="00F90B34">
      <w:pPr>
        <w:spacing w:before="100" w:beforeAutospacing="1" w:after="100" w:afterAutospacing="1" w:line="240" w:lineRule="auto"/>
        <w:jc w:val="both"/>
        <w:rPr>
          <w:rFonts w:ascii="Times New Roman" w:hAnsi="Times New Roman"/>
          <w:i/>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lang w:val="en-NZ"/>
        </w:rPr>
        <w:fldChar w:fldCharType="end"/>
      </w:r>
      <w:r w:rsidRPr="00556D93">
        <w:rPr>
          <w:rFonts w:ascii="Times New Roman" w:hAnsi="Times New Roman"/>
          <w:sz w:val="24"/>
          <w:szCs w:val="24"/>
          <w:lang w:val="en-NZ"/>
        </w:rPr>
        <w:tab/>
      </w:r>
      <w:r w:rsidR="0097679E" w:rsidRPr="0097679E">
        <w:rPr>
          <w:rFonts w:ascii="Times New Roman" w:hAnsi="Times New Roman"/>
          <w:sz w:val="24"/>
          <w:szCs w:val="24"/>
          <w:lang w:val="en-NZ"/>
        </w:rPr>
        <w:t>An impact assessment has been completed within Inland Revenue</w:t>
      </w:r>
      <w:r w:rsidR="00342BD2">
        <w:rPr>
          <w:rFonts w:ascii="Times New Roman" w:hAnsi="Times New Roman"/>
          <w:sz w:val="24"/>
          <w:szCs w:val="24"/>
          <w:lang w:val="en-NZ"/>
        </w:rPr>
        <w:t>.</w:t>
      </w:r>
      <w:r w:rsidR="00D015D0">
        <w:rPr>
          <w:rFonts w:ascii="Times New Roman" w:hAnsi="Times New Roman"/>
          <w:sz w:val="24"/>
          <w:szCs w:val="24"/>
          <w:lang w:val="en-NZ"/>
        </w:rPr>
        <w:t xml:space="preserve"> </w:t>
      </w:r>
      <w:r w:rsidR="00342BD2">
        <w:rPr>
          <w:rFonts w:ascii="Times New Roman" w:hAnsi="Times New Roman"/>
          <w:sz w:val="24"/>
          <w:szCs w:val="24"/>
          <w:lang w:val="en-NZ"/>
        </w:rPr>
        <w:t xml:space="preserve"> This assessment indicates</w:t>
      </w:r>
      <w:r w:rsidR="0097679E" w:rsidRPr="0097679E">
        <w:rPr>
          <w:rFonts w:ascii="Times New Roman" w:hAnsi="Times New Roman"/>
          <w:sz w:val="24"/>
          <w:szCs w:val="24"/>
          <w:lang w:val="en-NZ"/>
        </w:rPr>
        <w:t xml:space="preserve"> that the administrative impacts of this proposal are likely to be minimal.</w:t>
      </w:r>
    </w:p>
    <w:p w:rsidR="000545DC" w:rsidRPr="00556D93" w:rsidRDefault="00D943DD" w:rsidP="001538CB">
      <w:pPr>
        <w:spacing w:before="480" w:after="100" w:afterAutospacing="1" w:line="240" w:lineRule="auto"/>
        <w:jc w:val="both"/>
        <w:rPr>
          <w:rFonts w:ascii="Times New Roman" w:hAnsi="Times New Roman"/>
          <w:b/>
          <w:sz w:val="24"/>
          <w:szCs w:val="24"/>
        </w:rPr>
      </w:pPr>
      <w:r w:rsidRPr="00556D93">
        <w:rPr>
          <w:rFonts w:ascii="Times New Roman" w:hAnsi="Times New Roman"/>
          <w:b/>
          <w:sz w:val="24"/>
          <w:szCs w:val="24"/>
        </w:rPr>
        <w:t>MONITORING, EVALUATION AND REVIEW</w:t>
      </w:r>
      <w:bookmarkEnd w:id="38"/>
      <w:bookmarkEnd w:id="39"/>
      <w:bookmarkEnd w:id="40"/>
      <w:bookmarkEnd w:id="41"/>
      <w:bookmarkEnd w:id="42"/>
    </w:p>
    <w:p w:rsidR="005403C5" w:rsidRPr="00F90B34" w:rsidRDefault="00556D93" w:rsidP="00F90B34">
      <w:pPr>
        <w:spacing w:before="100" w:beforeAutospacing="1" w:after="100" w:afterAutospacing="1" w:line="240" w:lineRule="auto"/>
        <w:jc w:val="both"/>
        <w:rPr>
          <w:rFonts w:ascii="Times New Roman" w:hAnsi="Times New Roman"/>
          <w:sz w:val="24"/>
          <w:szCs w:val="24"/>
          <w:lang w:val="en-NZ"/>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lang w:val="en-NZ"/>
        </w:rPr>
        <w:fldChar w:fldCharType="end"/>
      </w:r>
      <w:r w:rsidRPr="00556D93">
        <w:rPr>
          <w:rFonts w:ascii="Times New Roman" w:hAnsi="Times New Roman"/>
          <w:sz w:val="24"/>
          <w:szCs w:val="24"/>
          <w:lang w:val="en-NZ"/>
        </w:rPr>
        <w:tab/>
      </w:r>
      <w:r w:rsidR="00810214" w:rsidRPr="00F90B34">
        <w:rPr>
          <w:rFonts w:ascii="Times New Roman" w:hAnsi="Times New Roman"/>
          <w:sz w:val="24"/>
          <w:szCs w:val="24"/>
          <w:lang w:val="en-NZ"/>
        </w:rPr>
        <w:t>The Arr</w:t>
      </w:r>
      <w:r w:rsidR="00E61331">
        <w:rPr>
          <w:rFonts w:ascii="Times New Roman" w:hAnsi="Times New Roman"/>
          <w:sz w:val="24"/>
          <w:szCs w:val="24"/>
          <w:lang w:val="en-NZ"/>
        </w:rPr>
        <w:t>angement provides that Central A</w:t>
      </w:r>
      <w:r w:rsidR="00810214" w:rsidRPr="00F90B34">
        <w:rPr>
          <w:rFonts w:ascii="Times New Roman" w:hAnsi="Times New Roman"/>
          <w:sz w:val="24"/>
          <w:szCs w:val="24"/>
          <w:lang w:val="en-NZ"/>
        </w:rPr>
        <w:t xml:space="preserve">uthorities may carry out an annual review of the </w:t>
      </w:r>
      <w:r w:rsidR="0033545E">
        <w:rPr>
          <w:rFonts w:ascii="Times New Roman" w:hAnsi="Times New Roman"/>
          <w:sz w:val="24"/>
          <w:szCs w:val="24"/>
          <w:lang w:val="en-NZ"/>
        </w:rPr>
        <w:t>A</w:t>
      </w:r>
      <w:r w:rsidR="0033545E" w:rsidRPr="00F90B34">
        <w:rPr>
          <w:rFonts w:ascii="Times New Roman" w:hAnsi="Times New Roman"/>
          <w:sz w:val="24"/>
          <w:szCs w:val="24"/>
          <w:lang w:val="en-NZ"/>
        </w:rPr>
        <w:t>r</w:t>
      </w:r>
      <w:r w:rsidR="0033545E">
        <w:rPr>
          <w:rFonts w:ascii="Times New Roman" w:hAnsi="Times New Roman"/>
          <w:sz w:val="24"/>
          <w:szCs w:val="24"/>
          <w:lang w:val="en-NZ"/>
        </w:rPr>
        <w:t>r</w:t>
      </w:r>
      <w:r w:rsidR="0033545E" w:rsidRPr="00F90B34">
        <w:rPr>
          <w:rFonts w:ascii="Times New Roman" w:hAnsi="Times New Roman"/>
          <w:sz w:val="24"/>
          <w:szCs w:val="24"/>
          <w:lang w:val="en-NZ"/>
        </w:rPr>
        <w:t>angement</w:t>
      </w:r>
      <w:r w:rsidR="00810214" w:rsidRPr="00F90B34">
        <w:rPr>
          <w:rFonts w:ascii="Times New Roman" w:hAnsi="Times New Roman"/>
          <w:sz w:val="24"/>
          <w:szCs w:val="24"/>
          <w:lang w:val="en-NZ"/>
        </w:rPr>
        <w:t xml:space="preserve">, </w:t>
      </w:r>
      <w:r w:rsidR="0033545E">
        <w:rPr>
          <w:rFonts w:ascii="Times New Roman" w:hAnsi="Times New Roman"/>
          <w:sz w:val="24"/>
          <w:szCs w:val="24"/>
          <w:lang w:val="en-NZ"/>
        </w:rPr>
        <w:t>and additionally may</w:t>
      </w:r>
      <w:r w:rsidR="00810214" w:rsidRPr="00F90B34">
        <w:rPr>
          <w:rFonts w:ascii="Times New Roman" w:hAnsi="Times New Roman"/>
          <w:sz w:val="24"/>
          <w:szCs w:val="24"/>
          <w:lang w:val="en-NZ"/>
        </w:rPr>
        <w:t xml:space="preserve"> review the whole or part of the Arrangement at the request of either</w:t>
      </w:r>
      <w:r w:rsidR="00E61331">
        <w:rPr>
          <w:rFonts w:ascii="Times New Roman" w:hAnsi="Times New Roman"/>
          <w:sz w:val="24"/>
          <w:szCs w:val="24"/>
          <w:lang w:val="en-NZ"/>
        </w:rPr>
        <w:t xml:space="preserve"> Central A</w:t>
      </w:r>
      <w:r w:rsidR="00810214" w:rsidRPr="00F90B34">
        <w:rPr>
          <w:rFonts w:ascii="Times New Roman" w:hAnsi="Times New Roman"/>
          <w:sz w:val="24"/>
          <w:szCs w:val="24"/>
          <w:lang w:val="en-NZ"/>
        </w:rPr>
        <w:t>uthority.</w:t>
      </w:r>
      <w:r w:rsidR="00D015D0">
        <w:rPr>
          <w:rFonts w:ascii="Times New Roman" w:hAnsi="Times New Roman"/>
          <w:sz w:val="24"/>
          <w:szCs w:val="24"/>
          <w:lang w:val="en-NZ"/>
        </w:rPr>
        <w:t xml:space="preserve"> </w:t>
      </w:r>
      <w:r w:rsidR="00810214" w:rsidRPr="00F90B34">
        <w:rPr>
          <w:rFonts w:ascii="Times New Roman" w:hAnsi="Times New Roman"/>
          <w:sz w:val="24"/>
          <w:szCs w:val="24"/>
          <w:lang w:val="en-NZ"/>
        </w:rPr>
        <w:t xml:space="preserve"> This is outlined in paragraph 10 of the Arrangement. </w:t>
      </w:r>
    </w:p>
    <w:p w:rsidR="00594805" w:rsidRPr="00F9590B" w:rsidRDefault="00556D93" w:rsidP="00F90B34">
      <w:pPr>
        <w:spacing w:before="100" w:beforeAutospacing="1" w:after="100" w:afterAutospacing="1" w:line="240" w:lineRule="auto"/>
        <w:jc w:val="both"/>
        <w:rPr>
          <w:rFonts w:ascii="Times New Roman" w:hAnsi="Times New Roman"/>
          <w:sz w:val="24"/>
          <w:szCs w:val="24"/>
        </w:rPr>
      </w:pPr>
      <w:r w:rsidRPr="00556D93">
        <w:rPr>
          <w:rFonts w:ascii="Times New Roman" w:hAnsi="Times New Roman"/>
          <w:sz w:val="24"/>
          <w:szCs w:val="24"/>
          <w:lang w:val="en-NZ"/>
        </w:rPr>
        <w:fldChar w:fldCharType="begin"/>
      </w:r>
      <w:r w:rsidRPr="00556D93">
        <w:rPr>
          <w:rFonts w:ascii="Times New Roman" w:hAnsi="Times New Roman"/>
          <w:sz w:val="24"/>
          <w:szCs w:val="24"/>
          <w:lang w:val="en-NZ"/>
        </w:rPr>
        <w:instrText xml:space="preserve"> AUTONUM  </w:instrText>
      </w:r>
      <w:r w:rsidRPr="00556D93">
        <w:rPr>
          <w:rFonts w:ascii="Times New Roman" w:hAnsi="Times New Roman"/>
          <w:sz w:val="24"/>
          <w:szCs w:val="24"/>
        </w:rPr>
        <w:fldChar w:fldCharType="end"/>
      </w:r>
      <w:r w:rsidRPr="00556D93">
        <w:rPr>
          <w:rFonts w:ascii="Times New Roman" w:hAnsi="Times New Roman"/>
          <w:sz w:val="24"/>
          <w:szCs w:val="24"/>
          <w:lang w:val="en-NZ"/>
        </w:rPr>
        <w:tab/>
      </w:r>
      <w:r w:rsidR="00810214" w:rsidRPr="00F90B34">
        <w:rPr>
          <w:rFonts w:ascii="Times New Roman" w:hAnsi="Times New Roman"/>
          <w:sz w:val="24"/>
          <w:szCs w:val="24"/>
        </w:rPr>
        <w:t xml:space="preserve">Once this proposal is operational, its results and evaluation will be included as part of quarterly reporting on the </w:t>
      </w:r>
      <w:r w:rsidR="00342BD2">
        <w:rPr>
          <w:rFonts w:ascii="Times New Roman" w:hAnsi="Times New Roman"/>
          <w:sz w:val="24"/>
          <w:szCs w:val="24"/>
        </w:rPr>
        <w:t>o</w:t>
      </w:r>
      <w:r w:rsidR="00810214" w:rsidRPr="00F90B34">
        <w:rPr>
          <w:rFonts w:ascii="Times New Roman" w:hAnsi="Times New Roman"/>
          <w:sz w:val="24"/>
          <w:szCs w:val="24"/>
        </w:rPr>
        <w:t>verseas</w:t>
      </w:r>
      <w:r w:rsidR="00342BD2">
        <w:rPr>
          <w:rFonts w:ascii="Times New Roman" w:hAnsi="Times New Roman"/>
          <w:sz w:val="24"/>
          <w:szCs w:val="24"/>
        </w:rPr>
        <w:t>-b</w:t>
      </w:r>
      <w:r w:rsidR="00810214" w:rsidRPr="00F90B34">
        <w:rPr>
          <w:rFonts w:ascii="Times New Roman" w:hAnsi="Times New Roman"/>
          <w:sz w:val="24"/>
          <w:szCs w:val="24"/>
        </w:rPr>
        <w:t xml:space="preserve">ased </w:t>
      </w:r>
      <w:r w:rsidR="00342BD2">
        <w:rPr>
          <w:rFonts w:ascii="Times New Roman" w:hAnsi="Times New Roman"/>
          <w:sz w:val="24"/>
          <w:szCs w:val="24"/>
        </w:rPr>
        <w:t>b</w:t>
      </w:r>
      <w:r w:rsidR="00810214" w:rsidRPr="00F90B34">
        <w:rPr>
          <w:rFonts w:ascii="Times New Roman" w:hAnsi="Times New Roman"/>
          <w:sz w:val="24"/>
          <w:szCs w:val="24"/>
        </w:rPr>
        <w:t xml:space="preserve">orrower </w:t>
      </w:r>
      <w:r w:rsidR="00342BD2">
        <w:rPr>
          <w:rFonts w:ascii="Times New Roman" w:hAnsi="Times New Roman"/>
          <w:sz w:val="24"/>
          <w:szCs w:val="24"/>
        </w:rPr>
        <w:t>c</w:t>
      </w:r>
      <w:r w:rsidR="00810214" w:rsidRPr="00F90B34">
        <w:rPr>
          <w:rFonts w:ascii="Times New Roman" w:hAnsi="Times New Roman"/>
          <w:sz w:val="24"/>
          <w:szCs w:val="24"/>
        </w:rPr>
        <w:t xml:space="preserve">ompliance </w:t>
      </w:r>
      <w:r w:rsidR="00342BD2">
        <w:rPr>
          <w:rFonts w:ascii="Times New Roman" w:hAnsi="Times New Roman"/>
          <w:sz w:val="24"/>
          <w:szCs w:val="24"/>
        </w:rPr>
        <w:t>i</w:t>
      </w:r>
      <w:r w:rsidR="00810214" w:rsidRPr="00F90B34">
        <w:rPr>
          <w:rFonts w:ascii="Times New Roman" w:hAnsi="Times New Roman"/>
          <w:sz w:val="24"/>
          <w:szCs w:val="24"/>
        </w:rPr>
        <w:t>nitiative to the Minister for Tertiary Education, Skills and Employme</w:t>
      </w:r>
      <w:r w:rsidR="00F9590B">
        <w:rPr>
          <w:rFonts w:ascii="Times New Roman" w:hAnsi="Times New Roman"/>
          <w:sz w:val="24"/>
          <w:szCs w:val="24"/>
        </w:rPr>
        <w:t>nt and the Minister of Revenue.</w:t>
      </w:r>
    </w:p>
    <w:sectPr w:rsidR="00594805" w:rsidRPr="00F9590B" w:rsidSect="00556D93">
      <w:pgSz w:w="11907" w:h="16840" w:code="9"/>
      <w:pgMar w:top="1134" w:right="1418" w:bottom="1134" w:left="1418" w:header="567" w:footer="5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D66E5" w15:done="0"/>
  <w15:commentEx w15:paraId="76115B45" w15:done="0"/>
  <w15:commentEx w15:paraId="12E75E7B" w15:done="0"/>
  <w15:commentEx w15:paraId="71ABF7FB" w15:done="0"/>
  <w15:commentEx w15:paraId="6D5547D3" w15:done="0"/>
  <w15:commentEx w15:paraId="5E315F95" w15:done="0"/>
  <w15:commentEx w15:paraId="272CC473" w15:done="0"/>
  <w15:commentEx w15:paraId="7B794A23" w15:done="0"/>
  <w15:commentEx w15:paraId="771E2329" w15:done="0"/>
  <w15:commentEx w15:paraId="4B47B907" w15:done="0"/>
  <w15:commentEx w15:paraId="5A37E53D" w15:done="0"/>
  <w15:commentEx w15:paraId="2D622D0D" w15:done="0"/>
  <w15:commentEx w15:paraId="74B7DC19" w15:done="0"/>
  <w15:commentEx w15:paraId="4C83ACA2" w15:done="0"/>
  <w15:commentEx w15:paraId="72829EF0" w15:done="0"/>
  <w15:commentEx w15:paraId="18184018" w15:done="0"/>
  <w15:commentEx w15:paraId="755FA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F6" w:rsidRDefault="008F64F6" w:rsidP="00F72085">
      <w:r>
        <w:separator/>
      </w:r>
    </w:p>
  </w:endnote>
  <w:endnote w:type="continuationSeparator" w:id="0">
    <w:p w:rsidR="008F64F6" w:rsidRDefault="008F64F6"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31064955"/>
      <w:docPartObj>
        <w:docPartGallery w:val="Page Numbers (Bottom of Page)"/>
        <w:docPartUnique/>
      </w:docPartObj>
    </w:sdtPr>
    <w:sdtEndPr>
      <w:rPr>
        <w:noProof/>
      </w:rPr>
    </w:sdtEndPr>
    <w:sdtContent>
      <w:p w:rsidR="008F64F6" w:rsidRDefault="008F64F6">
        <w:pPr>
          <w:pStyle w:val="Footer"/>
        </w:pPr>
        <w:r w:rsidRPr="00556D93">
          <w:rPr>
            <w:rFonts w:ascii="Times New Roman" w:hAnsi="Times New Roman"/>
            <w:noProof w:val="0"/>
            <w:sz w:val="24"/>
            <w:szCs w:val="24"/>
          </w:rPr>
          <w:fldChar w:fldCharType="begin"/>
        </w:r>
        <w:r w:rsidRPr="00556D93">
          <w:rPr>
            <w:rFonts w:ascii="Times New Roman" w:hAnsi="Times New Roman"/>
            <w:sz w:val="24"/>
            <w:szCs w:val="24"/>
          </w:rPr>
          <w:instrText xml:space="preserve"> PAGE   \* MERGEFORMAT </w:instrText>
        </w:r>
        <w:r w:rsidRPr="00556D93">
          <w:rPr>
            <w:rFonts w:ascii="Times New Roman" w:hAnsi="Times New Roman"/>
            <w:noProof w:val="0"/>
            <w:sz w:val="24"/>
            <w:szCs w:val="24"/>
          </w:rPr>
          <w:fldChar w:fldCharType="separate"/>
        </w:r>
        <w:r w:rsidR="005C1BCE">
          <w:rPr>
            <w:rFonts w:ascii="Times New Roman" w:hAnsi="Times New Roman"/>
            <w:sz w:val="24"/>
            <w:szCs w:val="24"/>
          </w:rPr>
          <w:t>7</w:t>
        </w:r>
        <w:r w:rsidRPr="00556D93">
          <w:rPr>
            <w:rFonts w:ascii="Times New Roman" w:hAnsi="Times New Roman"/>
            <w:sz w:val="24"/>
            <w:szCs w:val="24"/>
          </w:rPr>
          <w:fldChar w:fldCharType="end"/>
        </w:r>
      </w:p>
    </w:sdtContent>
  </w:sdt>
  <w:p w:rsidR="008F64F6" w:rsidRPr="00556D93" w:rsidRDefault="008F64F6" w:rsidP="006C6B95">
    <w:pPr>
      <w:pStyle w:val="Footer"/>
      <w:jc w:val="left"/>
      <w:rPr>
        <w:rStyle w:val="PageNumber"/>
        <w:rFonts w:ascii="Times New Roman" w:hAnsi="Times New Roman"/>
        <w:color w:val="auto"/>
        <w:sz w:val="20"/>
        <w:szCs w:val="20"/>
        <w:lang w:val="mi-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F6" w:rsidRDefault="008F64F6" w:rsidP="00F72085">
      <w:r>
        <w:separator/>
      </w:r>
    </w:p>
  </w:footnote>
  <w:footnote w:type="continuationSeparator" w:id="0">
    <w:p w:rsidR="008F64F6" w:rsidRDefault="008F64F6" w:rsidP="00F72085">
      <w:r>
        <w:continuationSeparator/>
      </w:r>
    </w:p>
  </w:footnote>
  <w:footnote w:id="1">
    <w:p w:rsidR="00D66352" w:rsidRPr="00D66352" w:rsidRDefault="00D66352" w:rsidP="00D66352">
      <w:pPr>
        <w:pStyle w:val="Default"/>
      </w:pPr>
      <w:r w:rsidRPr="00D66352">
        <w:rPr>
          <w:rStyle w:val="FootnoteReference"/>
          <w:rFonts w:ascii="Times New Roman" w:hAnsi="Times New Roman"/>
        </w:rPr>
        <w:footnoteRef/>
      </w:r>
      <w:r w:rsidRPr="00D66352">
        <w:t xml:space="preserve"> </w:t>
      </w:r>
      <w:r w:rsidRPr="00D66352">
        <w:rPr>
          <w:sz w:val="18"/>
          <w:szCs w:val="18"/>
        </w:rPr>
        <w:t>The New Zealand Central Authority refers to the Commissioner of Inland Revenue or a person authorised by the Commissioner. The Australian Central Authority refers to the Commissioner of Taxation or a person authorised by the Commissioner.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C" w:rsidRPr="00D91B0E" w:rsidRDefault="00710C8C" w:rsidP="00D91B0E">
    <w:pPr>
      <w:pStyle w:val="Header"/>
      <w:spacing w:after="0"/>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F39"/>
    <w:multiLevelType w:val="hybridMultilevel"/>
    <w:tmpl w:val="8DD00FD8"/>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1670033C"/>
    <w:multiLevelType w:val="hybridMultilevel"/>
    <w:tmpl w:val="AD88BBE8"/>
    <w:lvl w:ilvl="0" w:tplc="47C822B0">
      <w:start w:val="1"/>
      <w:numFmt w:val="decimal"/>
      <w:lvlText w:val="%1."/>
      <w:lvlJc w:val="left"/>
      <w:pPr>
        <w:tabs>
          <w:tab w:val="num" w:pos="720"/>
        </w:tabs>
        <w:ind w:left="720" w:hanging="360"/>
      </w:pPr>
      <w:rPr>
        <w:b w:val="0"/>
        <w:i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B843CF7"/>
    <w:multiLevelType w:val="hybridMultilevel"/>
    <w:tmpl w:val="13805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C17E97"/>
    <w:multiLevelType w:val="hybridMultilevel"/>
    <w:tmpl w:val="ECE23C86"/>
    <w:lvl w:ilvl="0" w:tplc="517449C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CD7EF1"/>
    <w:multiLevelType w:val="hybridMultilevel"/>
    <w:tmpl w:val="B880841A"/>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29975D8"/>
    <w:multiLevelType w:val="hybridMultilevel"/>
    <w:tmpl w:val="6D188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nsid w:val="46F8512F"/>
    <w:multiLevelType w:val="hybridMultilevel"/>
    <w:tmpl w:val="87C631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39A2AD6"/>
    <w:multiLevelType w:val="hybridMultilevel"/>
    <w:tmpl w:val="2A046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E392FAE"/>
    <w:multiLevelType w:val="hybridMultilevel"/>
    <w:tmpl w:val="DCAC6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E36F20"/>
    <w:multiLevelType w:val="hybridMultilevel"/>
    <w:tmpl w:val="C7442ED8"/>
    <w:lvl w:ilvl="0" w:tplc="C00411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4"/>
  </w:num>
  <w:num w:numId="6">
    <w:abstractNumId w:val="2"/>
  </w:num>
  <w:num w:numId="7">
    <w:abstractNumId w:val="7"/>
  </w:num>
  <w:num w:numId="8">
    <w:abstractNumId w:val="10"/>
  </w:num>
  <w:num w:numId="9">
    <w:abstractNumId w:val="0"/>
  </w:num>
  <w:num w:numId="10">
    <w:abstractNumId w:val="5"/>
  </w:num>
  <w:num w:numId="11">
    <w:abstractNumId w:val="11"/>
  </w:num>
  <w:num w:numId="12">
    <w:abstractNumId w:val="3"/>
  </w:num>
  <w:num w:numId="13">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a Berry">
    <w15:presenceInfo w15:providerId="Windows Live" w15:userId="09355ea174e5d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9"/>
    <w:rsid w:val="00001539"/>
    <w:rsid w:val="00002433"/>
    <w:rsid w:val="000037F4"/>
    <w:rsid w:val="0000458D"/>
    <w:rsid w:val="00004A8A"/>
    <w:rsid w:val="00005DC9"/>
    <w:rsid w:val="00006613"/>
    <w:rsid w:val="00006CCD"/>
    <w:rsid w:val="00010986"/>
    <w:rsid w:val="00010F7D"/>
    <w:rsid w:val="00012338"/>
    <w:rsid w:val="00013A18"/>
    <w:rsid w:val="00014196"/>
    <w:rsid w:val="000147DC"/>
    <w:rsid w:val="00015072"/>
    <w:rsid w:val="00016636"/>
    <w:rsid w:val="00016722"/>
    <w:rsid w:val="0002068B"/>
    <w:rsid w:val="000232EB"/>
    <w:rsid w:val="00023BAB"/>
    <w:rsid w:val="00023EA6"/>
    <w:rsid w:val="00024B22"/>
    <w:rsid w:val="0002568E"/>
    <w:rsid w:val="00025954"/>
    <w:rsid w:val="00025E55"/>
    <w:rsid w:val="00030890"/>
    <w:rsid w:val="00030DEA"/>
    <w:rsid w:val="00033950"/>
    <w:rsid w:val="000343E7"/>
    <w:rsid w:val="000346E6"/>
    <w:rsid w:val="00035185"/>
    <w:rsid w:val="00036A3D"/>
    <w:rsid w:val="00036EE4"/>
    <w:rsid w:val="000404D8"/>
    <w:rsid w:val="00041137"/>
    <w:rsid w:val="00041469"/>
    <w:rsid w:val="00041CD1"/>
    <w:rsid w:val="0004221C"/>
    <w:rsid w:val="000431FE"/>
    <w:rsid w:val="000435AD"/>
    <w:rsid w:val="00045AFC"/>
    <w:rsid w:val="00046F46"/>
    <w:rsid w:val="00047559"/>
    <w:rsid w:val="00050FF7"/>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399C"/>
    <w:rsid w:val="00064834"/>
    <w:rsid w:val="000655B2"/>
    <w:rsid w:val="00070193"/>
    <w:rsid w:val="00073A19"/>
    <w:rsid w:val="00073F31"/>
    <w:rsid w:val="000745D3"/>
    <w:rsid w:val="00074B13"/>
    <w:rsid w:val="00074D02"/>
    <w:rsid w:val="0007562B"/>
    <w:rsid w:val="00076833"/>
    <w:rsid w:val="00076A1D"/>
    <w:rsid w:val="00080CE0"/>
    <w:rsid w:val="00080DE3"/>
    <w:rsid w:val="00082653"/>
    <w:rsid w:val="00082ABC"/>
    <w:rsid w:val="00082B99"/>
    <w:rsid w:val="00083ADB"/>
    <w:rsid w:val="00085660"/>
    <w:rsid w:val="00086007"/>
    <w:rsid w:val="000863E2"/>
    <w:rsid w:val="00086898"/>
    <w:rsid w:val="0008712F"/>
    <w:rsid w:val="00087C41"/>
    <w:rsid w:val="00090406"/>
    <w:rsid w:val="000907F4"/>
    <w:rsid w:val="00092296"/>
    <w:rsid w:val="0009437A"/>
    <w:rsid w:val="00095446"/>
    <w:rsid w:val="00096BFA"/>
    <w:rsid w:val="000A073E"/>
    <w:rsid w:val="000A20D1"/>
    <w:rsid w:val="000A39F4"/>
    <w:rsid w:val="000A3C89"/>
    <w:rsid w:val="000A43F8"/>
    <w:rsid w:val="000A4419"/>
    <w:rsid w:val="000A4678"/>
    <w:rsid w:val="000A5E41"/>
    <w:rsid w:val="000B005C"/>
    <w:rsid w:val="000B01CC"/>
    <w:rsid w:val="000B0480"/>
    <w:rsid w:val="000B0615"/>
    <w:rsid w:val="000B0C12"/>
    <w:rsid w:val="000B0D42"/>
    <w:rsid w:val="000B16BF"/>
    <w:rsid w:val="000B2052"/>
    <w:rsid w:val="000B5821"/>
    <w:rsid w:val="000B5B1E"/>
    <w:rsid w:val="000C0912"/>
    <w:rsid w:val="000C2669"/>
    <w:rsid w:val="000C26E9"/>
    <w:rsid w:val="000C3EB5"/>
    <w:rsid w:val="000C43B6"/>
    <w:rsid w:val="000C684B"/>
    <w:rsid w:val="000C6EED"/>
    <w:rsid w:val="000C79FD"/>
    <w:rsid w:val="000C7AE2"/>
    <w:rsid w:val="000D012A"/>
    <w:rsid w:val="000D0FA0"/>
    <w:rsid w:val="000D2A6B"/>
    <w:rsid w:val="000D31FE"/>
    <w:rsid w:val="000D5E01"/>
    <w:rsid w:val="000D6393"/>
    <w:rsid w:val="000D670A"/>
    <w:rsid w:val="000D7531"/>
    <w:rsid w:val="000D77C0"/>
    <w:rsid w:val="000D7C12"/>
    <w:rsid w:val="000E0036"/>
    <w:rsid w:val="000E310A"/>
    <w:rsid w:val="000E3979"/>
    <w:rsid w:val="000E3CE1"/>
    <w:rsid w:val="000E73FF"/>
    <w:rsid w:val="000E7C1C"/>
    <w:rsid w:val="000F03B0"/>
    <w:rsid w:val="000F1239"/>
    <w:rsid w:val="000F162C"/>
    <w:rsid w:val="000F3333"/>
    <w:rsid w:val="000F6F99"/>
    <w:rsid w:val="000F7020"/>
    <w:rsid w:val="00101A24"/>
    <w:rsid w:val="00113146"/>
    <w:rsid w:val="00114F56"/>
    <w:rsid w:val="001158BA"/>
    <w:rsid w:val="00115E93"/>
    <w:rsid w:val="00115FCF"/>
    <w:rsid w:val="00116006"/>
    <w:rsid w:val="00116549"/>
    <w:rsid w:val="00116B51"/>
    <w:rsid w:val="001229C2"/>
    <w:rsid w:val="0012410B"/>
    <w:rsid w:val="00125812"/>
    <w:rsid w:val="00125ADD"/>
    <w:rsid w:val="00126CD1"/>
    <w:rsid w:val="00127757"/>
    <w:rsid w:val="00130E8F"/>
    <w:rsid w:val="00132C9D"/>
    <w:rsid w:val="001336E3"/>
    <w:rsid w:val="001339BB"/>
    <w:rsid w:val="001345D4"/>
    <w:rsid w:val="00136EED"/>
    <w:rsid w:val="00141B20"/>
    <w:rsid w:val="00141D39"/>
    <w:rsid w:val="00142051"/>
    <w:rsid w:val="00143437"/>
    <w:rsid w:val="00144369"/>
    <w:rsid w:val="00144ADC"/>
    <w:rsid w:val="00144BBB"/>
    <w:rsid w:val="001450A8"/>
    <w:rsid w:val="001466FB"/>
    <w:rsid w:val="00146FC1"/>
    <w:rsid w:val="00150932"/>
    <w:rsid w:val="00152D49"/>
    <w:rsid w:val="001538CB"/>
    <w:rsid w:val="00157E18"/>
    <w:rsid w:val="00161022"/>
    <w:rsid w:val="00161358"/>
    <w:rsid w:val="001620EB"/>
    <w:rsid w:val="0016538E"/>
    <w:rsid w:val="00166A7A"/>
    <w:rsid w:val="00166C49"/>
    <w:rsid w:val="00166D3C"/>
    <w:rsid w:val="001674EB"/>
    <w:rsid w:val="00167EE1"/>
    <w:rsid w:val="001705C4"/>
    <w:rsid w:val="00171281"/>
    <w:rsid w:val="001712D6"/>
    <w:rsid w:val="00171F7C"/>
    <w:rsid w:val="001726B0"/>
    <w:rsid w:val="00172B21"/>
    <w:rsid w:val="00173EB5"/>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6BB5"/>
    <w:rsid w:val="00197273"/>
    <w:rsid w:val="001A0A6F"/>
    <w:rsid w:val="001A13C8"/>
    <w:rsid w:val="001A1C61"/>
    <w:rsid w:val="001A1DFB"/>
    <w:rsid w:val="001A5694"/>
    <w:rsid w:val="001A5BEE"/>
    <w:rsid w:val="001A6C11"/>
    <w:rsid w:val="001B05A4"/>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2D07"/>
    <w:rsid w:val="001C41C2"/>
    <w:rsid w:val="001C5F1B"/>
    <w:rsid w:val="001C6912"/>
    <w:rsid w:val="001C777C"/>
    <w:rsid w:val="001D0A46"/>
    <w:rsid w:val="001D22ED"/>
    <w:rsid w:val="001D3440"/>
    <w:rsid w:val="001D37FB"/>
    <w:rsid w:val="001D4D62"/>
    <w:rsid w:val="001D53A8"/>
    <w:rsid w:val="001D5C9D"/>
    <w:rsid w:val="001D7325"/>
    <w:rsid w:val="001E0CC4"/>
    <w:rsid w:val="001E12C8"/>
    <w:rsid w:val="001E1A8F"/>
    <w:rsid w:val="001E4D4B"/>
    <w:rsid w:val="001E6AFE"/>
    <w:rsid w:val="001E6F29"/>
    <w:rsid w:val="001F0773"/>
    <w:rsid w:val="001F0DD3"/>
    <w:rsid w:val="001F1711"/>
    <w:rsid w:val="001F1A2D"/>
    <w:rsid w:val="001F21CB"/>
    <w:rsid w:val="001F2F77"/>
    <w:rsid w:val="001F5FB7"/>
    <w:rsid w:val="001F6750"/>
    <w:rsid w:val="00200311"/>
    <w:rsid w:val="002008D1"/>
    <w:rsid w:val="00202E20"/>
    <w:rsid w:val="00203450"/>
    <w:rsid w:val="002036AA"/>
    <w:rsid w:val="00203789"/>
    <w:rsid w:val="00204A66"/>
    <w:rsid w:val="00205334"/>
    <w:rsid w:val="002061FB"/>
    <w:rsid w:val="00211113"/>
    <w:rsid w:val="00213B41"/>
    <w:rsid w:val="00216045"/>
    <w:rsid w:val="00216DB5"/>
    <w:rsid w:val="00216F08"/>
    <w:rsid w:val="00217A19"/>
    <w:rsid w:val="00217D31"/>
    <w:rsid w:val="00222CA5"/>
    <w:rsid w:val="00222F0F"/>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6488"/>
    <w:rsid w:val="00247ADA"/>
    <w:rsid w:val="0025140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4D6"/>
    <w:rsid w:val="00273D5C"/>
    <w:rsid w:val="00273ECF"/>
    <w:rsid w:val="00275209"/>
    <w:rsid w:val="0027527B"/>
    <w:rsid w:val="00275B26"/>
    <w:rsid w:val="0027706F"/>
    <w:rsid w:val="002805FF"/>
    <w:rsid w:val="00281580"/>
    <w:rsid w:val="00282DD1"/>
    <w:rsid w:val="00283259"/>
    <w:rsid w:val="00283AFA"/>
    <w:rsid w:val="00283D22"/>
    <w:rsid w:val="002846F2"/>
    <w:rsid w:val="00287942"/>
    <w:rsid w:val="0029012C"/>
    <w:rsid w:val="00292783"/>
    <w:rsid w:val="0029399F"/>
    <w:rsid w:val="00293E21"/>
    <w:rsid w:val="00294173"/>
    <w:rsid w:val="00295264"/>
    <w:rsid w:val="00295DFA"/>
    <w:rsid w:val="00296404"/>
    <w:rsid w:val="0029649F"/>
    <w:rsid w:val="002971B5"/>
    <w:rsid w:val="002A05D3"/>
    <w:rsid w:val="002A06C6"/>
    <w:rsid w:val="002A0B73"/>
    <w:rsid w:val="002A107A"/>
    <w:rsid w:val="002A3595"/>
    <w:rsid w:val="002A401A"/>
    <w:rsid w:val="002A535E"/>
    <w:rsid w:val="002A5881"/>
    <w:rsid w:val="002A5E7A"/>
    <w:rsid w:val="002A5F38"/>
    <w:rsid w:val="002B0025"/>
    <w:rsid w:val="002B0801"/>
    <w:rsid w:val="002B0A3F"/>
    <w:rsid w:val="002B5324"/>
    <w:rsid w:val="002B56E7"/>
    <w:rsid w:val="002B5823"/>
    <w:rsid w:val="002B6DEA"/>
    <w:rsid w:val="002B733A"/>
    <w:rsid w:val="002B7F4A"/>
    <w:rsid w:val="002C0074"/>
    <w:rsid w:val="002C0618"/>
    <w:rsid w:val="002C097E"/>
    <w:rsid w:val="002C2315"/>
    <w:rsid w:val="002C258A"/>
    <w:rsid w:val="002C301D"/>
    <w:rsid w:val="002C4A38"/>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360"/>
    <w:rsid w:val="002F4407"/>
    <w:rsid w:val="002F5A1A"/>
    <w:rsid w:val="002F6E67"/>
    <w:rsid w:val="002F71F1"/>
    <w:rsid w:val="002F7C03"/>
    <w:rsid w:val="0030111A"/>
    <w:rsid w:val="003020F3"/>
    <w:rsid w:val="003022D4"/>
    <w:rsid w:val="003024F1"/>
    <w:rsid w:val="003038AC"/>
    <w:rsid w:val="00305726"/>
    <w:rsid w:val="00306E9B"/>
    <w:rsid w:val="003076FA"/>
    <w:rsid w:val="00310D70"/>
    <w:rsid w:val="0031214B"/>
    <w:rsid w:val="00313F3E"/>
    <w:rsid w:val="003141AE"/>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A4E"/>
    <w:rsid w:val="003352EF"/>
    <w:rsid w:val="0033545E"/>
    <w:rsid w:val="003418C0"/>
    <w:rsid w:val="003424A8"/>
    <w:rsid w:val="003425F7"/>
    <w:rsid w:val="00342BD2"/>
    <w:rsid w:val="00343012"/>
    <w:rsid w:val="00343233"/>
    <w:rsid w:val="00343B25"/>
    <w:rsid w:val="003441E3"/>
    <w:rsid w:val="003445EA"/>
    <w:rsid w:val="003472CD"/>
    <w:rsid w:val="00350175"/>
    <w:rsid w:val="00351EC0"/>
    <w:rsid w:val="00352990"/>
    <w:rsid w:val="00353113"/>
    <w:rsid w:val="00353518"/>
    <w:rsid w:val="00355DAA"/>
    <w:rsid w:val="00356228"/>
    <w:rsid w:val="003613F4"/>
    <w:rsid w:val="00361819"/>
    <w:rsid w:val="00361F3D"/>
    <w:rsid w:val="00362E2F"/>
    <w:rsid w:val="00362FE1"/>
    <w:rsid w:val="00363DCE"/>
    <w:rsid w:val="00365680"/>
    <w:rsid w:val="00366A1A"/>
    <w:rsid w:val="00367B6E"/>
    <w:rsid w:val="00370B2E"/>
    <w:rsid w:val="00372D68"/>
    <w:rsid w:val="0037447C"/>
    <w:rsid w:val="00374546"/>
    <w:rsid w:val="0037458C"/>
    <w:rsid w:val="00374E9A"/>
    <w:rsid w:val="003757C5"/>
    <w:rsid w:val="00375E7C"/>
    <w:rsid w:val="00375FFD"/>
    <w:rsid w:val="00381DB8"/>
    <w:rsid w:val="003826A0"/>
    <w:rsid w:val="00383462"/>
    <w:rsid w:val="00384B58"/>
    <w:rsid w:val="00385683"/>
    <w:rsid w:val="00385EC1"/>
    <w:rsid w:val="00386DD1"/>
    <w:rsid w:val="00387CA4"/>
    <w:rsid w:val="00391389"/>
    <w:rsid w:val="00391E64"/>
    <w:rsid w:val="00395750"/>
    <w:rsid w:val="0039581F"/>
    <w:rsid w:val="003965EE"/>
    <w:rsid w:val="00396861"/>
    <w:rsid w:val="0039783E"/>
    <w:rsid w:val="003A0009"/>
    <w:rsid w:val="003A0E47"/>
    <w:rsid w:val="003A4360"/>
    <w:rsid w:val="003A4C66"/>
    <w:rsid w:val="003A68AA"/>
    <w:rsid w:val="003A7561"/>
    <w:rsid w:val="003A761F"/>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042C"/>
    <w:rsid w:val="003E0BDB"/>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2D71"/>
    <w:rsid w:val="00403755"/>
    <w:rsid w:val="0040387F"/>
    <w:rsid w:val="00406227"/>
    <w:rsid w:val="00407D3B"/>
    <w:rsid w:val="004108D4"/>
    <w:rsid w:val="0041363C"/>
    <w:rsid w:val="00414E9A"/>
    <w:rsid w:val="00415CC4"/>
    <w:rsid w:val="00415FD6"/>
    <w:rsid w:val="0041696F"/>
    <w:rsid w:val="00420BDA"/>
    <w:rsid w:val="00420D4C"/>
    <w:rsid w:val="00423B79"/>
    <w:rsid w:val="004240D2"/>
    <w:rsid w:val="004241B5"/>
    <w:rsid w:val="00424ADF"/>
    <w:rsid w:val="004303B8"/>
    <w:rsid w:val="00431677"/>
    <w:rsid w:val="00433183"/>
    <w:rsid w:val="00433AED"/>
    <w:rsid w:val="004341FB"/>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8F9"/>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21E0"/>
    <w:rsid w:val="00472F9C"/>
    <w:rsid w:val="00473803"/>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47DB"/>
    <w:rsid w:val="00495017"/>
    <w:rsid w:val="0049615F"/>
    <w:rsid w:val="004971EF"/>
    <w:rsid w:val="004A2043"/>
    <w:rsid w:val="004A2FD9"/>
    <w:rsid w:val="004A51CB"/>
    <w:rsid w:val="004A5D55"/>
    <w:rsid w:val="004A6D51"/>
    <w:rsid w:val="004B03BE"/>
    <w:rsid w:val="004B0A80"/>
    <w:rsid w:val="004B1950"/>
    <w:rsid w:val="004B2492"/>
    <w:rsid w:val="004B2839"/>
    <w:rsid w:val="004B300A"/>
    <w:rsid w:val="004B4E7B"/>
    <w:rsid w:val="004B58C7"/>
    <w:rsid w:val="004B7418"/>
    <w:rsid w:val="004B78FA"/>
    <w:rsid w:val="004C06CD"/>
    <w:rsid w:val="004C0FBA"/>
    <w:rsid w:val="004C1080"/>
    <w:rsid w:val="004C2B29"/>
    <w:rsid w:val="004C3F7B"/>
    <w:rsid w:val="004C3FD4"/>
    <w:rsid w:val="004C4916"/>
    <w:rsid w:val="004C49E5"/>
    <w:rsid w:val="004C5222"/>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4059"/>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3AEC"/>
    <w:rsid w:val="0053679A"/>
    <w:rsid w:val="00536C66"/>
    <w:rsid w:val="005403C5"/>
    <w:rsid w:val="0054067C"/>
    <w:rsid w:val="00541C62"/>
    <w:rsid w:val="0054281B"/>
    <w:rsid w:val="005437B7"/>
    <w:rsid w:val="00543E03"/>
    <w:rsid w:val="00545F4F"/>
    <w:rsid w:val="00545F60"/>
    <w:rsid w:val="00547754"/>
    <w:rsid w:val="0054782B"/>
    <w:rsid w:val="0055051C"/>
    <w:rsid w:val="00550BD7"/>
    <w:rsid w:val="005520E3"/>
    <w:rsid w:val="005536BC"/>
    <w:rsid w:val="00554347"/>
    <w:rsid w:val="005544E5"/>
    <w:rsid w:val="00554B2A"/>
    <w:rsid w:val="00554B2F"/>
    <w:rsid w:val="0055592B"/>
    <w:rsid w:val="00556D93"/>
    <w:rsid w:val="00557118"/>
    <w:rsid w:val="005571F7"/>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4C8B"/>
    <w:rsid w:val="005754DE"/>
    <w:rsid w:val="00576798"/>
    <w:rsid w:val="00580450"/>
    <w:rsid w:val="00580CDE"/>
    <w:rsid w:val="00581009"/>
    <w:rsid w:val="005819B2"/>
    <w:rsid w:val="00582409"/>
    <w:rsid w:val="00582DC6"/>
    <w:rsid w:val="00583F9C"/>
    <w:rsid w:val="00584EA0"/>
    <w:rsid w:val="00585F5E"/>
    <w:rsid w:val="00586DC7"/>
    <w:rsid w:val="00590BD9"/>
    <w:rsid w:val="00590D92"/>
    <w:rsid w:val="00591D93"/>
    <w:rsid w:val="00593561"/>
    <w:rsid w:val="00594805"/>
    <w:rsid w:val="00596392"/>
    <w:rsid w:val="00596EAD"/>
    <w:rsid w:val="00597DFE"/>
    <w:rsid w:val="00597FAF"/>
    <w:rsid w:val="005A13E7"/>
    <w:rsid w:val="005A196E"/>
    <w:rsid w:val="005A2CB0"/>
    <w:rsid w:val="005A3D06"/>
    <w:rsid w:val="005A3DA9"/>
    <w:rsid w:val="005A62E6"/>
    <w:rsid w:val="005A6CC1"/>
    <w:rsid w:val="005A6CCD"/>
    <w:rsid w:val="005A7107"/>
    <w:rsid w:val="005A75B0"/>
    <w:rsid w:val="005B174D"/>
    <w:rsid w:val="005B1762"/>
    <w:rsid w:val="005B29AF"/>
    <w:rsid w:val="005B39D2"/>
    <w:rsid w:val="005B3B36"/>
    <w:rsid w:val="005B545C"/>
    <w:rsid w:val="005B55F8"/>
    <w:rsid w:val="005B5924"/>
    <w:rsid w:val="005B6561"/>
    <w:rsid w:val="005C0312"/>
    <w:rsid w:val="005C0453"/>
    <w:rsid w:val="005C1BCE"/>
    <w:rsid w:val="005C21D1"/>
    <w:rsid w:val="005C24B6"/>
    <w:rsid w:val="005C29FA"/>
    <w:rsid w:val="005C363D"/>
    <w:rsid w:val="005C3E40"/>
    <w:rsid w:val="005C5F92"/>
    <w:rsid w:val="005C6EDB"/>
    <w:rsid w:val="005D0763"/>
    <w:rsid w:val="005D0FD8"/>
    <w:rsid w:val="005D245C"/>
    <w:rsid w:val="005D3DE0"/>
    <w:rsid w:val="005D4C84"/>
    <w:rsid w:val="005D57F3"/>
    <w:rsid w:val="005D67EA"/>
    <w:rsid w:val="005E0B96"/>
    <w:rsid w:val="005E4156"/>
    <w:rsid w:val="005E6DB6"/>
    <w:rsid w:val="005E7559"/>
    <w:rsid w:val="005F08CC"/>
    <w:rsid w:val="005F2C40"/>
    <w:rsid w:val="005F4DCE"/>
    <w:rsid w:val="005F5FC9"/>
    <w:rsid w:val="00600727"/>
    <w:rsid w:val="0060184B"/>
    <w:rsid w:val="00601A52"/>
    <w:rsid w:val="00602E73"/>
    <w:rsid w:val="00603627"/>
    <w:rsid w:val="006036A6"/>
    <w:rsid w:val="00603E2B"/>
    <w:rsid w:val="00603FA8"/>
    <w:rsid w:val="006050DD"/>
    <w:rsid w:val="006062EF"/>
    <w:rsid w:val="0061025C"/>
    <w:rsid w:val="00610DB8"/>
    <w:rsid w:val="006111DF"/>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37DF3"/>
    <w:rsid w:val="0064147F"/>
    <w:rsid w:val="00642ADD"/>
    <w:rsid w:val="00642BDD"/>
    <w:rsid w:val="00643396"/>
    <w:rsid w:val="00643788"/>
    <w:rsid w:val="0064402C"/>
    <w:rsid w:val="006445A2"/>
    <w:rsid w:val="00645C45"/>
    <w:rsid w:val="00646179"/>
    <w:rsid w:val="006464FD"/>
    <w:rsid w:val="006474EE"/>
    <w:rsid w:val="0064763A"/>
    <w:rsid w:val="00650576"/>
    <w:rsid w:val="00652C9D"/>
    <w:rsid w:val="00653AE4"/>
    <w:rsid w:val="00653F24"/>
    <w:rsid w:val="006544DB"/>
    <w:rsid w:val="00656647"/>
    <w:rsid w:val="0065713B"/>
    <w:rsid w:val="0065713C"/>
    <w:rsid w:val="0065773E"/>
    <w:rsid w:val="00660B1F"/>
    <w:rsid w:val="00662194"/>
    <w:rsid w:val="0066275D"/>
    <w:rsid w:val="006637FA"/>
    <w:rsid w:val="00663B17"/>
    <w:rsid w:val="006661F6"/>
    <w:rsid w:val="00666A40"/>
    <w:rsid w:val="006712FF"/>
    <w:rsid w:val="00671424"/>
    <w:rsid w:val="006755C1"/>
    <w:rsid w:val="00675A28"/>
    <w:rsid w:val="00676159"/>
    <w:rsid w:val="006772A7"/>
    <w:rsid w:val="006772CA"/>
    <w:rsid w:val="00677EE9"/>
    <w:rsid w:val="006804CF"/>
    <w:rsid w:val="00681882"/>
    <w:rsid w:val="006822DA"/>
    <w:rsid w:val="00682473"/>
    <w:rsid w:val="006829A8"/>
    <w:rsid w:val="00682FBC"/>
    <w:rsid w:val="00683A57"/>
    <w:rsid w:val="0068449E"/>
    <w:rsid w:val="00684A4C"/>
    <w:rsid w:val="006873EA"/>
    <w:rsid w:val="00692162"/>
    <w:rsid w:val="00693024"/>
    <w:rsid w:val="006946BA"/>
    <w:rsid w:val="00694ABE"/>
    <w:rsid w:val="00694E49"/>
    <w:rsid w:val="006A0E74"/>
    <w:rsid w:val="006A0FE1"/>
    <w:rsid w:val="006A1A45"/>
    <w:rsid w:val="006A218F"/>
    <w:rsid w:val="006A3F76"/>
    <w:rsid w:val="006A4054"/>
    <w:rsid w:val="006A40A1"/>
    <w:rsid w:val="006A5C00"/>
    <w:rsid w:val="006A6165"/>
    <w:rsid w:val="006A6392"/>
    <w:rsid w:val="006A732E"/>
    <w:rsid w:val="006A7E28"/>
    <w:rsid w:val="006B2116"/>
    <w:rsid w:val="006B2982"/>
    <w:rsid w:val="006B3506"/>
    <w:rsid w:val="006B35BE"/>
    <w:rsid w:val="006B5929"/>
    <w:rsid w:val="006C0A4C"/>
    <w:rsid w:val="006C1B43"/>
    <w:rsid w:val="006C1D7C"/>
    <w:rsid w:val="006C3765"/>
    <w:rsid w:val="006C39BF"/>
    <w:rsid w:val="006C4775"/>
    <w:rsid w:val="006C6B95"/>
    <w:rsid w:val="006C6FA2"/>
    <w:rsid w:val="006C7000"/>
    <w:rsid w:val="006C7763"/>
    <w:rsid w:val="006D012B"/>
    <w:rsid w:val="006D12A7"/>
    <w:rsid w:val="006D2BD5"/>
    <w:rsid w:val="006D3949"/>
    <w:rsid w:val="006D3ECE"/>
    <w:rsid w:val="006D4E45"/>
    <w:rsid w:val="006D5350"/>
    <w:rsid w:val="006E0317"/>
    <w:rsid w:val="006E0511"/>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0C8C"/>
    <w:rsid w:val="00711471"/>
    <w:rsid w:val="00712398"/>
    <w:rsid w:val="00716DEA"/>
    <w:rsid w:val="0072105B"/>
    <w:rsid w:val="0072284E"/>
    <w:rsid w:val="00723508"/>
    <w:rsid w:val="00724140"/>
    <w:rsid w:val="00724A27"/>
    <w:rsid w:val="0073286C"/>
    <w:rsid w:val="007328CC"/>
    <w:rsid w:val="007330DF"/>
    <w:rsid w:val="00733260"/>
    <w:rsid w:val="00735070"/>
    <w:rsid w:val="0073576F"/>
    <w:rsid w:val="00735806"/>
    <w:rsid w:val="00735AD3"/>
    <w:rsid w:val="007364DA"/>
    <w:rsid w:val="007409D2"/>
    <w:rsid w:val="00742222"/>
    <w:rsid w:val="00743EA9"/>
    <w:rsid w:val="0074529C"/>
    <w:rsid w:val="00746B95"/>
    <w:rsid w:val="00747ECC"/>
    <w:rsid w:val="00750BF8"/>
    <w:rsid w:val="00750E2F"/>
    <w:rsid w:val="007515BC"/>
    <w:rsid w:val="00753328"/>
    <w:rsid w:val="00753433"/>
    <w:rsid w:val="00754E11"/>
    <w:rsid w:val="00756097"/>
    <w:rsid w:val="00764F3A"/>
    <w:rsid w:val="00765CC1"/>
    <w:rsid w:val="007669BA"/>
    <w:rsid w:val="00770261"/>
    <w:rsid w:val="007712EA"/>
    <w:rsid w:val="007713AF"/>
    <w:rsid w:val="00772439"/>
    <w:rsid w:val="00773ACD"/>
    <w:rsid w:val="007768C5"/>
    <w:rsid w:val="0077715B"/>
    <w:rsid w:val="007773BD"/>
    <w:rsid w:val="00777B72"/>
    <w:rsid w:val="00777EEE"/>
    <w:rsid w:val="00780C67"/>
    <w:rsid w:val="007811C0"/>
    <w:rsid w:val="007819CF"/>
    <w:rsid w:val="0078263F"/>
    <w:rsid w:val="007833AD"/>
    <w:rsid w:val="00783657"/>
    <w:rsid w:val="007836C9"/>
    <w:rsid w:val="00786840"/>
    <w:rsid w:val="00790852"/>
    <w:rsid w:val="00790EEE"/>
    <w:rsid w:val="00791304"/>
    <w:rsid w:val="00791677"/>
    <w:rsid w:val="00791C52"/>
    <w:rsid w:val="00791E8E"/>
    <w:rsid w:val="007931A9"/>
    <w:rsid w:val="00794E52"/>
    <w:rsid w:val="00794E6C"/>
    <w:rsid w:val="007952A7"/>
    <w:rsid w:val="00796982"/>
    <w:rsid w:val="007A02C7"/>
    <w:rsid w:val="007A05C6"/>
    <w:rsid w:val="007A142E"/>
    <w:rsid w:val="007A2C70"/>
    <w:rsid w:val="007A375D"/>
    <w:rsid w:val="007A5826"/>
    <w:rsid w:val="007A657A"/>
    <w:rsid w:val="007B0DCF"/>
    <w:rsid w:val="007B205C"/>
    <w:rsid w:val="007B249F"/>
    <w:rsid w:val="007B3647"/>
    <w:rsid w:val="007B4330"/>
    <w:rsid w:val="007B435A"/>
    <w:rsid w:val="007B5D7E"/>
    <w:rsid w:val="007B788E"/>
    <w:rsid w:val="007C17B1"/>
    <w:rsid w:val="007C43BB"/>
    <w:rsid w:val="007C6407"/>
    <w:rsid w:val="007C6ED9"/>
    <w:rsid w:val="007C737B"/>
    <w:rsid w:val="007D1D13"/>
    <w:rsid w:val="007D20FF"/>
    <w:rsid w:val="007D2F9E"/>
    <w:rsid w:val="007D36F2"/>
    <w:rsid w:val="007D3B6C"/>
    <w:rsid w:val="007D57DC"/>
    <w:rsid w:val="007D64CD"/>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08AB"/>
    <w:rsid w:val="008022F1"/>
    <w:rsid w:val="0080288A"/>
    <w:rsid w:val="00802E2A"/>
    <w:rsid w:val="00803569"/>
    <w:rsid w:val="008049CE"/>
    <w:rsid w:val="00807058"/>
    <w:rsid w:val="0080739F"/>
    <w:rsid w:val="0080758E"/>
    <w:rsid w:val="00810214"/>
    <w:rsid w:val="0081025E"/>
    <w:rsid w:val="00812261"/>
    <w:rsid w:val="008124E6"/>
    <w:rsid w:val="00812B72"/>
    <w:rsid w:val="00813360"/>
    <w:rsid w:val="00813620"/>
    <w:rsid w:val="00816F3A"/>
    <w:rsid w:val="008171ED"/>
    <w:rsid w:val="00820A94"/>
    <w:rsid w:val="00822DB3"/>
    <w:rsid w:val="00823B52"/>
    <w:rsid w:val="00823B90"/>
    <w:rsid w:val="0082798A"/>
    <w:rsid w:val="008304E8"/>
    <w:rsid w:val="00831ACA"/>
    <w:rsid w:val="00831AD5"/>
    <w:rsid w:val="00831BAA"/>
    <w:rsid w:val="00831E32"/>
    <w:rsid w:val="00832E3F"/>
    <w:rsid w:val="00834C7B"/>
    <w:rsid w:val="00836367"/>
    <w:rsid w:val="008375CF"/>
    <w:rsid w:val="00842508"/>
    <w:rsid w:val="008425D5"/>
    <w:rsid w:val="00843D20"/>
    <w:rsid w:val="00844454"/>
    <w:rsid w:val="008459F8"/>
    <w:rsid w:val="00847192"/>
    <w:rsid w:val="0084731D"/>
    <w:rsid w:val="00850142"/>
    <w:rsid w:val="008511D0"/>
    <w:rsid w:val="008536A2"/>
    <w:rsid w:val="00857420"/>
    <w:rsid w:val="0085773A"/>
    <w:rsid w:val="00857D15"/>
    <w:rsid w:val="00860305"/>
    <w:rsid w:val="008603F1"/>
    <w:rsid w:val="00860CCE"/>
    <w:rsid w:val="00862540"/>
    <w:rsid w:val="00862551"/>
    <w:rsid w:val="0086294E"/>
    <w:rsid w:val="00863459"/>
    <w:rsid w:val="008637E1"/>
    <w:rsid w:val="008651C3"/>
    <w:rsid w:val="0086650A"/>
    <w:rsid w:val="008669BF"/>
    <w:rsid w:val="00867E68"/>
    <w:rsid w:val="00872CDA"/>
    <w:rsid w:val="0087340F"/>
    <w:rsid w:val="00873D37"/>
    <w:rsid w:val="00874188"/>
    <w:rsid w:val="00876879"/>
    <w:rsid w:val="00882875"/>
    <w:rsid w:val="0088302D"/>
    <w:rsid w:val="008830FE"/>
    <w:rsid w:val="00883A51"/>
    <w:rsid w:val="008841C7"/>
    <w:rsid w:val="00885271"/>
    <w:rsid w:val="00885C28"/>
    <w:rsid w:val="00885F6B"/>
    <w:rsid w:val="008866E0"/>
    <w:rsid w:val="00887803"/>
    <w:rsid w:val="00887ABA"/>
    <w:rsid w:val="00891481"/>
    <w:rsid w:val="00891811"/>
    <w:rsid w:val="00893A34"/>
    <w:rsid w:val="00893F1F"/>
    <w:rsid w:val="00897964"/>
    <w:rsid w:val="008A2903"/>
    <w:rsid w:val="008A2ECB"/>
    <w:rsid w:val="008A41D1"/>
    <w:rsid w:val="008A6B32"/>
    <w:rsid w:val="008A6D57"/>
    <w:rsid w:val="008A7DEB"/>
    <w:rsid w:val="008B39F2"/>
    <w:rsid w:val="008B6159"/>
    <w:rsid w:val="008B7CC7"/>
    <w:rsid w:val="008C0BAD"/>
    <w:rsid w:val="008C1654"/>
    <w:rsid w:val="008C2E66"/>
    <w:rsid w:val="008C3CF3"/>
    <w:rsid w:val="008C4059"/>
    <w:rsid w:val="008C5061"/>
    <w:rsid w:val="008D321E"/>
    <w:rsid w:val="008D4069"/>
    <w:rsid w:val="008D4C74"/>
    <w:rsid w:val="008D578D"/>
    <w:rsid w:val="008D6F8D"/>
    <w:rsid w:val="008E0799"/>
    <w:rsid w:val="008E0FDC"/>
    <w:rsid w:val="008E144C"/>
    <w:rsid w:val="008E1524"/>
    <w:rsid w:val="008E1751"/>
    <w:rsid w:val="008E32A2"/>
    <w:rsid w:val="008E35D5"/>
    <w:rsid w:val="008E499D"/>
    <w:rsid w:val="008F12BE"/>
    <w:rsid w:val="008F1742"/>
    <w:rsid w:val="008F2E3D"/>
    <w:rsid w:val="008F3401"/>
    <w:rsid w:val="008F45DD"/>
    <w:rsid w:val="008F524F"/>
    <w:rsid w:val="008F546B"/>
    <w:rsid w:val="008F64F6"/>
    <w:rsid w:val="008F7F16"/>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1139"/>
    <w:rsid w:val="00931186"/>
    <w:rsid w:val="00931C60"/>
    <w:rsid w:val="0093200F"/>
    <w:rsid w:val="00932330"/>
    <w:rsid w:val="009366A0"/>
    <w:rsid w:val="00936F61"/>
    <w:rsid w:val="009407EE"/>
    <w:rsid w:val="00943986"/>
    <w:rsid w:val="00943B26"/>
    <w:rsid w:val="00950357"/>
    <w:rsid w:val="0095200D"/>
    <w:rsid w:val="009524F6"/>
    <w:rsid w:val="009542D3"/>
    <w:rsid w:val="00955115"/>
    <w:rsid w:val="00956DA6"/>
    <w:rsid w:val="009575E3"/>
    <w:rsid w:val="00957F52"/>
    <w:rsid w:val="00960387"/>
    <w:rsid w:val="00961C3D"/>
    <w:rsid w:val="00961DC0"/>
    <w:rsid w:val="00962484"/>
    <w:rsid w:val="0096278C"/>
    <w:rsid w:val="009643C4"/>
    <w:rsid w:val="00967BAA"/>
    <w:rsid w:val="00970DF3"/>
    <w:rsid w:val="009747A8"/>
    <w:rsid w:val="00975870"/>
    <w:rsid w:val="00975CDC"/>
    <w:rsid w:val="0097679E"/>
    <w:rsid w:val="009768F2"/>
    <w:rsid w:val="00981A56"/>
    <w:rsid w:val="0098237E"/>
    <w:rsid w:val="00982725"/>
    <w:rsid w:val="00983242"/>
    <w:rsid w:val="00983700"/>
    <w:rsid w:val="00984467"/>
    <w:rsid w:val="0098563C"/>
    <w:rsid w:val="0098603E"/>
    <w:rsid w:val="00986F53"/>
    <w:rsid w:val="0099053A"/>
    <w:rsid w:val="0099144E"/>
    <w:rsid w:val="009918E8"/>
    <w:rsid w:val="00991ACC"/>
    <w:rsid w:val="00992345"/>
    <w:rsid w:val="00993572"/>
    <w:rsid w:val="00995D58"/>
    <w:rsid w:val="0099604A"/>
    <w:rsid w:val="009962FE"/>
    <w:rsid w:val="00997E46"/>
    <w:rsid w:val="009A0E5A"/>
    <w:rsid w:val="009A1F84"/>
    <w:rsid w:val="009A237B"/>
    <w:rsid w:val="009A23EE"/>
    <w:rsid w:val="009A2C24"/>
    <w:rsid w:val="009A3BE0"/>
    <w:rsid w:val="009A4293"/>
    <w:rsid w:val="009A6068"/>
    <w:rsid w:val="009B0464"/>
    <w:rsid w:val="009B1209"/>
    <w:rsid w:val="009B1F88"/>
    <w:rsid w:val="009B3F9B"/>
    <w:rsid w:val="009B4464"/>
    <w:rsid w:val="009B4B08"/>
    <w:rsid w:val="009B526C"/>
    <w:rsid w:val="009B5ED9"/>
    <w:rsid w:val="009B687E"/>
    <w:rsid w:val="009B78C5"/>
    <w:rsid w:val="009C2C16"/>
    <w:rsid w:val="009C4DC5"/>
    <w:rsid w:val="009C4F2E"/>
    <w:rsid w:val="009C5262"/>
    <w:rsid w:val="009C528C"/>
    <w:rsid w:val="009C6B0A"/>
    <w:rsid w:val="009D07A9"/>
    <w:rsid w:val="009D176F"/>
    <w:rsid w:val="009D50C8"/>
    <w:rsid w:val="009D5865"/>
    <w:rsid w:val="009D5E4C"/>
    <w:rsid w:val="009D6D25"/>
    <w:rsid w:val="009E03FB"/>
    <w:rsid w:val="009E17B9"/>
    <w:rsid w:val="009E39BD"/>
    <w:rsid w:val="009E56D2"/>
    <w:rsid w:val="009E5854"/>
    <w:rsid w:val="009F06E5"/>
    <w:rsid w:val="009F082F"/>
    <w:rsid w:val="009F09E6"/>
    <w:rsid w:val="009F39B2"/>
    <w:rsid w:val="009F4246"/>
    <w:rsid w:val="009F630C"/>
    <w:rsid w:val="009F7B9A"/>
    <w:rsid w:val="009F7F75"/>
    <w:rsid w:val="00A01608"/>
    <w:rsid w:val="00A0358C"/>
    <w:rsid w:val="00A03704"/>
    <w:rsid w:val="00A059DE"/>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4EB9"/>
    <w:rsid w:val="00A458F0"/>
    <w:rsid w:val="00A46A67"/>
    <w:rsid w:val="00A474F8"/>
    <w:rsid w:val="00A51CC9"/>
    <w:rsid w:val="00A51EF6"/>
    <w:rsid w:val="00A52763"/>
    <w:rsid w:val="00A52964"/>
    <w:rsid w:val="00A541BB"/>
    <w:rsid w:val="00A63652"/>
    <w:rsid w:val="00A637DD"/>
    <w:rsid w:val="00A65EA6"/>
    <w:rsid w:val="00A72D91"/>
    <w:rsid w:val="00A73D4B"/>
    <w:rsid w:val="00A748A3"/>
    <w:rsid w:val="00A7531D"/>
    <w:rsid w:val="00A761FA"/>
    <w:rsid w:val="00A771C0"/>
    <w:rsid w:val="00A80CA4"/>
    <w:rsid w:val="00A81192"/>
    <w:rsid w:val="00A81297"/>
    <w:rsid w:val="00A82A72"/>
    <w:rsid w:val="00A85A08"/>
    <w:rsid w:val="00A86724"/>
    <w:rsid w:val="00A8672D"/>
    <w:rsid w:val="00A90B0E"/>
    <w:rsid w:val="00A90B93"/>
    <w:rsid w:val="00A92E1D"/>
    <w:rsid w:val="00A94F1D"/>
    <w:rsid w:val="00A9556F"/>
    <w:rsid w:val="00A95749"/>
    <w:rsid w:val="00A95810"/>
    <w:rsid w:val="00A95DA6"/>
    <w:rsid w:val="00A97006"/>
    <w:rsid w:val="00A97DC2"/>
    <w:rsid w:val="00AA0305"/>
    <w:rsid w:val="00AA1E55"/>
    <w:rsid w:val="00AA2A15"/>
    <w:rsid w:val="00AA2A96"/>
    <w:rsid w:val="00AA2B71"/>
    <w:rsid w:val="00AA2DE3"/>
    <w:rsid w:val="00AA42A7"/>
    <w:rsid w:val="00AA50D5"/>
    <w:rsid w:val="00AA714E"/>
    <w:rsid w:val="00AB1C8B"/>
    <w:rsid w:val="00AB4B80"/>
    <w:rsid w:val="00AB7678"/>
    <w:rsid w:val="00AC014E"/>
    <w:rsid w:val="00AC238D"/>
    <w:rsid w:val="00AC4B7F"/>
    <w:rsid w:val="00AC7238"/>
    <w:rsid w:val="00AC7BEB"/>
    <w:rsid w:val="00AC7C05"/>
    <w:rsid w:val="00AD162D"/>
    <w:rsid w:val="00AD16E4"/>
    <w:rsid w:val="00AD1BAF"/>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0425"/>
    <w:rsid w:val="00B01B51"/>
    <w:rsid w:val="00B03333"/>
    <w:rsid w:val="00B033B6"/>
    <w:rsid w:val="00B0379D"/>
    <w:rsid w:val="00B0406A"/>
    <w:rsid w:val="00B06550"/>
    <w:rsid w:val="00B06841"/>
    <w:rsid w:val="00B06B03"/>
    <w:rsid w:val="00B07DB6"/>
    <w:rsid w:val="00B113E5"/>
    <w:rsid w:val="00B1162D"/>
    <w:rsid w:val="00B14C06"/>
    <w:rsid w:val="00B153F0"/>
    <w:rsid w:val="00B162A3"/>
    <w:rsid w:val="00B17ECC"/>
    <w:rsid w:val="00B23398"/>
    <w:rsid w:val="00B245B0"/>
    <w:rsid w:val="00B26E56"/>
    <w:rsid w:val="00B31879"/>
    <w:rsid w:val="00B3311C"/>
    <w:rsid w:val="00B33125"/>
    <w:rsid w:val="00B34A3B"/>
    <w:rsid w:val="00B355C5"/>
    <w:rsid w:val="00B3673D"/>
    <w:rsid w:val="00B44C6C"/>
    <w:rsid w:val="00B4757F"/>
    <w:rsid w:val="00B504F3"/>
    <w:rsid w:val="00B5187A"/>
    <w:rsid w:val="00B5229A"/>
    <w:rsid w:val="00B52E33"/>
    <w:rsid w:val="00B53144"/>
    <w:rsid w:val="00B55CD1"/>
    <w:rsid w:val="00B57C86"/>
    <w:rsid w:val="00B605F9"/>
    <w:rsid w:val="00B61C67"/>
    <w:rsid w:val="00B6314D"/>
    <w:rsid w:val="00B64BD8"/>
    <w:rsid w:val="00B67CE4"/>
    <w:rsid w:val="00B70EFF"/>
    <w:rsid w:val="00B713DA"/>
    <w:rsid w:val="00B71654"/>
    <w:rsid w:val="00B727C2"/>
    <w:rsid w:val="00B738C7"/>
    <w:rsid w:val="00B747AC"/>
    <w:rsid w:val="00B75E1D"/>
    <w:rsid w:val="00B77124"/>
    <w:rsid w:val="00B77E2E"/>
    <w:rsid w:val="00B8023E"/>
    <w:rsid w:val="00B82106"/>
    <w:rsid w:val="00B82526"/>
    <w:rsid w:val="00B82809"/>
    <w:rsid w:val="00B85D28"/>
    <w:rsid w:val="00B86311"/>
    <w:rsid w:val="00B87915"/>
    <w:rsid w:val="00B9084D"/>
    <w:rsid w:val="00B91224"/>
    <w:rsid w:val="00B91420"/>
    <w:rsid w:val="00B92DEC"/>
    <w:rsid w:val="00B9525A"/>
    <w:rsid w:val="00BA015D"/>
    <w:rsid w:val="00BA064C"/>
    <w:rsid w:val="00BA08F9"/>
    <w:rsid w:val="00BA0C85"/>
    <w:rsid w:val="00BA1B22"/>
    <w:rsid w:val="00BA38A9"/>
    <w:rsid w:val="00BA4091"/>
    <w:rsid w:val="00BA4735"/>
    <w:rsid w:val="00BA54D5"/>
    <w:rsid w:val="00BB007A"/>
    <w:rsid w:val="00BB13CA"/>
    <w:rsid w:val="00BB2DB8"/>
    <w:rsid w:val="00BB3A50"/>
    <w:rsid w:val="00BB4D9B"/>
    <w:rsid w:val="00BB5427"/>
    <w:rsid w:val="00BB647C"/>
    <w:rsid w:val="00BB698D"/>
    <w:rsid w:val="00BC0C83"/>
    <w:rsid w:val="00BC33E7"/>
    <w:rsid w:val="00BC5A0A"/>
    <w:rsid w:val="00BC61B1"/>
    <w:rsid w:val="00BC61C1"/>
    <w:rsid w:val="00BC68BD"/>
    <w:rsid w:val="00BC74B2"/>
    <w:rsid w:val="00BD116C"/>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05B"/>
    <w:rsid w:val="00BF2D66"/>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33D"/>
    <w:rsid w:val="00C12840"/>
    <w:rsid w:val="00C13480"/>
    <w:rsid w:val="00C1593D"/>
    <w:rsid w:val="00C172E3"/>
    <w:rsid w:val="00C21217"/>
    <w:rsid w:val="00C217D7"/>
    <w:rsid w:val="00C21910"/>
    <w:rsid w:val="00C22372"/>
    <w:rsid w:val="00C224BE"/>
    <w:rsid w:val="00C22791"/>
    <w:rsid w:val="00C23D1A"/>
    <w:rsid w:val="00C244FF"/>
    <w:rsid w:val="00C268EB"/>
    <w:rsid w:val="00C27FC3"/>
    <w:rsid w:val="00C33D51"/>
    <w:rsid w:val="00C34065"/>
    <w:rsid w:val="00C35BF3"/>
    <w:rsid w:val="00C3670D"/>
    <w:rsid w:val="00C41370"/>
    <w:rsid w:val="00C41EED"/>
    <w:rsid w:val="00C442B6"/>
    <w:rsid w:val="00C459A1"/>
    <w:rsid w:val="00C47A2B"/>
    <w:rsid w:val="00C5096F"/>
    <w:rsid w:val="00C50CC6"/>
    <w:rsid w:val="00C529B2"/>
    <w:rsid w:val="00C5302D"/>
    <w:rsid w:val="00C5403F"/>
    <w:rsid w:val="00C55956"/>
    <w:rsid w:val="00C55CDD"/>
    <w:rsid w:val="00C55EC1"/>
    <w:rsid w:val="00C5751A"/>
    <w:rsid w:val="00C5787F"/>
    <w:rsid w:val="00C57E44"/>
    <w:rsid w:val="00C60E71"/>
    <w:rsid w:val="00C61A6F"/>
    <w:rsid w:val="00C62F4A"/>
    <w:rsid w:val="00C6318D"/>
    <w:rsid w:val="00C634DB"/>
    <w:rsid w:val="00C63883"/>
    <w:rsid w:val="00C66506"/>
    <w:rsid w:val="00C70641"/>
    <w:rsid w:val="00C713B9"/>
    <w:rsid w:val="00C72EF0"/>
    <w:rsid w:val="00C7318D"/>
    <w:rsid w:val="00C74CC2"/>
    <w:rsid w:val="00C76487"/>
    <w:rsid w:val="00C77322"/>
    <w:rsid w:val="00C77ACD"/>
    <w:rsid w:val="00C81584"/>
    <w:rsid w:val="00C82FC1"/>
    <w:rsid w:val="00C83726"/>
    <w:rsid w:val="00C85200"/>
    <w:rsid w:val="00C85536"/>
    <w:rsid w:val="00C9240D"/>
    <w:rsid w:val="00C93AC1"/>
    <w:rsid w:val="00C96565"/>
    <w:rsid w:val="00C96A4F"/>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435E"/>
    <w:rsid w:val="00CB6BD8"/>
    <w:rsid w:val="00CB74C1"/>
    <w:rsid w:val="00CC0031"/>
    <w:rsid w:val="00CC057B"/>
    <w:rsid w:val="00CC1B2D"/>
    <w:rsid w:val="00CC2C4F"/>
    <w:rsid w:val="00CC3C55"/>
    <w:rsid w:val="00CC3FDF"/>
    <w:rsid w:val="00CC60B9"/>
    <w:rsid w:val="00CD1628"/>
    <w:rsid w:val="00CD2712"/>
    <w:rsid w:val="00CD35A0"/>
    <w:rsid w:val="00CD41EE"/>
    <w:rsid w:val="00CD476F"/>
    <w:rsid w:val="00CD5028"/>
    <w:rsid w:val="00CD664F"/>
    <w:rsid w:val="00CD7C95"/>
    <w:rsid w:val="00CE3D5E"/>
    <w:rsid w:val="00CE49E7"/>
    <w:rsid w:val="00CE4B6E"/>
    <w:rsid w:val="00CE642E"/>
    <w:rsid w:val="00CF034B"/>
    <w:rsid w:val="00CF32E9"/>
    <w:rsid w:val="00CF345C"/>
    <w:rsid w:val="00CF4E94"/>
    <w:rsid w:val="00CF56C1"/>
    <w:rsid w:val="00CF703C"/>
    <w:rsid w:val="00CF75BA"/>
    <w:rsid w:val="00D0100E"/>
    <w:rsid w:val="00D010E3"/>
    <w:rsid w:val="00D015D0"/>
    <w:rsid w:val="00D01A19"/>
    <w:rsid w:val="00D02E90"/>
    <w:rsid w:val="00D0482D"/>
    <w:rsid w:val="00D05810"/>
    <w:rsid w:val="00D10925"/>
    <w:rsid w:val="00D15ADE"/>
    <w:rsid w:val="00D170B1"/>
    <w:rsid w:val="00D17985"/>
    <w:rsid w:val="00D20416"/>
    <w:rsid w:val="00D20CCF"/>
    <w:rsid w:val="00D21466"/>
    <w:rsid w:val="00D21942"/>
    <w:rsid w:val="00D22B65"/>
    <w:rsid w:val="00D23682"/>
    <w:rsid w:val="00D24EEA"/>
    <w:rsid w:val="00D30BD9"/>
    <w:rsid w:val="00D30C9F"/>
    <w:rsid w:val="00D31275"/>
    <w:rsid w:val="00D3196B"/>
    <w:rsid w:val="00D324FC"/>
    <w:rsid w:val="00D332CC"/>
    <w:rsid w:val="00D35F36"/>
    <w:rsid w:val="00D378DF"/>
    <w:rsid w:val="00D41322"/>
    <w:rsid w:val="00D42B0C"/>
    <w:rsid w:val="00D47AC5"/>
    <w:rsid w:val="00D5090D"/>
    <w:rsid w:val="00D5113F"/>
    <w:rsid w:val="00D52351"/>
    <w:rsid w:val="00D56336"/>
    <w:rsid w:val="00D56BA7"/>
    <w:rsid w:val="00D576E9"/>
    <w:rsid w:val="00D5781D"/>
    <w:rsid w:val="00D613A1"/>
    <w:rsid w:val="00D617EF"/>
    <w:rsid w:val="00D62ECD"/>
    <w:rsid w:val="00D65CF2"/>
    <w:rsid w:val="00D6635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672B"/>
    <w:rsid w:val="00D8705F"/>
    <w:rsid w:val="00D87A07"/>
    <w:rsid w:val="00D91B0E"/>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D76B1"/>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0F1"/>
    <w:rsid w:val="00DF6710"/>
    <w:rsid w:val="00DF69A1"/>
    <w:rsid w:val="00DF6DE1"/>
    <w:rsid w:val="00DF752E"/>
    <w:rsid w:val="00DF7F48"/>
    <w:rsid w:val="00E0035B"/>
    <w:rsid w:val="00E00956"/>
    <w:rsid w:val="00E011B3"/>
    <w:rsid w:val="00E01A14"/>
    <w:rsid w:val="00E01A51"/>
    <w:rsid w:val="00E02EE2"/>
    <w:rsid w:val="00E02F13"/>
    <w:rsid w:val="00E04B3B"/>
    <w:rsid w:val="00E04D61"/>
    <w:rsid w:val="00E05109"/>
    <w:rsid w:val="00E0530B"/>
    <w:rsid w:val="00E05894"/>
    <w:rsid w:val="00E0642C"/>
    <w:rsid w:val="00E06BD0"/>
    <w:rsid w:val="00E109E0"/>
    <w:rsid w:val="00E11A67"/>
    <w:rsid w:val="00E1255E"/>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11D7"/>
    <w:rsid w:val="00E54DA4"/>
    <w:rsid w:val="00E5543F"/>
    <w:rsid w:val="00E57234"/>
    <w:rsid w:val="00E57360"/>
    <w:rsid w:val="00E61331"/>
    <w:rsid w:val="00E6140D"/>
    <w:rsid w:val="00E61F52"/>
    <w:rsid w:val="00E6414B"/>
    <w:rsid w:val="00E64851"/>
    <w:rsid w:val="00E64CC8"/>
    <w:rsid w:val="00E67C51"/>
    <w:rsid w:val="00E70BD3"/>
    <w:rsid w:val="00E71783"/>
    <w:rsid w:val="00E71967"/>
    <w:rsid w:val="00E7237E"/>
    <w:rsid w:val="00E72A5A"/>
    <w:rsid w:val="00E72D5C"/>
    <w:rsid w:val="00E735B1"/>
    <w:rsid w:val="00E73BE0"/>
    <w:rsid w:val="00E741ED"/>
    <w:rsid w:val="00E74A1F"/>
    <w:rsid w:val="00E770AD"/>
    <w:rsid w:val="00E77C2B"/>
    <w:rsid w:val="00E77FD2"/>
    <w:rsid w:val="00E81DCB"/>
    <w:rsid w:val="00E84AB2"/>
    <w:rsid w:val="00E85206"/>
    <w:rsid w:val="00E856A4"/>
    <w:rsid w:val="00E869F4"/>
    <w:rsid w:val="00E90B31"/>
    <w:rsid w:val="00E90BDF"/>
    <w:rsid w:val="00E929ED"/>
    <w:rsid w:val="00E940AC"/>
    <w:rsid w:val="00E94F36"/>
    <w:rsid w:val="00E95883"/>
    <w:rsid w:val="00E95B0F"/>
    <w:rsid w:val="00EA258A"/>
    <w:rsid w:val="00EA447E"/>
    <w:rsid w:val="00EA4DBC"/>
    <w:rsid w:val="00EA50AB"/>
    <w:rsid w:val="00EB037F"/>
    <w:rsid w:val="00EB10EA"/>
    <w:rsid w:val="00EB1595"/>
    <w:rsid w:val="00EB31AB"/>
    <w:rsid w:val="00EB33F8"/>
    <w:rsid w:val="00EB4EFE"/>
    <w:rsid w:val="00EB5751"/>
    <w:rsid w:val="00EC175E"/>
    <w:rsid w:val="00EC22D7"/>
    <w:rsid w:val="00EC245A"/>
    <w:rsid w:val="00EC269F"/>
    <w:rsid w:val="00EC2EE9"/>
    <w:rsid w:val="00EC4BAE"/>
    <w:rsid w:val="00EC5B7C"/>
    <w:rsid w:val="00EC5D37"/>
    <w:rsid w:val="00EC6A3F"/>
    <w:rsid w:val="00ED0CF4"/>
    <w:rsid w:val="00ED2391"/>
    <w:rsid w:val="00ED3DA3"/>
    <w:rsid w:val="00ED7F04"/>
    <w:rsid w:val="00EE5D40"/>
    <w:rsid w:val="00EE6411"/>
    <w:rsid w:val="00EE66C7"/>
    <w:rsid w:val="00EE6B2F"/>
    <w:rsid w:val="00EE70C3"/>
    <w:rsid w:val="00EF02F8"/>
    <w:rsid w:val="00EF0400"/>
    <w:rsid w:val="00EF5730"/>
    <w:rsid w:val="00EF5C83"/>
    <w:rsid w:val="00EF70DC"/>
    <w:rsid w:val="00EF7D7A"/>
    <w:rsid w:val="00F002B2"/>
    <w:rsid w:val="00F00AC2"/>
    <w:rsid w:val="00F01C27"/>
    <w:rsid w:val="00F0204B"/>
    <w:rsid w:val="00F03B3D"/>
    <w:rsid w:val="00F03D3B"/>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5D70"/>
    <w:rsid w:val="00F36D4A"/>
    <w:rsid w:val="00F376EB"/>
    <w:rsid w:val="00F37FE5"/>
    <w:rsid w:val="00F40EC2"/>
    <w:rsid w:val="00F40EFA"/>
    <w:rsid w:val="00F41545"/>
    <w:rsid w:val="00F41EEA"/>
    <w:rsid w:val="00F43095"/>
    <w:rsid w:val="00F4341D"/>
    <w:rsid w:val="00F4545C"/>
    <w:rsid w:val="00F45E80"/>
    <w:rsid w:val="00F50177"/>
    <w:rsid w:val="00F50381"/>
    <w:rsid w:val="00F51132"/>
    <w:rsid w:val="00F51CC5"/>
    <w:rsid w:val="00F51F90"/>
    <w:rsid w:val="00F567BF"/>
    <w:rsid w:val="00F56AC0"/>
    <w:rsid w:val="00F56F0E"/>
    <w:rsid w:val="00F56F47"/>
    <w:rsid w:val="00F57335"/>
    <w:rsid w:val="00F57A39"/>
    <w:rsid w:val="00F61C80"/>
    <w:rsid w:val="00F61F72"/>
    <w:rsid w:val="00F62680"/>
    <w:rsid w:val="00F63723"/>
    <w:rsid w:val="00F63BA4"/>
    <w:rsid w:val="00F65E9E"/>
    <w:rsid w:val="00F7025D"/>
    <w:rsid w:val="00F72085"/>
    <w:rsid w:val="00F73FF5"/>
    <w:rsid w:val="00F74EFB"/>
    <w:rsid w:val="00F76F54"/>
    <w:rsid w:val="00F7712A"/>
    <w:rsid w:val="00F774C1"/>
    <w:rsid w:val="00F77955"/>
    <w:rsid w:val="00F803F8"/>
    <w:rsid w:val="00F8144D"/>
    <w:rsid w:val="00F82138"/>
    <w:rsid w:val="00F82B0E"/>
    <w:rsid w:val="00F8415B"/>
    <w:rsid w:val="00F84424"/>
    <w:rsid w:val="00F869F8"/>
    <w:rsid w:val="00F86B46"/>
    <w:rsid w:val="00F86BE3"/>
    <w:rsid w:val="00F90B34"/>
    <w:rsid w:val="00F90EFD"/>
    <w:rsid w:val="00F91535"/>
    <w:rsid w:val="00F91A56"/>
    <w:rsid w:val="00F926D8"/>
    <w:rsid w:val="00F93F4C"/>
    <w:rsid w:val="00F9535B"/>
    <w:rsid w:val="00F9590B"/>
    <w:rsid w:val="00F95DE8"/>
    <w:rsid w:val="00F962C7"/>
    <w:rsid w:val="00F96FD2"/>
    <w:rsid w:val="00F9780A"/>
    <w:rsid w:val="00FA06AC"/>
    <w:rsid w:val="00FA0E40"/>
    <w:rsid w:val="00FA13F8"/>
    <w:rsid w:val="00FA1906"/>
    <w:rsid w:val="00FA2EC0"/>
    <w:rsid w:val="00FA31AD"/>
    <w:rsid w:val="00FA3F1F"/>
    <w:rsid w:val="00FA47E1"/>
    <w:rsid w:val="00FA4EA3"/>
    <w:rsid w:val="00FA67EB"/>
    <w:rsid w:val="00FA6CA5"/>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B87"/>
    <w:rsid w:val="00FC5E53"/>
    <w:rsid w:val="00FD0BDA"/>
    <w:rsid w:val="00FD2B2A"/>
    <w:rsid w:val="00FD3576"/>
    <w:rsid w:val="00FD3EB9"/>
    <w:rsid w:val="00FD4975"/>
    <w:rsid w:val="00FD4992"/>
    <w:rsid w:val="00FD56AD"/>
    <w:rsid w:val="00FD79FF"/>
    <w:rsid w:val="00FE1783"/>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095"/>
    <w:pPr>
      <w:autoSpaceDE w:val="0"/>
      <w:autoSpaceDN w:val="0"/>
      <w:adjustRightInd w:val="0"/>
    </w:pPr>
    <w:rPr>
      <w:color w:val="000000"/>
      <w:sz w:val="24"/>
      <w:szCs w:val="24"/>
    </w:rPr>
  </w:style>
  <w:style w:type="paragraph" w:customStyle="1" w:styleId="CharCharCharCharChar1">
    <w:name w:val="Char Char Char Char Char1"/>
    <w:basedOn w:val="Normal"/>
    <w:rsid w:val="00600727"/>
    <w:pPr>
      <w:spacing w:after="160" w:line="240" w:lineRule="exact"/>
    </w:pPr>
    <w:rPr>
      <w:rFonts w:ascii="Verdana" w:hAnsi="Verdana"/>
      <w:sz w:val="20"/>
      <w:lang w:val="en-US" w:eastAsia="en-US"/>
    </w:rPr>
  </w:style>
  <w:style w:type="character" w:customStyle="1" w:styleId="TRBodyTextChar1">
    <w:name w:val="_TRBody Text Char1"/>
    <w:link w:val="TRBodyText"/>
    <w:locked/>
    <w:rsid w:val="00F90B34"/>
    <w:rPr>
      <w:sz w:val="24"/>
      <w:lang w:eastAsia="en-AU"/>
    </w:rPr>
  </w:style>
  <w:style w:type="paragraph" w:customStyle="1" w:styleId="TRBodyText">
    <w:name w:val="_TRBody Text"/>
    <w:link w:val="TRBodyTextChar1"/>
    <w:rsid w:val="00F90B34"/>
    <w:pPr>
      <w:spacing w:line="300" w:lineRule="atLeast"/>
      <w:jc w:val="both"/>
    </w:pPr>
    <w:rPr>
      <w:sz w:val="24"/>
      <w:lang w:eastAsia="en-AU"/>
    </w:rPr>
  </w:style>
  <w:style w:type="paragraph" w:styleId="Revision">
    <w:name w:val="Revision"/>
    <w:hidden/>
    <w:uiPriority w:val="99"/>
    <w:semiHidden/>
    <w:rsid w:val="005A2CB0"/>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3095"/>
    <w:pPr>
      <w:autoSpaceDE w:val="0"/>
      <w:autoSpaceDN w:val="0"/>
      <w:adjustRightInd w:val="0"/>
    </w:pPr>
    <w:rPr>
      <w:color w:val="000000"/>
      <w:sz w:val="24"/>
      <w:szCs w:val="24"/>
    </w:rPr>
  </w:style>
  <w:style w:type="paragraph" w:customStyle="1" w:styleId="CharCharCharCharChar1">
    <w:name w:val="Char Char Char Char Char1"/>
    <w:basedOn w:val="Normal"/>
    <w:rsid w:val="00600727"/>
    <w:pPr>
      <w:spacing w:after="160" w:line="240" w:lineRule="exact"/>
    </w:pPr>
    <w:rPr>
      <w:rFonts w:ascii="Verdana" w:hAnsi="Verdana"/>
      <w:sz w:val="20"/>
      <w:lang w:val="en-US" w:eastAsia="en-US"/>
    </w:rPr>
  </w:style>
  <w:style w:type="character" w:customStyle="1" w:styleId="TRBodyTextChar1">
    <w:name w:val="_TRBody Text Char1"/>
    <w:link w:val="TRBodyText"/>
    <w:locked/>
    <w:rsid w:val="00F90B34"/>
    <w:rPr>
      <w:sz w:val="24"/>
      <w:lang w:eastAsia="en-AU"/>
    </w:rPr>
  </w:style>
  <w:style w:type="paragraph" w:customStyle="1" w:styleId="TRBodyText">
    <w:name w:val="_TRBody Text"/>
    <w:link w:val="TRBodyTextChar1"/>
    <w:rsid w:val="00F90B34"/>
    <w:pPr>
      <w:spacing w:line="300" w:lineRule="atLeast"/>
      <w:jc w:val="both"/>
    </w:pPr>
    <w:rPr>
      <w:sz w:val="24"/>
      <w:lang w:eastAsia="en-AU"/>
    </w:rPr>
  </w:style>
  <w:style w:type="paragraph" w:styleId="Revision">
    <w:name w:val="Revision"/>
    <w:hidden/>
    <w:uiPriority w:val="99"/>
    <w:semiHidden/>
    <w:rsid w:val="005A2CB0"/>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8204">
      <w:bodyDiv w:val="1"/>
      <w:marLeft w:val="0"/>
      <w:marRight w:val="0"/>
      <w:marTop w:val="0"/>
      <w:marBottom w:val="0"/>
      <w:divBdr>
        <w:top w:val="none" w:sz="0" w:space="0" w:color="auto"/>
        <w:left w:val="none" w:sz="0" w:space="0" w:color="auto"/>
        <w:bottom w:val="none" w:sz="0" w:space="0" w:color="auto"/>
        <w:right w:val="none" w:sz="0" w:space="0" w:color="auto"/>
      </w:divBdr>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91413">
      <w:bodyDiv w:val="1"/>
      <w:marLeft w:val="0"/>
      <w:marRight w:val="0"/>
      <w:marTop w:val="0"/>
      <w:marBottom w:val="0"/>
      <w:divBdr>
        <w:top w:val="none" w:sz="0" w:space="0" w:color="auto"/>
        <w:left w:val="none" w:sz="0" w:space="0" w:color="auto"/>
        <w:bottom w:val="none" w:sz="0" w:space="0" w:color="auto"/>
        <w:right w:val="none" w:sz="0" w:space="0" w:color="auto"/>
      </w:divBdr>
    </w:div>
    <w:div w:id="1039554692">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3468</Words>
  <Characters>20115</Characters>
  <Application>Microsoft Office Word</Application>
  <DocSecurity>0</DocSecurity>
  <Lines>648</Lines>
  <Paragraphs>205</Paragraphs>
  <ScaleCrop>false</ScaleCrop>
  <HeadingPairs>
    <vt:vector size="2" baseType="variant">
      <vt:variant>
        <vt:lpstr>Title</vt:lpstr>
      </vt:variant>
      <vt:variant>
        <vt:i4>1</vt:i4>
      </vt:variant>
    </vt:vector>
  </HeadingPairs>
  <TitlesOfParts>
    <vt:vector size="1" baseType="lpstr">
      <vt:lpstr>Regulatory impact statement - Information sharing arrangement with Australia for the recovery of student loan debt (10 February 2015)</vt:lpstr>
    </vt:vector>
  </TitlesOfParts>
  <Manager/>
  <Company>Inland Revenue</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Information sharing arrangement with Australia for the recovery of student loan debt (10 February 2015)</dc:title>
  <dc:subject/>
  <dc:creator>Policy and Strategy, Inland Revenue</dc:creator>
  <cp:keywords/>
  <dc:description>Published November 2015</dc:description>
  <cp:lastModifiedBy>David Nind</cp:lastModifiedBy>
  <cp:revision>2</cp:revision>
  <dcterms:created xsi:type="dcterms:W3CDTF">2015-11-13T02:13:00Z</dcterms:created>
  <dcterms:modified xsi:type="dcterms:W3CDTF">2015-11-13T02:14:00Z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