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DC" w:rsidRPr="007C737B" w:rsidRDefault="007C737B" w:rsidP="003F40F7">
      <w:pPr>
        <w:pStyle w:val="RISheading"/>
        <w:jc w:val="both"/>
        <w:rPr>
          <w:w w:val="100"/>
          <w:sz w:val="32"/>
          <w:szCs w:val="32"/>
        </w:rPr>
      </w:pPr>
      <w:bookmarkStart w:id="0" w:name="_Toc244580362"/>
      <w:bookmarkStart w:id="1" w:name="_Toc244587038"/>
      <w:bookmarkStart w:id="2" w:name="_Toc244857272"/>
      <w:bookmarkStart w:id="3" w:name="_Toc244912537"/>
      <w:bookmarkStart w:id="4" w:name="_Toc244916994"/>
      <w:r w:rsidRPr="007C737B">
        <w:rPr>
          <w:w w:val="100"/>
          <w:sz w:val="32"/>
          <w:szCs w:val="32"/>
        </w:rPr>
        <w:t>Regulatory Impact Statement</w:t>
      </w:r>
      <w:bookmarkEnd w:id="0"/>
      <w:bookmarkEnd w:id="1"/>
      <w:bookmarkEnd w:id="2"/>
      <w:bookmarkEnd w:id="3"/>
      <w:bookmarkEnd w:id="4"/>
      <w:r w:rsidR="002B7B9A">
        <w:rPr>
          <w:w w:val="100"/>
          <w:sz w:val="32"/>
          <w:szCs w:val="32"/>
        </w:rPr>
        <w:t xml:space="preserve"> </w:t>
      </w:r>
    </w:p>
    <w:p w:rsidR="000545DC" w:rsidRPr="000F1DD0" w:rsidRDefault="00D54830" w:rsidP="003F40F7">
      <w:pPr>
        <w:pStyle w:val="RISheading"/>
        <w:jc w:val="both"/>
        <w:rPr>
          <w:spacing w:val="0"/>
          <w:w w:val="100"/>
          <w:sz w:val="28"/>
          <w:szCs w:val="28"/>
        </w:rPr>
      </w:pPr>
      <w:r>
        <w:rPr>
          <w:spacing w:val="0"/>
          <w:w w:val="100"/>
          <w:sz w:val="28"/>
          <w:szCs w:val="28"/>
        </w:rPr>
        <w:t xml:space="preserve">Sellers and purchasers of real property required to supply their IRD numbers and tax information numbers </w:t>
      </w:r>
    </w:p>
    <w:p w:rsidR="000545DC" w:rsidRPr="004342F0" w:rsidRDefault="001C6912" w:rsidP="003F40F7">
      <w:pPr>
        <w:pStyle w:val="RISheading"/>
        <w:jc w:val="both"/>
        <w:rPr>
          <w:spacing w:val="0"/>
          <w:w w:val="100"/>
        </w:rPr>
      </w:pPr>
      <w:r w:rsidRPr="004342F0">
        <w:rPr>
          <w:spacing w:val="0"/>
          <w:w w:val="100"/>
        </w:rPr>
        <w:t xml:space="preserve">Agency </w:t>
      </w:r>
      <w:r w:rsidR="000545DC" w:rsidRPr="004342F0">
        <w:rPr>
          <w:spacing w:val="0"/>
          <w:w w:val="100"/>
        </w:rPr>
        <w:t xml:space="preserve">Disclosure Statement </w:t>
      </w:r>
    </w:p>
    <w:p w:rsidR="000545DC" w:rsidRPr="004342F0" w:rsidRDefault="000545DC" w:rsidP="00A7799D">
      <w:pPr>
        <w:pStyle w:val="ListParagraph"/>
        <w:ind w:left="0" w:right="170"/>
        <w:contextualSpacing w:val="0"/>
        <w:rPr>
          <w:rFonts w:ascii="Times New Roman" w:hAnsi="Times New Roman"/>
          <w:sz w:val="24"/>
          <w:szCs w:val="24"/>
        </w:rPr>
      </w:pPr>
      <w:r w:rsidRPr="004342F0">
        <w:rPr>
          <w:rFonts w:ascii="Times New Roman" w:hAnsi="Times New Roman"/>
          <w:sz w:val="24"/>
          <w:szCs w:val="24"/>
        </w:rPr>
        <w:t xml:space="preserve">This Regulatory Impact Statement </w:t>
      </w:r>
      <w:r w:rsidR="005F7158">
        <w:rPr>
          <w:rFonts w:ascii="Times New Roman" w:hAnsi="Times New Roman"/>
          <w:sz w:val="24"/>
          <w:szCs w:val="24"/>
        </w:rPr>
        <w:t xml:space="preserve">(RIS) </w:t>
      </w:r>
      <w:r w:rsidRPr="004342F0">
        <w:rPr>
          <w:rFonts w:ascii="Times New Roman" w:hAnsi="Times New Roman"/>
          <w:sz w:val="24"/>
          <w:szCs w:val="24"/>
        </w:rPr>
        <w:t xml:space="preserve">has been prepared by </w:t>
      </w:r>
      <w:r w:rsidR="009F7B9A" w:rsidRPr="004342F0">
        <w:rPr>
          <w:rFonts w:ascii="Times New Roman" w:hAnsi="Times New Roman"/>
          <w:sz w:val="24"/>
          <w:szCs w:val="24"/>
        </w:rPr>
        <w:t>Inland Revenue</w:t>
      </w:r>
      <w:r w:rsidR="009A23EE">
        <w:rPr>
          <w:rFonts w:ascii="Times New Roman" w:hAnsi="Times New Roman"/>
          <w:sz w:val="24"/>
          <w:szCs w:val="24"/>
        </w:rPr>
        <w:t>.</w:t>
      </w:r>
    </w:p>
    <w:p w:rsidR="004342F0" w:rsidRPr="004342F0" w:rsidRDefault="004342F0" w:rsidP="00837C6F">
      <w:pPr>
        <w:pStyle w:val="ListParagraph"/>
        <w:ind w:left="0" w:right="170"/>
        <w:contextualSpacing w:val="0"/>
        <w:rPr>
          <w:rFonts w:ascii="Times New Roman" w:hAnsi="Times New Roman"/>
          <w:sz w:val="24"/>
          <w:szCs w:val="24"/>
        </w:rPr>
      </w:pPr>
    </w:p>
    <w:p w:rsidR="00D23891" w:rsidRDefault="005F7158" w:rsidP="00837C6F">
      <w:pPr>
        <w:pStyle w:val="ListParagraph"/>
        <w:ind w:left="0" w:right="170"/>
        <w:contextualSpacing w:val="0"/>
        <w:rPr>
          <w:rFonts w:ascii="Times New Roman" w:hAnsi="Times New Roman"/>
          <w:sz w:val="24"/>
          <w:szCs w:val="24"/>
        </w:rPr>
      </w:pPr>
      <w:r>
        <w:rPr>
          <w:rFonts w:ascii="Times New Roman" w:hAnsi="Times New Roman"/>
          <w:sz w:val="24"/>
          <w:szCs w:val="24"/>
        </w:rPr>
        <w:t xml:space="preserve">The </w:t>
      </w:r>
      <w:r w:rsidR="006522A8">
        <w:rPr>
          <w:rFonts w:ascii="Times New Roman" w:hAnsi="Times New Roman"/>
          <w:sz w:val="24"/>
          <w:szCs w:val="24"/>
        </w:rPr>
        <w:t xml:space="preserve">primary </w:t>
      </w:r>
      <w:r>
        <w:rPr>
          <w:rFonts w:ascii="Times New Roman" w:hAnsi="Times New Roman"/>
          <w:sz w:val="24"/>
          <w:szCs w:val="24"/>
        </w:rPr>
        <w:t xml:space="preserve">question addressed in this RIS is whether </w:t>
      </w:r>
      <w:r w:rsidR="00D23891">
        <w:rPr>
          <w:rFonts w:ascii="Times New Roman" w:hAnsi="Times New Roman"/>
          <w:sz w:val="24"/>
          <w:szCs w:val="24"/>
        </w:rPr>
        <w:t xml:space="preserve">requiring </w:t>
      </w:r>
      <w:r w:rsidR="00D54830">
        <w:rPr>
          <w:rFonts w:ascii="Times New Roman" w:hAnsi="Times New Roman"/>
          <w:sz w:val="24"/>
          <w:szCs w:val="24"/>
        </w:rPr>
        <w:t>sellers and purchasers of real property</w:t>
      </w:r>
      <w:r w:rsidR="00850789">
        <w:rPr>
          <w:rFonts w:ascii="Times New Roman" w:hAnsi="Times New Roman"/>
          <w:sz w:val="24"/>
          <w:szCs w:val="24"/>
        </w:rPr>
        <w:t xml:space="preserve"> to supply their IRD number and, if they are resident</w:t>
      </w:r>
      <w:r w:rsidR="002D4B78">
        <w:rPr>
          <w:rFonts w:ascii="Times New Roman" w:hAnsi="Times New Roman"/>
          <w:sz w:val="24"/>
          <w:szCs w:val="24"/>
        </w:rPr>
        <w:t xml:space="preserve"> in another jurisdiction</w:t>
      </w:r>
      <w:r w:rsidR="00850789">
        <w:rPr>
          <w:rFonts w:ascii="Times New Roman" w:hAnsi="Times New Roman"/>
          <w:sz w:val="24"/>
          <w:szCs w:val="24"/>
        </w:rPr>
        <w:t xml:space="preserve">, their </w:t>
      </w:r>
      <w:r w:rsidR="00D54830">
        <w:rPr>
          <w:rFonts w:ascii="Times New Roman" w:hAnsi="Times New Roman"/>
          <w:sz w:val="24"/>
          <w:szCs w:val="24"/>
        </w:rPr>
        <w:t>tax information number</w:t>
      </w:r>
      <w:r w:rsidR="00850789">
        <w:rPr>
          <w:rFonts w:ascii="Times New Roman" w:hAnsi="Times New Roman"/>
          <w:sz w:val="24"/>
          <w:szCs w:val="24"/>
        </w:rPr>
        <w:t xml:space="preserve"> (TIN)</w:t>
      </w:r>
      <w:r w:rsidR="00B32A04">
        <w:rPr>
          <w:rFonts w:ascii="Times New Roman" w:hAnsi="Times New Roman"/>
          <w:sz w:val="24"/>
          <w:szCs w:val="24"/>
        </w:rPr>
        <w:t xml:space="preserve"> </w:t>
      </w:r>
      <w:r w:rsidR="00942350">
        <w:rPr>
          <w:rFonts w:ascii="Times New Roman" w:hAnsi="Times New Roman"/>
          <w:sz w:val="24"/>
          <w:szCs w:val="24"/>
        </w:rPr>
        <w:t>(</w:t>
      </w:r>
      <w:r w:rsidR="00B32A04">
        <w:rPr>
          <w:rFonts w:ascii="Times New Roman" w:hAnsi="Times New Roman"/>
          <w:sz w:val="24"/>
          <w:szCs w:val="24"/>
        </w:rPr>
        <w:t>which is the overseas equivalent of an IRD number</w:t>
      </w:r>
      <w:r w:rsidR="00942350">
        <w:rPr>
          <w:rFonts w:ascii="Times New Roman" w:hAnsi="Times New Roman"/>
          <w:sz w:val="24"/>
          <w:szCs w:val="24"/>
        </w:rPr>
        <w:t>)</w:t>
      </w:r>
      <w:r>
        <w:rPr>
          <w:rFonts w:ascii="Times New Roman" w:hAnsi="Times New Roman"/>
          <w:sz w:val="24"/>
          <w:szCs w:val="24"/>
        </w:rPr>
        <w:t xml:space="preserve"> would improve Inland Revenue’s ability to effectively collect tax on property transactions</w:t>
      </w:r>
      <w:r w:rsidR="00850789">
        <w:rPr>
          <w:rFonts w:ascii="Times New Roman" w:hAnsi="Times New Roman"/>
          <w:sz w:val="24"/>
          <w:szCs w:val="24"/>
        </w:rPr>
        <w:t>.</w:t>
      </w:r>
    </w:p>
    <w:p w:rsidR="00D23891" w:rsidRDefault="00D23891">
      <w:pPr>
        <w:pStyle w:val="ListParagraph"/>
        <w:ind w:left="0" w:right="170"/>
        <w:contextualSpacing w:val="0"/>
        <w:rPr>
          <w:rFonts w:ascii="Times New Roman" w:hAnsi="Times New Roman"/>
          <w:sz w:val="24"/>
          <w:szCs w:val="24"/>
        </w:rPr>
      </w:pPr>
    </w:p>
    <w:p w:rsidR="0043247A" w:rsidRDefault="007C050D">
      <w:pPr>
        <w:pStyle w:val="ListParagraph"/>
        <w:ind w:left="0" w:right="170"/>
        <w:contextualSpacing w:val="0"/>
        <w:rPr>
          <w:rFonts w:ascii="Times New Roman" w:hAnsi="Times New Roman"/>
          <w:sz w:val="24"/>
          <w:szCs w:val="24"/>
        </w:rPr>
      </w:pPr>
      <w:r>
        <w:rPr>
          <w:rFonts w:ascii="Times New Roman" w:hAnsi="Times New Roman"/>
          <w:sz w:val="24"/>
          <w:szCs w:val="24"/>
        </w:rPr>
        <w:t>C</w:t>
      </w:r>
      <w:r w:rsidR="007305E5">
        <w:rPr>
          <w:rFonts w:ascii="Times New Roman" w:hAnsi="Times New Roman"/>
          <w:sz w:val="24"/>
          <w:szCs w:val="24"/>
        </w:rPr>
        <w:t xml:space="preserve">hanges </w:t>
      </w:r>
      <w:r>
        <w:rPr>
          <w:rFonts w:ascii="Times New Roman" w:hAnsi="Times New Roman"/>
          <w:sz w:val="24"/>
          <w:szCs w:val="24"/>
        </w:rPr>
        <w:t>have been</w:t>
      </w:r>
      <w:r w:rsidR="007305E5">
        <w:rPr>
          <w:rFonts w:ascii="Times New Roman" w:hAnsi="Times New Roman"/>
          <w:sz w:val="24"/>
          <w:szCs w:val="24"/>
        </w:rPr>
        <w:t xml:space="preserve"> proposed as part of Budget 2015 </w:t>
      </w:r>
      <w:r>
        <w:rPr>
          <w:rFonts w:ascii="Times New Roman" w:hAnsi="Times New Roman"/>
          <w:sz w:val="24"/>
          <w:szCs w:val="24"/>
        </w:rPr>
        <w:t>to</w:t>
      </w:r>
      <w:r w:rsidR="007305E5">
        <w:rPr>
          <w:rFonts w:ascii="Times New Roman" w:hAnsi="Times New Roman"/>
          <w:sz w:val="24"/>
          <w:szCs w:val="24"/>
        </w:rPr>
        <w:t xml:space="preserve"> modify </w:t>
      </w:r>
      <w:r w:rsidR="00334AE3">
        <w:rPr>
          <w:rFonts w:ascii="Times New Roman" w:hAnsi="Times New Roman"/>
          <w:sz w:val="24"/>
          <w:szCs w:val="24"/>
        </w:rPr>
        <w:t>current tax laws</w:t>
      </w:r>
      <w:r w:rsidR="007305E5">
        <w:rPr>
          <w:rFonts w:ascii="Times New Roman" w:hAnsi="Times New Roman"/>
          <w:sz w:val="24"/>
          <w:szCs w:val="24"/>
        </w:rPr>
        <w:t xml:space="preserve"> and assist Inland Revenue in enforcing compliance with the </w:t>
      </w:r>
      <w:r w:rsidR="003F1D35">
        <w:rPr>
          <w:rFonts w:ascii="Times New Roman" w:hAnsi="Times New Roman"/>
          <w:sz w:val="24"/>
          <w:szCs w:val="24"/>
        </w:rPr>
        <w:t xml:space="preserve">current and new </w:t>
      </w:r>
      <w:r w:rsidR="007305E5">
        <w:rPr>
          <w:rFonts w:ascii="Times New Roman" w:hAnsi="Times New Roman"/>
          <w:sz w:val="24"/>
          <w:szCs w:val="24"/>
        </w:rPr>
        <w:t xml:space="preserve">rules.  </w:t>
      </w:r>
    </w:p>
    <w:p w:rsidR="0043247A" w:rsidRDefault="0043247A">
      <w:pPr>
        <w:pStyle w:val="ListParagraph"/>
        <w:ind w:left="0" w:right="170"/>
        <w:contextualSpacing w:val="0"/>
        <w:rPr>
          <w:rFonts w:ascii="Times New Roman" w:hAnsi="Times New Roman"/>
          <w:sz w:val="24"/>
          <w:szCs w:val="24"/>
        </w:rPr>
      </w:pPr>
    </w:p>
    <w:p w:rsidR="002D4B78" w:rsidRDefault="00933DB4" w:rsidP="002D4B78">
      <w:pPr>
        <w:spacing w:after="140"/>
        <w:jc w:val="both"/>
        <w:rPr>
          <w:rFonts w:ascii="Times New Roman" w:hAnsi="Times New Roman"/>
          <w:sz w:val="24"/>
          <w:szCs w:val="24"/>
        </w:rPr>
      </w:pPr>
      <w:r>
        <w:rPr>
          <w:rFonts w:ascii="Times New Roman" w:hAnsi="Times New Roman"/>
          <w:sz w:val="24"/>
          <w:szCs w:val="24"/>
        </w:rPr>
        <w:t>To support</w:t>
      </w:r>
      <w:r w:rsidR="007C050D">
        <w:rPr>
          <w:rFonts w:ascii="Times New Roman" w:hAnsi="Times New Roman"/>
          <w:sz w:val="24"/>
          <w:szCs w:val="24"/>
        </w:rPr>
        <w:t xml:space="preserve"> </w:t>
      </w:r>
      <w:r w:rsidR="0043247A" w:rsidRPr="007C050D">
        <w:rPr>
          <w:rFonts w:ascii="Times New Roman" w:hAnsi="Times New Roman"/>
          <w:sz w:val="24"/>
          <w:szCs w:val="24"/>
        </w:rPr>
        <w:t xml:space="preserve">this work, the Government has proposed that all parties to a property transaction must </w:t>
      </w:r>
      <w:r w:rsidR="008F24CE" w:rsidRPr="007C050D">
        <w:rPr>
          <w:rFonts w:ascii="Times New Roman" w:hAnsi="Times New Roman"/>
          <w:sz w:val="24"/>
          <w:szCs w:val="24"/>
        </w:rPr>
        <w:t>have</w:t>
      </w:r>
      <w:r w:rsidR="0043247A" w:rsidRPr="007C050D">
        <w:rPr>
          <w:rFonts w:ascii="Times New Roman" w:hAnsi="Times New Roman"/>
          <w:sz w:val="24"/>
          <w:szCs w:val="24"/>
        </w:rPr>
        <w:t xml:space="preserve"> an IRD number and provide that number to </w:t>
      </w:r>
      <w:r w:rsidR="003F1D35">
        <w:rPr>
          <w:rFonts w:ascii="Times New Roman" w:hAnsi="Times New Roman"/>
          <w:sz w:val="24"/>
          <w:szCs w:val="24"/>
        </w:rPr>
        <w:t>LINZ</w:t>
      </w:r>
      <w:r w:rsidR="0043247A" w:rsidRPr="007C050D">
        <w:rPr>
          <w:rFonts w:ascii="Times New Roman" w:hAnsi="Times New Roman"/>
          <w:sz w:val="24"/>
          <w:szCs w:val="24"/>
        </w:rPr>
        <w:t xml:space="preserve"> before the sale and purchase transaction can proceed</w:t>
      </w:r>
      <w:r w:rsidR="001C754C">
        <w:rPr>
          <w:rFonts w:ascii="Times New Roman" w:hAnsi="Times New Roman"/>
          <w:sz w:val="24"/>
          <w:szCs w:val="24"/>
        </w:rPr>
        <w:t>.</w:t>
      </w:r>
      <w:r w:rsidR="0043247A" w:rsidRPr="007C050D">
        <w:rPr>
          <w:rFonts w:ascii="Times New Roman" w:hAnsi="Times New Roman"/>
          <w:sz w:val="24"/>
          <w:szCs w:val="24"/>
        </w:rPr>
        <w:t xml:space="preserve"> Where the person is currently a tax resident of another </w:t>
      </w:r>
      <w:r w:rsidR="00393D19">
        <w:rPr>
          <w:rFonts w:ascii="Times New Roman" w:hAnsi="Times New Roman"/>
          <w:sz w:val="24"/>
          <w:szCs w:val="24"/>
        </w:rPr>
        <w:t>jurisdiction</w:t>
      </w:r>
      <w:r w:rsidR="0043247A" w:rsidRPr="007C050D">
        <w:rPr>
          <w:rFonts w:ascii="Times New Roman" w:hAnsi="Times New Roman"/>
          <w:sz w:val="24"/>
          <w:szCs w:val="24"/>
        </w:rPr>
        <w:t xml:space="preserve">, they will also be required to provide </w:t>
      </w:r>
      <w:r w:rsidR="003F1D35">
        <w:rPr>
          <w:rFonts w:ascii="Times New Roman" w:hAnsi="Times New Roman"/>
          <w:sz w:val="24"/>
          <w:szCs w:val="24"/>
        </w:rPr>
        <w:t>any TIN</w:t>
      </w:r>
      <w:r w:rsidR="008F24CE" w:rsidRPr="007C050D">
        <w:rPr>
          <w:rFonts w:ascii="Times New Roman" w:hAnsi="Times New Roman"/>
          <w:sz w:val="24"/>
          <w:szCs w:val="24"/>
        </w:rPr>
        <w:t xml:space="preserve"> issued to them by the </w:t>
      </w:r>
      <w:r w:rsidR="00393D19">
        <w:rPr>
          <w:rFonts w:ascii="Times New Roman" w:hAnsi="Times New Roman"/>
          <w:sz w:val="24"/>
          <w:szCs w:val="24"/>
        </w:rPr>
        <w:t>relevant government</w:t>
      </w:r>
      <w:r w:rsidR="00393D19" w:rsidRPr="007C050D">
        <w:rPr>
          <w:rFonts w:ascii="Times New Roman" w:hAnsi="Times New Roman"/>
          <w:sz w:val="24"/>
          <w:szCs w:val="24"/>
        </w:rPr>
        <w:t xml:space="preserve"> </w:t>
      </w:r>
      <w:r w:rsidR="008F24CE" w:rsidRPr="007C050D">
        <w:rPr>
          <w:rFonts w:ascii="Times New Roman" w:hAnsi="Times New Roman"/>
          <w:sz w:val="24"/>
          <w:szCs w:val="24"/>
        </w:rPr>
        <w:t xml:space="preserve">authority of that other </w:t>
      </w:r>
      <w:r w:rsidR="00393D19">
        <w:rPr>
          <w:rFonts w:ascii="Times New Roman" w:hAnsi="Times New Roman"/>
          <w:sz w:val="24"/>
          <w:szCs w:val="24"/>
        </w:rPr>
        <w:t>jurisdiction</w:t>
      </w:r>
      <w:r w:rsidR="008F24CE" w:rsidRPr="007C050D">
        <w:rPr>
          <w:rFonts w:ascii="Times New Roman" w:hAnsi="Times New Roman"/>
          <w:sz w:val="24"/>
          <w:szCs w:val="24"/>
        </w:rPr>
        <w:t>.</w:t>
      </w:r>
      <w:r w:rsidR="001C754C" w:rsidRPr="001C754C">
        <w:rPr>
          <w:rFonts w:ascii="Times New Roman" w:hAnsi="Times New Roman"/>
          <w:sz w:val="24"/>
          <w:szCs w:val="24"/>
        </w:rPr>
        <w:t xml:space="preserve"> </w:t>
      </w:r>
      <w:r w:rsidR="001C754C">
        <w:rPr>
          <w:rFonts w:ascii="Times New Roman" w:hAnsi="Times New Roman"/>
          <w:sz w:val="24"/>
          <w:szCs w:val="24"/>
        </w:rPr>
        <w:t>These requirements would not apply where the property is to be the purchaser’s main home</w:t>
      </w:r>
      <w:r w:rsidR="001C754C" w:rsidRPr="007C050D">
        <w:rPr>
          <w:rFonts w:ascii="Times New Roman" w:hAnsi="Times New Roman"/>
          <w:sz w:val="24"/>
          <w:szCs w:val="24"/>
        </w:rPr>
        <w:t xml:space="preserve">. </w:t>
      </w:r>
      <w:r w:rsidR="007C050D">
        <w:rPr>
          <w:rFonts w:ascii="Times New Roman" w:hAnsi="Times New Roman"/>
          <w:sz w:val="24"/>
          <w:szCs w:val="24"/>
        </w:rPr>
        <w:t xml:space="preserve">This information will be supplied to Inland Revenue for the enforcement of any tax liabilities that may arise. </w:t>
      </w:r>
      <w:r w:rsidR="007C050D" w:rsidRPr="007C050D">
        <w:rPr>
          <w:rFonts w:ascii="Times New Roman" w:hAnsi="Times New Roman"/>
          <w:sz w:val="24"/>
          <w:szCs w:val="24"/>
        </w:rPr>
        <w:t xml:space="preserve">Inland Revenue may </w:t>
      </w:r>
      <w:r w:rsidR="00326ABE">
        <w:rPr>
          <w:rFonts w:ascii="Times New Roman" w:hAnsi="Times New Roman"/>
          <w:sz w:val="24"/>
          <w:szCs w:val="24"/>
        </w:rPr>
        <w:t>also</w:t>
      </w:r>
      <w:r w:rsidR="007C050D" w:rsidRPr="007C050D">
        <w:rPr>
          <w:rFonts w:ascii="Times New Roman" w:hAnsi="Times New Roman"/>
          <w:sz w:val="24"/>
          <w:szCs w:val="24"/>
        </w:rPr>
        <w:t xml:space="preserve"> </w:t>
      </w:r>
      <w:r w:rsidR="00326ABE">
        <w:rPr>
          <w:rFonts w:ascii="Times New Roman" w:hAnsi="Times New Roman"/>
          <w:sz w:val="24"/>
          <w:szCs w:val="24"/>
        </w:rPr>
        <w:t>supply the information</w:t>
      </w:r>
      <w:r w:rsidR="007C050D" w:rsidRPr="007C050D">
        <w:rPr>
          <w:rFonts w:ascii="Times New Roman" w:hAnsi="Times New Roman"/>
          <w:sz w:val="24"/>
          <w:szCs w:val="24"/>
        </w:rPr>
        <w:t xml:space="preserve"> to overseas tax authorities along with details of the sale and/or purchase transaction</w:t>
      </w:r>
      <w:r w:rsidR="00326ABE">
        <w:rPr>
          <w:rFonts w:ascii="Times New Roman" w:hAnsi="Times New Roman"/>
          <w:sz w:val="24"/>
          <w:szCs w:val="24"/>
        </w:rPr>
        <w:t>,</w:t>
      </w:r>
      <w:r w:rsidR="007C050D" w:rsidRPr="007C050D">
        <w:rPr>
          <w:rFonts w:ascii="Times New Roman" w:hAnsi="Times New Roman"/>
          <w:sz w:val="24"/>
          <w:szCs w:val="24"/>
        </w:rPr>
        <w:t xml:space="preserve"> in accordance with existing New Zealand legislation (including </w:t>
      </w:r>
      <w:r w:rsidR="001C754C">
        <w:rPr>
          <w:rFonts w:ascii="Times New Roman" w:hAnsi="Times New Roman"/>
          <w:sz w:val="24"/>
          <w:szCs w:val="24"/>
        </w:rPr>
        <w:t>New Zealand’s</w:t>
      </w:r>
      <w:r w:rsidR="001C754C" w:rsidRPr="007C050D">
        <w:rPr>
          <w:rFonts w:ascii="Times New Roman" w:hAnsi="Times New Roman"/>
          <w:sz w:val="24"/>
          <w:szCs w:val="24"/>
        </w:rPr>
        <w:t xml:space="preserve"> </w:t>
      </w:r>
      <w:r w:rsidR="007C050D" w:rsidRPr="007C050D">
        <w:rPr>
          <w:rFonts w:ascii="Times New Roman" w:hAnsi="Times New Roman"/>
          <w:sz w:val="24"/>
          <w:szCs w:val="24"/>
        </w:rPr>
        <w:t>tax treaties).</w:t>
      </w:r>
    </w:p>
    <w:p w:rsidR="008F24CE" w:rsidRDefault="008F24CE" w:rsidP="002D4B78">
      <w:pPr>
        <w:spacing w:after="140"/>
        <w:jc w:val="both"/>
        <w:rPr>
          <w:rFonts w:ascii="Times New Roman" w:hAnsi="Times New Roman"/>
          <w:sz w:val="24"/>
          <w:szCs w:val="24"/>
        </w:rPr>
      </w:pPr>
      <w:r>
        <w:rPr>
          <w:rFonts w:ascii="Times New Roman" w:hAnsi="Times New Roman"/>
          <w:sz w:val="24"/>
          <w:szCs w:val="24"/>
        </w:rPr>
        <w:t xml:space="preserve">The initiative is intended to improve Inland Revenue’s ability to enforce </w:t>
      </w:r>
      <w:r w:rsidR="00CF22EE">
        <w:rPr>
          <w:rFonts w:ascii="Times New Roman" w:hAnsi="Times New Roman"/>
          <w:sz w:val="24"/>
          <w:szCs w:val="24"/>
        </w:rPr>
        <w:t xml:space="preserve">the </w:t>
      </w:r>
      <w:r w:rsidR="003F1D35">
        <w:rPr>
          <w:rFonts w:ascii="Times New Roman" w:hAnsi="Times New Roman"/>
          <w:sz w:val="24"/>
          <w:szCs w:val="24"/>
        </w:rPr>
        <w:t xml:space="preserve">income tax obligations of those </w:t>
      </w:r>
      <w:r w:rsidR="00CF22EE">
        <w:rPr>
          <w:rFonts w:ascii="Times New Roman" w:hAnsi="Times New Roman"/>
          <w:sz w:val="24"/>
          <w:szCs w:val="24"/>
        </w:rPr>
        <w:t xml:space="preserve">who buy and sell </w:t>
      </w:r>
      <w:r>
        <w:rPr>
          <w:rFonts w:ascii="Times New Roman" w:hAnsi="Times New Roman"/>
          <w:sz w:val="24"/>
          <w:szCs w:val="24"/>
        </w:rPr>
        <w:t xml:space="preserve">New Zealand </w:t>
      </w:r>
      <w:r w:rsidR="003F1D35">
        <w:rPr>
          <w:rFonts w:ascii="Times New Roman" w:hAnsi="Times New Roman"/>
          <w:sz w:val="24"/>
          <w:szCs w:val="24"/>
        </w:rPr>
        <w:t xml:space="preserve">real </w:t>
      </w:r>
      <w:r>
        <w:rPr>
          <w:rFonts w:ascii="Times New Roman" w:hAnsi="Times New Roman"/>
          <w:sz w:val="24"/>
          <w:szCs w:val="24"/>
        </w:rPr>
        <w:t>property</w:t>
      </w:r>
      <w:r w:rsidR="00A7799D">
        <w:rPr>
          <w:rFonts w:ascii="Times New Roman" w:hAnsi="Times New Roman"/>
          <w:sz w:val="24"/>
          <w:szCs w:val="24"/>
        </w:rPr>
        <w:t xml:space="preserve"> (including any potential income tax liabilities in relation to rental income).</w:t>
      </w:r>
      <w:r w:rsidR="00AE2113">
        <w:rPr>
          <w:rFonts w:ascii="Times New Roman" w:hAnsi="Times New Roman"/>
          <w:sz w:val="24"/>
          <w:szCs w:val="24"/>
        </w:rPr>
        <w:t xml:space="preserve"> </w:t>
      </w:r>
      <w:r>
        <w:rPr>
          <w:rFonts w:ascii="Times New Roman" w:hAnsi="Times New Roman"/>
          <w:sz w:val="24"/>
          <w:szCs w:val="24"/>
        </w:rPr>
        <w:t xml:space="preserve">It is also intended to help prevent </w:t>
      </w:r>
      <w:r w:rsidR="002D4B78">
        <w:rPr>
          <w:rFonts w:ascii="Times New Roman" w:hAnsi="Times New Roman"/>
          <w:sz w:val="24"/>
          <w:szCs w:val="24"/>
        </w:rPr>
        <w:t xml:space="preserve">people who are resident in another jurisdiction </w:t>
      </w:r>
      <w:r>
        <w:rPr>
          <w:rFonts w:ascii="Times New Roman" w:hAnsi="Times New Roman"/>
          <w:sz w:val="24"/>
          <w:szCs w:val="24"/>
        </w:rPr>
        <w:t xml:space="preserve">from evading </w:t>
      </w:r>
      <w:r w:rsidR="007C050D" w:rsidRPr="007C050D">
        <w:rPr>
          <w:rFonts w:ascii="Times New Roman" w:hAnsi="Times New Roman"/>
          <w:sz w:val="24"/>
          <w:szCs w:val="24"/>
        </w:rPr>
        <w:t>foreign tax on their New Zealand land sale or purchase</w:t>
      </w:r>
      <w:r w:rsidR="007C050D">
        <w:rPr>
          <w:rFonts w:ascii="Times New Roman" w:hAnsi="Times New Roman"/>
          <w:sz w:val="24"/>
          <w:szCs w:val="24"/>
        </w:rPr>
        <w:t xml:space="preserve"> by ensuring that the foreign tax authority can match the transaction with the taxpayer.</w:t>
      </w:r>
    </w:p>
    <w:p w:rsidR="0043247A" w:rsidRDefault="0043247A">
      <w:pPr>
        <w:pStyle w:val="ListParagraph"/>
        <w:ind w:left="0" w:right="170"/>
        <w:contextualSpacing w:val="0"/>
        <w:rPr>
          <w:rFonts w:ascii="Times New Roman" w:hAnsi="Times New Roman"/>
          <w:sz w:val="24"/>
          <w:szCs w:val="24"/>
        </w:rPr>
      </w:pPr>
    </w:p>
    <w:p w:rsidR="007934F0" w:rsidRDefault="007C050D">
      <w:pPr>
        <w:pStyle w:val="ListParagraph"/>
        <w:ind w:left="0" w:right="170"/>
        <w:contextualSpacing w:val="0"/>
        <w:rPr>
          <w:rFonts w:ascii="Times New Roman" w:hAnsi="Times New Roman"/>
          <w:sz w:val="24"/>
          <w:szCs w:val="24"/>
        </w:rPr>
      </w:pPr>
      <w:r>
        <w:rPr>
          <w:rFonts w:ascii="Times New Roman" w:hAnsi="Times New Roman"/>
          <w:sz w:val="24"/>
          <w:szCs w:val="24"/>
        </w:rPr>
        <w:t>T</w:t>
      </w:r>
      <w:r w:rsidR="00611CDA">
        <w:rPr>
          <w:rFonts w:ascii="Times New Roman" w:hAnsi="Times New Roman"/>
          <w:sz w:val="24"/>
          <w:szCs w:val="24"/>
        </w:rPr>
        <w:t xml:space="preserve">his </w:t>
      </w:r>
      <w:r w:rsidR="005F7158">
        <w:rPr>
          <w:rFonts w:ascii="Times New Roman" w:hAnsi="Times New Roman"/>
          <w:sz w:val="24"/>
          <w:szCs w:val="24"/>
        </w:rPr>
        <w:t>RIS</w:t>
      </w:r>
      <w:r w:rsidR="00AE2113">
        <w:rPr>
          <w:rFonts w:ascii="Times New Roman" w:hAnsi="Times New Roman"/>
          <w:sz w:val="24"/>
          <w:szCs w:val="24"/>
        </w:rPr>
        <w:t xml:space="preserve"> </w:t>
      </w:r>
      <w:r w:rsidR="007934F0">
        <w:rPr>
          <w:rFonts w:ascii="Times New Roman" w:hAnsi="Times New Roman"/>
          <w:sz w:val="24"/>
          <w:szCs w:val="24"/>
        </w:rPr>
        <w:t>consider</w:t>
      </w:r>
      <w:r w:rsidR="00CF22EE">
        <w:rPr>
          <w:rFonts w:ascii="Times New Roman" w:hAnsi="Times New Roman"/>
          <w:sz w:val="24"/>
          <w:szCs w:val="24"/>
        </w:rPr>
        <w:t>s</w:t>
      </w:r>
      <w:r w:rsidR="007934F0">
        <w:rPr>
          <w:rFonts w:ascii="Times New Roman" w:hAnsi="Times New Roman"/>
          <w:sz w:val="24"/>
          <w:szCs w:val="24"/>
        </w:rPr>
        <w:t xml:space="preserve"> </w:t>
      </w:r>
      <w:r w:rsidR="00326ABE">
        <w:rPr>
          <w:rFonts w:ascii="Times New Roman" w:hAnsi="Times New Roman"/>
          <w:sz w:val="24"/>
          <w:szCs w:val="24"/>
        </w:rPr>
        <w:t>three</w:t>
      </w:r>
      <w:r w:rsidR="007934F0">
        <w:rPr>
          <w:rFonts w:ascii="Times New Roman" w:hAnsi="Times New Roman"/>
          <w:sz w:val="24"/>
          <w:szCs w:val="24"/>
        </w:rPr>
        <w:t xml:space="preserve"> options:</w:t>
      </w:r>
    </w:p>
    <w:p w:rsidR="00611CDA" w:rsidRDefault="00611CDA">
      <w:pPr>
        <w:pStyle w:val="ListParagraph"/>
        <w:ind w:left="0" w:right="170"/>
        <w:contextualSpacing w:val="0"/>
        <w:rPr>
          <w:rFonts w:ascii="Times New Roman" w:hAnsi="Times New Roman"/>
          <w:sz w:val="24"/>
          <w:szCs w:val="24"/>
        </w:rPr>
      </w:pPr>
    </w:p>
    <w:p w:rsidR="007934F0" w:rsidRPr="007934F0" w:rsidRDefault="00E93EFB">
      <w:pPr>
        <w:pStyle w:val="ListParagraph"/>
        <w:numPr>
          <w:ilvl w:val="0"/>
          <w:numId w:val="25"/>
        </w:numPr>
        <w:ind w:right="170"/>
        <w:contextualSpacing w:val="0"/>
        <w:rPr>
          <w:rFonts w:ascii="Times New Roman" w:hAnsi="Times New Roman"/>
          <w:sz w:val="24"/>
          <w:szCs w:val="24"/>
        </w:rPr>
      </w:pPr>
      <w:proofErr w:type="gramStart"/>
      <w:r>
        <w:rPr>
          <w:rFonts w:ascii="Times New Roman" w:hAnsi="Times New Roman"/>
          <w:sz w:val="24"/>
          <w:szCs w:val="24"/>
        </w:rPr>
        <w:t>o</w:t>
      </w:r>
      <w:r w:rsidR="007934F0">
        <w:rPr>
          <w:rFonts w:ascii="Times New Roman" w:hAnsi="Times New Roman"/>
          <w:sz w:val="24"/>
          <w:szCs w:val="24"/>
        </w:rPr>
        <w:t>ption</w:t>
      </w:r>
      <w:proofErr w:type="gramEnd"/>
      <w:r w:rsidR="007934F0">
        <w:rPr>
          <w:rFonts w:ascii="Times New Roman" w:hAnsi="Times New Roman"/>
          <w:sz w:val="24"/>
          <w:szCs w:val="24"/>
        </w:rPr>
        <w:t xml:space="preserve"> 1</w:t>
      </w:r>
      <w:r w:rsidR="00CF22EE">
        <w:rPr>
          <w:rFonts w:ascii="Times New Roman" w:hAnsi="Times New Roman"/>
          <w:sz w:val="24"/>
          <w:szCs w:val="24"/>
        </w:rPr>
        <w:t>:</w:t>
      </w:r>
      <w:r w:rsidR="007934F0">
        <w:rPr>
          <w:rFonts w:ascii="Times New Roman" w:hAnsi="Times New Roman"/>
          <w:sz w:val="24"/>
          <w:szCs w:val="24"/>
        </w:rPr>
        <w:t xml:space="preserve"> </w:t>
      </w:r>
      <w:r w:rsidR="00CF22EE">
        <w:rPr>
          <w:rFonts w:ascii="Times New Roman" w:hAnsi="Times New Roman"/>
          <w:sz w:val="24"/>
          <w:szCs w:val="24"/>
        </w:rPr>
        <w:t>n</w:t>
      </w:r>
      <w:r w:rsidR="007934F0">
        <w:rPr>
          <w:rFonts w:ascii="Times New Roman" w:hAnsi="Times New Roman"/>
          <w:sz w:val="24"/>
          <w:szCs w:val="24"/>
        </w:rPr>
        <w:t>ot requiring</w:t>
      </w:r>
      <w:r w:rsidR="007C050D">
        <w:rPr>
          <w:rFonts w:ascii="Times New Roman" w:hAnsi="Times New Roman"/>
          <w:sz w:val="24"/>
          <w:szCs w:val="24"/>
        </w:rPr>
        <w:t xml:space="preserve"> IRD numbers and TIN numbers to be</w:t>
      </w:r>
      <w:r w:rsidR="00326ABE">
        <w:rPr>
          <w:rFonts w:ascii="Times New Roman" w:hAnsi="Times New Roman"/>
          <w:sz w:val="24"/>
          <w:szCs w:val="24"/>
        </w:rPr>
        <w:t xml:space="preserve"> provided to LINZ</w:t>
      </w:r>
      <w:r w:rsidR="007C050D">
        <w:rPr>
          <w:rFonts w:ascii="Times New Roman" w:hAnsi="Times New Roman"/>
          <w:sz w:val="24"/>
          <w:szCs w:val="24"/>
        </w:rPr>
        <w:t xml:space="preserve"> </w:t>
      </w:r>
      <w:r w:rsidR="00326ABE">
        <w:rPr>
          <w:rFonts w:ascii="Times New Roman" w:hAnsi="Times New Roman"/>
          <w:sz w:val="24"/>
          <w:szCs w:val="24"/>
        </w:rPr>
        <w:t xml:space="preserve">upon sale or purchase </w:t>
      </w:r>
      <w:r w:rsidR="00A7799D">
        <w:rPr>
          <w:rFonts w:ascii="Times New Roman" w:hAnsi="Times New Roman"/>
          <w:sz w:val="24"/>
          <w:szCs w:val="24"/>
        </w:rPr>
        <w:t xml:space="preserve">of real property </w:t>
      </w:r>
      <w:r w:rsidR="007934F0">
        <w:rPr>
          <w:rFonts w:ascii="Times New Roman" w:hAnsi="Times New Roman"/>
          <w:sz w:val="24"/>
          <w:szCs w:val="24"/>
        </w:rPr>
        <w:t>(the status quo</w:t>
      </w:r>
      <w:r w:rsidR="00326ABE">
        <w:rPr>
          <w:rFonts w:ascii="Times New Roman" w:hAnsi="Times New Roman"/>
          <w:sz w:val="24"/>
          <w:szCs w:val="24"/>
        </w:rPr>
        <w:t xml:space="preserve"> and not I</w:t>
      </w:r>
      <w:r w:rsidR="00393D19">
        <w:rPr>
          <w:rFonts w:ascii="Times New Roman" w:hAnsi="Times New Roman"/>
          <w:sz w:val="24"/>
          <w:szCs w:val="24"/>
        </w:rPr>
        <w:t xml:space="preserve">nland </w:t>
      </w:r>
      <w:r w:rsidR="00326ABE">
        <w:rPr>
          <w:rFonts w:ascii="Times New Roman" w:hAnsi="Times New Roman"/>
          <w:sz w:val="24"/>
          <w:szCs w:val="24"/>
        </w:rPr>
        <w:t>R</w:t>
      </w:r>
      <w:r w:rsidR="00393D19">
        <w:rPr>
          <w:rFonts w:ascii="Times New Roman" w:hAnsi="Times New Roman"/>
          <w:sz w:val="24"/>
          <w:szCs w:val="24"/>
        </w:rPr>
        <w:t>evenue</w:t>
      </w:r>
      <w:r w:rsidR="00326ABE">
        <w:rPr>
          <w:rFonts w:ascii="Times New Roman" w:hAnsi="Times New Roman"/>
          <w:sz w:val="24"/>
          <w:szCs w:val="24"/>
        </w:rPr>
        <w:t>’s preferred option</w:t>
      </w:r>
      <w:r w:rsidR="007934F0">
        <w:rPr>
          <w:rFonts w:ascii="Times New Roman" w:hAnsi="Times New Roman"/>
          <w:sz w:val="24"/>
          <w:szCs w:val="24"/>
        </w:rPr>
        <w:t>).</w:t>
      </w:r>
    </w:p>
    <w:p w:rsidR="007934F0" w:rsidRDefault="00E93EFB">
      <w:pPr>
        <w:pStyle w:val="ListParagraph"/>
        <w:numPr>
          <w:ilvl w:val="0"/>
          <w:numId w:val="25"/>
        </w:numPr>
        <w:ind w:right="170"/>
        <w:contextualSpacing w:val="0"/>
        <w:rPr>
          <w:rFonts w:ascii="Times New Roman" w:hAnsi="Times New Roman"/>
          <w:sz w:val="24"/>
          <w:szCs w:val="24"/>
        </w:rPr>
      </w:pPr>
      <w:proofErr w:type="gramStart"/>
      <w:r>
        <w:rPr>
          <w:rFonts w:ascii="Times New Roman" w:hAnsi="Times New Roman"/>
          <w:sz w:val="24"/>
          <w:szCs w:val="24"/>
        </w:rPr>
        <w:t>o</w:t>
      </w:r>
      <w:r w:rsidR="00CF22EE">
        <w:rPr>
          <w:rFonts w:ascii="Times New Roman" w:hAnsi="Times New Roman"/>
          <w:sz w:val="24"/>
          <w:szCs w:val="24"/>
        </w:rPr>
        <w:t>ption</w:t>
      </w:r>
      <w:proofErr w:type="gramEnd"/>
      <w:r w:rsidR="00CF22EE">
        <w:rPr>
          <w:rFonts w:ascii="Times New Roman" w:hAnsi="Times New Roman"/>
          <w:sz w:val="24"/>
          <w:szCs w:val="24"/>
        </w:rPr>
        <w:t xml:space="preserve"> 2: r</w:t>
      </w:r>
      <w:r w:rsidR="00326ABE">
        <w:rPr>
          <w:rFonts w:ascii="Times New Roman" w:hAnsi="Times New Roman"/>
          <w:sz w:val="24"/>
          <w:szCs w:val="24"/>
        </w:rPr>
        <w:t>equiring</w:t>
      </w:r>
      <w:r w:rsidR="00326ABE" w:rsidRPr="00326ABE">
        <w:rPr>
          <w:rFonts w:ascii="Times New Roman" w:hAnsi="Times New Roman"/>
          <w:sz w:val="24"/>
          <w:szCs w:val="24"/>
        </w:rPr>
        <w:t xml:space="preserve"> </w:t>
      </w:r>
      <w:r w:rsidR="00326ABE">
        <w:rPr>
          <w:rFonts w:ascii="Times New Roman" w:hAnsi="Times New Roman"/>
          <w:sz w:val="24"/>
          <w:szCs w:val="24"/>
        </w:rPr>
        <w:t>IRD numbers and TIN numbers to be provided to LINZ (and passed on to Inland Revenue) upon sale or purchase</w:t>
      </w:r>
      <w:r w:rsidR="00850789" w:rsidRPr="00850789">
        <w:rPr>
          <w:rFonts w:ascii="Times New Roman" w:hAnsi="Times New Roman"/>
          <w:sz w:val="24"/>
          <w:szCs w:val="24"/>
        </w:rPr>
        <w:t xml:space="preserve"> </w:t>
      </w:r>
      <w:r w:rsidR="00A7799D">
        <w:rPr>
          <w:rFonts w:ascii="Times New Roman" w:hAnsi="Times New Roman"/>
          <w:sz w:val="24"/>
          <w:szCs w:val="24"/>
        </w:rPr>
        <w:t xml:space="preserve">of real property </w:t>
      </w:r>
      <w:r w:rsidR="00850789">
        <w:rPr>
          <w:rFonts w:ascii="Times New Roman" w:hAnsi="Times New Roman"/>
          <w:sz w:val="24"/>
          <w:szCs w:val="24"/>
        </w:rPr>
        <w:t>(</w:t>
      </w:r>
      <w:r w:rsidR="00326ABE">
        <w:rPr>
          <w:rFonts w:ascii="Times New Roman" w:hAnsi="Times New Roman"/>
          <w:sz w:val="24"/>
          <w:szCs w:val="24"/>
        </w:rPr>
        <w:t>I</w:t>
      </w:r>
      <w:r w:rsidR="00CF22EE">
        <w:rPr>
          <w:rFonts w:ascii="Times New Roman" w:hAnsi="Times New Roman"/>
          <w:sz w:val="24"/>
          <w:szCs w:val="24"/>
        </w:rPr>
        <w:t xml:space="preserve">nland </w:t>
      </w:r>
      <w:r w:rsidR="00326ABE">
        <w:rPr>
          <w:rFonts w:ascii="Times New Roman" w:hAnsi="Times New Roman"/>
          <w:sz w:val="24"/>
          <w:szCs w:val="24"/>
        </w:rPr>
        <w:t>R</w:t>
      </w:r>
      <w:r w:rsidR="00CF22EE">
        <w:rPr>
          <w:rFonts w:ascii="Times New Roman" w:hAnsi="Times New Roman"/>
          <w:sz w:val="24"/>
          <w:szCs w:val="24"/>
        </w:rPr>
        <w:t>evenue</w:t>
      </w:r>
      <w:r w:rsidR="00326ABE">
        <w:rPr>
          <w:rFonts w:ascii="Times New Roman" w:hAnsi="Times New Roman"/>
          <w:sz w:val="24"/>
          <w:szCs w:val="24"/>
        </w:rPr>
        <w:t>’s</w:t>
      </w:r>
      <w:r w:rsidR="00850789">
        <w:rPr>
          <w:rFonts w:ascii="Times New Roman" w:hAnsi="Times New Roman"/>
          <w:sz w:val="24"/>
          <w:szCs w:val="24"/>
        </w:rPr>
        <w:t xml:space="preserve"> preferred option)</w:t>
      </w:r>
      <w:r w:rsidR="00326ABE">
        <w:rPr>
          <w:rFonts w:ascii="Times New Roman" w:hAnsi="Times New Roman"/>
          <w:sz w:val="24"/>
          <w:szCs w:val="24"/>
        </w:rPr>
        <w:t>.</w:t>
      </w:r>
    </w:p>
    <w:p w:rsidR="007C050D" w:rsidRPr="00326ABE" w:rsidRDefault="00E93EFB">
      <w:pPr>
        <w:pStyle w:val="ListParagraph"/>
        <w:numPr>
          <w:ilvl w:val="0"/>
          <w:numId w:val="25"/>
        </w:numPr>
        <w:ind w:right="170"/>
        <w:contextualSpacing w:val="0"/>
        <w:rPr>
          <w:rFonts w:ascii="Times New Roman" w:hAnsi="Times New Roman"/>
          <w:sz w:val="24"/>
          <w:szCs w:val="24"/>
        </w:rPr>
      </w:pPr>
      <w:r>
        <w:rPr>
          <w:rFonts w:ascii="Times New Roman" w:hAnsi="Times New Roman"/>
          <w:sz w:val="24"/>
          <w:szCs w:val="24"/>
        </w:rPr>
        <w:t>o</w:t>
      </w:r>
      <w:r w:rsidR="007C050D" w:rsidRPr="00326ABE">
        <w:rPr>
          <w:rFonts w:ascii="Times New Roman" w:hAnsi="Times New Roman"/>
          <w:sz w:val="24"/>
          <w:szCs w:val="24"/>
        </w:rPr>
        <w:t>ption 3</w:t>
      </w:r>
      <w:r w:rsidR="00CF22EE">
        <w:rPr>
          <w:rFonts w:ascii="Times New Roman" w:hAnsi="Times New Roman"/>
          <w:sz w:val="24"/>
          <w:szCs w:val="24"/>
        </w:rPr>
        <w:t>: r</w:t>
      </w:r>
      <w:r w:rsidR="00326ABE" w:rsidRPr="00326ABE">
        <w:rPr>
          <w:rFonts w:ascii="Times New Roman" w:hAnsi="Times New Roman"/>
          <w:sz w:val="24"/>
          <w:szCs w:val="24"/>
        </w:rPr>
        <w:t>equiring IRD numbers and TIN numbers to be provided to LINZ upon sale or purchase</w:t>
      </w:r>
      <w:r w:rsidR="00A7799D" w:rsidRPr="00A7799D">
        <w:rPr>
          <w:rFonts w:ascii="Times New Roman" w:hAnsi="Times New Roman"/>
          <w:sz w:val="24"/>
          <w:szCs w:val="24"/>
        </w:rPr>
        <w:t xml:space="preserve"> </w:t>
      </w:r>
      <w:r w:rsidR="00A7799D">
        <w:rPr>
          <w:rFonts w:ascii="Times New Roman" w:hAnsi="Times New Roman"/>
          <w:sz w:val="24"/>
          <w:szCs w:val="24"/>
        </w:rPr>
        <w:t>of real property</w:t>
      </w:r>
      <w:r w:rsidR="00AE2113">
        <w:rPr>
          <w:rFonts w:ascii="Times New Roman" w:hAnsi="Times New Roman"/>
          <w:sz w:val="24"/>
          <w:szCs w:val="24"/>
        </w:rPr>
        <w:t xml:space="preserve"> (and passed on to Inland Revenue)</w:t>
      </w:r>
      <w:r w:rsidR="00326ABE" w:rsidRPr="00326ABE">
        <w:rPr>
          <w:rFonts w:ascii="Times New Roman" w:hAnsi="Times New Roman"/>
          <w:sz w:val="24"/>
          <w:szCs w:val="24"/>
        </w:rPr>
        <w:t xml:space="preserve">, with an exception in the case of purchasers for whom the property will be their main </w:t>
      </w:r>
      <w:r w:rsidR="00891979">
        <w:rPr>
          <w:rFonts w:ascii="Times New Roman" w:hAnsi="Times New Roman"/>
          <w:sz w:val="24"/>
          <w:szCs w:val="24"/>
        </w:rPr>
        <w:t>home</w:t>
      </w:r>
      <w:r w:rsidR="00326ABE">
        <w:rPr>
          <w:rFonts w:ascii="Times New Roman" w:hAnsi="Times New Roman"/>
          <w:sz w:val="24"/>
          <w:szCs w:val="24"/>
        </w:rPr>
        <w:t xml:space="preserve"> (not I</w:t>
      </w:r>
      <w:r w:rsidR="00CF22EE">
        <w:rPr>
          <w:rFonts w:ascii="Times New Roman" w:hAnsi="Times New Roman"/>
          <w:sz w:val="24"/>
          <w:szCs w:val="24"/>
        </w:rPr>
        <w:t xml:space="preserve">nland </w:t>
      </w:r>
      <w:r w:rsidR="00326ABE">
        <w:rPr>
          <w:rFonts w:ascii="Times New Roman" w:hAnsi="Times New Roman"/>
          <w:sz w:val="24"/>
          <w:szCs w:val="24"/>
        </w:rPr>
        <w:t>R</w:t>
      </w:r>
      <w:r w:rsidR="00CF22EE">
        <w:rPr>
          <w:rFonts w:ascii="Times New Roman" w:hAnsi="Times New Roman"/>
          <w:sz w:val="24"/>
          <w:szCs w:val="24"/>
        </w:rPr>
        <w:t>evenue</w:t>
      </w:r>
      <w:r w:rsidR="00326ABE">
        <w:rPr>
          <w:rFonts w:ascii="Times New Roman" w:hAnsi="Times New Roman"/>
          <w:sz w:val="24"/>
          <w:szCs w:val="24"/>
        </w:rPr>
        <w:t>’s preferred option).</w:t>
      </w:r>
    </w:p>
    <w:p w:rsidR="007934F0" w:rsidRDefault="007934F0">
      <w:pPr>
        <w:pStyle w:val="ListParagraph"/>
        <w:ind w:left="0" w:right="170"/>
        <w:contextualSpacing w:val="0"/>
        <w:rPr>
          <w:rFonts w:ascii="Times New Roman" w:hAnsi="Times New Roman"/>
          <w:sz w:val="24"/>
          <w:szCs w:val="24"/>
        </w:rPr>
      </w:pPr>
    </w:p>
    <w:p w:rsidR="00326ABE" w:rsidRDefault="00F87CE0">
      <w:pPr>
        <w:pStyle w:val="ListParagraph"/>
        <w:ind w:left="0" w:right="170"/>
        <w:contextualSpacing w:val="0"/>
        <w:rPr>
          <w:rFonts w:ascii="Times New Roman" w:hAnsi="Times New Roman"/>
          <w:sz w:val="24"/>
          <w:szCs w:val="24"/>
        </w:rPr>
      </w:pPr>
      <w:r>
        <w:rPr>
          <w:rFonts w:ascii="Times New Roman" w:hAnsi="Times New Roman"/>
          <w:sz w:val="24"/>
          <w:szCs w:val="24"/>
        </w:rPr>
        <w:t xml:space="preserve">Inland Revenue </w:t>
      </w:r>
      <w:r w:rsidR="00326ABE">
        <w:rPr>
          <w:rFonts w:ascii="Times New Roman" w:hAnsi="Times New Roman"/>
          <w:sz w:val="24"/>
          <w:szCs w:val="24"/>
        </w:rPr>
        <w:t>expects</w:t>
      </w:r>
      <w:r>
        <w:rPr>
          <w:rFonts w:ascii="Times New Roman" w:hAnsi="Times New Roman"/>
          <w:sz w:val="24"/>
          <w:szCs w:val="24"/>
        </w:rPr>
        <w:t xml:space="preserve"> </w:t>
      </w:r>
      <w:r w:rsidR="00326ABE">
        <w:rPr>
          <w:rFonts w:ascii="Times New Roman" w:hAnsi="Times New Roman"/>
          <w:sz w:val="24"/>
          <w:szCs w:val="24"/>
        </w:rPr>
        <w:t xml:space="preserve">that option </w:t>
      </w:r>
      <w:r w:rsidR="00CF22EE">
        <w:rPr>
          <w:rFonts w:ascii="Times New Roman" w:hAnsi="Times New Roman"/>
          <w:sz w:val="24"/>
          <w:szCs w:val="24"/>
        </w:rPr>
        <w:t>2</w:t>
      </w:r>
      <w:r w:rsidR="00326ABE">
        <w:rPr>
          <w:rFonts w:ascii="Times New Roman" w:hAnsi="Times New Roman"/>
          <w:sz w:val="24"/>
          <w:szCs w:val="24"/>
        </w:rPr>
        <w:t xml:space="preserve"> would enhance Inland Revenue’s</w:t>
      </w:r>
      <w:r w:rsidR="00CF22EE">
        <w:rPr>
          <w:rFonts w:ascii="Times New Roman" w:hAnsi="Times New Roman"/>
          <w:sz w:val="24"/>
          <w:szCs w:val="24"/>
        </w:rPr>
        <w:t xml:space="preserve"> abilities to</w:t>
      </w:r>
      <w:r w:rsidR="00326ABE">
        <w:rPr>
          <w:rFonts w:ascii="Times New Roman" w:hAnsi="Times New Roman"/>
          <w:sz w:val="24"/>
          <w:szCs w:val="24"/>
        </w:rPr>
        <w:t xml:space="preserve"> </w:t>
      </w:r>
      <w:r w:rsidR="00CF22EE">
        <w:rPr>
          <w:rFonts w:ascii="Times New Roman" w:hAnsi="Times New Roman"/>
          <w:sz w:val="24"/>
          <w:szCs w:val="24"/>
        </w:rPr>
        <w:t>enforce the income tax obligations of those who buy and sell New Zealand real property</w:t>
      </w:r>
      <w:r w:rsidR="00AE2113" w:rsidRPr="00AE2113">
        <w:rPr>
          <w:rFonts w:ascii="Times New Roman" w:hAnsi="Times New Roman"/>
          <w:sz w:val="24"/>
          <w:szCs w:val="24"/>
        </w:rPr>
        <w:t xml:space="preserve"> </w:t>
      </w:r>
      <w:r w:rsidR="00AE2113">
        <w:rPr>
          <w:rFonts w:ascii="Times New Roman" w:hAnsi="Times New Roman"/>
          <w:sz w:val="24"/>
          <w:szCs w:val="24"/>
        </w:rPr>
        <w:t xml:space="preserve">by </w:t>
      </w:r>
      <w:r w:rsidR="00AE2113">
        <w:rPr>
          <w:rFonts w:ascii="Times New Roman" w:hAnsi="Times New Roman"/>
          <w:sz w:val="24"/>
          <w:szCs w:val="24"/>
        </w:rPr>
        <w:lastRenderedPageBreak/>
        <w:t>ensuring that Inland Revenue can link the taxpayer with the relevant property transaction</w:t>
      </w:r>
      <w:r w:rsidR="00CF22EE">
        <w:rPr>
          <w:rFonts w:ascii="Times New Roman" w:hAnsi="Times New Roman"/>
          <w:sz w:val="24"/>
          <w:szCs w:val="24"/>
        </w:rPr>
        <w:t xml:space="preserve">. </w:t>
      </w:r>
      <w:r w:rsidR="003F1D35">
        <w:rPr>
          <w:rFonts w:ascii="Times New Roman" w:hAnsi="Times New Roman"/>
          <w:sz w:val="24"/>
          <w:szCs w:val="24"/>
        </w:rPr>
        <w:t xml:space="preserve">In light of the new </w:t>
      </w:r>
      <w:r w:rsidR="00A7799D">
        <w:rPr>
          <w:rFonts w:ascii="Times New Roman" w:hAnsi="Times New Roman"/>
          <w:sz w:val="24"/>
          <w:szCs w:val="24"/>
        </w:rPr>
        <w:t>‘</w:t>
      </w:r>
      <w:proofErr w:type="spellStart"/>
      <w:r w:rsidR="003F1D35">
        <w:rPr>
          <w:rFonts w:ascii="Times New Roman" w:hAnsi="Times New Roman"/>
          <w:sz w:val="24"/>
          <w:szCs w:val="24"/>
        </w:rPr>
        <w:t>brightline</w:t>
      </w:r>
      <w:proofErr w:type="spellEnd"/>
      <w:r w:rsidR="00A7799D">
        <w:rPr>
          <w:rFonts w:ascii="Times New Roman" w:hAnsi="Times New Roman"/>
          <w:sz w:val="24"/>
          <w:szCs w:val="24"/>
        </w:rPr>
        <w:t>’</w:t>
      </w:r>
      <w:r w:rsidR="003F1D35">
        <w:rPr>
          <w:rFonts w:ascii="Times New Roman" w:hAnsi="Times New Roman"/>
          <w:sz w:val="24"/>
          <w:szCs w:val="24"/>
        </w:rPr>
        <w:t xml:space="preserve"> test for property bought and sold within two years that will apply from 1 October</w:t>
      </w:r>
      <w:r w:rsidR="00445360">
        <w:rPr>
          <w:rFonts w:ascii="Times New Roman" w:hAnsi="Times New Roman"/>
          <w:sz w:val="24"/>
          <w:szCs w:val="24"/>
        </w:rPr>
        <w:t xml:space="preserve"> 2015</w:t>
      </w:r>
      <w:r w:rsidR="003F1D35">
        <w:rPr>
          <w:rFonts w:ascii="Times New Roman" w:hAnsi="Times New Roman"/>
          <w:sz w:val="24"/>
          <w:szCs w:val="24"/>
        </w:rPr>
        <w:t xml:space="preserve">, this ability will be even more important. </w:t>
      </w:r>
      <w:r w:rsidR="00326ABE">
        <w:rPr>
          <w:rFonts w:ascii="Times New Roman" w:hAnsi="Times New Roman"/>
          <w:sz w:val="24"/>
          <w:szCs w:val="24"/>
        </w:rPr>
        <w:t xml:space="preserve">Inland Revenue also expects that </w:t>
      </w:r>
      <w:r w:rsidR="003F1D35">
        <w:rPr>
          <w:rFonts w:ascii="Times New Roman" w:hAnsi="Times New Roman"/>
          <w:sz w:val="24"/>
          <w:szCs w:val="24"/>
        </w:rPr>
        <w:t>option 2</w:t>
      </w:r>
      <w:r w:rsidR="00326ABE">
        <w:rPr>
          <w:rFonts w:ascii="Times New Roman" w:hAnsi="Times New Roman"/>
          <w:sz w:val="24"/>
          <w:szCs w:val="24"/>
        </w:rPr>
        <w:t xml:space="preserve"> would help prevent non-residents from evading </w:t>
      </w:r>
      <w:r w:rsidR="00326ABE" w:rsidRPr="007C050D">
        <w:rPr>
          <w:rFonts w:ascii="Times New Roman" w:hAnsi="Times New Roman"/>
          <w:sz w:val="24"/>
          <w:szCs w:val="24"/>
        </w:rPr>
        <w:t>foreign tax on their New Zealand land sale or purchase</w:t>
      </w:r>
      <w:r w:rsidR="00326ABE">
        <w:rPr>
          <w:rFonts w:ascii="Times New Roman" w:hAnsi="Times New Roman"/>
          <w:sz w:val="24"/>
          <w:szCs w:val="24"/>
        </w:rPr>
        <w:t xml:space="preserve"> by ensuring that the foreign tax authority can match the transaction with the taxpayer. The exact level of benefits has not been quantified</w:t>
      </w:r>
      <w:r w:rsidR="005446F0">
        <w:rPr>
          <w:rFonts w:ascii="Times New Roman" w:hAnsi="Times New Roman"/>
          <w:sz w:val="24"/>
          <w:szCs w:val="24"/>
        </w:rPr>
        <w:t>. This is partially because Inland Revenue does not have accurate data and partially because of time constraints</w:t>
      </w:r>
      <w:r w:rsidR="00326ABE">
        <w:rPr>
          <w:rFonts w:ascii="Times New Roman" w:hAnsi="Times New Roman"/>
          <w:sz w:val="24"/>
          <w:szCs w:val="24"/>
        </w:rPr>
        <w:t>.</w:t>
      </w:r>
    </w:p>
    <w:p w:rsidR="00326ABE" w:rsidRDefault="00326ABE">
      <w:pPr>
        <w:pStyle w:val="ListParagraph"/>
        <w:ind w:left="0" w:right="170"/>
        <w:contextualSpacing w:val="0"/>
        <w:rPr>
          <w:rFonts w:ascii="Times New Roman" w:hAnsi="Times New Roman"/>
          <w:sz w:val="24"/>
          <w:szCs w:val="24"/>
        </w:rPr>
      </w:pPr>
    </w:p>
    <w:p w:rsidR="00266EDA" w:rsidRDefault="00F87CE0" w:rsidP="00E93EFB">
      <w:pPr>
        <w:ind w:right="170"/>
        <w:jc w:val="both"/>
        <w:rPr>
          <w:rFonts w:ascii="Times New Roman" w:hAnsi="Times New Roman"/>
          <w:sz w:val="24"/>
          <w:szCs w:val="24"/>
        </w:rPr>
      </w:pPr>
      <w:r w:rsidRPr="00326ABE">
        <w:rPr>
          <w:rFonts w:ascii="Times New Roman" w:hAnsi="Times New Roman"/>
          <w:sz w:val="24"/>
          <w:szCs w:val="24"/>
        </w:rPr>
        <w:t xml:space="preserve">The actual compliance costs likely to be imposed </w:t>
      </w:r>
      <w:r w:rsidR="00326ABE">
        <w:rPr>
          <w:rFonts w:ascii="Times New Roman" w:hAnsi="Times New Roman"/>
          <w:sz w:val="24"/>
          <w:szCs w:val="24"/>
        </w:rPr>
        <w:t xml:space="preserve">by the proposal </w:t>
      </w:r>
      <w:r w:rsidRPr="00326ABE">
        <w:rPr>
          <w:rFonts w:ascii="Times New Roman" w:hAnsi="Times New Roman"/>
          <w:sz w:val="24"/>
          <w:szCs w:val="24"/>
        </w:rPr>
        <w:t>have not been accurately determined</w:t>
      </w:r>
      <w:r w:rsidR="005446F0">
        <w:rPr>
          <w:rFonts w:ascii="Times New Roman" w:hAnsi="Times New Roman"/>
          <w:sz w:val="24"/>
          <w:szCs w:val="24"/>
        </w:rPr>
        <w:t xml:space="preserve"> because of time constraints</w:t>
      </w:r>
      <w:r w:rsidR="00445360">
        <w:rPr>
          <w:rFonts w:ascii="Times New Roman" w:hAnsi="Times New Roman"/>
          <w:sz w:val="24"/>
          <w:szCs w:val="24"/>
        </w:rPr>
        <w:t>,</w:t>
      </w:r>
      <w:r w:rsidR="00326ABE">
        <w:rPr>
          <w:rFonts w:ascii="Times New Roman" w:hAnsi="Times New Roman"/>
          <w:sz w:val="24"/>
          <w:szCs w:val="24"/>
        </w:rPr>
        <w:t xml:space="preserve"> but are not expected to be high given that </w:t>
      </w:r>
      <w:r w:rsidR="00AF666F">
        <w:rPr>
          <w:rFonts w:ascii="Times New Roman" w:hAnsi="Times New Roman"/>
          <w:sz w:val="24"/>
          <w:szCs w:val="24"/>
        </w:rPr>
        <w:t xml:space="preserve">information which verifies </w:t>
      </w:r>
      <w:r w:rsidR="00445360">
        <w:rPr>
          <w:rFonts w:ascii="Times New Roman" w:hAnsi="Times New Roman"/>
          <w:sz w:val="24"/>
          <w:szCs w:val="24"/>
        </w:rPr>
        <w:t xml:space="preserve">sellers’ and purchasers’ </w:t>
      </w:r>
      <w:r w:rsidR="00AF666F">
        <w:rPr>
          <w:rFonts w:ascii="Times New Roman" w:hAnsi="Times New Roman"/>
          <w:sz w:val="24"/>
          <w:szCs w:val="24"/>
        </w:rPr>
        <w:t>identit</w:t>
      </w:r>
      <w:r w:rsidR="00445360">
        <w:rPr>
          <w:rFonts w:ascii="Times New Roman" w:hAnsi="Times New Roman"/>
          <w:sz w:val="24"/>
          <w:szCs w:val="24"/>
        </w:rPr>
        <w:t>ies</w:t>
      </w:r>
      <w:r w:rsidR="00AF666F">
        <w:rPr>
          <w:rFonts w:ascii="Times New Roman" w:hAnsi="Times New Roman"/>
          <w:sz w:val="24"/>
          <w:szCs w:val="24"/>
        </w:rPr>
        <w:t xml:space="preserve"> </w:t>
      </w:r>
      <w:r w:rsidR="00326ABE">
        <w:rPr>
          <w:rFonts w:ascii="Times New Roman" w:hAnsi="Times New Roman"/>
          <w:sz w:val="24"/>
          <w:szCs w:val="24"/>
        </w:rPr>
        <w:t xml:space="preserve">is already supplied to LINZ.  There will be additional compliance costs for those who do not already have </w:t>
      </w:r>
      <w:r w:rsidR="00393D19">
        <w:rPr>
          <w:rFonts w:ascii="Times New Roman" w:hAnsi="Times New Roman"/>
          <w:sz w:val="24"/>
          <w:szCs w:val="24"/>
        </w:rPr>
        <w:t>IRD</w:t>
      </w:r>
      <w:r w:rsidR="00326ABE">
        <w:rPr>
          <w:rFonts w:ascii="Times New Roman" w:hAnsi="Times New Roman"/>
          <w:sz w:val="24"/>
          <w:szCs w:val="24"/>
        </w:rPr>
        <w:t xml:space="preserve"> numbers (which would generally be non-residents).</w:t>
      </w:r>
      <w:r w:rsidR="005446F0">
        <w:rPr>
          <w:rFonts w:ascii="Times New Roman" w:hAnsi="Times New Roman"/>
          <w:sz w:val="24"/>
          <w:szCs w:val="24"/>
        </w:rPr>
        <w:t xml:space="preserve"> </w:t>
      </w:r>
      <w:r w:rsidR="00B91C70" w:rsidRPr="00B91C70">
        <w:rPr>
          <w:rFonts w:ascii="Times New Roman" w:hAnsi="Times New Roman"/>
          <w:sz w:val="24"/>
          <w:szCs w:val="24"/>
        </w:rPr>
        <w:t>T</w:t>
      </w:r>
      <w:r w:rsidR="00B91C70" w:rsidRPr="00E93EFB">
        <w:rPr>
          <w:rFonts w:ascii="Times New Roman" w:hAnsi="Times New Roman"/>
          <w:sz w:val="24"/>
          <w:szCs w:val="24"/>
        </w:rPr>
        <w:t>he number of property transfers in the financial year ending 30 June 2014 was 176,500</w:t>
      </w:r>
      <w:r w:rsidR="00583D8C">
        <w:rPr>
          <w:rFonts w:ascii="Times New Roman" w:hAnsi="Times New Roman"/>
          <w:sz w:val="24"/>
          <w:szCs w:val="24"/>
        </w:rPr>
        <w:t>.</w:t>
      </w:r>
    </w:p>
    <w:p w:rsidR="00F90281" w:rsidRDefault="00326ABE" w:rsidP="00E93EFB">
      <w:pPr>
        <w:ind w:right="170"/>
        <w:jc w:val="both"/>
        <w:rPr>
          <w:rFonts w:ascii="Times New Roman" w:hAnsi="Times New Roman"/>
          <w:sz w:val="24"/>
          <w:szCs w:val="24"/>
        </w:rPr>
      </w:pPr>
      <w:r>
        <w:rPr>
          <w:rFonts w:ascii="Times New Roman" w:hAnsi="Times New Roman"/>
          <w:sz w:val="24"/>
          <w:szCs w:val="24"/>
        </w:rPr>
        <w:t>Inland Revenue has concerns in relation to option 3</w:t>
      </w:r>
      <w:r w:rsidR="00F90281">
        <w:rPr>
          <w:rFonts w:ascii="Times New Roman" w:hAnsi="Times New Roman"/>
          <w:sz w:val="24"/>
          <w:szCs w:val="24"/>
        </w:rPr>
        <w:t>, which would provide for an exemption</w:t>
      </w:r>
      <w:r w:rsidR="00F90281" w:rsidRPr="00F90281">
        <w:rPr>
          <w:rFonts w:ascii="Times New Roman" w:hAnsi="Times New Roman"/>
          <w:sz w:val="24"/>
          <w:szCs w:val="24"/>
        </w:rPr>
        <w:t xml:space="preserve"> </w:t>
      </w:r>
      <w:r w:rsidR="00F90281" w:rsidRPr="00326ABE">
        <w:rPr>
          <w:rFonts w:ascii="Times New Roman" w:hAnsi="Times New Roman"/>
          <w:sz w:val="24"/>
          <w:szCs w:val="24"/>
        </w:rPr>
        <w:t xml:space="preserve">in the case of purchasers for whom the property will be their main </w:t>
      </w:r>
      <w:r w:rsidR="00891979">
        <w:rPr>
          <w:rFonts w:ascii="Times New Roman" w:hAnsi="Times New Roman"/>
          <w:sz w:val="24"/>
          <w:szCs w:val="24"/>
        </w:rPr>
        <w:t>home</w:t>
      </w:r>
      <w:r>
        <w:rPr>
          <w:rFonts w:ascii="Times New Roman" w:hAnsi="Times New Roman"/>
          <w:sz w:val="24"/>
          <w:szCs w:val="24"/>
        </w:rPr>
        <w:t xml:space="preserve">.  </w:t>
      </w:r>
      <w:r w:rsidR="00F90281">
        <w:rPr>
          <w:rFonts w:ascii="Times New Roman" w:hAnsi="Times New Roman"/>
          <w:sz w:val="24"/>
          <w:szCs w:val="24"/>
        </w:rPr>
        <w:t xml:space="preserve">Inland Revenue considers that </w:t>
      </w:r>
      <w:r w:rsidR="00517534">
        <w:rPr>
          <w:rFonts w:ascii="Times New Roman" w:hAnsi="Times New Roman"/>
          <w:sz w:val="24"/>
          <w:szCs w:val="24"/>
        </w:rPr>
        <w:t>compared to option 2, option 3</w:t>
      </w:r>
      <w:r w:rsidR="00F90281">
        <w:rPr>
          <w:rFonts w:ascii="Times New Roman" w:hAnsi="Times New Roman"/>
          <w:sz w:val="24"/>
          <w:szCs w:val="24"/>
        </w:rPr>
        <w:t xml:space="preserve"> would not reduce compliance costs </w:t>
      </w:r>
      <w:r w:rsidR="00445360">
        <w:rPr>
          <w:rFonts w:ascii="Times New Roman" w:hAnsi="Times New Roman"/>
          <w:sz w:val="24"/>
          <w:szCs w:val="24"/>
        </w:rPr>
        <w:t>for</w:t>
      </w:r>
      <w:r w:rsidR="00F90281">
        <w:rPr>
          <w:rFonts w:ascii="Times New Roman" w:hAnsi="Times New Roman"/>
          <w:sz w:val="24"/>
          <w:szCs w:val="24"/>
        </w:rPr>
        <w:t xml:space="preserve"> such purchasers. This is because we expect that most of those purchasers </w:t>
      </w:r>
      <w:r w:rsidR="00445360">
        <w:rPr>
          <w:rFonts w:ascii="Times New Roman" w:hAnsi="Times New Roman"/>
          <w:sz w:val="24"/>
          <w:szCs w:val="24"/>
        </w:rPr>
        <w:t>will</w:t>
      </w:r>
      <w:r w:rsidR="00F90281">
        <w:rPr>
          <w:rFonts w:ascii="Times New Roman" w:hAnsi="Times New Roman"/>
          <w:sz w:val="24"/>
          <w:szCs w:val="24"/>
        </w:rPr>
        <w:t xml:space="preserve"> already have an </w:t>
      </w:r>
      <w:r w:rsidR="00393D19">
        <w:rPr>
          <w:rFonts w:ascii="Times New Roman" w:hAnsi="Times New Roman"/>
          <w:sz w:val="24"/>
          <w:szCs w:val="24"/>
        </w:rPr>
        <w:t>IRD</w:t>
      </w:r>
      <w:r w:rsidR="00F90281">
        <w:rPr>
          <w:rFonts w:ascii="Times New Roman" w:hAnsi="Times New Roman"/>
          <w:sz w:val="24"/>
          <w:szCs w:val="24"/>
        </w:rPr>
        <w:t xml:space="preserve"> number. Adding an </w:t>
      </w:r>
      <w:r w:rsidR="00445360">
        <w:rPr>
          <w:rFonts w:ascii="Times New Roman" w:hAnsi="Times New Roman"/>
          <w:sz w:val="24"/>
          <w:szCs w:val="24"/>
        </w:rPr>
        <w:t>exemption</w:t>
      </w:r>
      <w:r w:rsidR="00F90281">
        <w:rPr>
          <w:rFonts w:ascii="Times New Roman" w:hAnsi="Times New Roman"/>
          <w:sz w:val="24"/>
          <w:szCs w:val="24"/>
        </w:rPr>
        <w:t xml:space="preserve"> also makes the rules more complicated as purchasers and </w:t>
      </w:r>
      <w:proofErr w:type="spellStart"/>
      <w:r w:rsidR="00F90281">
        <w:rPr>
          <w:rFonts w:ascii="Times New Roman" w:hAnsi="Times New Roman"/>
          <w:sz w:val="24"/>
          <w:szCs w:val="24"/>
        </w:rPr>
        <w:t>conveyancers</w:t>
      </w:r>
      <w:proofErr w:type="spellEnd"/>
      <w:r w:rsidR="00F90281">
        <w:rPr>
          <w:rFonts w:ascii="Times New Roman" w:hAnsi="Times New Roman"/>
          <w:sz w:val="24"/>
          <w:szCs w:val="24"/>
        </w:rPr>
        <w:t xml:space="preserve"> would also need to consider another rule.</w:t>
      </w:r>
    </w:p>
    <w:p w:rsidR="00326ABE" w:rsidRPr="00326ABE" w:rsidRDefault="00F90281" w:rsidP="00E93EFB">
      <w:pPr>
        <w:ind w:right="170"/>
        <w:jc w:val="both"/>
        <w:rPr>
          <w:rFonts w:ascii="Times New Roman" w:hAnsi="Times New Roman"/>
          <w:sz w:val="24"/>
          <w:szCs w:val="24"/>
        </w:rPr>
      </w:pPr>
      <w:r>
        <w:rPr>
          <w:rFonts w:ascii="Times New Roman" w:hAnsi="Times New Roman"/>
          <w:sz w:val="24"/>
          <w:szCs w:val="24"/>
        </w:rPr>
        <w:t>Further, we have concerns that the benefits of collecting the information will be reduced under option 3</w:t>
      </w:r>
      <w:r w:rsidR="00802657">
        <w:rPr>
          <w:rFonts w:ascii="Times New Roman" w:hAnsi="Times New Roman"/>
          <w:sz w:val="24"/>
          <w:szCs w:val="24"/>
        </w:rPr>
        <w:t xml:space="preserve"> compared to option 2</w:t>
      </w:r>
      <w:r>
        <w:rPr>
          <w:rFonts w:ascii="Times New Roman" w:hAnsi="Times New Roman"/>
          <w:sz w:val="24"/>
          <w:szCs w:val="24"/>
        </w:rPr>
        <w:t xml:space="preserve">. </w:t>
      </w:r>
      <w:r w:rsidR="00802657">
        <w:rPr>
          <w:rFonts w:ascii="Times New Roman" w:hAnsi="Times New Roman"/>
          <w:sz w:val="24"/>
          <w:szCs w:val="24"/>
        </w:rPr>
        <w:t>For example, s</w:t>
      </w:r>
      <w:r>
        <w:rPr>
          <w:rFonts w:ascii="Times New Roman" w:hAnsi="Times New Roman"/>
          <w:sz w:val="24"/>
          <w:szCs w:val="24"/>
        </w:rPr>
        <w:t xml:space="preserve">ome individuals who are purchasing their main home </w:t>
      </w:r>
      <w:r w:rsidR="00802657">
        <w:rPr>
          <w:rFonts w:ascii="Times New Roman" w:hAnsi="Times New Roman"/>
          <w:sz w:val="24"/>
          <w:szCs w:val="24"/>
        </w:rPr>
        <w:t>could</w:t>
      </w:r>
      <w:r>
        <w:rPr>
          <w:rFonts w:ascii="Times New Roman" w:hAnsi="Times New Roman"/>
          <w:sz w:val="24"/>
          <w:szCs w:val="24"/>
        </w:rPr>
        <w:t xml:space="preserve"> still be subject to tax if</w:t>
      </w:r>
      <w:r w:rsidR="00802657">
        <w:rPr>
          <w:rFonts w:ascii="Times New Roman" w:hAnsi="Times New Roman"/>
          <w:sz w:val="24"/>
          <w:szCs w:val="24"/>
        </w:rPr>
        <w:t xml:space="preserve"> </w:t>
      </w:r>
      <w:r>
        <w:rPr>
          <w:rFonts w:ascii="Times New Roman" w:hAnsi="Times New Roman"/>
          <w:sz w:val="24"/>
          <w:szCs w:val="24"/>
        </w:rPr>
        <w:t xml:space="preserve">they </w:t>
      </w:r>
      <w:r w:rsidR="00722C43">
        <w:rPr>
          <w:rFonts w:ascii="Times New Roman" w:hAnsi="Times New Roman"/>
          <w:sz w:val="24"/>
          <w:szCs w:val="24"/>
        </w:rPr>
        <w:t>have a regular pattern</w:t>
      </w:r>
      <w:r>
        <w:rPr>
          <w:rFonts w:ascii="Times New Roman" w:hAnsi="Times New Roman"/>
          <w:sz w:val="24"/>
          <w:szCs w:val="24"/>
        </w:rPr>
        <w:t xml:space="preserve"> of buying, improving, and selling their main </w:t>
      </w:r>
      <w:r w:rsidR="00891979">
        <w:rPr>
          <w:rFonts w:ascii="Times New Roman" w:hAnsi="Times New Roman"/>
          <w:sz w:val="24"/>
          <w:szCs w:val="24"/>
        </w:rPr>
        <w:t>home</w:t>
      </w:r>
      <w:r>
        <w:rPr>
          <w:rFonts w:ascii="Times New Roman" w:hAnsi="Times New Roman"/>
          <w:sz w:val="24"/>
          <w:szCs w:val="24"/>
        </w:rPr>
        <w:t xml:space="preserve">. </w:t>
      </w:r>
      <w:r w:rsidR="00891979" w:rsidRPr="00E93EFB">
        <w:rPr>
          <w:rFonts w:ascii="Times New Roman" w:hAnsi="Times New Roman"/>
          <w:sz w:val="24"/>
          <w:szCs w:val="24"/>
        </w:rPr>
        <w:t>Another example is where the owner changes the use of the property (for example, after living in the house as their main home, they move into a different house and use the first house as an investment property, thus deriving a rental income stream from it).</w:t>
      </w:r>
      <w:r w:rsidR="00EC0633">
        <w:rPr>
          <w:rFonts w:ascii="Times New Roman" w:hAnsi="Times New Roman"/>
          <w:sz w:val="24"/>
          <w:szCs w:val="24"/>
        </w:rPr>
        <w:t xml:space="preserve"> </w:t>
      </w:r>
      <w:r w:rsidR="00802657">
        <w:rPr>
          <w:rFonts w:ascii="Times New Roman" w:hAnsi="Times New Roman"/>
          <w:sz w:val="24"/>
          <w:szCs w:val="24"/>
        </w:rPr>
        <w:t>Under option 3 Inland Revenue would not be provided with the information that would help to investigate this.</w:t>
      </w:r>
    </w:p>
    <w:p w:rsidR="00611CDA" w:rsidRDefault="008F24CE" w:rsidP="00E93EFB">
      <w:pPr>
        <w:ind w:right="170"/>
        <w:jc w:val="both"/>
        <w:rPr>
          <w:rFonts w:ascii="Times New Roman" w:hAnsi="Times New Roman"/>
          <w:sz w:val="24"/>
          <w:szCs w:val="24"/>
        </w:rPr>
      </w:pPr>
      <w:r w:rsidRPr="008F24CE">
        <w:rPr>
          <w:rFonts w:ascii="Times New Roman" w:hAnsi="Times New Roman"/>
          <w:sz w:val="24"/>
          <w:szCs w:val="24"/>
        </w:rPr>
        <w:t xml:space="preserve">On balance, Inland Revenue </w:t>
      </w:r>
      <w:r w:rsidR="00445360">
        <w:rPr>
          <w:rFonts w:ascii="Times New Roman" w:hAnsi="Times New Roman"/>
          <w:sz w:val="24"/>
          <w:szCs w:val="24"/>
        </w:rPr>
        <w:t xml:space="preserve">prefers </w:t>
      </w:r>
      <w:r>
        <w:rPr>
          <w:rFonts w:ascii="Times New Roman" w:hAnsi="Times New Roman"/>
          <w:sz w:val="24"/>
          <w:szCs w:val="24"/>
        </w:rPr>
        <w:t>option 2</w:t>
      </w:r>
      <w:r w:rsidR="00326ABE">
        <w:rPr>
          <w:rFonts w:ascii="Times New Roman" w:hAnsi="Times New Roman"/>
          <w:sz w:val="24"/>
          <w:szCs w:val="24"/>
        </w:rPr>
        <w:t>.</w:t>
      </w:r>
    </w:p>
    <w:p w:rsidR="00A057FA" w:rsidRDefault="00D63B22" w:rsidP="00837C6F">
      <w:pPr>
        <w:spacing w:after="0" w:line="240" w:lineRule="auto"/>
        <w:jc w:val="both"/>
        <w:rPr>
          <w:rFonts w:ascii="Times New Roman" w:hAnsi="Times New Roman"/>
          <w:sz w:val="24"/>
          <w:szCs w:val="24"/>
          <w:lang w:val="en-NZ"/>
        </w:rPr>
      </w:pPr>
      <w:r>
        <w:rPr>
          <w:rFonts w:ascii="Times New Roman" w:hAnsi="Times New Roman"/>
          <w:sz w:val="24"/>
          <w:szCs w:val="24"/>
        </w:rPr>
        <w:t xml:space="preserve">Inland Revenue has not consulted with </w:t>
      </w:r>
      <w:r w:rsidR="00561BC0">
        <w:rPr>
          <w:rFonts w:ascii="Times New Roman" w:hAnsi="Times New Roman"/>
          <w:sz w:val="24"/>
          <w:szCs w:val="24"/>
        </w:rPr>
        <w:t xml:space="preserve">sellers and purchasers of real property or their representatives </w:t>
      </w:r>
      <w:r w:rsidR="00D23891">
        <w:rPr>
          <w:rFonts w:ascii="Times New Roman" w:hAnsi="Times New Roman"/>
          <w:sz w:val="24"/>
          <w:szCs w:val="24"/>
        </w:rPr>
        <w:t>on these</w:t>
      </w:r>
      <w:r>
        <w:rPr>
          <w:rFonts w:ascii="Times New Roman" w:hAnsi="Times New Roman"/>
          <w:sz w:val="24"/>
          <w:szCs w:val="24"/>
        </w:rPr>
        <w:t xml:space="preserve"> </w:t>
      </w:r>
      <w:r w:rsidR="002279F8">
        <w:rPr>
          <w:rFonts w:ascii="Times New Roman" w:hAnsi="Times New Roman"/>
          <w:sz w:val="24"/>
          <w:szCs w:val="24"/>
        </w:rPr>
        <w:t xml:space="preserve">options </w:t>
      </w:r>
      <w:r w:rsidR="00611CDA">
        <w:rPr>
          <w:rFonts w:ascii="Times New Roman" w:hAnsi="Times New Roman"/>
          <w:sz w:val="24"/>
          <w:szCs w:val="24"/>
        </w:rPr>
        <w:t>because of</w:t>
      </w:r>
      <w:r w:rsidR="002279F8">
        <w:rPr>
          <w:rFonts w:ascii="Times New Roman" w:hAnsi="Times New Roman"/>
          <w:sz w:val="24"/>
          <w:szCs w:val="24"/>
        </w:rPr>
        <w:t xml:space="preserve"> time constraints. </w:t>
      </w:r>
      <w:r>
        <w:rPr>
          <w:rFonts w:ascii="Times New Roman" w:hAnsi="Times New Roman"/>
          <w:sz w:val="24"/>
          <w:szCs w:val="24"/>
        </w:rPr>
        <w:t>The Treasury</w:t>
      </w:r>
      <w:r w:rsidR="00AE2113">
        <w:rPr>
          <w:rFonts w:ascii="Times New Roman" w:hAnsi="Times New Roman"/>
          <w:sz w:val="24"/>
          <w:szCs w:val="24"/>
        </w:rPr>
        <w:t xml:space="preserve">, </w:t>
      </w:r>
      <w:r w:rsidR="0043247A">
        <w:rPr>
          <w:rFonts w:ascii="Times New Roman" w:hAnsi="Times New Roman"/>
          <w:sz w:val="24"/>
          <w:szCs w:val="24"/>
        </w:rPr>
        <w:t>LINZ</w:t>
      </w:r>
      <w:r w:rsidR="00AE2113">
        <w:rPr>
          <w:rFonts w:ascii="Times New Roman" w:hAnsi="Times New Roman"/>
          <w:sz w:val="24"/>
          <w:szCs w:val="24"/>
        </w:rPr>
        <w:t>, and the Office of the Privacy Commissioner</w:t>
      </w:r>
      <w:r w:rsidR="0043247A">
        <w:rPr>
          <w:rFonts w:ascii="Times New Roman" w:hAnsi="Times New Roman"/>
          <w:sz w:val="24"/>
          <w:szCs w:val="24"/>
        </w:rPr>
        <w:t xml:space="preserve"> </w:t>
      </w:r>
      <w:r>
        <w:rPr>
          <w:rFonts w:ascii="Times New Roman" w:hAnsi="Times New Roman"/>
          <w:sz w:val="24"/>
          <w:szCs w:val="24"/>
        </w:rPr>
        <w:t>w</w:t>
      </w:r>
      <w:r w:rsidR="00445360">
        <w:rPr>
          <w:rFonts w:ascii="Times New Roman" w:hAnsi="Times New Roman"/>
          <w:sz w:val="24"/>
          <w:szCs w:val="24"/>
        </w:rPr>
        <w:t>ere</w:t>
      </w:r>
      <w:r>
        <w:rPr>
          <w:rFonts w:ascii="Times New Roman" w:hAnsi="Times New Roman"/>
          <w:sz w:val="24"/>
          <w:szCs w:val="24"/>
        </w:rPr>
        <w:t xml:space="preserve"> consulted on the policy proposal.</w:t>
      </w:r>
      <w:r w:rsidR="00A057FA">
        <w:rPr>
          <w:rFonts w:ascii="Times New Roman" w:hAnsi="Times New Roman"/>
          <w:sz w:val="24"/>
          <w:szCs w:val="24"/>
        </w:rPr>
        <w:t xml:space="preserve"> LINZ and Inland Revenue will consult on regulations made under the new legislation which will </w:t>
      </w:r>
      <w:r w:rsidR="00A057FA">
        <w:rPr>
          <w:rFonts w:ascii="Times New Roman" w:hAnsi="Times New Roman"/>
          <w:sz w:val="24"/>
          <w:szCs w:val="24"/>
          <w:lang w:val="en-NZ"/>
        </w:rPr>
        <w:t>provide the details of e</w:t>
      </w:r>
      <w:proofErr w:type="spellStart"/>
      <w:r w:rsidR="00A057FA" w:rsidRPr="00263A2D">
        <w:rPr>
          <w:rFonts w:ascii="Times New Roman" w:hAnsi="Times New Roman"/>
          <w:sz w:val="24"/>
          <w:szCs w:val="24"/>
        </w:rPr>
        <w:t>xemptions</w:t>
      </w:r>
      <w:proofErr w:type="spellEnd"/>
      <w:r w:rsidR="00A057FA" w:rsidRPr="00263A2D">
        <w:rPr>
          <w:rFonts w:ascii="Times New Roman" w:hAnsi="Times New Roman"/>
          <w:sz w:val="24"/>
          <w:szCs w:val="24"/>
        </w:rPr>
        <w:t xml:space="preserve"> to the policy</w:t>
      </w:r>
      <w:r w:rsidR="00A057FA">
        <w:rPr>
          <w:rFonts w:ascii="Times New Roman" w:hAnsi="Times New Roman"/>
          <w:sz w:val="24"/>
          <w:szCs w:val="24"/>
        </w:rPr>
        <w:t xml:space="preserve"> (such as the</w:t>
      </w:r>
      <w:r w:rsidR="00A057FA" w:rsidRPr="00263A2D">
        <w:rPr>
          <w:rFonts w:ascii="Times New Roman" w:hAnsi="Times New Roman"/>
          <w:sz w:val="24"/>
          <w:szCs w:val="24"/>
        </w:rPr>
        <w:t xml:space="preserve"> </w:t>
      </w:r>
      <w:r w:rsidR="00A057FA">
        <w:rPr>
          <w:rFonts w:ascii="Times New Roman" w:hAnsi="Times New Roman"/>
          <w:sz w:val="24"/>
          <w:szCs w:val="24"/>
        </w:rPr>
        <w:t xml:space="preserve">main </w:t>
      </w:r>
      <w:r w:rsidR="00891979">
        <w:rPr>
          <w:rFonts w:ascii="Times New Roman" w:hAnsi="Times New Roman"/>
          <w:sz w:val="24"/>
          <w:szCs w:val="24"/>
        </w:rPr>
        <w:t>home</w:t>
      </w:r>
      <w:r w:rsidR="00A057FA">
        <w:rPr>
          <w:rFonts w:ascii="Times New Roman" w:hAnsi="Times New Roman"/>
          <w:sz w:val="24"/>
          <w:szCs w:val="24"/>
        </w:rPr>
        <w:t xml:space="preserve"> under </w:t>
      </w:r>
      <w:r w:rsidR="00A057FA" w:rsidRPr="00263A2D">
        <w:rPr>
          <w:rFonts w:ascii="Times New Roman" w:hAnsi="Times New Roman"/>
          <w:sz w:val="24"/>
          <w:szCs w:val="24"/>
        </w:rPr>
        <w:t>option 3</w:t>
      </w:r>
      <w:r w:rsidR="00A057FA">
        <w:rPr>
          <w:rFonts w:ascii="Times New Roman" w:hAnsi="Times New Roman"/>
          <w:sz w:val="24"/>
          <w:szCs w:val="24"/>
        </w:rPr>
        <w:t>, and classes of land such as Maori freehold land where the compliance costs are likely to be high</w:t>
      </w:r>
      <w:r w:rsidR="00A057FA" w:rsidRPr="00263A2D">
        <w:rPr>
          <w:rFonts w:ascii="Times New Roman" w:hAnsi="Times New Roman"/>
          <w:sz w:val="24"/>
          <w:szCs w:val="24"/>
        </w:rPr>
        <w:t xml:space="preserve">) and to describe </w:t>
      </w:r>
      <w:r w:rsidR="00A057FA">
        <w:rPr>
          <w:rFonts w:ascii="Times New Roman" w:hAnsi="Times New Roman"/>
          <w:sz w:val="24"/>
          <w:szCs w:val="24"/>
        </w:rPr>
        <w:t xml:space="preserve">detailed </w:t>
      </w:r>
      <w:r w:rsidR="00A057FA" w:rsidRPr="00263A2D">
        <w:rPr>
          <w:rFonts w:ascii="Times New Roman" w:hAnsi="Times New Roman"/>
          <w:sz w:val="24"/>
          <w:szCs w:val="24"/>
        </w:rPr>
        <w:t>information</w:t>
      </w:r>
      <w:r w:rsidR="00A057FA">
        <w:rPr>
          <w:rFonts w:ascii="Times New Roman" w:hAnsi="Times New Roman"/>
          <w:sz w:val="24"/>
          <w:szCs w:val="24"/>
        </w:rPr>
        <w:t xml:space="preserve"> to be collected. The design of the policy under these regulations could mitigate some of the compliance costs identified in this Statement.</w:t>
      </w:r>
    </w:p>
    <w:p w:rsidR="00D63B22" w:rsidRDefault="00D63B22">
      <w:pPr>
        <w:pStyle w:val="ListParagraph"/>
        <w:ind w:left="0" w:right="170"/>
        <w:contextualSpacing w:val="0"/>
        <w:rPr>
          <w:rFonts w:ascii="Times New Roman" w:hAnsi="Times New Roman"/>
          <w:sz w:val="24"/>
          <w:szCs w:val="24"/>
        </w:rPr>
      </w:pPr>
    </w:p>
    <w:p w:rsidR="00F7581D" w:rsidRDefault="00D23891">
      <w:pPr>
        <w:pStyle w:val="Text"/>
        <w:spacing w:before="0" w:after="0" w:line="240" w:lineRule="auto"/>
        <w:ind w:right="170"/>
        <w:rPr>
          <w:rFonts w:ascii="Times New Roman" w:hAnsi="Times New Roman"/>
          <w:sz w:val="24"/>
          <w:szCs w:val="24"/>
          <w:lang w:val="en-NZ"/>
        </w:rPr>
      </w:pPr>
      <w:r>
        <w:rPr>
          <w:rFonts w:ascii="Times New Roman" w:hAnsi="Times New Roman"/>
          <w:sz w:val="24"/>
          <w:szCs w:val="24"/>
        </w:rPr>
        <w:t>T</w:t>
      </w:r>
      <w:r w:rsidR="00F7581D">
        <w:rPr>
          <w:rFonts w:ascii="Times New Roman" w:hAnsi="Times New Roman"/>
          <w:sz w:val="24"/>
          <w:szCs w:val="24"/>
        </w:rPr>
        <w:t xml:space="preserve">he options </w:t>
      </w:r>
      <w:r w:rsidR="0005571A">
        <w:rPr>
          <w:rFonts w:ascii="Times New Roman" w:hAnsi="Times New Roman"/>
          <w:sz w:val="24"/>
          <w:szCs w:val="24"/>
        </w:rPr>
        <w:t xml:space="preserve">identified </w:t>
      </w:r>
      <w:r w:rsidR="00F7581D">
        <w:rPr>
          <w:rFonts w:ascii="Times New Roman" w:hAnsi="Times New Roman"/>
          <w:sz w:val="24"/>
          <w:szCs w:val="24"/>
        </w:rPr>
        <w:t xml:space="preserve">would </w:t>
      </w:r>
      <w:r>
        <w:rPr>
          <w:rFonts w:ascii="Times New Roman" w:hAnsi="Times New Roman"/>
          <w:sz w:val="24"/>
          <w:szCs w:val="24"/>
        </w:rPr>
        <w:t xml:space="preserve">not </w:t>
      </w:r>
      <w:r w:rsidR="00F7581D">
        <w:rPr>
          <w:rFonts w:ascii="Times New Roman" w:hAnsi="Times New Roman"/>
          <w:sz w:val="24"/>
          <w:szCs w:val="24"/>
        </w:rPr>
        <w:t xml:space="preserve">impair private property rights or reduce market competition. </w:t>
      </w:r>
      <w:r w:rsidR="00266EDA">
        <w:rPr>
          <w:rFonts w:ascii="Times New Roman" w:hAnsi="Times New Roman"/>
          <w:sz w:val="24"/>
          <w:szCs w:val="24"/>
        </w:rPr>
        <w:t>However</w:t>
      </w:r>
      <w:r w:rsidR="00F7581D">
        <w:rPr>
          <w:rFonts w:ascii="Times New Roman" w:hAnsi="Times New Roman"/>
          <w:sz w:val="24"/>
          <w:szCs w:val="24"/>
        </w:rPr>
        <w:t xml:space="preserve">, </w:t>
      </w:r>
      <w:r w:rsidR="00776FA0">
        <w:rPr>
          <w:rFonts w:ascii="Times New Roman" w:hAnsi="Times New Roman"/>
          <w:sz w:val="24"/>
          <w:szCs w:val="24"/>
        </w:rPr>
        <w:t>w</w:t>
      </w:r>
      <w:r w:rsidR="00776FA0">
        <w:rPr>
          <w:rFonts w:ascii="Times New Roman" w:hAnsi="Times New Roman"/>
          <w:sz w:val="24"/>
          <w:szCs w:val="24"/>
          <w:lang w:val="en-NZ"/>
        </w:rPr>
        <w:t>e</w:t>
      </w:r>
      <w:r w:rsidR="00A366D2">
        <w:rPr>
          <w:rFonts w:ascii="Times New Roman" w:hAnsi="Times New Roman"/>
          <w:sz w:val="24"/>
          <w:szCs w:val="24"/>
          <w:lang w:val="en-NZ"/>
        </w:rPr>
        <w:t xml:space="preserve"> note that </w:t>
      </w:r>
      <w:r w:rsidR="00445360">
        <w:rPr>
          <w:rFonts w:ascii="Times New Roman" w:hAnsi="Times New Roman"/>
          <w:sz w:val="24"/>
          <w:szCs w:val="24"/>
          <w:lang w:val="en-NZ"/>
        </w:rPr>
        <w:t xml:space="preserve">both </w:t>
      </w:r>
      <w:r w:rsidR="00326ABE">
        <w:rPr>
          <w:rFonts w:ascii="Times New Roman" w:hAnsi="Times New Roman"/>
          <w:sz w:val="24"/>
          <w:szCs w:val="24"/>
          <w:lang w:val="en-NZ"/>
        </w:rPr>
        <w:t>options 2 and 3 (</w:t>
      </w:r>
      <w:r w:rsidR="00326ABE">
        <w:rPr>
          <w:rFonts w:ascii="Times New Roman" w:hAnsi="Times New Roman"/>
          <w:sz w:val="24"/>
          <w:szCs w:val="24"/>
        </w:rPr>
        <w:t>requiring</w:t>
      </w:r>
      <w:r w:rsidR="00326ABE" w:rsidRPr="00326ABE">
        <w:rPr>
          <w:rFonts w:ascii="Times New Roman" w:hAnsi="Times New Roman"/>
          <w:sz w:val="24"/>
          <w:szCs w:val="24"/>
        </w:rPr>
        <w:t xml:space="preserve"> </w:t>
      </w:r>
      <w:r w:rsidR="00326ABE">
        <w:rPr>
          <w:rFonts w:ascii="Times New Roman" w:hAnsi="Times New Roman"/>
          <w:sz w:val="24"/>
          <w:szCs w:val="24"/>
        </w:rPr>
        <w:t>IRD numbers and TIN numbers to be provided to LINZ upon sale or purchase) will impose compliance costs on sellers</w:t>
      </w:r>
      <w:r w:rsidR="00445360">
        <w:rPr>
          <w:rFonts w:ascii="Times New Roman" w:hAnsi="Times New Roman"/>
          <w:sz w:val="24"/>
          <w:szCs w:val="24"/>
        </w:rPr>
        <w:t>,</w:t>
      </w:r>
      <w:r w:rsidR="00326ABE">
        <w:rPr>
          <w:rFonts w:ascii="Times New Roman" w:hAnsi="Times New Roman"/>
          <w:sz w:val="24"/>
          <w:szCs w:val="24"/>
        </w:rPr>
        <w:t xml:space="preserve"> purchasers, and </w:t>
      </w:r>
      <w:proofErr w:type="spellStart"/>
      <w:r w:rsidR="00326ABE">
        <w:rPr>
          <w:rFonts w:ascii="Times New Roman" w:hAnsi="Times New Roman"/>
          <w:sz w:val="24"/>
          <w:szCs w:val="24"/>
        </w:rPr>
        <w:t>convey</w:t>
      </w:r>
      <w:r w:rsidR="00A7799D">
        <w:rPr>
          <w:rFonts w:ascii="Times New Roman" w:hAnsi="Times New Roman"/>
          <w:sz w:val="24"/>
          <w:szCs w:val="24"/>
        </w:rPr>
        <w:t>anc</w:t>
      </w:r>
      <w:r w:rsidR="00326ABE">
        <w:rPr>
          <w:rFonts w:ascii="Times New Roman" w:hAnsi="Times New Roman"/>
          <w:sz w:val="24"/>
          <w:szCs w:val="24"/>
        </w:rPr>
        <w:t>ers</w:t>
      </w:r>
      <w:proofErr w:type="spellEnd"/>
      <w:r w:rsidR="00326ABE">
        <w:rPr>
          <w:rFonts w:ascii="Times New Roman" w:hAnsi="Times New Roman"/>
          <w:sz w:val="24"/>
          <w:szCs w:val="24"/>
        </w:rPr>
        <w:t xml:space="preserve">. </w:t>
      </w:r>
    </w:p>
    <w:p w:rsidR="00D86AB1" w:rsidRDefault="00D86AB1">
      <w:pPr>
        <w:pStyle w:val="Text"/>
        <w:spacing w:before="0" w:after="0" w:line="240" w:lineRule="auto"/>
        <w:ind w:right="170"/>
        <w:rPr>
          <w:rFonts w:ascii="Times New Roman" w:hAnsi="Times New Roman"/>
          <w:sz w:val="24"/>
          <w:szCs w:val="24"/>
          <w:lang w:val="en-NZ"/>
        </w:rPr>
      </w:pPr>
    </w:p>
    <w:p w:rsidR="00D86AB1" w:rsidRDefault="00D86AB1" w:rsidP="003F40F7">
      <w:pPr>
        <w:spacing w:after="0" w:line="240" w:lineRule="auto"/>
        <w:jc w:val="both"/>
        <w:rPr>
          <w:rFonts w:ascii="Times New Roman" w:hAnsi="Times New Roman"/>
          <w:sz w:val="24"/>
          <w:szCs w:val="24"/>
        </w:rPr>
      </w:pPr>
    </w:p>
    <w:p w:rsidR="00D86AB1" w:rsidRDefault="00D86AB1" w:rsidP="003F40F7">
      <w:pPr>
        <w:spacing w:after="0" w:line="240" w:lineRule="auto"/>
        <w:jc w:val="both"/>
        <w:rPr>
          <w:rFonts w:ascii="Times New Roman" w:hAnsi="Times New Roman"/>
          <w:sz w:val="24"/>
          <w:szCs w:val="24"/>
        </w:rPr>
      </w:pPr>
    </w:p>
    <w:p w:rsidR="00D86AB1" w:rsidRDefault="00D86AB1"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7E3150" w:rsidRDefault="007E3150" w:rsidP="003F40F7">
      <w:pPr>
        <w:spacing w:after="0" w:line="240" w:lineRule="auto"/>
        <w:jc w:val="both"/>
        <w:rPr>
          <w:rFonts w:ascii="Times New Roman" w:hAnsi="Times New Roman"/>
          <w:sz w:val="24"/>
          <w:szCs w:val="24"/>
        </w:rPr>
      </w:pPr>
    </w:p>
    <w:p w:rsidR="007E3150" w:rsidRDefault="007E3150"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E93EFB" w:rsidRDefault="00E93EFB" w:rsidP="003F40F7">
      <w:pPr>
        <w:spacing w:after="0" w:line="240" w:lineRule="auto"/>
        <w:jc w:val="both"/>
        <w:rPr>
          <w:rFonts w:ascii="Times New Roman" w:hAnsi="Times New Roman"/>
          <w:sz w:val="24"/>
          <w:szCs w:val="24"/>
        </w:rPr>
      </w:pPr>
    </w:p>
    <w:p w:rsidR="00D86AB1" w:rsidRDefault="007E3150" w:rsidP="003F40F7">
      <w:pPr>
        <w:spacing w:after="0" w:line="240" w:lineRule="auto"/>
        <w:jc w:val="both"/>
        <w:rPr>
          <w:rFonts w:ascii="Times New Roman" w:hAnsi="Times New Roman"/>
          <w:sz w:val="24"/>
          <w:szCs w:val="24"/>
        </w:rPr>
      </w:pPr>
      <w:r>
        <w:rPr>
          <w:rFonts w:ascii="Times New Roman" w:hAnsi="Times New Roman"/>
          <w:sz w:val="24"/>
          <w:szCs w:val="24"/>
        </w:rPr>
        <w:t>Emma Grigg</w:t>
      </w:r>
    </w:p>
    <w:p w:rsidR="00D86AB1" w:rsidRDefault="007E3150" w:rsidP="003F40F7">
      <w:pPr>
        <w:spacing w:after="0" w:line="240" w:lineRule="auto"/>
        <w:jc w:val="both"/>
        <w:rPr>
          <w:rFonts w:ascii="Times New Roman" w:hAnsi="Times New Roman"/>
          <w:sz w:val="24"/>
          <w:szCs w:val="24"/>
        </w:rPr>
      </w:pPr>
      <w:r>
        <w:rPr>
          <w:rFonts w:ascii="Times New Roman" w:hAnsi="Times New Roman"/>
          <w:sz w:val="24"/>
          <w:szCs w:val="24"/>
        </w:rPr>
        <w:t>Policy Director,</w:t>
      </w:r>
      <w:r w:rsidR="00D86AB1">
        <w:rPr>
          <w:rFonts w:ascii="Times New Roman" w:hAnsi="Times New Roman"/>
          <w:sz w:val="24"/>
          <w:szCs w:val="24"/>
        </w:rPr>
        <w:t xml:space="preserve"> Policy and Strategy</w:t>
      </w:r>
    </w:p>
    <w:p w:rsidR="00D86AB1" w:rsidRDefault="00D86AB1" w:rsidP="003F40F7">
      <w:pPr>
        <w:spacing w:after="0" w:line="240" w:lineRule="auto"/>
        <w:jc w:val="both"/>
        <w:rPr>
          <w:rFonts w:ascii="Times New Roman" w:hAnsi="Times New Roman"/>
          <w:sz w:val="24"/>
          <w:szCs w:val="24"/>
        </w:rPr>
      </w:pPr>
      <w:r>
        <w:rPr>
          <w:rFonts w:ascii="Times New Roman" w:hAnsi="Times New Roman"/>
          <w:sz w:val="24"/>
          <w:szCs w:val="24"/>
        </w:rPr>
        <w:t>Inland Revenue</w:t>
      </w:r>
    </w:p>
    <w:p w:rsidR="002057D7" w:rsidRDefault="00A7799D" w:rsidP="00E93EFB">
      <w:pPr>
        <w:pStyle w:val="Text"/>
        <w:spacing w:before="0" w:after="0" w:line="240" w:lineRule="auto"/>
        <w:ind w:right="170"/>
        <w:jc w:val="left"/>
      </w:pPr>
      <w:r w:rsidRPr="00E93EFB">
        <w:rPr>
          <w:rFonts w:ascii="Times New Roman" w:hAnsi="Times New Roman"/>
          <w:sz w:val="24"/>
          <w:szCs w:val="24"/>
        </w:rPr>
        <w:t xml:space="preserve">5 </w:t>
      </w:r>
      <w:r w:rsidR="0043247A" w:rsidRPr="00E93EFB">
        <w:rPr>
          <w:rFonts w:ascii="Times New Roman" w:hAnsi="Times New Roman"/>
          <w:sz w:val="24"/>
          <w:szCs w:val="24"/>
        </w:rPr>
        <w:t xml:space="preserve">June </w:t>
      </w:r>
      <w:r w:rsidR="00D86AB1" w:rsidRPr="00E93EFB">
        <w:rPr>
          <w:rFonts w:ascii="Times New Roman" w:hAnsi="Times New Roman"/>
          <w:sz w:val="24"/>
          <w:szCs w:val="24"/>
        </w:rPr>
        <w:t>2015</w:t>
      </w:r>
    </w:p>
    <w:p w:rsidR="00D86AB1" w:rsidRDefault="00D86AB1" w:rsidP="003F40F7">
      <w:pPr>
        <w:spacing w:after="0" w:line="240" w:lineRule="auto"/>
        <w:jc w:val="both"/>
        <w:rPr>
          <w:rFonts w:ascii="Times New Roman" w:hAnsi="Times New Roman"/>
          <w:b/>
          <w:sz w:val="24"/>
          <w:szCs w:val="24"/>
          <w:lang w:val="en-NZ" w:eastAsia="en-US"/>
        </w:rPr>
      </w:pPr>
      <w:r>
        <w:rPr>
          <w:rFonts w:ascii="Times New Roman" w:hAnsi="Times New Roman"/>
          <w:b/>
          <w:sz w:val="24"/>
          <w:szCs w:val="24"/>
        </w:rPr>
        <w:br w:type="page"/>
      </w:r>
    </w:p>
    <w:p w:rsidR="002057D7" w:rsidRPr="00A0416D" w:rsidRDefault="002057D7" w:rsidP="003F40F7">
      <w:pPr>
        <w:pStyle w:val="ListParagraph"/>
        <w:ind w:left="0" w:right="170"/>
        <w:contextualSpacing w:val="0"/>
        <w:rPr>
          <w:rFonts w:ascii="Times New Roman" w:hAnsi="Times New Roman"/>
          <w:b/>
          <w:sz w:val="24"/>
          <w:szCs w:val="24"/>
          <w:lang w:val="en-GB" w:eastAsia="en-GB"/>
        </w:rPr>
      </w:pPr>
      <w:r w:rsidRPr="00A0416D">
        <w:rPr>
          <w:rFonts w:ascii="Times New Roman" w:hAnsi="Times New Roman"/>
          <w:b/>
          <w:sz w:val="24"/>
          <w:szCs w:val="24"/>
          <w:lang w:val="en-GB" w:eastAsia="en-GB"/>
        </w:rPr>
        <w:lastRenderedPageBreak/>
        <w:t xml:space="preserve">Status quo and </w:t>
      </w:r>
      <w:r w:rsidR="003C4AAE">
        <w:rPr>
          <w:rFonts w:ascii="Times New Roman" w:hAnsi="Times New Roman"/>
          <w:b/>
          <w:sz w:val="24"/>
          <w:szCs w:val="24"/>
          <w:lang w:val="en-GB" w:eastAsia="en-GB"/>
        </w:rPr>
        <w:t>p</w:t>
      </w:r>
      <w:r w:rsidRPr="00A0416D">
        <w:rPr>
          <w:rFonts w:ascii="Times New Roman" w:hAnsi="Times New Roman"/>
          <w:b/>
          <w:sz w:val="24"/>
          <w:szCs w:val="24"/>
          <w:lang w:val="en-GB" w:eastAsia="en-GB"/>
        </w:rPr>
        <w:t>roblem definition</w:t>
      </w:r>
    </w:p>
    <w:p w:rsidR="007A57A1" w:rsidRPr="00412CC4" w:rsidRDefault="007A57A1" w:rsidP="003F40F7">
      <w:pPr>
        <w:pStyle w:val="ListParagraph"/>
        <w:ind w:left="0" w:right="170"/>
        <w:contextualSpacing w:val="0"/>
        <w:rPr>
          <w:rFonts w:ascii="Times New Roman" w:hAnsi="Times New Roman"/>
          <w:sz w:val="24"/>
          <w:szCs w:val="24"/>
          <w:lang w:val="en-GB" w:eastAsia="en-GB"/>
        </w:rPr>
      </w:pPr>
    </w:p>
    <w:p w:rsidR="0061740D" w:rsidRDefault="00BE170E" w:rsidP="00ED2CEB">
      <w:pPr>
        <w:spacing w:after="0" w:line="240" w:lineRule="auto"/>
        <w:jc w:val="both"/>
        <w:rPr>
          <w:rFonts w:ascii="Times New Roman" w:hAnsi="Times New Roman"/>
          <w:sz w:val="24"/>
          <w:szCs w:val="24"/>
        </w:rPr>
      </w:pPr>
      <w:r w:rsidRPr="00BE170E">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sidRPr="00412CC4">
        <w:rPr>
          <w:rFonts w:ascii="Times New Roman" w:hAnsi="Times New Roman"/>
          <w:sz w:val="24"/>
          <w:szCs w:val="24"/>
        </w:rPr>
        <w:tab/>
      </w:r>
      <w:r w:rsidR="00F0301C">
        <w:rPr>
          <w:rFonts w:ascii="Times New Roman" w:hAnsi="Times New Roman"/>
          <w:sz w:val="24"/>
          <w:szCs w:val="24"/>
        </w:rPr>
        <w:t xml:space="preserve">The Income Tax Act 2007 </w:t>
      </w:r>
      <w:r w:rsidR="00445360">
        <w:rPr>
          <w:rFonts w:ascii="Times New Roman" w:hAnsi="Times New Roman"/>
          <w:sz w:val="24"/>
          <w:szCs w:val="24"/>
        </w:rPr>
        <w:t xml:space="preserve">(the ITA 2007) </w:t>
      </w:r>
      <w:r w:rsidR="00F0301C">
        <w:rPr>
          <w:rFonts w:ascii="Times New Roman" w:hAnsi="Times New Roman"/>
          <w:sz w:val="24"/>
          <w:szCs w:val="24"/>
        </w:rPr>
        <w:t xml:space="preserve">contains provisions that impose income tax on </w:t>
      </w:r>
      <w:r w:rsidR="004C4CFE">
        <w:rPr>
          <w:rFonts w:ascii="Times New Roman" w:hAnsi="Times New Roman"/>
          <w:sz w:val="24"/>
          <w:szCs w:val="24"/>
        </w:rPr>
        <w:t xml:space="preserve">certain </w:t>
      </w:r>
      <w:r w:rsidR="00F0301C">
        <w:rPr>
          <w:rFonts w:ascii="Times New Roman" w:hAnsi="Times New Roman"/>
          <w:sz w:val="24"/>
          <w:szCs w:val="24"/>
        </w:rPr>
        <w:t>property transactions</w:t>
      </w:r>
      <w:r w:rsidR="00EC0633">
        <w:rPr>
          <w:rFonts w:ascii="Times New Roman" w:hAnsi="Times New Roman"/>
          <w:sz w:val="24"/>
          <w:szCs w:val="24"/>
        </w:rPr>
        <w:t>, and also on rental income earned from property</w:t>
      </w:r>
      <w:r w:rsidR="00F0301C">
        <w:rPr>
          <w:rFonts w:ascii="Times New Roman" w:hAnsi="Times New Roman"/>
          <w:sz w:val="24"/>
          <w:szCs w:val="24"/>
        </w:rPr>
        <w:t xml:space="preserve">. Examples </w:t>
      </w:r>
      <w:r w:rsidR="00EC0633">
        <w:rPr>
          <w:rFonts w:ascii="Times New Roman" w:hAnsi="Times New Roman"/>
          <w:sz w:val="24"/>
          <w:szCs w:val="24"/>
        </w:rPr>
        <w:t xml:space="preserve">of income tax provisions relating to certain property transactions </w:t>
      </w:r>
      <w:r w:rsidR="00F0301C">
        <w:rPr>
          <w:rFonts w:ascii="Times New Roman" w:hAnsi="Times New Roman"/>
          <w:sz w:val="24"/>
          <w:szCs w:val="24"/>
        </w:rPr>
        <w:t xml:space="preserve">are section CB 6, which taxes land </w:t>
      </w:r>
      <w:r w:rsidR="00E93EFB">
        <w:rPr>
          <w:rFonts w:ascii="Times New Roman" w:hAnsi="Times New Roman"/>
          <w:sz w:val="24"/>
          <w:szCs w:val="24"/>
        </w:rPr>
        <w:t>purchased</w:t>
      </w:r>
      <w:r w:rsidR="00F0301C">
        <w:rPr>
          <w:rFonts w:ascii="Times New Roman" w:hAnsi="Times New Roman"/>
          <w:sz w:val="24"/>
          <w:szCs w:val="24"/>
        </w:rPr>
        <w:t xml:space="preserve"> with the intention of disposal and section CB 7, which taxes land acquired for the purposes of a business dealing in land. However, although the </w:t>
      </w:r>
      <w:r w:rsidR="00445360">
        <w:rPr>
          <w:rFonts w:ascii="Times New Roman" w:hAnsi="Times New Roman"/>
          <w:sz w:val="24"/>
          <w:szCs w:val="24"/>
        </w:rPr>
        <w:t>ITA 2007</w:t>
      </w:r>
      <w:r w:rsidR="00F0301C">
        <w:rPr>
          <w:rFonts w:ascii="Times New Roman" w:hAnsi="Times New Roman"/>
          <w:sz w:val="24"/>
          <w:szCs w:val="24"/>
        </w:rPr>
        <w:t xml:space="preserve"> creates these obligations, the Government is concerned that compliance with these provisions </w:t>
      </w:r>
      <w:r w:rsidR="00EC0633">
        <w:rPr>
          <w:rFonts w:ascii="Times New Roman" w:hAnsi="Times New Roman"/>
          <w:sz w:val="24"/>
          <w:szCs w:val="24"/>
        </w:rPr>
        <w:t xml:space="preserve">may be </w:t>
      </w:r>
      <w:r w:rsidR="00F0301C">
        <w:rPr>
          <w:rFonts w:ascii="Times New Roman" w:hAnsi="Times New Roman"/>
          <w:sz w:val="24"/>
          <w:szCs w:val="24"/>
        </w:rPr>
        <w:t>relatively low.</w:t>
      </w:r>
    </w:p>
    <w:p w:rsidR="007170D7" w:rsidRDefault="007170D7" w:rsidP="00ED2CEB">
      <w:pPr>
        <w:spacing w:after="0" w:line="240" w:lineRule="auto"/>
        <w:jc w:val="both"/>
        <w:rPr>
          <w:rFonts w:ascii="Times New Roman" w:hAnsi="Times New Roman"/>
          <w:sz w:val="24"/>
          <w:szCs w:val="24"/>
        </w:rPr>
      </w:pPr>
    </w:p>
    <w:p w:rsidR="007170D7" w:rsidRDefault="00EC0633" w:rsidP="00ED2CEB">
      <w:pPr>
        <w:spacing w:after="0" w:line="240" w:lineRule="auto"/>
        <w:jc w:val="both"/>
        <w:rPr>
          <w:rFonts w:ascii="Times New Roman" w:hAnsi="Times New Roman"/>
          <w:sz w:val="24"/>
          <w:szCs w:val="24"/>
        </w:rPr>
      </w:pPr>
      <w:r>
        <w:rPr>
          <w:rFonts w:ascii="Times New Roman" w:hAnsi="Times New Roman"/>
          <w:sz w:val="24"/>
          <w:szCs w:val="24"/>
        </w:rPr>
        <w:t>2.</w:t>
      </w:r>
      <w:r w:rsidR="007305E5" w:rsidRPr="00412CC4">
        <w:rPr>
          <w:rFonts w:ascii="Times New Roman" w:hAnsi="Times New Roman"/>
          <w:sz w:val="24"/>
          <w:szCs w:val="24"/>
        </w:rPr>
        <w:tab/>
      </w:r>
      <w:r w:rsidR="004C4CFE">
        <w:rPr>
          <w:rFonts w:ascii="Times New Roman" w:hAnsi="Times New Roman"/>
          <w:sz w:val="24"/>
          <w:szCs w:val="24"/>
        </w:rPr>
        <w:t xml:space="preserve">In order to investigate compliance with the </w:t>
      </w:r>
      <w:r>
        <w:rPr>
          <w:rFonts w:ascii="Times New Roman" w:hAnsi="Times New Roman"/>
          <w:sz w:val="24"/>
          <w:szCs w:val="24"/>
        </w:rPr>
        <w:t>ITA 2007</w:t>
      </w:r>
      <w:r w:rsidR="004C4CFE">
        <w:rPr>
          <w:rFonts w:ascii="Times New Roman" w:hAnsi="Times New Roman"/>
          <w:sz w:val="24"/>
          <w:szCs w:val="24"/>
        </w:rPr>
        <w:t xml:space="preserve"> provisions, </w:t>
      </w:r>
      <w:r w:rsidR="007170D7">
        <w:rPr>
          <w:rFonts w:ascii="Times New Roman" w:hAnsi="Times New Roman"/>
          <w:sz w:val="24"/>
          <w:szCs w:val="24"/>
        </w:rPr>
        <w:t>Inland Revenue does have the capacity to access records o</w:t>
      </w:r>
      <w:r w:rsidR="004C4CFE">
        <w:rPr>
          <w:rFonts w:ascii="Times New Roman" w:hAnsi="Times New Roman"/>
          <w:sz w:val="24"/>
          <w:szCs w:val="24"/>
        </w:rPr>
        <w:t>f land transfers in New Zealand -</w:t>
      </w:r>
      <w:r w:rsidR="007170D7">
        <w:rPr>
          <w:rFonts w:ascii="Times New Roman" w:hAnsi="Times New Roman"/>
          <w:sz w:val="24"/>
          <w:szCs w:val="24"/>
        </w:rPr>
        <w:t xml:space="preserve"> but this process is </w:t>
      </w:r>
      <w:r w:rsidR="008E0C21">
        <w:rPr>
          <w:rFonts w:ascii="Times New Roman" w:hAnsi="Times New Roman"/>
          <w:sz w:val="24"/>
          <w:szCs w:val="24"/>
        </w:rPr>
        <w:t xml:space="preserve">historic, rather than </w:t>
      </w:r>
      <w:r w:rsidR="00166AD0">
        <w:rPr>
          <w:rFonts w:ascii="Times New Roman" w:hAnsi="Times New Roman"/>
          <w:sz w:val="24"/>
          <w:szCs w:val="24"/>
        </w:rPr>
        <w:t xml:space="preserve">in </w:t>
      </w:r>
      <w:r w:rsidR="008E0C21">
        <w:rPr>
          <w:rFonts w:ascii="Times New Roman" w:hAnsi="Times New Roman"/>
          <w:sz w:val="24"/>
          <w:szCs w:val="24"/>
        </w:rPr>
        <w:t>real</w:t>
      </w:r>
      <w:r w:rsidR="00166AD0">
        <w:rPr>
          <w:rFonts w:ascii="Times New Roman" w:hAnsi="Times New Roman"/>
          <w:sz w:val="24"/>
          <w:szCs w:val="24"/>
        </w:rPr>
        <w:t>-</w:t>
      </w:r>
      <w:r w:rsidR="008E0C21">
        <w:rPr>
          <w:rFonts w:ascii="Times New Roman" w:hAnsi="Times New Roman"/>
          <w:sz w:val="24"/>
          <w:szCs w:val="24"/>
        </w:rPr>
        <w:t xml:space="preserve">time. Information received may also, depending on the nature of the request, not give a complete picture of the activities of a particular taxpayer. </w:t>
      </w:r>
    </w:p>
    <w:p w:rsidR="001908C3" w:rsidRDefault="001908C3" w:rsidP="00ED2CEB">
      <w:pPr>
        <w:spacing w:after="0" w:line="240" w:lineRule="auto"/>
        <w:jc w:val="both"/>
        <w:rPr>
          <w:rFonts w:ascii="Times New Roman" w:hAnsi="Times New Roman"/>
          <w:sz w:val="24"/>
          <w:szCs w:val="24"/>
        </w:rPr>
      </w:pPr>
    </w:p>
    <w:p w:rsidR="003C4AAE" w:rsidRPr="00E4232F" w:rsidRDefault="007305E5" w:rsidP="00ED2CEB">
      <w:pPr>
        <w:spacing w:after="0" w:line="240" w:lineRule="auto"/>
        <w:jc w:val="both"/>
      </w:pPr>
      <w:r w:rsidRPr="00BE170E">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sidRPr="00412CC4">
        <w:rPr>
          <w:rFonts w:ascii="Times New Roman" w:hAnsi="Times New Roman"/>
          <w:sz w:val="24"/>
          <w:szCs w:val="24"/>
        </w:rPr>
        <w:tab/>
      </w:r>
      <w:r w:rsidR="001908C3">
        <w:rPr>
          <w:rFonts w:ascii="Times New Roman" w:hAnsi="Times New Roman"/>
          <w:sz w:val="24"/>
          <w:szCs w:val="24"/>
        </w:rPr>
        <w:t xml:space="preserve">Further, the Government considers that compliance by non-residents might be particularly low. This may come about as a result of ignorance of the tax rules.  However, it is recognised that enforcing tax rules on non-residents is </w:t>
      </w:r>
      <w:r w:rsidR="003C4AAE">
        <w:rPr>
          <w:rFonts w:ascii="Times New Roman" w:hAnsi="Times New Roman"/>
          <w:sz w:val="24"/>
          <w:szCs w:val="24"/>
        </w:rPr>
        <w:t>very</w:t>
      </w:r>
      <w:r w:rsidR="001908C3">
        <w:rPr>
          <w:rFonts w:ascii="Times New Roman" w:hAnsi="Times New Roman"/>
          <w:sz w:val="24"/>
          <w:szCs w:val="24"/>
        </w:rPr>
        <w:t xml:space="preserve"> difficult, especially those with only limited involvement with New Zealand.  </w:t>
      </w:r>
      <w:r w:rsidR="00334AE3">
        <w:rPr>
          <w:rFonts w:ascii="Times New Roman" w:hAnsi="Times New Roman"/>
          <w:sz w:val="24"/>
          <w:szCs w:val="24"/>
        </w:rPr>
        <w:t xml:space="preserve">The fact that Inland Revenue </w:t>
      </w:r>
      <w:r w:rsidR="005446F0">
        <w:rPr>
          <w:rFonts w:ascii="Times New Roman" w:hAnsi="Times New Roman"/>
          <w:sz w:val="24"/>
          <w:szCs w:val="24"/>
        </w:rPr>
        <w:t>does not have the data involving</w:t>
      </w:r>
      <w:r w:rsidR="00334AE3">
        <w:rPr>
          <w:rFonts w:ascii="Times New Roman" w:hAnsi="Times New Roman"/>
          <w:sz w:val="24"/>
          <w:szCs w:val="24"/>
        </w:rPr>
        <w:t xml:space="preserve"> certain transactions means that the scope of the problem is not able to be quantified.</w:t>
      </w:r>
    </w:p>
    <w:p w:rsidR="001908C3" w:rsidRPr="003C4AAE" w:rsidRDefault="001908C3" w:rsidP="00ED2CEB">
      <w:pPr>
        <w:pStyle w:val="ListParagraph"/>
        <w:ind w:left="927"/>
        <w:rPr>
          <w:rFonts w:ascii="Times New Roman" w:hAnsi="Times New Roman"/>
          <w:sz w:val="24"/>
          <w:szCs w:val="24"/>
        </w:rPr>
      </w:pPr>
    </w:p>
    <w:p w:rsidR="00A057FA" w:rsidRDefault="007305E5" w:rsidP="00ED2CEB">
      <w:pPr>
        <w:spacing w:after="0" w:line="240" w:lineRule="auto"/>
        <w:jc w:val="both"/>
        <w:rPr>
          <w:rFonts w:ascii="Times New Roman" w:hAnsi="Times New Roman"/>
          <w:sz w:val="24"/>
          <w:szCs w:val="24"/>
        </w:rPr>
      </w:pPr>
      <w:r w:rsidRPr="00BE170E">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sidRPr="00412CC4">
        <w:rPr>
          <w:rFonts w:ascii="Times New Roman" w:hAnsi="Times New Roman"/>
          <w:sz w:val="24"/>
          <w:szCs w:val="24"/>
        </w:rPr>
        <w:tab/>
      </w:r>
      <w:r w:rsidR="00F0301C">
        <w:rPr>
          <w:rFonts w:ascii="Times New Roman" w:hAnsi="Times New Roman"/>
          <w:sz w:val="24"/>
          <w:szCs w:val="24"/>
        </w:rPr>
        <w:t>To address these concerns, Budget 2015 is introducing a suite of measures aimed at providing clearer rules and providing more useful information to Inland Revenue to assist in its enforcement of the rules</w:t>
      </w:r>
      <w:r w:rsidR="003C4AAE">
        <w:rPr>
          <w:rFonts w:ascii="Times New Roman" w:hAnsi="Times New Roman"/>
          <w:sz w:val="24"/>
          <w:szCs w:val="24"/>
        </w:rPr>
        <w:t>, including increased funding to Inland Revenue to investigate property compliance</w:t>
      </w:r>
      <w:r w:rsidR="00F0301C">
        <w:rPr>
          <w:rFonts w:ascii="Times New Roman" w:hAnsi="Times New Roman"/>
          <w:sz w:val="24"/>
          <w:szCs w:val="24"/>
        </w:rPr>
        <w:t>.  The main legislative change is the introduction of a “</w:t>
      </w:r>
      <w:proofErr w:type="spellStart"/>
      <w:r w:rsidR="00F0301C">
        <w:rPr>
          <w:rFonts w:ascii="Times New Roman" w:hAnsi="Times New Roman"/>
          <w:sz w:val="24"/>
          <w:szCs w:val="24"/>
        </w:rPr>
        <w:t>brightline</w:t>
      </w:r>
      <w:proofErr w:type="spellEnd"/>
      <w:r w:rsidR="00F0301C">
        <w:rPr>
          <w:rFonts w:ascii="Times New Roman" w:hAnsi="Times New Roman"/>
          <w:sz w:val="24"/>
          <w:szCs w:val="24"/>
        </w:rPr>
        <w:t xml:space="preserve">” test that will, in general terms, make the disposal of </w:t>
      </w:r>
      <w:r w:rsidR="00EC0633">
        <w:rPr>
          <w:rFonts w:ascii="Times New Roman" w:hAnsi="Times New Roman"/>
          <w:sz w:val="24"/>
          <w:szCs w:val="24"/>
        </w:rPr>
        <w:t>residential property</w:t>
      </w:r>
      <w:r w:rsidR="00F0301C">
        <w:rPr>
          <w:rFonts w:ascii="Times New Roman" w:hAnsi="Times New Roman"/>
          <w:sz w:val="24"/>
          <w:szCs w:val="24"/>
        </w:rPr>
        <w:t xml:space="preserve"> taxable if the property is bought and sold within a two-year window (subject to certain exemptions, such as if the property was the person’s </w:t>
      </w:r>
      <w:r w:rsidR="00891979">
        <w:rPr>
          <w:rFonts w:ascii="Times New Roman" w:hAnsi="Times New Roman"/>
          <w:sz w:val="24"/>
          <w:szCs w:val="24"/>
        </w:rPr>
        <w:t>main home</w:t>
      </w:r>
      <w:r w:rsidR="00F0301C">
        <w:rPr>
          <w:rFonts w:ascii="Times New Roman" w:hAnsi="Times New Roman"/>
          <w:sz w:val="24"/>
          <w:szCs w:val="24"/>
        </w:rPr>
        <w:t xml:space="preserve">).  </w:t>
      </w:r>
      <w:r w:rsidR="00A057FA">
        <w:rPr>
          <w:rFonts w:ascii="Times New Roman" w:hAnsi="Times New Roman"/>
          <w:sz w:val="24"/>
          <w:szCs w:val="24"/>
        </w:rPr>
        <w:t>This change is expected to apply from 1 October 2015.</w:t>
      </w:r>
    </w:p>
    <w:p w:rsidR="00F0301C" w:rsidRDefault="00F0301C" w:rsidP="00ED2CEB">
      <w:pPr>
        <w:spacing w:after="0" w:line="240" w:lineRule="auto"/>
        <w:jc w:val="both"/>
        <w:rPr>
          <w:rFonts w:ascii="Times New Roman" w:hAnsi="Times New Roman"/>
          <w:sz w:val="24"/>
          <w:szCs w:val="24"/>
        </w:rPr>
      </w:pPr>
    </w:p>
    <w:p w:rsidR="007170D7" w:rsidRDefault="007305E5" w:rsidP="00ED2CEB">
      <w:pPr>
        <w:spacing w:after="0" w:line="240" w:lineRule="auto"/>
        <w:jc w:val="both"/>
        <w:rPr>
          <w:rFonts w:ascii="Times New Roman" w:hAnsi="Times New Roman"/>
          <w:sz w:val="24"/>
          <w:szCs w:val="24"/>
        </w:rPr>
      </w:pPr>
      <w:r w:rsidRPr="00BE170E">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sidRPr="00412CC4">
        <w:rPr>
          <w:rFonts w:ascii="Times New Roman" w:hAnsi="Times New Roman"/>
          <w:sz w:val="24"/>
          <w:szCs w:val="24"/>
        </w:rPr>
        <w:tab/>
      </w:r>
      <w:r w:rsidR="003C4AAE">
        <w:rPr>
          <w:rFonts w:ascii="Times New Roman" w:hAnsi="Times New Roman"/>
          <w:sz w:val="24"/>
          <w:szCs w:val="24"/>
        </w:rPr>
        <w:t>In order to improve</w:t>
      </w:r>
      <w:r w:rsidR="007170D7">
        <w:rPr>
          <w:rFonts w:ascii="Times New Roman" w:hAnsi="Times New Roman"/>
          <w:sz w:val="24"/>
          <w:szCs w:val="24"/>
        </w:rPr>
        <w:t xml:space="preserve"> Inland Revenue</w:t>
      </w:r>
      <w:r w:rsidR="003C4AAE">
        <w:rPr>
          <w:rFonts w:ascii="Times New Roman" w:hAnsi="Times New Roman"/>
          <w:sz w:val="24"/>
          <w:szCs w:val="24"/>
        </w:rPr>
        <w:t>’s ability</w:t>
      </w:r>
      <w:r w:rsidR="007170D7">
        <w:rPr>
          <w:rFonts w:ascii="Times New Roman" w:hAnsi="Times New Roman"/>
          <w:sz w:val="24"/>
          <w:szCs w:val="24"/>
        </w:rPr>
        <w:t xml:space="preserve"> to enforce tax laws</w:t>
      </w:r>
      <w:r w:rsidR="00A057FA">
        <w:rPr>
          <w:rFonts w:ascii="Times New Roman" w:hAnsi="Times New Roman"/>
          <w:sz w:val="24"/>
          <w:szCs w:val="24"/>
        </w:rPr>
        <w:t xml:space="preserve">, including the proposed </w:t>
      </w:r>
      <w:proofErr w:type="spellStart"/>
      <w:r w:rsidR="00A057FA">
        <w:rPr>
          <w:rFonts w:ascii="Times New Roman" w:hAnsi="Times New Roman"/>
          <w:sz w:val="24"/>
          <w:szCs w:val="24"/>
        </w:rPr>
        <w:t>brightline</w:t>
      </w:r>
      <w:proofErr w:type="spellEnd"/>
      <w:r w:rsidR="00A057FA">
        <w:rPr>
          <w:rFonts w:ascii="Times New Roman" w:hAnsi="Times New Roman"/>
          <w:sz w:val="24"/>
          <w:szCs w:val="24"/>
        </w:rPr>
        <w:t xml:space="preserve"> rules</w:t>
      </w:r>
      <w:r w:rsidR="007170D7">
        <w:rPr>
          <w:rFonts w:ascii="Times New Roman" w:hAnsi="Times New Roman"/>
          <w:sz w:val="24"/>
          <w:szCs w:val="24"/>
        </w:rPr>
        <w:t>, two changes are expected:</w:t>
      </w:r>
    </w:p>
    <w:p w:rsidR="005F7158" w:rsidRDefault="005F7158" w:rsidP="00ED2CEB">
      <w:pPr>
        <w:spacing w:after="0" w:line="240" w:lineRule="auto"/>
        <w:jc w:val="both"/>
        <w:rPr>
          <w:rFonts w:ascii="Times New Roman" w:hAnsi="Times New Roman"/>
          <w:sz w:val="24"/>
          <w:szCs w:val="24"/>
        </w:rPr>
      </w:pPr>
    </w:p>
    <w:p w:rsidR="001A0A7A" w:rsidRDefault="007170D7" w:rsidP="00ED2CEB">
      <w:pPr>
        <w:pStyle w:val="ListParagraph"/>
        <w:numPr>
          <w:ilvl w:val="0"/>
          <w:numId w:val="30"/>
        </w:numPr>
        <w:ind w:right="170"/>
        <w:contextualSpacing w:val="0"/>
        <w:rPr>
          <w:rFonts w:ascii="Times New Roman" w:hAnsi="Times New Roman"/>
          <w:sz w:val="24"/>
          <w:szCs w:val="24"/>
        </w:rPr>
      </w:pPr>
      <w:r w:rsidRPr="001A0A7A">
        <w:rPr>
          <w:rFonts w:ascii="Times New Roman" w:hAnsi="Times New Roman"/>
          <w:sz w:val="24"/>
          <w:szCs w:val="24"/>
        </w:rPr>
        <w:t>Vendors and purchasers will be required to provide their IRD numbers (</w:t>
      </w:r>
      <w:r w:rsidR="001A0A7A">
        <w:rPr>
          <w:rFonts w:ascii="Times New Roman" w:hAnsi="Times New Roman"/>
          <w:sz w:val="24"/>
          <w:szCs w:val="24"/>
        </w:rPr>
        <w:t xml:space="preserve">and, if they are also </w:t>
      </w:r>
      <w:r w:rsidR="00ED2CEB">
        <w:rPr>
          <w:rFonts w:ascii="Times New Roman" w:hAnsi="Times New Roman"/>
          <w:sz w:val="24"/>
          <w:szCs w:val="24"/>
        </w:rPr>
        <w:t xml:space="preserve">resident in another jurisdiction for tax purposes </w:t>
      </w:r>
      <w:r w:rsidR="001A0A7A">
        <w:rPr>
          <w:rFonts w:ascii="Times New Roman" w:hAnsi="Times New Roman"/>
          <w:sz w:val="24"/>
          <w:szCs w:val="24"/>
        </w:rPr>
        <w:t>for tax purposes</w:t>
      </w:r>
      <w:r w:rsidRPr="001A0A7A">
        <w:rPr>
          <w:rFonts w:ascii="Times New Roman" w:hAnsi="Times New Roman"/>
          <w:sz w:val="24"/>
          <w:szCs w:val="24"/>
        </w:rPr>
        <w:t xml:space="preserve">, their foreign </w:t>
      </w:r>
      <w:r w:rsidR="00445360">
        <w:rPr>
          <w:rFonts w:ascii="Times New Roman" w:hAnsi="Times New Roman"/>
          <w:sz w:val="24"/>
          <w:szCs w:val="24"/>
        </w:rPr>
        <w:t>TIN</w:t>
      </w:r>
      <w:r w:rsidRPr="001A0A7A">
        <w:rPr>
          <w:rFonts w:ascii="Times New Roman" w:hAnsi="Times New Roman"/>
          <w:sz w:val="24"/>
          <w:szCs w:val="24"/>
        </w:rPr>
        <w:t xml:space="preserve">) at the time of transfer.  This information will be provided to LINZ as part of the transfer documentation and then forwarded to Inland Revenue.  </w:t>
      </w:r>
      <w:r w:rsidR="002D4B78">
        <w:rPr>
          <w:rFonts w:ascii="Times New Roman" w:hAnsi="Times New Roman"/>
          <w:sz w:val="24"/>
          <w:szCs w:val="24"/>
        </w:rPr>
        <w:t>A</w:t>
      </w:r>
      <w:r w:rsidRPr="001A0A7A">
        <w:rPr>
          <w:rFonts w:ascii="Times New Roman" w:hAnsi="Times New Roman"/>
          <w:sz w:val="24"/>
          <w:szCs w:val="24"/>
        </w:rPr>
        <w:t>ll parties to a land transaction will be expected to have an IRD number, even if they are non-resident</w:t>
      </w:r>
      <w:r w:rsidR="00AE2113">
        <w:rPr>
          <w:rFonts w:ascii="Times New Roman" w:hAnsi="Times New Roman"/>
          <w:sz w:val="24"/>
          <w:szCs w:val="24"/>
        </w:rPr>
        <w:t>.  Thus, non-residents intending to buy or sell New Zealand property will need to obtain an IRD number before they can finalise their property transaction</w:t>
      </w:r>
      <w:r w:rsidR="00ED2CEB">
        <w:rPr>
          <w:rFonts w:ascii="Times New Roman" w:hAnsi="Times New Roman"/>
          <w:sz w:val="24"/>
          <w:szCs w:val="24"/>
        </w:rPr>
        <w:t xml:space="preserve">. </w:t>
      </w:r>
      <w:r w:rsidR="001C754C">
        <w:rPr>
          <w:rFonts w:ascii="Times New Roman" w:hAnsi="Times New Roman"/>
          <w:sz w:val="24"/>
          <w:szCs w:val="24"/>
        </w:rPr>
        <w:t xml:space="preserve">The Government proposes that </w:t>
      </w:r>
      <w:r w:rsidR="001A0A7A" w:rsidRPr="001A0A7A">
        <w:rPr>
          <w:rFonts w:ascii="Times New Roman" w:hAnsi="Times New Roman"/>
          <w:sz w:val="24"/>
          <w:szCs w:val="24"/>
        </w:rPr>
        <w:t xml:space="preserve">those who are purchasing a property with the intention of that property becoming their main </w:t>
      </w:r>
      <w:r w:rsidR="00EC0633">
        <w:rPr>
          <w:rFonts w:ascii="Times New Roman" w:hAnsi="Times New Roman"/>
          <w:sz w:val="24"/>
          <w:szCs w:val="24"/>
        </w:rPr>
        <w:t>home</w:t>
      </w:r>
      <w:r w:rsidR="001A0A7A" w:rsidRPr="001A0A7A">
        <w:rPr>
          <w:rFonts w:ascii="Times New Roman" w:hAnsi="Times New Roman"/>
          <w:sz w:val="24"/>
          <w:szCs w:val="24"/>
        </w:rPr>
        <w:t xml:space="preserve"> </w:t>
      </w:r>
      <w:r w:rsidR="00445360">
        <w:rPr>
          <w:rFonts w:ascii="Times New Roman" w:hAnsi="Times New Roman"/>
          <w:sz w:val="24"/>
          <w:szCs w:val="24"/>
        </w:rPr>
        <w:t>sh</w:t>
      </w:r>
      <w:r w:rsidR="001A0A7A" w:rsidRPr="001A0A7A">
        <w:rPr>
          <w:rFonts w:ascii="Times New Roman" w:hAnsi="Times New Roman"/>
          <w:sz w:val="24"/>
          <w:szCs w:val="24"/>
        </w:rPr>
        <w:t xml:space="preserve">ould be </w:t>
      </w:r>
      <w:r w:rsidR="001C754C">
        <w:rPr>
          <w:rFonts w:ascii="Times New Roman" w:hAnsi="Times New Roman"/>
          <w:sz w:val="24"/>
          <w:szCs w:val="24"/>
        </w:rPr>
        <w:t>exempt from the</w:t>
      </w:r>
      <w:r w:rsidR="001A0A7A" w:rsidRPr="001A0A7A">
        <w:rPr>
          <w:rFonts w:ascii="Times New Roman" w:hAnsi="Times New Roman"/>
          <w:sz w:val="24"/>
          <w:szCs w:val="24"/>
        </w:rPr>
        <w:t xml:space="preserve"> requirement.</w:t>
      </w:r>
    </w:p>
    <w:p w:rsidR="005F7158" w:rsidRPr="001A0A7A" w:rsidRDefault="005F7158" w:rsidP="00E93EFB">
      <w:pPr>
        <w:pStyle w:val="ListParagraph"/>
        <w:ind w:right="170"/>
        <w:contextualSpacing w:val="0"/>
        <w:rPr>
          <w:rFonts w:ascii="Times New Roman" w:hAnsi="Times New Roman"/>
          <w:sz w:val="24"/>
          <w:szCs w:val="24"/>
        </w:rPr>
      </w:pPr>
    </w:p>
    <w:p w:rsidR="003C4AAE" w:rsidRDefault="007170D7" w:rsidP="00ED2CEB">
      <w:pPr>
        <w:pStyle w:val="ListParagraph"/>
        <w:numPr>
          <w:ilvl w:val="0"/>
          <w:numId w:val="30"/>
        </w:numPr>
        <w:rPr>
          <w:rFonts w:ascii="Times New Roman" w:hAnsi="Times New Roman"/>
          <w:sz w:val="24"/>
          <w:szCs w:val="24"/>
        </w:rPr>
      </w:pPr>
      <w:r>
        <w:rPr>
          <w:rFonts w:ascii="Times New Roman" w:hAnsi="Times New Roman"/>
          <w:sz w:val="24"/>
          <w:szCs w:val="24"/>
        </w:rPr>
        <w:t xml:space="preserve">The second proposal is that a non-resident will be required to provide evidence of a New Zealand bank account as a prerequisite to obtaining an IRD number.  </w:t>
      </w:r>
    </w:p>
    <w:p w:rsidR="003C4AAE" w:rsidRDefault="003C4AAE" w:rsidP="00ED2CEB">
      <w:pPr>
        <w:pStyle w:val="ListParagraph"/>
        <w:rPr>
          <w:rFonts w:ascii="Times New Roman" w:hAnsi="Times New Roman"/>
          <w:sz w:val="24"/>
          <w:szCs w:val="24"/>
        </w:rPr>
      </w:pPr>
    </w:p>
    <w:p w:rsidR="00A057FA" w:rsidRDefault="00623DC6" w:rsidP="00ED2CEB">
      <w:pPr>
        <w:spacing w:after="0" w:line="240" w:lineRule="auto"/>
        <w:jc w:val="both"/>
        <w:rPr>
          <w:rFonts w:ascii="Times New Roman" w:hAnsi="Times New Roman"/>
          <w:sz w:val="24"/>
          <w:szCs w:val="24"/>
        </w:rPr>
      </w:pPr>
      <w:r w:rsidRPr="00BE170E">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sidRPr="00412CC4">
        <w:rPr>
          <w:rFonts w:ascii="Times New Roman" w:hAnsi="Times New Roman"/>
          <w:sz w:val="24"/>
          <w:szCs w:val="24"/>
        </w:rPr>
        <w:tab/>
      </w:r>
      <w:r w:rsidR="00A057FA">
        <w:rPr>
          <w:rFonts w:ascii="Times New Roman" w:hAnsi="Times New Roman"/>
          <w:sz w:val="24"/>
          <w:szCs w:val="24"/>
        </w:rPr>
        <w:t>These proposals will apply from 1 October 2015 to align with the introd</w:t>
      </w:r>
      <w:r w:rsidR="00B91C70">
        <w:rPr>
          <w:rFonts w:ascii="Times New Roman" w:hAnsi="Times New Roman"/>
          <w:sz w:val="24"/>
          <w:szCs w:val="24"/>
        </w:rPr>
        <w:t xml:space="preserve">uction of </w:t>
      </w:r>
      <w:proofErr w:type="gramStart"/>
      <w:r w:rsidR="00B91C70">
        <w:rPr>
          <w:rFonts w:ascii="Times New Roman" w:hAnsi="Times New Roman"/>
          <w:sz w:val="24"/>
          <w:szCs w:val="24"/>
        </w:rPr>
        <w:t xml:space="preserve">the  </w:t>
      </w:r>
      <w:proofErr w:type="spellStart"/>
      <w:r w:rsidR="00B91C70">
        <w:rPr>
          <w:rFonts w:ascii="Times New Roman" w:hAnsi="Times New Roman"/>
          <w:sz w:val="24"/>
          <w:szCs w:val="24"/>
        </w:rPr>
        <w:t>brightline</w:t>
      </w:r>
      <w:proofErr w:type="spellEnd"/>
      <w:proofErr w:type="gramEnd"/>
      <w:r w:rsidR="00B91C70">
        <w:rPr>
          <w:rFonts w:ascii="Times New Roman" w:hAnsi="Times New Roman"/>
          <w:sz w:val="24"/>
          <w:szCs w:val="24"/>
        </w:rPr>
        <w:t xml:space="preserve"> test.</w:t>
      </w:r>
    </w:p>
    <w:p w:rsidR="00A057FA" w:rsidRDefault="00A057FA" w:rsidP="00ED2CEB">
      <w:pPr>
        <w:spacing w:after="0" w:line="240" w:lineRule="auto"/>
        <w:jc w:val="both"/>
        <w:rPr>
          <w:rFonts w:ascii="Times New Roman" w:hAnsi="Times New Roman"/>
          <w:sz w:val="24"/>
          <w:szCs w:val="24"/>
        </w:rPr>
      </w:pPr>
    </w:p>
    <w:p w:rsidR="003C4AAE" w:rsidRPr="002B7B9A" w:rsidRDefault="00A057FA" w:rsidP="00ED2CEB">
      <w:pPr>
        <w:spacing w:after="0" w:line="240" w:lineRule="auto"/>
        <w:jc w:val="both"/>
        <w:rPr>
          <w:rFonts w:ascii="Times New Roman" w:hAnsi="Times New Roman"/>
          <w:sz w:val="24"/>
          <w:szCs w:val="24"/>
        </w:rPr>
      </w:pPr>
      <w:r w:rsidRPr="00BE170E">
        <w:rPr>
          <w:rFonts w:ascii="Times New Roman" w:hAnsi="Times New Roman"/>
          <w:sz w:val="24"/>
          <w:szCs w:val="24"/>
        </w:rPr>
        <w:lastRenderedPageBreak/>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sidRPr="00412CC4">
        <w:rPr>
          <w:rFonts w:ascii="Times New Roman" w:hAnsi="Times New Roman"/>
          <w:sz w:val="24"/>
          <w:szCs w:val="24"/>
        </w:rPr>
        <w:tab/>
      </w:r>
      <w:r w:rsidR="008E0C21" w:rsidRPr="003C4AAE">
        <w:rPr>
          <w:rFonts w:ascii="Times New Roman" w:hAnsi="Times New Roman"/>
          <w:sz w:val="24"/>
          <w:szCs w:val="24"/>
        </w:rPr>
        <w:t xml:space="preserve">This regulatory impact statement deals with the </w:t>
      </w:r>
      <w:r w:rsidR="001A0A7A">
        <w:rPr>
          <w:rFonts w:ascii="Times New Roman" w:hAnsi="Times New Roman"/>
          <w:sz w:val="24"/>
          <w:szCs w:val="24"/>
        </w:rPr>
        <w:t>first</w:t>
      </w:r>
      <w:r w:rsidR="008E0C21" w:rsidRPr="003C4AAE">
        <w:rPr>
          <w:rFonts w:ascii="Times New Roman" w:hAnsi="Times New Roman"/>
          <w:sz w:val="24"/>
          <w:szCs w:val="24"/>
        </w:rPr>
        <w:t xml:space="preserve"> proposal: the requirement </w:t>
      </w:r>
      <w:r w:rsidR="00D20AB7">
        <w:rPr>
          <w:rFonts w:ascii="Times New Roman" w:hAnsi="Times New Roman"/>
          <w:sz w:val="24"/>
          <w:szCs w:val="24"/>
        </w:rPr>
        <w:t>for buyers and sellers to</w:t>
      </w:r>
      <w:r w:rsidR="008E0C21" w:rsidRPr="003C4AAE">
        <w:rPr>
          <w:rFonts w:ascii="Times New Roman" w:hAnsi="Times New Roman"/>
          <w:sz w:val="24"/>
          <w:szCs w:val="24"/>
        </w:rPr>
        <w:t xml:space="preserve"> </w:t>
      </w:r>
      <w:r w:rsidR="00E93EFB">
        <w:rPr>
          <w:rFonts w:ascii="Times New Roman" w:hAnsi="Times New Roman"/>
          <w:sz w:val="24"/>
          <w:szCs w:val="24"/>
        </w:rPr>
        <w:t>provide their IRD number</w:t>
      </w:r>
      <w:r w:rsidR="00D20AB7" w:rsidRPr="001A0A7A">
        <w:rPr>
          <w:rFonts w:ascii="Times New Roman" w:hAnsi="Times New Roman"/>
          <w:sz w:val="24"/>
          <w:szCs w:val="24"/>
        </w:rPr>
        <w:t xml:space="preserve"> (</w:t>
      </w:r>
      <w:r w:rsidR="00D20AB7">
        <w:rPr>
          <w:rFonts w:ascii="Times New Roman" w:hAnsi="Times New Roman"/>
          <w:sz w:val="24"/>
          <w:szCs w:val="24"/>
        </w:rPr>
        <w:t xml:space="preserve">and, if they are also resident </w:t>
      </w:r>
      <w:r w:rsidR="00EC0633">
        <w:rPr>
          <w:rFonts w:ascii="Times New Roman" w:hAnsi="Times New Roman"/>
          <w:sz w:val="24"/>
          <w:szCs w:val="24"/>
        </w:rPr>
        <w:t xml:space="preserve">in another jurisdiction </w:t>
      </w:r>
      <w:r w:rsidR="00D20AB7">
        <w:rPr>
          <w:rFonts w:ascii="Times New Roman" w:hAnsi="Times New Roman"/>
          <w:sz w:val="24"/>
          <w:szCs w:val="24"/>
        </w:rPr>
        <w:t>for tax purposes</w:t>
      </w:r>
      <w:r w:rsidR="00D20AB7" w:rsidRPr="001A0A7A">
        <w:rPr>
          <w:rFonts w:ascii="Times New Roman" w:hAnsi="Times New Roman"/>
          <w:sz w:val="24"/>
          <w:szCs w:val="24"/>
        </w:rPr>
        <w:t xml:space="preserve">, their foreign </w:t>
      </w:r>
      <w:r w:rsidR="004B56EC">
        <w:rPr>
          <w:rFonts w:ascii="Times New Roman" w:hAnsi="Times New Roman"/>
          <w:sz w:val="24"/>
          <w:szCs w:val="24"/>
        </w:rPr>
        <w:t>TIN</w:t>
      </w:r>
      <w:r w:rsidR="00D20AB7" w:rsidRPr="001A0A7A">
        <w:rPr>
          <w:rFonts w:ascii="Times New Roman" w:hAnsi="Times New Roman"/>
          <w:sz w:val="24"/>
          <w:szCs w:val="24"/>
        </w:rPr>
        <w:t>) at the time of transfer</w:t>
      </w:r>
      <w:r w:rsidR="004B56EC">
        <w:rPr>
          <w:rFonts w:ascii="Times New Roman" w:hAnsi="Times New Roman"/>
          <w:sz w:val="24"/>
          <w:szCs w:val="24"/>
        </w:rPr>
        <w:t>.</w:t>
      </w:r>
    </w:p>
    <w:p w:rsidR="003C4AAE" w:rsidRPr="003C4AAE" w:rsidRDefault="003C4AAE" w:rsidP="00ED2CEB">
      <w:pPr>
        <w:pStyle w:val="Numberparagraph"/>
        <w:numPr>
          <w:ilvl w:val="0"/>
          <w:numId w:val="0"/>
        </w:numPr>
        <w:ind w:left="927"/>
      </w:pPr>
    </w:p>
    <w:p w:rsidR="003C4AAE" w:rsidRPr="003C4AAE" w:rsidRDefault="003C4AAE" w:rsidP="00ED2CEB">
      <w:pPr>
        <w:jc w:val="both"/>
        <w:rPr>
          <w:rFonts w:ascii="Times New Roman" w:hAnsi="Times New Roman"/>
          <w:i/>
          <w:sz w:val="24"/>
          <w:szCs w:val="24"/>
        </w:rPr>
      </w:pPr>
      <w:r>
        <w:rPr>
          <w:rFonts w:ascii="Times New Roman" w:hAnsi="Times New Roman"/>
          <w:i/>
          <w:sz w:val="24"/>
          <w:szCs w:val="24"/>
        </w:rPr>
        <w:t>Status quo</w:t>
      </w:r>
    </w:p>
    <w:p w:rsidR="00D20AB7" w:rsidRDefault="007305E5" w:rsidP="00ED2CEB">
      <w:pPr>
        <w:pStyle w:val="ListParagraph"/>
        <w:ind w:left="0" w:right="170"/>
        <w:contextualSpacing w:val="0"/>
        <w:rPr>
          <w:rFonts w:ascii="Times New Roman" w:hAnsi="Times New Roman"/>
          <w:sz w:val="24"/>
          <w:szCs w:val="24"/>
        </w:rPr>
      </w:pPr>
      <w:r w:rsidRPr="00BE170E">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sidR="004B56EC">
        <w:rPr>
          <w:rFonts w:ascii="Times New Roman" w:hAnsi="Times New Roman"/>
          <w:sz w:val="24"/>
          <w:szCs w:val="24"/>
        </w:rPr>
        <w:tab/>
      </w:r>
      <w:r w:rsidR="00D20AB7">
        <w:rPr>
          <w:rFonts w:ascii="Times New Roman" w:hAnsi="Times New Roman"/>
          <w:sz w:val="24"/>
          <w:szCs w:val="24"/>
        </w:rPr>
        <w:t>Currently, the Land Transfer Act 1952 requires purchasers and sellers to provide identification information (such as their passport or drivers</w:t>
      </w:r>
      <w:r w:rsidR="00ED2CEB">
        <w:rPr>
          <w:rFonts w:ascii="Times New Roman" w:hAnsi="Times New Roman"/>
          <w:sz w:val="24"/>
          <w:szCs w:val="24"/>
        </w:rPr>
        <w:t xml:space="preserve"> licence) upon sale or purchase</w:t>
      </w:r>
      <w:r w:rsidR="00D20AB7">
        <w:rPr>
          <w:rFonts w:ascii="Times New Roman" w:hAnsi="Times New Roman"/>
          <w:sz w:val="24"/>
          <w:szCs w:val="24"/>
        </w:rPr>
        <w:t xml:space="preserve"> of a house. There is currently no requirement for IRD numbers or TIN numbers to be provided.  The Commissioner of Inland Revenue is able to obtain information about property sales from LINZ under her existing powers, but the taxpayer and the property transaction are not always clearly linked, which can make enforcement more difficult.  </w:t>
      </w:r>
    </w:p>
    <w:p w:rsidR="00D20AB7" w:rsidRDefault="00D20AB7" w:rsidP="00ED2CEB">
      <w:pPr>
        <w:pStyle w:val="ListParagraph"/>
        <w:ind w:left="0" w:right="170"/>
        <w:contextualSpacing w:val="0"/>
        <w:rPr>
          <w:rFonts w:ascii="Times New Roman" w:hAnsi="Times New Roman"/>
          <w:sz w:val="24"/>
          <w:szCs w:val="24"/>
        </w:rPr>
      </w:pPr>
    </w:p>
    <w:p w:rsidR="00D20AB7" w:rsidRDefault="004B56EC" w:rsidP="00ED2CEB">
      <w:pPr>
        <w:pStyle w:val="ListParagraph"/>
        <w:ind w:left="0" w:right="170"/>
        <w:contextualSpacing w:val="0"/>
        <w:rPr>
          <w:rFonts w:ascii="Times New Roman" w:hAnsi="Times New Roman"/>
          <w:sz w:val="24"/>
          <w:szCs w:val="24"/>
        </w:rPr>
      </w:pPr>
      <w:r w:rsidRPr="00BE170E">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BE170E">
        <w:rPr>
          <w:rFonts w:ascii="Times New Roman" w:hAnsi="Times New Roman"/>
          <w:sz w:val="24"/>
          <w:szCs w:val="24"/>
        </w:rPr>
        <w:fldChar w:fldCharType="end"/>
      </w:r>
      <w:r>
        <w:rPr>
          <w:rFonts w:ascii="Times New Roman" w:hAnsi="Times New Roman"/>
          <w:sz w:val="24"/>
          <w:szCs w:val="24"/>
        </w:rPr>
        <w:tab/>
      </w:r>
      <w:r w:rsidR="00D20AB7">
        <w:rPr>
          <w:rFonts w:ascii="Times New Roman" w:hAnsi="Times New Roman"/>
          <w:sz w:val="24"/>
          <w:szCs w:val="24"/>
        </w:rPr>
        <w:t xml:space="preserve">Further, under New Zealand’s international treaties, Inland Revenue must supply </w:t>
      </w:r>
      <w:r w:rsidR="00C90BA5">
        <w:rPr>
          <w:rFonts w:ascii="Times New Roman" w:hAnsi="Times New Roman"/>
          <w:sz w:val="24"/>
          <w:szCs w:val="24"/>
        </w:rPr>
        <w:t xml:space="preserve">tax </w:t>
      </w:r>
      <w:r w:rsidR="00D20AB7">
        <w:rPr>
          <w:rFonts w:ascii="Times New Roman" w:hAnsi="Times New Roman"/>
          <w:sz w:val="24"/>
          <w:szCs w:val="24"/>
        </w:rPr>
        <w:t xml:space="preserve">information that it holds relating to </w:t>
      </w:r>
      <w:r w:rsidR="00C90BA5">
        <w:rPr>
          <w:rFonts w:ascii="Times New Roman" w:hAnsi="Times New Roman"/>
          <w:sz w:val="24"/>
          <w:szCs w:val="24"/>
        </w:rPr>
        <w:t xml:space="preserve">non-residents </w:t>
      </w:r>
      <w:r w:rsidR="00D20AB7">
        <w:rPr>
          <w:rFonts w:ascii="Times New Roman" w:hAnsi="Times New Roman"/>
          <w:sz w:val="24"/>
          <w:szCs w:val="24"/>
        </w:rPr>
        <w:t>to the tax authority in that other country</w:t>
      </w:r>
      <w:r w:rsidR="00ED2CEB">
        <w:rPr>
          <w:rFonts w:ascii="Times New Roman" w:hAnsi="Times New Roman"/>
          <w:sz w:val="24"/>
          <w:szCs w:val="24"/>
        </w:rPr>
        <w:t xml:space="preserve">. </w:t>
      </w:r>
      <w:r w:rsidR="00D20AB7" w:rsidRPr="007C050D">
        <w:rPr>
          <w:rFonts w:ascii="Times New Roman" w:hAnsi="Times New Roman"/>
          <w:sz w:val="24"/>
          <w:szCs w:val="24"/>
        </w:rPr>
        <w:t xml:space="preserve">Where a non-resident has a foreign tax liability resulting </w:t>
      </w:r>
      <w:r w:rsidR="00ED2CEB">
        <w:rPr>
          <w:rFonts w:ascii="Times New Roman" w:hAnsi="Times New Roman"/>
          <w:sz w:val="24"/>
          <w:szCs w:val="24"/>
        </w:rPr>
        <w:t>from</w:t>
      </w:r>
      <w:r w:rsidR="00D20AB7" w:rsidRPr="007C050D">
        <w:rPr>
          <w:rFonts w:ascii="Times New Roman" w:hAnsi="Times New Roman"/>
          <w:sz w:val="24"/>
          <w:szCs w:val="24"/>
        </w:rPr>
        <w:t xml:space="preserve"> the sale or purchase of New Zealand real property and Inland Revenue does not hold the </w:t>
      </w:r>
      <w:r w:rsidR="00C90BA5">
        <w:rPr>
          <w:rFonts w:ascii="Times New Roman" w:hAnsi="Times New Roman"/>
          <w:sz w:val="24"/>
          <w:szCs w:val="24"/>
        </w:rPr>
        <w:t>TIN</w:t>
      </w:r>
      <w:r w:rsidR="00D20AB7" w:rsidRPr="007C050D">
        <w:rPr>
          <w:rFonts w:ascii="Times New Roman" w:hAnsi="Times New Roman"/>
          <w:sz w:val="24"/>
          <w:szCs w:val="24"/>
        </w:rPr>
        <w:t xml:space="preserve">, the correct matching of </w:t>
      </w:r>
      <w:r w:rsidR="00C90BA5">
        <w:rPr>
          <w:rFonts w:ascii="Times New Roman" w:hAnsi="Times New Roman"/>
          <w:sz w:val="24"/>
          <w:szCs w:val="24"/>
        </w:rPr>
        <w:t xml:space="preserve">the taxpayer’s </w:t>
      </w:r>
      <w:r w:rsidR="00D20AB7" w:rsidRPr="007C050D">
        <w:rPr>
          <w:rFonts w:ascii="Times New Roman" w:hAnsi="Times New Roman"/>
          <w:sz w:val="24"/>
          <w:szCs w:val="24"/>
        </w:rPr>
        <w:t>identity</w:t>
      </w:r>
      <w:r w:rsidR="00C90BA5">
        <w:rPr>
          <w:rFonts w:ascii="Times New Roman" w:hAnsi="Times New Roman"/>
          <w:sz w:val="24"/>
          <w:szCs w:val="24"/>
        </w:rPr>
        <w:t xml:space="preserve"> to the transaction</w:t>
      </w:r>
      <w:r w:rsidR="00D20AB7" w:rsidRPr="007C050D">
        <w:rPr>
          <w:rFonts w:ascii="Times New Roman" w:hAnsi="Times New Roman"/>
          <w:sz w:val="24"/>
          <w:szCs w:val="24"/>
        </w:rPr>
        <w:t xml:space="preserve"> can be difficult for the tax authority of that person’s home jurisdiction. This means that in some circumstances non-residents could potentially be evading foreign tax on their New Zealand land sale or purchase.</w:t>
      </w:r>
    </w:p>
    <w:p w:rsidR="00D20AB7" w:rsidRPr="007C050D" w:rsidRDefault="00D20AB7" w:rsidP="00ED2CEB">
      <w:pPr>
        <w:pStyle w:val="ListParagraph"/>
        <w:ind w:left="0" w:right="170"/>
        <w:contextualSpacing w:val="0"/>
        <w:rPr>
          <w:rFonts w:ascii="Times New Roman" w:hAnsi="Times New Roman"/>
          <w:sz w:val="24"/>
          <w:szCs w:val="24"/>
        </w:rPr>
      </w:pPr>
    </w:p>
    <w:p w:rsidR="00C608D7" w:rsidRPr="00412CC4" w:rsidRDefault="00C608D7" w:rsidP="00ED2CEB">
      <w:pPr>
        <w:jc w:val="both"/>
        <w:rPr>
          <w:rFonts w:ascii="Times New Roman" w:hAnsi="Times New Roman"/>
          <w:b/>
          <w:sz w:val="24"/>
          <w:szCs w:val="24"/>
        </w:rPr>
      </w:pPr>
      <w:r w:rsidRPr="00412CC4">
        <w:rPr>
          <w:rFonts w:ascii="Times New Roman" w:hAnsi="Times New Roman"/>
          <w:b/>
          <w:sz w:val="24"/>
          <w:szCs w:val="24"/>
        </w:rPr>
        <w:t>Objective</w:t>
      </w:r>
      <w:r w:rsidR="00B91C70">
        <w:rPr>
          <w:rFonts w:ascii="Times New Roman" w:hAnsi="Times New Roman"/>
          <w:b/>
          <w:sz w:val="24"/>
          <w:szCs w:val="24"/>
        </w:rPr>
        <w:t>s</w:t>
      </w:r>
    </w:p>
    <w:p w:rsidR="005F7158" w:rsidRDefault="00412CC4" w:rsidP="00ED2CEB">
      <w:pPr>
        <w:pStyle w:val="ListParagraph"/>
        <w:ind w:left="0" w:right="170"/>
        <w:contextualSpacing w:val="0"/>
        <w:rPr>
          <w:rFonts w:ascii="Times New Roman" w:hAnsi="Times New Roman"/>
          <w:sz w:val="24"/>
          <w:szCs w:val="24"/>
        </w:rPr>
      </w:pPr>
      <w:r w:rsidRPr="002B7B9A">
        <w:rPr>
          <w:rFonts w:ascii="Times New Roman" w:hAnsi="Times New Roman"/>
          <w:sz w:val="24"/>
          <w:szCs w:val="24"/>
        </w:rPr>
        <w:fldChar w:fldCharType="begin"/>
      </w:r>
      <w:r w:rsidRPr="002B7B9A">
        <w:rPr>
          <w:rFonts w:ascii="Times New Roman" w:hAnsi="Times New Roman"/>
          <w:sz w:val="24"/>
          <w:szCs w:val="24"/>
        </w:rPr>
        <w:instrText xml:space="preserve"> AUTONUM  </w:instrText>
      </w:r>
      <w:r w:rsidRPr="002B7B9A">
        <w:rPr>
          <w:rFonts w:ascii="Times New Roman" w:hAnsi="Times New Roman"/>
          <w:sz w:val="24"/>
          <w:szCs w:val="24"/>
        </w:rPr>
        <w:fldChar w:fldCharType="end"/>
      </w:r>
      <w:r w:rsidRPr="002B7B9A">
        <w:rPr>
          <w:rFonts w:ascii="Times New Roman" w:hAnsi="Times New Roman"/>
          <w:sz w:val="24"/>
          <w:szCs w:val="24"/>
        </w:rPr>
        <w:tab/>
      </w:r>
      <w:r w:rsidR="002D4D01" w:rsidRPr="002B7B9A">
        <w:rPr>
          <w:rFonts w:ascii="Times New Roman" w:hAnsi="Times New Roman"/>
          <w:sz w:val="24"/>
          <w:szCs w:val="24"/>
        </w:rPr>
        <w:t>The objective</w:t>
      </w:r>
      <w:r w:rsidR="00B91C70">
        <w:rPr>
          <w:rFonts w:ascii="Times New Roman" w:hAnsi="Times New Roman"/>
          <w:sz w:val="24"/>
          <w:szCs w:val="24"/>
        </w:rPr>
        <w:t>s of this reform are:</w:t>
      </w:r>
    </w:p>
    <w:p w:rsidR="00B91C70" w:rsidRDefault="00B91C70" w:rsidP="00ED2CEB">
      <w:pPr>
        <w:pStyle w:val="ListParagraph"/>
        <w:ind w:left="0" w:right="170"/>
        <w:contextualSpacing w:val="0"/>
        <w:rPr>
          <w:rFonts w:ascii="Times New Roman" w:hAnsi="Times New Roman"/>
          <w:sz w:val="24"/>
          <w:szCs w:val="24"/>
        </w:rPr>
      </w:pPr>
    </w:p>
    <w:p w:rsidR="005F7158" w:rsidRDefault="002D4D01" w:rsidP="00E93EFB">
      <w:pPr>
        <w:pStyle w:val="ListParagraph"/>
        <w:numPr>
          <w:ilvl w:val="0"/>
          <w:numId w:val="44"/>
        </w:numPr>
        <w:ind w:right="170"/>
        <w:contextualSpacing w:val="0"/>
        <w:rPr>
          <w:rFonts w:ascii="Times New Roman" w:hAnsi="Times New Roman"/>
          <w:sz w:val="24"/>
          <w:szCs w:val="24"/>
        </w:rPr>
      </w:pPr>
      <w:proofErr w:type="gramStart"/>
      <w:r w:rsidRPr="002B7B9A">
        <w:rPr>
          <w:rFonts w:ascii="Times New Roman" w:hAnsi="Times New Roman"/>
          <w:sz w:val="24"/>
          <w:szCs w:val="24"/>
        </w:rPr>
        <w:t>to</w:t>
      </w:r>
      <w:proofErr w:type="gramEnd"/>
      <w:r w:rsidRPr="002B7B9A">
        <w:rPr>
          <w:rFonts w:ascii="Times New Roman" w:hAnsi="Times New Roman"/>
          <w:sz w:val="24"/>
          <w:szCs w:val="24"/>
        </w:rPr>
        <w:t xml:space="preserve"> increase the effective enforcement of current tax rules relat</w:t>
      </w:r>
      <w:r w:rsidR="00C90BA5">
        <w:rPr>
          <w:rFonts w:ascii="Times New Roman" w:hAnsi="Times New Roman"/>
          <w:sz w:val="24"/>
          <w:szCs w:val="24"/>
        </w:rPr>
        <w:t>ing</w:t>
      </w:r>
      <w:r w:rsidRPr="002B7B9A">
        <w:rPr>
          <w:rFonts w:ascii="Times New Roman" w:hAnsi="Times New Roman"/>
          <w:sz w:val="24"/>
          <w:szCs w:val="24"/>
        </w:rPr>
        <w:t xml:space="preserve"> to property transactions, as supplemented by changes introduced as part of Budget 2015</w:t>
      </w:r>
      <w:r w:rsidR="00B91C70">
        <w:rPr>
          <w:rFonts w:ascii="Times New Roman" w:hAnsi="Times New Roman"/>
          <w:sz w:val="24"/>
          <w:szCs w:val="24"/>
        </w:rPr>
        <w:t xml:space="preserve"> (this is the primary objective)</w:t>
      </w:r>
      <w:r w:rsidR="006A282F" w:rsidRPr="002B7B9A">
        <w:rPr>
          <w:rFonts w:ascii="Times New Roman" w:hAnsi="Times New Roman"/>
          <w:sz w:val="24"/>
          <w:szCs w:val="24"/>
        </w:rPr>
        <w:t>.</w:t>
      </w:r>
    </w:p>
    <w:p w:rsidR="00B91C70" w:rsidRDefault="00B91C70" w:rsidP="00E93EFB">
      <w:pPr>
        <w:pStyle w:val="ListParagraph"/>
        <w:ind w:left="927" w:right="170"/>
        <w:contextualSpacing w:val="0"/>
        <w:rPr>
          <w:rFonts w:ascii="Times New Roman" w:hAnsi="Times New Roman"/>
          <w:sz w:val="24"/>
          <w:szCs w:val="24"/>
        </w:rPr>
      </w:pPr>
    </w:p>
    <w:p w:rsidR="00D20AB7" w:rsidRDefault="00B91C70" w:rsidP="00E93EFB">
      <w:pPr>
        <w:pStyle w:val="ListParagraph"/>
        <w:numPr>
          <w:ilvl w:val="0"/>
          <w:numId w:val="44"/>
        </w:numPr>
        <w:ind w:right="170"/>
        <w:contextualSpacing w:val="0"/>
        <w:rPr>
          <w:rFonts w:ascii="Times New Roman" w:hAnsi="Times New Roman"/>
          <w:sz w:val="24"/>
          <w:szCs w:val="24"/>
        </w:rPr>
      </w:pPr>
      <w:r>
        <w:rPr>
          <w:rFonts w:ascii="Times New Roman" w:hAnsi="Times New Roman"/>
          <w:sz w:val="24"/>
          <w:szCs w:val="24"/>
        </w:rPr>
        <w:t>to</w:t>
      </w:r>
      <w:r w:rsidR="00D20AB7">
        <w:rPr>
          <w:rFonts w:ascii="Times New Roman" w:hAnsi="Times New Roman"/>
          <w:sz w:val="24"/>
          <w:szCs w:val="24"/>
        </w:rPr>
        <w:t xml:space="preserve"> help prevent non-residents from evading </w:t>
      </w:r>
      <w:r w:rsidR="00D20AB7" w:rsidRPr="007C050D">
        <w:rPr>
          <w:rFonts w:ascii="Times New Roman" w:hAnsi="Times New Roman"/>
          <w:sz w:val="24"/>
          <w:szCs w:val="24"/>
        </w:rPr>
        <w:t>foreign tax on their New Zealand land sale or purchase</w:t>
      </w:r>
      <w:r w:rsidR="00D20AB7">
        <w:rPr>
          <w:rFonts w:ascii="Times New Roman" w:hAnsi="Times New Roman"/>
          <w:sz w:val="24"/>
          <w:szCs w:val="24"/>
        </w:rPr>
        <w:t xml:space="preserve"> by ensuring that the foreign tax authority can </w:t>
      </w:r>
      <w:r w:rsidR="00C90BA5">
        <w:rPr>
          <w:rFonts w:ascii="Times New Roman" w:hAnsi="Times New Roman"/>
          <w:sz w:val="24"/>
          <w:szCs w:val="24"/>
        </w:rPr>
        <w:t>link</w:t>
      </w:r>
      <w:r w:rsidR="00D20AB7">
        <w:rPr>
          <w:rFonts w:ascii="Times New Roman" w:hAnsi="Times New Roman"/>
          <w:sz w:val="24"/>
          <w:szCs w:val="24"/>
        </w:rPr>
        <w:t xml:space="preserve"> the transaction with the taxpayer</w:t>
      </w:r>
      <w:r>
        <w:rPr>
          <w:rFonts w:ascii="Times New Roman" w:hAnsi="Times New Roman"/>
          <w:sz w:val="24"/>
          <w:szCs w:val="24"/>
        </w:rPr>
        <w:t xml:space="preserve"> (this is a secondary objective)</w:t>
      </w:r>
      <w:r w:rsidR="00D20AB7">
        <w:rPr>
          <w:rFonts w:ascii="Times New Roman" w:hAnsi="Times New Roman"/>
          <w:sz w:val="24"/>
          <w:szCs w:val="24"/>
        </w:rPr>
        <w:t>.</w:t>
      </w:r>
    </w:p>
    <w:p w:rsidR="00D20AB7" w:rsidRDefault="00D20AB7" w:rsidP="00ED2CEB">
      <w:pPr>
        <w:spacing w:after="0" w:line="240" w:lineRule="auto"/>
        <w:jc w:val="both"/>
        <w:rPr>
          <w:rFonts w:ascii="Times New Roman" w:hAnsi="Times New Roman"/>
          <w:sz w:val="24"/>
          <w:szCs w:val="24"/>
        </w:rPr>
      </w:pPr>
    </w:p>
    <w:p w:rsidR="00B91C70" w:rsidRDefault="00357190" w:rsidP="00ED2CEB">
      <w:pPr>
        <w:spacing w:after="0" w:line="240" w:lineRule="auto"/>
        <w:jc w:val="both"/>
        <w:rPr>
          <w:rFonts w:ascii="Times New Roman" w:hAnsi="Times New Roman"/>
          <w:sz w:val="24"/>
          <w:szCs w:val="24"/>
        </w:rPr>
      </w:pPr>
      <w:r w:rsidRPr="00357190">
        <w:rPr>
          <w:rFonts w:ascii="Times New Roman" w:hAnsi="Times New Roman"/>
          <w:sz w:val="24"/>
          <w:szCs w:val="24"/>
        </w:rPr>
        <w:fldChar w:fldCharType="begin"/>
      </w:r>
      <w:r w:rsidRPr="00357190">
        <w:rPr>
          <w:rFonts w:ascii="Times New Roman" w:hAnsi="Times New Roman"/>
          <w:sz w:val="24"/>
          <w:szCs w:val="24"/>
        </w:rPr>
        <w:instrText xml:space="preserve"> AUTONUM  </w:instrText>
      </w:r>
      <w:r w:rsidRPr="00357190">
        <w:rPr>
          <w:rFonts w:ascii="Times New Roman" w:hAnsi="Times New Roman"/>
          <w:sz w:val="24"/>
          <w:szCs w:val="24"/>
        </w:rPr>
        <w:fldChar w:fldCharType="end"/>
      </w:r>
      <w:r w:rsidRPr="00357190">
        <w:rPr>
          <w:rFonts w:ascii="Times New Roman" w:hAnsi="Times New Roman"/>
          <w:sz w:val="24"/>
          <w:szCs w:val="24"/>
        </w:rPr>
        <w:tab/>
      </w:r>
      <w:r w:rsidR="00B91C70">
        <w:rPr>
          <w:rFonts w:ascii="Times New Roman" w:hAnsi="Times New Roman"/>
          <w:sz w:val="24"/>
          <w:szCs w:val="24"/>
        </w:rPr>
        <w:t xml:space="preserve">The proposal will apply from 1 October 2015. The reason for introducing the proposals at this time is to support the introduction of the </w:t>
      </w:r>
      <w:proofErr w:type="spellStart"/>
      <w:r w:rsidR="00B91C70">
        <w:rPr>
          <w:rFonts w:ascii="Times New Roman" w:hAnsi="Times New Roman"/>
          <w:sz w:val="24"/>
          <w:szCs w:val="24"/>
        </w:rPr>
        <w:t>brightline</w:t>
      </w:r>
      <w:proofErr w:type="spellEnd"/>
      <w:r w:rsidR="00B91C70">
        <w:rPr>
          <w:rFonts w:ascii="Times New Roman" w:hAnsi="Times New Roman"/>
          <w:sz w:val="24"/>
          <w:szCs w:val="24"/>
        </w:rPr>
        <w:t xml:space="preserve"> test, which also applies from 1 October 2015.</w:t>
      </w:r>
    </w:p>
    <w:p w:rsidR="00B91C70" w:rsidRDefault="00B91C70" w:rsidP="00ED2CEB">
      <w:pPr>
        <w:spacing w:after="0" w:line="240" w:lineRule="auto"/>
        <w:jc w:val="both"/>
        <w:rPr>
          <w:rFonts w:ascii="Times New Roman" w:hAnsi="Times New Roman"/>
          <w:sz w:val="24"/>
          <w:szCs w:val="24"/>
        </w:rPr>
      </w:pPr>
    </w:p>
    <w:p w:rsidR="002D4B78" w:rsidRDefault="00B91C70" w:rsidP="00ED2CEB">
      <w:pPr>
        <w:spacing w:after="0" w:line="240" w:lineRule="auto"/>
        <w:jc w:val="both"/>
        <w:rPr>
          <w:rFonts w:ascii="Times New Roman" w:hAnsi="Times New Roman"/>
          <w:sz w:val="24"/>
          <w:szCs w:val="24"/>
        </w:rPr>
      </w:pPr>
      <w:r w:rsidRPr="00357190">
        <w:rPr>
          <w:rFonts w:ascii="Times New Roman" w:hAnsi="Times New Roman"/>
          <w:sz w:val="24"/>
          <w:szCs w:val="24"/>
        </w:rPr>
        <w:fldChar w:fldCharType="begin"/>
      </w:r>
      <w:r w:rsidRPr="00357190">
        <w:rPr>
          <w:rFonts w:ascii="Times New Roman" w:hAnsi="Times New Roman"/>
          <w:sz w:val="24"/>
          <w:szCs w:val="24"/>
        </w:rPr>
        <w:instrText xml:space="preserve"> AUTONUM  </w:instrText>
      </w:r>
      <w:r w:rsidRPr="00357190">
        <w:rPr>
          <w:rFonts w:ascii="Times New Roman" w:hAnsi="Times New Roman"/>
          <w:sz w:val="24"/>
          <w:szCs w:val="24"/>
        </w:rPr>
        <w:fldChar w:fldCharType="end"/>
      </w:r>
      <w:r w:rsidRPr="00357190">
        <w:rPr>
          <w:rFonts w:ascii="Times New Roman" w:hAnsi="Times New Roman"/>
          <w:sz w:val="24"/>
          <w:szCs w:val="24"/>
        </w:rPr>
        <w:tab/>
      </w:r>
      <w:r w:rsidR="00BF1502">
        <w:rPr>
          <w:rFonts w:ascii="Times New Roman" w:hAnsi="Times New Roman"/>
          <w:sz w:val="24"/>
          <w:szCs w:val="24"/>
        </w:rPr>
        <w:t>Th</w:t>
      </w:r>
      <w:r w:rsidR="00D20AB7">
        <w:rPr>
          <w:rFonts w:ascii="Times New Roman" w:hAnsi="Times New Roman"/>
          <w:sz w:val="24"/>
          <w:szCs w:val="24"/>
        </w:rPr>
        <w:t>ese</w:t>
      </w:r>
      <w:r w:rsidR="00BF1502">
        <w:rPr>
          <w:rFonts w:ascii="Times New Roman" w:hAnsi="Times New Roman"/>
          <w:sz w:val="24"/>
          <w:szCs w:val="24"/>
        </w:rPr>
        <w:t xml:space="preserve"> </w:t>
      </w:r>
      <w:r w:rsidR="002D4D01">
        <w:rPr>
          <w:rFonts w:ascii="Times New Roman" w:hAnsi="Times New Roman"/>
          <w:sz w:val="24"/>
          <w:szCs w:val="24"/>
        </w:rPr>
        <w:t>objective</w:t>
      </w:r>
      <w:r w:rsidR="00D20AB7">
        <w:rPr>
          <w:rFonts w:ascii="Times New Roman" w:hAnsi="Times New Roman"/>
          <w:sz w:val="24"/>
          <w:szCs w:val="24"/>
        </w:rPr>
        <w:t>s</w:t>
      </w:r>
      <w:r w:rsidR="002D4D01">
        <w:rPr>
          <w:rFonts w:ascii="Times New Roman" w:hAnsi="Times New Roman"/>
          <w:sz w:val="24"/>
          <w:szCs w:val="24"/>
        </w:rPr>
        <w:t xml:space="preserve"> need to be considered in light of the </w:t>
      </w:r>
      <w:r w:rsidR="00357190" w:rsidRPr="00357190">
        <w:rPr>
          <w:rFonts w:ascii="Times New Roman" w:hAnsi="Times New Roman"/>
          <w:sz w:val="24"/>
          <w:szCs w:val="24"/>
        </w:rPr>
        <w:t>additional constraint faced by Inland Revenue at the present time</w:t>
      </w:r>
      <w:r w:rsidR="002D4D01">
        <w:rPr>
          <w:rFonts w:ascii="Times New Roman" w:hAnsi="Times New Roman"/>
          <w:sz w:val="24"/>
          <w:szCs w:val="24"/>
        </w:rPr>
        <w:t>, which is</w:t>
      </w:r>
      <w:r w:rsidR="00357190" w:rsidRPr="00357190">
        <w:rPr>
          <w:rFonts w:ascii="Times New Roman" w:hAnsi="Times New Roman"/>
          <w:sz w:val="24"/>
          <w:szCs w:val="24"/>
        </w:rPr>
        <w:t xml:space="preserve"> its inability to make significant system changes in advance of the relevant stage of development of its Business Transformation</w:t>
      </w:r>
      <w:r w:rsidR="00C90BA5">
        <w:rPr>
          <w:rFonts w:ascii="Times New Roman" w:hAnsi="Times New Roman"/>
          <w:sz w:val="24"/>
          <w:szCs w:val="24"/>
        </w:rPr>
        <w:t xml:space="preserve"> programme</w:t>
      </w:r>
      <w:r w:rsidR="00357190" w:rsidRPr="00357190">
        <w:rPr>
          <w:rFonts w:ascii="Times New Roman" w:hAnsi="Times New Roman"/>
          <w:sz w:val="24"/>
          <w:szCs w:val="24"/>
        </w:rPr>
        <w:t>.</w:t>
      </w:r>
    </w:p>
    <w:p w:rsidR="002D4B78" w:rsidRDefault="002D4B78" w:rsidP="00ED2CEB">
      <w:pPr>
        <w:spacing w:after="0" w:line="240" w:lineRule="auto"/>
        <w:jc w:val="both"/>
        <w:rPr>
          <w:rFonts w:ascii="Times New Roman" w:hAnsi="Times New Roman"/>
          <w:sz w:val="24"/>
          <w:szCs w:val="24"/>
        </w:rPr>
      </w:pPr>
    </w:p>
    <w:p w:rsidR="002D4B78" w:rsidRDefault="002D4B78" w:rsidP="00ED2CEB">
      <w:pPr>
        <w:spacing w:after="0" w:line="240" w:lineRule="auto"/>
        <w:jc w:val="both"/>
        <w:rPr>
          <w:rFonts w:ascii="Times New Roman" w:hAnsi="Times New Roman"/>
          <w:sz w:val="24"/>
          <w:szCs w:val="24"/>
        </w:rPr>
      </w:pPr>
    </w:p>
    <w:p w:rsidR="002057D7" w:rsidRPr="00412CC4" w:rsidRDefault="002057D7" w:rsidP="00ED2CEB">
      <w:pPr>
        <w:spacing w:after="0" w:line="240" w:lineRule="auto"/>
        <w:jc w:val="both"/>
        <w:rPr>
          <w:rFonts w:ascii="Times New Roman" w:hAnsi="Times New Roman"/>
          <w:b/>
          <w:sz w:val="24"/>
          <w:szCs w:val="24"/>
        </w:rPr>
      </w:pPr>
      <w:r w:rsidRPr="00412CC4">
        <w:rPr>
          <w:rFonts w:ascii="Times New Roman" w:hAnsi="Times New Roman"/>
          <w:b/>
          <w:sz w:val="24"/>
          <w:szCs w:val="24"/>
        </w:rPr>
        <w:t>Regulatory impact analysis</w:t>
      </w:r>
    </w:p>
    <w:p w:rsidR="007A57A1" w:rsidRDefault="007A57A1" w:rsidP="00ED2CEB">
      <w:pPr>
        <w:spacing w:after="0" w:line="240" w:lineRule="auto"/>
        <w:jc w:val="both"/>
        <w:rPr>
          <w:rFonts w:ascii="Times New Roman" w:hAnsi="Times New Roman"/>
          <w:sz w:val="24"/>
          <w:szCs w:val="24"/>
        </w:rPr>
      </w:pPr>
    </w:p>
    <w:p w:rsidR="00D20AB7" w:rsidRDefault="00412CC4" w:rsidP="00ED2CEB">
      <w:pPr>
        <w:spacing w:after="0" w:line="240" w:lineRule="auto"/>
        <w:jc w:val="both"/>
        <w:rPr>
          <w:rFonts w:ascii="Times New Roman" w:hAnsi="Times New Roman"/>
          <w:sz w:val="24"/>
          <w:szCs w:val="24"/>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sidR="00D20AB7">
        <w:rPr>
          <w:rFonts w:ascii="Times New Roman" w:hAnsi="Times New Roman"/>
          <w:sz w:val="24"/>
          <w:szCs w:val="24"/>
        </w:rPr>
        <w:t>This statement consider</w:t>
      </w:r>
      <w:r w:rsidR="00C90BA5">
        <w:rPr>
          <w:rFonts w:ascii="Times New Roman" w:hAnsi="Times New Roman"/>
          <w:sz w:val="24"/>
          <w:szCs w:val="24"/>
        </w:rPr>
        <w:t>s</w:t>
      </w:r>
      <w:r w:rsidR="00D20AB7">
        <w:rPr>
          <w:rFonts w:ascii="Times New Roman" w:hAnsi="Times New Roman"/>
          <w:sz w:val="24"/>
          <w:szCs w:val="24"/>
        </w:rPr>
        <w:t xml:space="preserve"> three options:</w:t>
      </w:r>
    </w:p>
    <w:p w:rsidR="00D20AB7" w:rsidRDefault="00D20AB7" w:rsidP="00ED2CEB">
      <w:pPr>
        <w:pStyle w:val="ListParagraph"/>
        <w:ind w:left="0" w:right="170"/>
        <w:contextualSpacing w:val="0"/>
        <w:rPr>
          <w:rFonts w:ascii="Times New Roman" w:hAnsi="Times New Roman"/>
          <w:sz w:val="24"/>
          <w:szCs w:val="24"/>
        </w:rPr>
      </w:pPr>
    </w:p>
    <w:p w:rsidR="00D20AB7" w:rsidRPr="007934F0" w:rsidRDefault="00D20AB7" w:rsidP="00ED2CEB">
      <w:pPr>
        <w:pStyle w:val="ListParagraph"/>
        <w:numPr>
          <w:ilvl w:val="0"/>
          <w:numId w:val="25"/>
        </w:numPr>
        <w:ind w:right="170"/>
        <w:contextualSpacing w:val="0"/>
        <w:rPr>
          <w:rFonts w:ascii="Times New Roman" w:hAnsi="Times New Roman"/>
          <w:sz w:val="24"/>
          <w:szCs w:val="24"/>
        </w:rPr>
      </w:pPr>
      <w:r>
        <w:rPr>
          <w:rFonts w:ascii="Times New Roman" w:hAnsi="Times New Roman"/>
          <w:sz w:val="24"/>
          <w:szCs w:val="24"/>
        </w:rPr>
        <w:t>Option 1</w:t>
      </w:r>
      <w:r w:rsidR="00C90BA5">
        <w:rPr>
          <w:rFonts w:ascii="Times New Roman" w:hAnsi="Times New Roman"/>
          <w:sz w:val="24"/>
          <w:szCs w:val="24"/>
        </w:rPr>
        <w:t>: no</w:t>
      </w:r>
      <w:r>
        <w:rPr>
          <w:rFonts w:ascii="Times New Roman" w:hAnsi="Times New Roman"/>
          <w:sz w:val="24"/>
          <w:szCs w:val="24"/>
        </w:rPr>
        <w:t xml:space="preserve">t requiring IRD numbers and TIN </w:t>
      </w:r>
      <w:r w:rsidR="00E93EFB">
        <w:rPr>
          <w:rFonts w:ascii="Times New Roman" w:hAnsi="Times New Roman"/>
          <w:sz w:val="24"/>
          <w:szCs w:val="24"/>
        </w:rPr>
        <w:t xml:space="preserve">numbers to be provided to LINZ </w:t>
      </w:r>
      <w:r>
        <w:rPr>
          <w:rFonts w:ascii="Times New Roman" w:hAnsi="Times New Roman"/>
          <w:sz w:val="24"/>
          <w:szCs w:val="24"/>
        </w:rPr>
        <w:t xml:space="preserve">upon sale or purchase </w:t>
      </w:r>
      <w:r w:rsidR="00ED2CEB">
        <w:rPr>
          <w:rFonts w:ascii="Times New Roman" w:hAnsi="Times New Roman"/>
          <w:sz w:val="24"/>
          <w:szCs w:val="24"/>
        </w:rPr>
        <w:t xml:space="preserve">of real property </w:t>
      </w:r>
      <w:r>
        <w:rPr>
          <w:rFonts w:ascii="Times New Roman" w:hAnsi="Times New Roman"/>
          <w:sz w:val="24"/>
          <w:szCs w:val="24"/>
        </w:rPr>
        <w:t xml:space="preserve">(the status quo and not </w:t>
      </w:r>
      <w:r w:rsidR="00C90BA5">
        <w:rPr>
          <w:rFonts w:ascii="Times New Roman" w:hAnsi="Times New Roman"/>
          <w:sz w:val="24"/>
          <w:szCs w:val="24"/>
        </w:rPr>
        <w:t>Inland Revenue’s</w:t>
      </w:r>
      <w:r>
        <w:rPr>
          <w:rFonts w:ascii="Times New Roman" w:hAnsi="Times New Roman"/>
          <w:sz w:val="24"/>
          <w:szCs w:val="24"/>
        </w:rPr>
        <w:t xml:space="preserve"> preferred option).</w:t>
      </w:r>
    </w:p>
    <w:p w:rsidR="00D20AB7" w:rsidRDefault="00D20AB7" w:rsidP="00ED2CEB">
      <w:pPr>
        <w:pStyle w:val="ListParagraph"/>
        <w:numPr>
          <w:ilvl w:val="0"/>
          <w:numId w:val="25"/>
        </w:numPr>
        <w:ind w:right="170"/>
        <w:contextualSpacing w:val="0"/>
        <w:rPr>
          <w:rFonts w:ascii="Times New Roman" w:hAnsi="Times New Roman"/>
          <w:sz w:val="24"/>
          <w:szCs w:val="24"/>
        </w:rPr>
      </w:pPr>
      <w:r>
        <w:rPr>
          <w:rFonts w:ascii="Times New Roman" w:hAnsi="Times New Roman"/>
          <w:sz w:val="24"/>
          <w:szCs w:val="24"/>
        </w:rPr>
        <w:t>Option 2</w:t>
      </w:r>
      <w:r w:rsidR="00C90BA5">
        <w:rPr>
          <w:rFonts w:ascii="Times New Roman" w:hAnsi="Times New Roman"/>
          <w:sz w:val="24"/>
          <w:szCs w:val="24"/>
        </w:rPr>
        <w:t>: r</w:t>
      </w:r>
      <w:r>
        <w:rPr>
          <w:rFonts w:ascii="Times New Roman" w:hAnsi="Times New Roman"/>
          <w:sz w:val="24"/>
          <w:szCs w:val="24"/>
        </w:rPr>
        <w:t>equiring</w:t>
      </w:r>
      <w:r w:rsidRPr="00326ABE">
        <w:rPr>
          <w:rFonts w:ascii="Times New Roman" w:hAnsi="Times New Roman"/>
          <w:sz w:val="24"/>
          <w:szCs w:val="24"/>
        </w:rPr>
        <w:t xml:space="preserve"> </w:t>
      </w:r>
      <w:r>
        <w:rPr>
          <w:rFonts w:ascii="Times New Roman" w:hAnsi="Times New Roman"/>
          <w:sz w:val="24"/>
          <w:szCs w:val="24"/>
        </w:rPr>
        <w:t>IRD numbers and TIN numbers to be provided to LINZ (and passed on to Inland Revenue) upon sale or purchase</w:t>
      </w:r>
      <w:r w:rsidRPr="00850789">
        <w:rPr>
          <w:rFonts w:ascii="Times New Roman" w:hAnsi="Times New Roman"/>
          <w:sz w:val="24"/>
          <w:szCs w:val="24"/>
        </w:rPr>
        <w:t xml:space="preserve"> </w:t>
      </w:r>
      <w:r w:rsidR="00ED2CEB">
        <w:rPr>
          <w:rFonts w:ascii="Times New Roman" w:hAnsi="Times New Roman"/>
          <w:sz w:val="24"/>
          <w:szCs w:val="24"/>
        </w:rPr>
        <w:t xml:space="preserve">of real property </w:t>
      </w:r>
      <w:r>
        <w:rPr>
          <w:rFonts w:ascii="Times New Roman" w:hAnsi="Times New Roman"/>
          <w:sz w:val="24"/>
          <w:szCs w:val="24"/>
        </w:rPr>
        <w:t>(</w:t>
      </w:r>
      <w:r w:rsidR="00C90BA5">
        <w:rPr>
          <w:rFonts w:ascii="Times New Roman" w:hAnsi="Times New Roman"/>
          <w:sz w:val="24"/>
          <w:szCs w:val="24"/>
        </w:rPr>
        <w:t>Inland Revenue’s</w:t>
      </w:r>
      <w:r>
        <w:rPr>
          <w:rFonts w:ascii="Times New Roman" w:hAnsi="Times New Roman"/>
          <w:sz w:val="24"/>
          <w:szCs w:val="24"/>
        </w:rPr>
        <w:t xml:space="preserve"> preferred option).</w:t>
      </w:r>
    </w:p>
    <w:p w:rsidR="00D20AB7" w:rsidRPr="00326ABE" w:rsidRDefault="00D20AB7" w:rsidP="00ED2CEB">
      <w:pPr>
        <w:pStyle w:val="ListParagraph"/>
        <w:numPr>
          <w:ilvl w:val="0"/>
          <w:numId w:val="25"/>
        </w:numPr>
        <w:ind w:right="170"/>
        <w:contextualSpacing w:val="0"/>
        <w:rPr>
          <w:rFonts w:ascii="Times New Roman" w:hAnsi="Times New Roman"/>
          <w:sz w:val="24"/>
          <w:szCs w:val="24"/>
        </w:rPr>
      </w:pPr>
      <w:r w:rsidRPr="00326ABE">
        <w:rPr>
          <w:rFonts w:ascii="Times New Roman" w:hAnsi="Times New Roman"/>
          <w:sz w:val="24"/>
          <w:szCs w:val="24"/>
        </w:rPr>
        <w:lastRenderedPageBreak/>
        <w:t>Option 3</w:t>
      </w:r>
      <w:r w:rsidR="00C90BA5">
        <w:rPr>
          <w:rFonts w:ascii="Times New Roman" w:hAnsi="Times New Roman"/>
          <w:sz w:val="24"/>
          <w:szCs w:val="24"/>
        </w:rPr>
        <w:t>: r</w:t>
      </w:r>
      <w:r w:rsidRPr="00326ABE">
        <w:rPr>
          <w:rFonts w:ascii="Times New Roman" w:hAnsi="Times New Roman"/>
          <w:sz w:val="24"/>
          <w:szCs w:val="24"/>
        </w:rPr>
        <w:t>equiring IRD numbers and TIN numbers to be provided to LINZ upon sale or purchase</w:t>
      </w:r>
      <w:r w:rsidR="00ED2CEB">
        <w:rPr>
          <w:rFonts w:ascii="Times New Roman" w:hAnsi="Times New Roman"/>
          <w:sz w:val="24"/>
          <w:szCs w:val="24"/>
        </w:rPr>
        <w:t xml:space="preserve"> of real property</w:t>
      </w:r>
      <w:r w:rsidR="00E93EFB">
        <w:rPr>
          <w:rFonts w:ascii="Times New Roman" w:hAnsi="Times New Roman"/>
          <w:sz w:val="24"/>
          <w:szCs w:val="24"/>
        </w:rPr>
        <w:t xml:space="preserve"> (and passed on to Inland Revenue)</w:t>
      </w:r>
      <w:r w:rsidRPr="00326ABE">
        <w:rPr>
          <w:rFonts w:ascii="Times New Roman" w:hAnsi="Times New Roman"/>
          <w:sz w:val="24"/>
          <w:szCs w:val="24"/>
        </w:rPr>
        <w:t xml:space="preserve">, with an exception in the case of purchasers for whom the property will be their main </w:t>
      </w:r>
      <w:r w:rsidR="00891979">
        <w:rPr>
          <w:rFonts w:ascii="Times New Roman" w:hAnsi="Times New Roman"/>
          <w:sz w:val="24"/>
          <w:szCs w:val="24"/>
        </w:rPr>
        <w:t>home</w:t>
      </w:r>
      <w:r>
        <w:rPr>
          <w:rFonts w:ascii="Times New Roman" w:hAnsi="Times New Roman"/>
          <w:sz w:val="24"/>
          <w:szCs w:val="24"/>
        </w:rPr>
        <w:t xml:space="preserve"> (not I</w:t>
      </w:r>
      <w:r w:rsidR="00C90BA5">
        <w:rPr>
          <w:rFonts w:ascii="Times New Roman" w:hAnsi="Times New Roman"/>
          <w:sz w:val="24"/>
          <w:szCs w:val="24"/>
        </w:rPr>
        <w:t>nland Revenue</w:t>
      </w:r>
      <w:r>
        <w:rPr>
          <w:rFonts w:ascii="Times New Roman" w:hAnsi="Times New Roman"/>
          <w:sz w:val="24"/>
          <w:szCs w:val="24"/>
        </w:rPr>
        <w:t>’s preferred option).</w:t>
      </w:r>
    </w:p>
    <w:p w:rsidR="00412CC4" w:rsidRDefault="00412CC4" w:rsidP="00ED2CEB">
      <w:pPr>
        <w:spacing w:after="0" w:line="240" w:lineRule="auto"/>
        <w:jc w:val="both"/>
        <w:rPr>
          <w:rFonts w:ascii="Times New Roman" w:hAnsi="Times New Roman"/>
          <w:sz w:val="24"/>
          <w:szCs w:val="24"/>
        </w:rPr>
      </w:pPr>
    </w:p>
    <w:p w:rsidR="00412CC4" w:rsidRPr="00A86912" w:rsidRDefault="000D3A60" w:rsidP="00ED2CEB">
      <w:pPr>
        <w:spacing w:after="0" w:line="240" w:lineRule="auto"/>
        <w:jc w:val="both"/>
        <w:rPr>
          <w:rFonts w:ascii="Times New Roman" w:hAnsi="Times New Roman"/>
          <w:b/>
          <w:i/>
          <w:sz w:val="24"/>
          <w:szCs w:val="24"/>
        </w:rPr>
      </w:pPr>
      <w:r>
        <w:rPr>
          <w:rFonts w:ascii="Times New Roman" w:hAnsi="Times New Roman"/>
          <w:b/>
          <w:i/>
          <w:sz w:val="24"/>
          <w:szCs w:val="24"/>
        </w:rPr>
        <w:t>Option 1 – S</w:t>
      </w:r>
      <w:r w:rsidR="00412CC4" w:rsidRPr="00A86912">
        <w:rPr>
          <w:rFonts w:ascii="Times New Roman" w:hAnsi="Times New Roman"/>
          <w:b/>
          <w:i/>
          <w:sz w:val="24"/>
          <w:szCs w:val="24"/>
        </w:rPr>
        <w:t>tatus quo</w:t>
      </w:r>
    </w:p>
    <w:p w:rsidR="00412CC4" w:rsidRDefault="00412CC4" w:rsidP="00ED2CEB">
      <w:pPr>
        <w:spacing w:after="0" w:line="240" w:lineRule="auto"/>
        <w:jc w:val="both"/>
        <w:rPr>
          <w:rFonts w:ascii="Times New Roman" w:hAnsi="Times New Roman"/>
          <w:sz w:val="24"/>
          <w:szCs w:val="24"/>
        </w:rPr>
      </w:pPr>
    </w:p>
    <w:p w:rsidR="00D20AB7" w:rsidRDefault="00412CC4" w:rsidP="00ED2CEB">
      <w:pPr>
        <w:spacing w:after="0" w:line="240" w:lineRule="auto"/>
        <w:jc w:val="both"/>
        <w:rPr>
          <w:rFonts w:ascii="Times New Roman" w:hAnsi="Times New Roman"/>
          <w:sz w:val="24"/>
          <w:szCs w:val="24"/>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sidR="001C6AFF">
        <w:rPr>
          <w:rFonts w:ascii="Times New Roman" w:hAnsi="Times New Roman"/>
          <w:sz w:val="24"/>
          <w:szCs w:val="24"/>
        </w:rPr>
        <w:t xml:space="preserve">Under </w:t>
      </w:r>
      <w:r w:rsidR="00864A97">
        <w:rPr>
          <w:rFonts w:ascii="Times New Roman" w:hAnsi="Times New Roman"/>
          <w:sz w:val="24"/>
          <w:szCs w:val="24"/>
        </w:rPr>
        <w:t>the status quo</w:t>
      </w:r>
      <w:r w:rsidR="000D3A60">
        <w:rPr>
          <w:rFonts w:ascii="Times New Roman" w:hAnsi="Times New Roman"/>
          <w:sz w:val="24"/>
          <w:szCs w:val="24"/>
        </w:rPr>
        <w:t xml:space="preserve"> </w:t>
      </w:r>
      <w:r w:rsidR="00D20AB7">
        <w:rPr>
          <w:rFonts w:ascii="Times New Roman" w:hAnsi="Times New Roman"/>
          <w:sz w:val="24"/>
          <w:szCs w:val="24"/>
        </w:rPr>
        <w:t xml:space="preserve">IRD numbers and TIN numbers </w:t>
      </w:r>
      <w:r w:rsidR="00C90BA5">
        <w:rPr>
          <w:rFonts w:ascii="Times New Roman" w:hAnsi="Times New Roman"/>
          <w:sz w:val="24"/>
          <w:szCs w:val="24"/>
        </w:rPr>
        <w:t>do</w:t>
      </w:r>
      <w:r w:rsidR="00D20AB7">
        <w:rPr>
          <w:rFonts w:ascii="Times New Roman" w:hAnsi="Times New Roman"/>
          <w:sz w:val="24"/>
          <w:szCs w:val="24"/>
        </w:rPr>
        <w:t xml:space="preserve"> not need to be provided to LINZ (and passed on to Inland Revenue) upon sale or purchase</w:t>
      </w:r>
      <w:r w:rsidR="00ED2CEB">
        <w:rPr>
          <w:rFonts w:ascii="Times New Roman" w:hAnsi="Times New Roman"/>
          <w:sz w:val="24"/>
          <w:szCs w:val="24"/>
        </w:rPr>
        <w:t xml:space="preserve"> of real property</w:t>
      </w:r>
      <w:r w:rsidR="00D20AB7">
        <w:rPr>
          <w:rFonts w:ascii="Times New Roman" w:hAnsi="Times New Roman"/>
          <w:sz w:val="24"/>
          <w:szCs w:val="24"/>
        </w:rPr>
        <w:t>.</w:t>
      </w:r>
    </w:p>
    <w:p w:rsidR="00C90BA5" w:rsidRDefault="00C90BA5" w:rsidP="00ED2CEB">
      <w:pPr>
        <w:spacing w:after="0" w:line="240" w:lineRule="auto"/>
        <w:jc w:val="both"/>
        <w:rPr>
          <w:rFonts w:ascii="Times New Roman" w:hAnsi="Times New Roman"/>
          <w:sz w:val="24"/>
          <w:szCs w:val="24"/>
        </w:rPr>
      </w:pPr>
    </w:p>
    <w:p w:rsidR="006401BB" w:rsidRDefault="00D20AB7" w:rsidP="00E93EFB">
      <w:pPr>
        <w:spacing w:after="0" w:line="240" w:lineRule="auto"/>
        <w:jc w:val="both"/>
        <w:rPr>
          <w:rFonts w:ascii="Times New Roman" w:hAnsi="Times New Roman"/>
          <w:sz w:val="24"/>
          <w:szCs w:val="24"/>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Pr>
          <w:rFonts w:ascii="Times New Roman" w:hAnsi="Times New Roman"/>
          <w:sz w:val="24"/>
          <w:szCs w:val="24"/>
        </w:rPr>
        <w:t>The Commissioner of Inland Revenue is able to obtain information about property sales from LINZ under her existing powers, but the taxpayer and the property transaction are not always clearly linked, which can make enforcement more difficult.</w:t>
      </w:r>
    </w:p>
    <w:p w:rsidR="006401BB" w:rsidRDefault="006401BB" w:rsidP="00E93EFB">
      <w:pPr>
        <w:spacing w:after="0" w:line="240" w:lineRule="auto"/>
        <w:jc w:val="both"/>
        <w:rPr>
          <w:rFonts w:ascii="Times New Roman" w:hAnsi="Times New Roman"/>
          <w:sz w:val="24"/>
          <w:szCs w:val="24"/>
        </w:rPr>
      </w:pPr>
    </w:p>
    <w:p w:rsidR="006401BB" w:rsidRDefault="006401BB" w:rsidP="00E93EFB">
      <w:pPr>
        <w:spacing w:after="0" w:line="240" w:lineRule="auto"/>
        <w:jc w:val="both"/>
        <w:rPr>
          <w:rFonts w:ascii="Times New Roman" w:hAnsi="Times New Roman"/>
          <w:sz w:val="24"/>
          <w:szCs w:val="24"/>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sidRPr="00E93EFB">
        <w:rPr>
          <w:rFonts w:ascii="Times New Roman" w:hAnsi="Times New Roman"/>
          <w:sz w:val="24"/>
          <w:szCs w:val="24"/>
        </w:rPr>
        <w:t xml:space="preserve">The problems with current enforcement would be exacerbated once the new </w:t>
      </w:r>
      <w:proofErr w:type="spellStart"/>
      <w:r w:rsidRPr="00E93EFB">
        <w:rPr>
          <w:rFonts w:ascii="Times New Roman" w:hAnsi="Times New Roman"/>
          <w:sz w:val="24"/>
          <w:szCs w:val="24"/>
        </w:rPr>
        <w:t>brightline</w:t>
      </w:r>
      <w:proofErr w:type="spellEnd"/>
      <w:r w:rsidRPr="00E93EFB">
        <w:rPr>
          <w:rFonts w:ascii="Times New Roman" w:hAnsi="Times New Roman"/>
          <w:sz w:val="24"/>
          <w:szCs w:val="24"/>
        </w:rPr>
        <w:t xml:space="preserve"> rules have been introduced if the status quo is retained. This is because taxpayers will be liable for tax in relation to the sale of their property in a wider range of circumstances, but Inland Revenue would have to rely on other tools to address enforcement issues.</w:t>
      </w:r>
    </w:p>
    <w:p w:rsidR="006401BB" w:rsidRDefault="006401BB" w:rsidP="00E93EFB">
      <w:pPr>
        <w:spacing w:after="0" w:line="240" w:lineRule="auto"/>
        <w:jc w:val="both"/>
        <w:rPr>
          <w:rFonts w:ascii="Times New Roman" w:hAnsi="Times New Roman"/>
          <w:sz w:val="24"/>
          <w:szCs w:val="24"/>
        </w:rPr>
      </w:pPr>
    </w:p>
    <w:p w:rsidR="006401BB" w:rsidRPr="00E93EFB" w:rsidRDefault="006401BB" w:rsidP="00ED2CEB">
      <w:pPr>
        <w:spacing w:after="0" w:line="240" w:lineRule="auto"/>
        <w:jc w:val="both"/>
        <w:rPr>
          <w:rFonts w:ascii="Times New Roman" w:hAnsi="Times New Roman"/>
          <w:sz w:val="24"/>
          <w:szCs w:val="24"/>
        </w:rPr>
      </w:pPr>
      <w:r w:rsidRPr="00E93EFB">
        <w:rPr>
          <w:rFonts w:ascii="Times New Roman" w:hAnsi="Times New Roman"/>
          <w:sz w:val="24"/>
          <w:szCs w:val="24"/>
          <w:lang w:val="en-NZ"/>
        </w:rPr>
        <w:fldChar w:fldCharType="begin"/>
      </w:r>
      <w:r w:rsidRPr="006401BB">
        <w:rPr>
          <w:rFonts w:ascii="Times New Roman" w:hAnsi="Times New Roman"/>
          <w:sz w:val="24"/>
          <w:szCs w:val="24"/>
          <w:lang w:val="en-NZ"/>
        </w:rPr>
        <w:instrText xml:space="preserve"> AUTONUM  </w:instrText>
      </w:r>
      <w:r w:rsidRPr="00E93EFB">
        <w:rPr>
          <w:rFonts w:ascii="Times New Roman" w:hAnsi="Times New Roman"/>
          <w:sz w:val="24"/>
          <w:szCs w:val="24"/>
        </w:rPr>
        <w:fldChar w:fldCharType="end"/>
      </w:r>
      <w:r w:rsidRPr="006401BB">
        <w:rPr>
          <w:rFonts w:ascii="Times New Roman" w:hAnsi="Times New Roman"/>
          <w:sz w:val="24"/>
          <w:szCs w:val="24"/>
          <w:lang w:val="en-NZ"/>
        </w:rPr>
        <w:tab/>
      </w:r>
      <w:r w:rsidRPr="00E93EFB">
        <w:rPr>
          <w:rFonts w:ascii="Times New Roman" w:hAnsi="Times New Roman"/>
          <w:sz w:val="24"/>
          <w:szCs w:val="24"/>
        </w:rPr>
        <w:t>Potentially less N</w:t>
      </w:r>
      <w:r w:rsidR="00E93EFB">
        <w:rPr>
          <w:rFonts w:ascii="Times New Roman" w:hAnsi="Times New Roman"/>
          <w:sz w:val="24"/>
          <w:szCs w:val="24"/>
        </w:rPr>
        <w:t xml:space="preserve">ew </w:t>
      </w:r>
      <w:r w:rsidRPr="00E93EFB">
        <w:rPr>
          <w:rFonts w:ascii="Times New Roman" w:hAnsi="Times New Roman"/>
          <w:sz w:val="24"/>
          <w:szCs w:val="24"/>
        </w:rPr>
        <w:t>Z</w:t>
      </w:r>
      <w:r w:rsidR="00E93EFB">
        <w:rPr>
          <w:rFonts w:ascii="Times New Roman" w:hAnsi="Times New Roman"/>
          <w:sz w:val="24"/>
          <w:szCs w:val="24"/>
        </w:rPr>
        <w:t>ealand</w:t>
      </w:r>
      <w:r w:rsidRPr="00E93EFB">
        <w:rPr>
          <w:rFonts w:ascii="Times New Roman" w:hAnsi="Times New Roman"/>
          <w:sz w:val="24"/>
          <w:szCs w:val="24"/>
        </w:rPr>
        <w:t xml:space="preserve"> tax revenue is collected as a result of information about the taxpayer and the property transaction not always </w:t>
      </w:r>
      <w:r w:rsidR="00E93EFB">
        <w:rPr>
          <w:rFonts w:ascii="Times New Roman" w:hAnsi="Times New Roman"/>
          <w:sz w:val="24"/>
          <w:szCs w:val="24"/>
        </w:rPr>
        <w:t xml:space="preserve">being </w:t>
      </w:r>
      <w:r w:rsidRPr="00E93EFB">
        <w:rPr>
          <w:rFonts w:ascii="Times New Roman" w:hAnsi="Times New Roman"/>
          <w:sz w:val="24"/>
          <w:szCs w:val="24"/>
        </w:rPr>
        <w:t>clearly linked.  To the extent that this enables tax evasion, this could make property investment more attractive than other forms of investment.</w:t>
      </w:r>
    </w:p>
    <w:p w:rsidR="006401BB" w:rsidRPr="00E93EFB" w:rsidRDefault="006401BB" w:rsidP="00ED2CEB">
      <w:pPr>
        <w:spacing w:after="0" w:line="240" w:lineRule="auto"/>
        <w:jc w:val="both"/>
        <w:rPr>
          <w:rFonts w:ascii="Times New Roman" w:hAnsi="Times New Roman"/>
          <w:sz w:val="24"/>
          <w:szCs w:val="24"/>
        </w:rPr>
      </w:pPr>
    </w:p>
    <w:p w:rsidR="006401BB" w:rsidRPr="00E93EFB" w:rsidRDefault="006401BB" w:rsidP="00ED2CEB">
      <w:pPr>
        <w:spacing w:after="0" w:line="240" w:lineRule="auto"/>
        <w:jc w:val="both"/>
        <w:rPr>
          <w:rFonts w:ascii="Times New Roman" w:hAnsi="Times New Roman"/>
          <w:sz w:val="24"/>
          <w:szCs w:val="24"/>
        </w:rPr>
      </w:pPr>
      <w:r w:rsidRPr="00E93EFB">
        <w:rPr>
          <w:rFonts w:ascii="Times New Roman" w:hAnsi="Times New Roman"/>
          <w:sz w:val="24"/>
          <w:szCs w:val="24"/>
          <w:lang w:val="en-NZ"/>
        </w:rPr>
        <w:fldChar w:fldCharType="begin"/>
      </w:r>
      <w:r w:rsidRPr="006401BB">
        <w:rPr>
          <w:rFonts w:ascii="Times New Roman" w:hAnsi="Times New Roman"/>
          <w:sz w:val="24"/>
          <w:szCs w:val="24"/>
          <w:lang w:val="en-NZ"/>
        </w:rPr>
        <w:instrText xml:space="preserve"> AUTONUM  </w:instrText>
      </w:r>
      <w:r w:rsidRPr="00E93EFB">
        <w:rPr>
          <w:rFonts w:ascii="Times New Roman" w:hAnsi="Times New Roman"/>
          <w:sz w:val="24"/>
          <w:szCs w:val="24"/>
        </w:rPr>
        <w:fldChar w:fldCharType="end"/>
      </w:r>
      <w:r w:rsidRPr="006401BB">
        <w:rPr>
          <w:rFonts w:ascii="Times New Roman" w:hAnsi="Times New Roman"/>
          <w:sz w:val="24"/>
          <w:szCs w:val="24"/>
          <w:lang w:val="en-NZ"/>
        </w:rPr>
        <w:tab/>
      </w:r>
      <w:r w:rsidRPr="00E93EFB">
        <w:rPr>
          <w:rFonts w:ascii="Times New Roman" w:hAnsi="Times New Roman"/>
          <w:sz w:val="24"/>
          <w:szCs w:val="24"/>
        </w:rPr>
        <w:t>To the extent that foreign tax jurisdictions cannot link the taxpayer and the N</w:t>
      </w:r>
      <w:r w:rsidR="00ED2CEB">
        <w:rPr>
          <w:rFonts w:ascii="Times New Roman" w:hAnsi="Times New Roman"/>
          <w:sz w:val="24"/>
          <w:szCs w:val="24"/>
        </w:rPr>
        <w:t xml:space="preserve">ew </w:t>
      </w:r>
      <w:r w:rsidRPr="00E93EFB">
        <w:rPr>
          <w:rFonts w:ascii="Times New Roman" w:hAnsi="Times New Roman"/>
          <w:sz w:val="24"/>
          <w:szCs w:val="24"/>
        </w:rPr>
        <w:t>Z</w:t>
      </w:r>
      <w:r w:rsidR="00ED2CEB">
        <w:rPr>
          <w:rFonts w:ascii="Times New Roman" w:hAnsi="Times New Roman"/>
          <w:sz w:val="24"/>
          <w:szCs w:val="24"/>
        </w:rPr>
        <w:t>ealand</w:t>
      </w:r>
      <w:r w:rsidRPr="00E93EFB">
        <w:rPr>
          <w:rFonts w:ascii="Times New Roman" w:hAnsi="Times New Roman"/>
          <w:sz w:val="24"/>
          <w:szCs w:val="24"/>
        </w:rPr>
        <w:t xml:space="preserve"> property transaction, the foreign taxpayer may be evading foreign tax (for example, a capital gains tax) in their home country. If they are evading their home country’s tax on their N</w:t>
      </w:r>
      <w:r w:rsidR="00ED2CEB">
        <w:rPr>
          <w:rFonts w:ascii="Times New Roman" w:hAnsi="Times New Roman"/>
          <w:sz w:val="24"/>
          <w:szCs w:val="24"/>
        </w:rPr>
        <w:t xml:space="preserve">ew </w:t>
      </w:r>
      <w:r w:rsidRPr="00E93EFB">
        <w:rPr>
          <w:rFonts w:ascii="Times New Roman" w:hAnsi="Times New Roman"/>
          <w:sz w:val="24"/>
          <w:szCs w:val="24"/>
        </w:rPr>
        <w:t>Z</w:t>
      </w:r>
      <w:r w:rsidR="00ED2CEB">
        <w:rPr>
          <w:rFonts w:ascii="Times New Roman" w:hAnsi="Times New Roman"/>
          <w:sz w:val="24"/>
          <w:szCs w:val="24"/>
        </w:rPr>
        <w:t>ealand</w:t>
      </w:r>
      <w:r w:rsidRPr="00E93EFB">
        <w:rPr>
          <w:rFonts w:ascii="Times New Roman" w:hAnsi="Times New Roman"/>
          <w:sz w:val="24"/>
          <w:szCs w:val="24"/>
        </w:rPr>
        <w:t xml:space="preserve"> property transactions, this could make it cheaper and more attractive for non-residents to invest in New Zealand property.</w:t>
      </w:r>
    </w:p>
    <w:p w:rsidR="006401BB" w:rsidRPr="00E93EFB" w:rsidRDefault="006401BB" w:rsidP="00ED2CEB">
      <w:pPr>
        <w:spacing w:after="0" w:line="240" w:lineRule="auto"/>
        <w:jc w:val="both"/>
        <w:rPr>
          <w:rFonts w:ascii="Times New Roman" w:hAnsi="Times New Roman"/>
          <w:sz w:val="24"/>
          <w:szCs w:val="24"/>
        </w:rPr>
      </w:pPr>
    </w:p>
    <w:p w:rsidR="006401BB" w:rsidRPr="006401BB" w:rsidRDefault="006401BB" w:rsidP="00E93EFB">
      <w:pPr>
        <w:spacing w:after="0" w:line="240" w:lineRule="auto"/>
        <w:jc w:val="both"/>
        <w:rPr>
          <w:rFonts w:ascii="Times New Roman" w:hAnsi="Times New Roman"/>
          <w:sz w:val="24"/>
          <w:szCs w:val="24"/>
        </w:rPr>
      </w:pPr>
      <w:r w:rsidRPr="00E93EFB">
        <w:rPr>
          <w:rFonts w:ascii="Times New Roman" w:hAnsi="Times New Roman"/>
          <w:sz w:val="24"/>
          <w:szCs w:val="24"/>
          <w:lang w:val="en-NZ"/>
        </w:rPr>
        <w:fldChar w:fldCharType="begin"/>
      </w:r>
      <w:r w:rsidRPr="00E93EFB">
        <w:rPr>
          <w:rFonts w:ascii="Times New Roman" w:hAnsi="Times New Roman"/>
          <w:sz w:val="24"/>
          <w:szCs w:val="24"/>
          <w:lang w:val="en-NZ"/>
        </w:rPr>
        <w:instrText xml:space="preserve"> AUTONUM  </w:instrText>
      </w:r>
      <w:r w:rsidRPr="00E93EFB">
        <w:rPr>
          <w:rFonts w:ascii="Times New Roman" w:hAnsi="Times New Roman"/>
          <w:sz w:val="24"/>
          <w:szCs w:val="24"/>
        </w:rPr>
        <w:fldChar w:fldCharType="end"/>
      </w:r>
      <w:r w:rsidRPr="00E93EFB">
        <w:rPr>
          <w:rFonts w:ascii="Times New Roman" w:hAnsi="Times New Roman"/>
          <w:sz w:val="24"/>
          <w:szCs w:val="24"/>
          <w:lang w:val="en-NZ"/>
        </w:rPr>
        <w:tab/>
      </w:r>
      <w:r w:rsidRPr="00E93EFB">
        <w:rPr>
          <w:rFonts w:ascii="Times New Roman" w:hAnsi="Times New Roman"/>
          <w:sz w:val="24"/>
          <w:szCs w:val="24"/>
        </w:rPr>
        <w:t>These effects are not quantifiable</w:t>
      </w:r>
      <w:r w:rsidR="00014499">
        <w:rPr>
          <w:rFonts w:ascii="Times New Roman" w:hAnsi="Times New Roman"/>
          <w:sz w:val="24"/>
          <w:szCs w:val="24"/>
        </w:rPr>
        <w:t xml:space="preserve"> as we do not have sufficient information about the problem</w:t>
      </w:r>
      <w:r w:rsidRPr="00E93EFB">
        <w:rPr>
          <w:rFonts w:ascii="Times New Roman" w:hAnsi="Times New Roman"/>
          <w:sz w:val="24"/>
          <w:szCs w:val="24"/>
        </w:rPr>
        <w:t>.</w:t>
      </w:r>
    </w:p>
    <w:p w:rsidR="00D20AB7" w:rsidRDefault="00D20AB7" w:rsidP="00ED2CEB">
      <w:pPr>
        <w:spacing w:after="0" w:line="240" w:lineRule="auto"/>
        <w:jc w:val="both"/>
        <w:rPr>
          <w:rFonts w:ascii="Times New Roman" w:hAnsi="Times New Roman"/>
          <w:sz w:val="24"/>
          <w:szCs w:val="24"/>
        </w:rPr>
      </w:pPr>
    </w:p>
    <w:p w:rsidR="000D3A60" w:rsidRPr="000D3A60" w:rsidRDefault="000D3A60" w:rsidP="00ED2CEB">
      <w:pPr>
        <w:spacing w:after="0" w:line="240" w:lineRule="auto"/>
        <w:jc w:val="both"/>
        <w:rPr>
          <w:rFonts w:ascii="Times New Roman" w:hAnsi="Times New Roman"/>
          <w:sz w:val="24"/>
          <w:szCs w:val="24"/>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Pr>
          <w:rFonts w:ascii="Times New Roman" w:hAnsi="Times New Roman"/>
          <w:sz w:val="24"/>
          <w:szCs w:val="24"/>
        </w:rPr>
        <w:t xml:space="preserve">This option </w:t>
      </w:r>
      <w:r w:rsidR="00D20AB7">
        <w:rPr>
          <w:rFonts w:ascii="Times New Roman" w:hAnsi="Times New Roman"/>
          <w:sz w:val="24"/>
          <w:szCs w:val="24"/>
        </w:rPr>
        <w:t xml:space="preserve">is </w:t>
      </w:r>
      <w:r>
        <w:rPr>
          <w:rFonts w:ascii="Times New Roman" w:hAnsi="Times New Roman"/>
          <w:sz w:val="24"/>
          <w:szCs w:val="24"/>
        </w:rPr>
        <w:t>Inland Revenue</w:t>
      </w:r>
      <w:r w:rsidR="00441F6D">
        <w:rPr>
          <w:rFonts w:ascii="Times New Roman" w:hAnsi="Times New Roman"/>
          <w:sz w:val="24"/>
          <w:szCs w:val="24"/>
        </w:rPr>
        <w:t>’s least preferred option</w:t>
      </w:r>
      <w:r>
        <w:rPr>
          <w:rFonts w:ascii="Times New Roman" w:hAnsi="Times New Roman"/>
          <w:sz w:val="24"/>
          <w:szCs w:val="24"/>
        </w:rPr>
        <w:t xml:space="preserve">.  </w:t>
      </w:r>
    </w:p>
    <w:p w:rsidR="001C6AFF" w:rsidRDefault="001C6AFF" w:rsidP="00ED2CEB">
      <w:pPr>
        <w:spacing w:after="0" w:line="240" w:lineRule="auto"/>
        <w:jc w:val="both"/>
        <w:rPr>
          <w:rFonts w:ascii="Times New Roman" w:hAnsi="Times New Roman"/>
          <w:sz w:val="24"/>
          <w:szCs w:val="24"/>
        </w:rPr>
      </w:pPr>
    </w:p>
    <w:p w:rsidR="009A02B9" w:rsidRPr="00AF62BF" w:rsidRDefault="009A02B9" w:rsidP="00ED2CEB">
      <w:pPr>
        <w:spacing w:after="0" w:line="240" w:lineRule="auto"/>
        <w:jc w:val="both"/>
        <w:rPr>
          <w:rFonts w:ascii="Times New Roman" w:hAnsi="Times New Roman"/>
          <w:b/>
          <w:i/>
          <w:sz w:val="24"/>
          <w:szCs w:val="24"/>
        </w:rPr>
      </w:pPr>
      <w:r w:rsidRPr="00AF62BF">
        <w:rPr>
          <w:rFonts w:ascii="Times New Roman" w:hAnsi="Times New Roman"/>
          <w:b/>
          <w:i/>
          <w:sz w:val="24"/>
          <w:szCs w:val="24"/>
        </w:rPr>
        <w:t xml:space="preserve">Option 2 – </w:t>
      </w:r>
      <w:r w:rsidR="00D20AB7" w:rsidRPr="00AF62BF">
        <w:rPr>
          <w:rFonts w:ascii="Times New Roman" w:hAnsi="Times New Roman"/>
          <w:b/>
          <w:i/>
          <w:sz w:val="24"/>
          <w:szCs w:val="24"/>
        </w:rPr>
        <w:t>Requiring IRD numbers and TIN to be provided to LINZ</w:t>
      </w:r>
    </w:p>
    <w:p w:rsidR="009A02B9" w:rsidRDefault="009A02B9" w:rsidP="00ED2CEB">
      <w:pPr>
        <w:spacing w:after="0" w:line="240" w:lineRule="auto"/>
        <w:jc w:val="both"/>
        <w:rPr>
          <w:rFonts w:ascii="Times New Roman" w:hAnsi="Times New Roman"/>
          <w:sz w:val="24"/>
          <w:szCs w:val="24"/>
        </w:rPr>
      </w:pPr>
    </w:p>
    <w:p w:rsidR="00AF62BF" w:rsidRDefault="009A02B9" w:rsidP="00ED2CEB">
      <w:pPr>
        <w:spacing w:after="140"/>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Pr>
          <w:rFonts w:ascii="Times New Roman" w:hAnsi="Times New Roman"/>
          <w:sz w:val="24"/>
          <w:szCs w:val="24"/>
        </w:rPr>
        <w:t>Under this option</w:t>
      </w:r>
      <w:r w:rsidR="00C90BA5">
        <w:rPr>
          <w:rFonts w:ascii="Times New Roman" w:hAnsi="Times New Roman"/>
          <w:sz w:val="24"/>
          <w:szCs w:val="24"/>
        </w:rPr>
        <w:t>,</w:t>
      </w:r>
      <w:r w:rsidR="00DC6C38">
        <w:rPr>
          <w:rFonts w:ascii="Times New Roman" w:hAnsi="Times New Roman"/>
          <w:sz w:val="24"/>
          <w:szCs w:val="24"/>
        </w:rPr>
        <w:t xml:space="preserve"> the </w:t>
      </w:r>
      <w:r w:rsidR="00AF62BF">
        <w:rPr>
          <w:rFonts w:ascii="Times New Roman" w:hAnsi="Times New Roman"/>
          <w:sz w:val="24"/>
          <w:szCs w:val="24"/>
        </w:rPr>
        <w:t xml:space="preserve">Tax Administration Act </w:t>
      </w:r>
      <w:r w:rsidR="00C90BA5">
        <w:rPr>
          <w:rFonts w:ascii="Times New Roman" w:hAnsi="Times New Roman"/>
          <w:sz w:val="24"/>
          <w:szCs w:val="24"/>
        </w:rPr>
        <w:t xml:space="preserve">1994 </w:t>
      </w:r>
      <w:r w:rsidR="00AF62BF">
        <w:rPr>
          <w:rFonts w:ascii="Times New Roman" w:hAnsi="Times New Roman"/>
          <w:sz w:val="24"/>
          <w:szCs w:val="24"/>
        </w:rPr>
        <w:t xml:space="preserve">and the </w:t>
      </w:r>
      <w:r w:rsidR="00D20AB7">
        <w:rPr>
          <w:rFonts w:ascii="Times New Roman" w:hAnsi="Times New Roman"/>
          <w:sz w:val="24"/>
          <w:szCs w:val="24"/>
        </w:rPr>
        <w:t>Land Transfer Act</w:t>
      </w:r>
      <w:r w:rsidR="00DC6C38">
        <w:rPr>
          <w:rFonts w:ascii="Times New Roman" w:hAnsi="Times New Roman"/>
          <w:sz w:val="24"/>
          <w:szCs w:val="24"/>
        </w:rPr>
        <w:t xml:space="preserve"> </w:t>
      </w:r>
      <w:r w:rsidR="00D20AB7">
        <w:rPr>
          <w:rFonts w:ascii="Times New Roman" w:hAnsi="Times New Roman"/>
          <w:sz w:val="24"/>
          <w:szCs w:val="24"/>
        </w:rPr>
        <w:t>1952</w:t>
      </w:r>
      <w:r w:rsidR="00DC6C38">
        <w:rPr>
          <w:rFonts w:ascii="Times New Roman" w:hAnsi="Times New Roman"/>
          <w:sz w:val="24"/>
          <w:szCs w:val="24"/>
        </w:rPr>
        <w:t xml:space="preserve"> would be amended to </w:t>
      </w:r>
      <w:r w:rsidR="00AF62BF">
        <w:rPr>
          <w:rFonts w:ascii="Times New Roman" w:hAnsi="Times New Roman"/>
          <w:sz w:val="24"/>
          <w:szCs w:val="24"/>
        </w:rPr>
        <w:t xml:space="preserve">require </w:t>
      </w:r>
      <w:r w:rsidR="00AF62BF" w:rsidRPr="007C050D">
        <w:rPr>
          <w:rFonts w:ascii="Times New Roman" w:hAnsi="Times New Roman"/>
          <w:sz w:val="24"/>
          <w:szCs w:val="24"/>
        </w:rPr>
        <w:t xml:space="preserve">all parties to a property transaction </w:t>
      </w:r>
      <w:r w:rsidR="00F01EF1">
        <w:rPr>
          <w:rFonts w:ascii="Times New Roman" w:hAnsi="Times New Roman"/>
          <w:sz w:val="24"/>
          <w:szCs w:val="24"/>
        </w:rPr>
        <w:t>to</w:t>
      </w:r>
      <w:r w:rsidR="00AF62BF" w:rsidRPr="007C050D">
        <w:rPr>
          <w:rFonts w:ascii="Times New Roman" w:hAnsi="Times New Roman"/>
          <w:sz w:val="24"/>
          <w:szCs w:val="24"/>
        </w:rPr>
        <w:t xml:space="preserve"> have an IRD number and</w:t>
      </w:r>
      <w:r w:rsidR="00F01EF1">
        <w:rPr>
          <w:rFonts w:ascii="Times New Roman" w:hAnsi="Times New Roman"/>
          <w:sz w:val="24"/>
          <w:szCs w:val="24"/>
        </w:rPr>
        <w:t xml:space="preserve"> to</w:t>
      </w:r>
      <w:r w:rsidR="00AF62BF" w:rsidRPr="007C050D">
        <w:rPr>
          <w:rFonts w:ascii="Times New Roman" w:hAnsi="Times New Roman"/>
          <w:sz w:val="24"/>
          <w:szCs w:val="24"/>
        </w:rPr>
        <w:t xml:space="preserve"> provide that number to </w:t>
      </w:r>
      <w:r w:rsidR="00F01EF1">
        <w:rPr>
          <w:rFonts w:ascii="Times New Roman" w:hAnsi="Times New Roman"/>
          <w:sz w:val="24"/>
          <w:szCs w:val="24"/>
        </w:rPr>
        <w:t>LINZ</w:t>
      </w:r>
      <w:r w:rsidR="00AF62BF" w:rsidRPr="007C050D">
        <w:rPr>
          <w:rFonts w:ascii="Times New Roman" w:hAnsi="Times New Roman"/>
          <w:sz w:val="24"/>
          <w:szCs w:val="24"/>
        </w:rPr>
        <w:t xml:space="preserve"> before the sale and purchase transaction can proceed. Where the person is currently a tax resident of another country, they will also be required to provide the TIN issued to them by the tax authority of that other country</w:t>
      </w:r>
      <w:r w:rsidR="00177C54">
        <w:rPr>
          <w:rFonts w:ascii="Times New Roman" w:hAnsi="Times New Roman"/>
          <w:sz w:val="24"/>
          <w:szCs w:val="24"/>
        </w:rPr>
        <w:t>, and the relevant country code</w:t>
      </w:r>
      <w:r w:rsidR="00AF62BF" w:rsidRPr="007C050D">
        <w:rPr>
          <w:rFonts w:ascii="Times New Roman" w:hAnsi="Times New Roman"/>
          <w:sz w:val="24"/>
          <w:szCs w:val="24"/>
        </w:rPr>
        <w:t xml:space="preserve">. </w:t>
      </w:r>
      <w:r w:rsidR="00AF62BF">
        <w:rPr>
          <w:rFonts w:ascii="Times New Roman" w:hAnsi="Times New Roman"/>
          <w:sz w:val="24"/>
          <w:szCs w:val="24"/>
        </w:rPr>
        <w:t xml:space="preserve">This information will be supplied to Inland Revenue for the enforcement of any tax liabilities that may arise. </w:t>
      </w:r>
      <w:r w:rsidR="00AF62BF" w:rsidRPr="007C050D">
        <w:rPr>
          <w:rFonts w:ascii="Times New Roman" w:hAnsi="Times New Roman"/>
          <w:sz w:val="24"/>
          <w:szCs w:val="24"/>
        </w:rPr>
        <w:t xml:space="preserve">Inland Revenue may </w:t>
      </w:r>
      <w:r w:rsidR="00AF62BF">
        <w:rPr>
          <w:rFonts w:ascii="Times New Roman" w:hAnsi="Times New Roman"/>
          <w:sz w:val="24"/>
          <w:szCs w:val="24"/>
        </w:rPr>
        <w:t>also</w:t>
      </w:r>
      <w:r w:rsidR="00AF62BF" w:rsidRPr="007C050D">
        <w:rPr>
          <w:rFonts w:ascii="Times New Roman" w:hAnsi="Times New Roman"/>
          <w:sz w:val="24"/>
          <w:szCs w:val="24"/>
        </w:rPr>
        <w:t xml:space="preserve"> </w:t>
      </w:r>
      <w:r w:rsidR="00AF62BF">
        <w:rPr>
          <w:rFonts w:ascii="Times New Roman" w:hAnsi="Times New Roman"/>
          <w:sz w:val="24"/>
          <w:szCs w:val="24"/>
        </w:rPr>
        <w:t>supply the information</w:t>
      </w:r>
      <w:r w:rsidR="00AF62BF" w:rsidRPr="007C050D">
        <w:rPr>
          <w:rFonts w:ascii="Times New Roman" w:hAnsi="Times New Roman"/>
          <w:sz w:val="24"/>
          <w:szCs w:val="24"/>
        </w:rPr>
        <w:t xml:space="preserve"> to overseas tax authorities along with details of the sale and/or purchase transaction</w:t>
      </w:r>
      <w:r w:rsidR="00AF62BF">
        <w:rPr>
          <w:rFonts w:ascii="Times New Roman" w:hAnsi="Times New Roman"/>
          <w:sz w:val="24"/>
          <w:szCs w:val="24"/>
        </w:rPr>
        <w:t>,</w:t>
      </w:r>
      <w:r w:rsidR="00AF62BF" w:rsidRPr="007C050D">
        <w:rPr>
          <w:rFonts w:ascii="Times New Roman" w:hAnsi="Times New Roman"/>
          <w:sz w:val="24"/>
          <w:szCs w:val="24"/>
        </w:rPr>
        <w:t xml:space="preserve"> in accordance with existing New Zealand legislation (including our tax treaties).</w:t>
      </w:r>
    </w:p>
    <w:p w:rsidR="00A057FA" w:rsidRDefault="00AF62BF" w:rsidP="00ED2CEB">
      <w:pPr>
        <w:pStyle w:val="ListParagraph"/>
        <w:ind w:left="0" w:right="170"/>
        <w:contextualSpacing w:val="0"/>
        <w:rPr>
          <w:rFonts w:ascii="Times New Roman" w:hAnsi="Times New Roman"/>
          <w:sz w:val="24"/>
          <w:szCs w:val="24"/>
        </w:rPr>
      </w:pPr>
      <w:r w:rsidRPr="009A02B9">
        <w:rPr>
          <w:rFonts w:ascii="Times New Roman" w:hAnsi="Times New Roman"/>
          <w:sz w:val="24"/>
          <w:szCs w:val="24"/>
        </w:rPr>
        <w:fldChar w:fldCharType="begin"/>
      </w:r>
      <w:r w:rsidRPr="009A02B9">
        <w:rPr>
          <w:rFonts w:ascii="Times New Roman" w:hAnsi="Times New Roman"/>
          <w:sz w:val="24"/>
          <w:szCs w:val="24"/>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rPr>
        <w:tab/>
      </w:r>
      <w:r>
        <w:rPr>
          <w:rFonts w:ascii="Times New Roman" w:hAnsi="Times New Roman"/>
          <w:sz w:val="24"/>
          <w:szCs w:val="24"/>
        </w:rPr>
        <w:t xml:space="preserve">Inland Revenue expects that option </w:t>
      </w:r>
      <w:r w:rsidR="00F01EF1">
        <w:rPr>
          <w:rFonts w:ascii="Times New Roman" w:hAnsi="Times New Roman"/>
          <w:sz w:val="24"/>
          <w:szCs w:val="24"/>
        </w:rPr>
        <w:t>2</w:t>
      </w:r>
      <w:r>
        <w:rPr>
          <w:rFonts w:ascii="Times New Roman" w:hAnsi="Times New Roman"/>
          <w:sz w:val="24"/>
          <w:szCs w:val="24"/>
        </w:rPr>
        <w:t xml:space="preserve"> would enhance Inland Revenue’s ability to </w:t>
      </w:r>
      <w:r w:rsidR="00F01EF1">
        <w:rPr>
          <w:rFonts w:ascii="Times New Roman" w:hAnsi="Times New Roman"/>
          <w:sz w:val="24"/>
          <w:szCs w:val="24"/>
        </w:rPr>
        <w:t>enforce the income tax obligations of those who buy and sell New Zealand real property.</w:t>
      </w:r>
      <w:r>
        <w:rPr>
          <w:rFonts w:ascii="Times New Roman" w:hAnsi="Times New Roman"/>
          <w:sz w:val="24"/>
          <w:szCs w:val="24"/>
        </w:rPr>
        <w:t xml:space="preserve"> Inland Revenue also expects that it would help prevent non-residents from evading </w:t>
      </w:r>
      <w:r w:rsidRPr="007C050D">
        <w:rPr>
          <w:rFonts w:ascii="Times New Roman" w:hAnsi="Times New Roman"/>
          <w:sz w:val="24"/>
          <w:szCs w:val="24"/>
        </w:rPr>
        <w:t>foreign tax on their New Zealand land sale or purchase</w:t>
      </w:r>
      <w:r>
        <w:rPr>
          <w:rFonts w:ascii="Times New Roman" w:hAnsi="Times New Roman"/>
          <w:sz w:val="24"/>
          <w:szCs w:val="24"/>
        </w:rPr>
        <w:t xml:space="preserve"> by ensuring that the foreign tax authority can match the transaction with the taxpayer. The exact level of benefits has not been </w:t>
      </w:r>
      <w:r>
        <w:rPr>
          <w:rFonts w:ascii="Times New Roman" w:hAnsi="Times New Roman"/>
          <w:sz w:val="24"/>
          <w:szCs w:val="24"/>
        </w:rPr>
        <w:lastRenderedPageBreak/>
        <w:t>quantified.</w:t>
      </w:r>
      <w:r w:rsidR="00A057FA" w:rsidRPr="00A057FA">
        <w:rPr>
          <w:rFonts w:ascii="Times New Roman" w:hAnsi="Times New Roman"/>
          <w:sz w:val="24"/>
          <w:szCs w:val="24"/>
        </w:rPr>
        <w:t xml:space="preserve"> </w:t>
      </w:r>
      <w:r w:rsidR="00A057FA">
        <w:rPr>
          <w:rFonts w:ascii="Times New Roman" w:hAnsi="Times New Roman"/>
          <w:sz w:val="24"/>
          <w:szCs w:val="24"/>
        </w:rPr>
        <w:t xml:space="preserve">This is </w:t>
      </w:r>
      <w:r w:rsidR="00ED2CEB">
        <w:rPr>
          <w:rFonts w:ascii="Times New Roman" w:hAnsi="Times New Roman"/>
          <w:sz w:val="24"/>
          <w:szCs w:val="24"/>
        </w:rPr>
        <w:t xml:space="preserve">partially </w:t>
      </w:r>
      <w:r w:rsidR="00A057FA">
        <w:rPr>
          <w:rFonts w:ascii="Times New Roman" w:hAnsi="Times New Roman"/>
          <w:sz w:val="24"/>
          <w:szCs w:val="24"/>
        </w:rPr>
        <w:t xml:space="preserve">because Inland Revenue does not have </w:t>
      </w:r>
      <w:r w:rsidR="00ED2CEB">
        <w:rPr>
          <w:rFonts w:ascii="Times New Roman" w:hAnsi="Times New Roman"/>
          <w:sz w:val="24"/>
          <w:szCs w:val="24"/>
        </w:rPr>
        <w:t>accurate data and partially because of time constraints</w:t>
      </w:r>
      <w:r w:rsidR="00A057FA">
        <w:rPr>
          <w:rFonts w:ascii="Times New Roman" w:hAnsi="Times New Roman"/>
          <w:sz w:val="24"/>
          <w:szCs w:val="24"/>
        </w:rPr>
        <w:t>.</w:t>
      </w:r>
    </w:p>
    <w:p w:rsidR="00AF62BF" w:rsidRDefault="00AF62BF" w:rsidP="00ED2CEB">
      <w:pPr>
        <w:pStyle w:val="ListParagraph"/>
        <w:ind w:left="0" w:right="170"/>
        <w:contextualSpacing w:val="0"/>
        <w:rPr>
          <w:rFonts w:ascii="Times New Roman" w:hAnsi="Times New Roman"/>
          <w:sz w:val="24"/>
          <w:szCs w:val="24"/>
        </w:rPr>
      </w:pPr>
    </w:p>
    <w:p w:rsidR="00AE1948" w:rsidRDefault="00AF62BF" w:rsidP="00ED2CEB">
      <w:pPr>
        <w:ind w:right="170"/>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sidR="00B91C70" w:rsidRPr="00B91C70">
        <w:rPr>
          <w:rFonts w:ascii="Times New Roman" w:hAnsi="Times New Roman"/>
          <w:sz w:val="24"/>
          <w:szCs w:val="24"/>
        </w:rPr>
        <w:t>T</w:t>
      </w:r>
      <w:r w:rsidR="00B91C70" w:rsidRPr="001153CB">
        <w:rPr>
          <w:rFonts w:ascii="Times New Roman" w:hAnsi="Times New Roman"/>
          <w:sz w:val="24"/>
          <w:szCs w:val="24"/>
        </w:rPr>
        <w:t xml:space="preserve">he number of property transfers in the financial year ending 30 June 2014 was </w:t>
      </w:r>
      <w:r w:rsidR="00ED2CEB">
        <w:rPr>
          <w:rFonts w:ascii="Times New Roman" w:hAnsi="Times New Roman"/>
          <w:sz w:val="24"/>
          <w:szCs w:val="24"/>
        </w:rPr>
        <w:t xml:space="preserve">approximately </w:t>
      </w:r>
      <w:r w:rsidR="00B91C70" w:rsidRPr="001153CB">
        <w:rPr>
          <w:rFonts w:ascii="Times New Roman" w:hAnsi="Times New Roman"/>
          <w:sz w:val="24"/>
          <w:szCs w:val="24"/>
        </w:rPr>
        <w:t>176,500</w:t>
      </w:r>
      <w:r w:rsidR="00B91C70">
        <w:rPr>
          <w:rFonts w:ascii="Times New Roman" w:hAnsi="Times New Roman"/>
          <w:sz w:val="24"/>
          <w:szCs w:val="24"/>
        </w:rPr>
        <w:t xml:space="preserve">. </w:t>
      </w:r>
      <w:r w:rsidRPr="00326ABE">
        <w:rPr>
          <w:rFonts w:ascii="Times New Roman" w:hAnsi="Times New Roman"/>
          <w:sz w:val="24"/>
          <w:szCs w:val="24"/>
        </w:rPr>
        <w:t xml:space="preserve">The actual compliance costs likely to be imposed </w:t>
      </w:r>
      <w:r>
        <w:rPr>
          <w:rFonts w:ascii="Times New Roman" w:hAnsi="Times New Roman"/>
          <w:sz w:val="24"/>
          <w:szCs w:val="24"/>
        </w:rPr>
        <w:t xml:space="preserve">by the proposal </w:t>
      </w:r>
      <w:r w:rsidRPr="00326ABE">
        <w:rPr>
          <w:rFonts w:ascii="Times New Roman" w:hAnsi="Times New Roman"/>
          <w:sz w:val="24"/>
          <w:szCs w:val="24"/>
        </w:rPr>
        <w:t>have not been accurately determined</w:t>
      </w:r>
      <w:r w:rsidR="00F01EF1">
        <w:rPr>
          <w:rFonts w:ascii="Times New Roman" w:hAnsi="Times New Roman"/>
          <w:sz w:val="24"/>
          <w:szCs w:val="24"/>
        </w:rPr>
        <w:t>,</w:t>
      </w:r>
      <w:r>
        <w:rPr>
          <w:rFonts w:ascii="Times New Roman" w:hAnsi="Times New Roman"/>
          <w:sz w:val="24"/>
          <w:szCs w:val="24"/>
        </w:rPr>
        <w:t xml:space="preserve"> but are not expected to be high given that </w:t>
      </w:r>
      <w:r w:rsidR="00042EAB">
        <w:rPr>
          <w:rFonts w:ascii="Times New Roman" w:hAnsi="Times New Roman"/>
          <w:sz w:val="24"/>
          <w:szCs w:val="24"/>
        </w:rPr>
        <w:t xml:space="preserve">identity verification </w:t>
      </w:r>
      <w:r>
        <w:rPr>
          <w:rFonts w:ascii="Times New Roman" w:hAnsi="Times New Roman"/>
          <w:sz w:val="24"/>
          <w:szCs w:val="24"/>
        </w:rPr>
        <w:t>information is already supplied to LINZ</w:t>
      </w:r>
      <w:r w:rsidRPr="00AE1948">
        <w:rPr>
          <w:rFonts w:ascii="Times New Roman" w:hAnsi="Times New Roman"/>
          <w:sz w:val="24"/>
          <w:szCs w:val="24"/>
        </w:rPr>
        <w:t xml:space="preserve">. </w:t>
      </w:r>
      <w:r w:rsidR="00AE1948" w:rsidRPr="00E93EFB">
        <w:rPr>
          <w:rFonts w:ascii="Times New Roman" w:hAnsi="Times New Roman"/>
          <w:sz w:val="24"/>
          <w:szCs w:val="24"/>
        </w:rPr>
        <w:t xml:space="preserve">A </w:t>
      </w:r>
      <w:proofErr w:type="spellStart"/>
      <w:r w:rsidR="00AE1948" w:rsidRPr="00E93EFB">
        <w:rPr>
          <w:rFonts w:ascii="Times New Roman" w:hAnsi="Times New Roman"/>
          <w:sz w:val="24"/>
          <w:szCs w:val="24"/>
        </w:rPr>
        <w:t>conveyancer</w:t>
      </w:r>
      <w:proofErr w:type="spellEnd"/>
      <w:r w:rsidR="00AE1948" w:rsidRPr="00E93EFB">
        <w:rPr>
          <w:rFonts w:ascii="Times New Roman" w:hAnsi="Times New Roman"/>
          <w:sz w:val="24"/>
          <w:szCs w:val="24"/>
        </w:rPr>
        <w:t xml:space="preserve"> is likely to spend an additional 1-5 minutes entering information into </w:t>
      </w:r>
      <w:proofErr w:type="spellStart"/>
      <w:r w:rsidR="00AE1948" w:rsidRPr="00E93EFB">
        <w:rPr>
          <w:rFonts w:ascii="Times New Roman" w:hAnsi="Times New Roman"/>
          <w:sz w:val="24"/>
          <w:szCs w:val="24"/>
        </w:rPr>
        <w:t>Landonline</w:t>
      </w:r>
      <w:proofErr w:type="spellEnd"/>
      <w:r w:rsidR="00AE1948" w:rsidRPr="00E93EFB">
        <w:rPr>
          <w:rFonts w:ascii="Times New Roman" w:hAnsi="Times New Roman"/>
          <w:sz w:val="24"/>
          <w:szCs w:val="24"/>
        </w:rPr>
        <w:t>, resulting in an additional cost of between $4 and $20 for purchaser and seller</w:t>
      </w:r>
      <w:r w:rsidR="00AE1948">
        <w:rPr>
          <w:rFonts w:ascii="Times New Roman" w:hAnsi="Times New Roman"/>
          <w:sz w:val="20"/>
        </w:rPr>
        <w:t xml:space="preserve">. </w:t>
      </w:r>
      <w:r>
        <w:rPr>
          <w:rFonts w:ascii="Times New Roman" w:hAnsi="Times New Roman"/>
          <w:sz w:val="24"/>
          <w:szCs w:val="24"/>
        </w:rPr>
        <w:t xml:space="preserve">There will be additional compliance costs for </w:t>
      </w:r>
      <w:r w:rsidRPr="00AE1948">
        <w:rPr>
          <w:rFonts w:ascii="Times New Roman" w:hAnsi="Times New Roman"/>
          <w:sz w:val="24"/>
          <w:szCs w:val="24"/>
        </w:rPr>
        <w:t xml:space="preserve">those who do not already have </w:t>
      </w:r>
      <w:r w:rsidR="00B91C70" w:rsidRPr="00AE1948">
        <w:rPr>
          <w:rFonts w:ascii="Times New Roman" w:hAnsi="Times New Roman"/>
          <w:sz w:val="24"/>
          <w:szCs w:val="24"/>
        </w:rPr>
        <w:t>IRD</w:t>
      </w:r>
      <w:r w:rsidRPr="00AE1948">
        <w:rPr>
          <w:rFonts w:ascii="Times New Roman" w:hAnsi="Times New Roman"/>
          <w:sz w:val="24"/>
          <w:szCs w:val="24"/>
        </w:rPr>
        <w:t xml:space="preserve"> numbers (which would generally be non-residents). </w:t>
      </w:r>
    </w:p>
    <w:p w:rsidR="006401BB" w:rsidRPr="00E93EFB" w:rsidRDefault="006401BB" w:rsidP="00E93EFB">
      <w:pPr>
        <w:ind w:right="170"/>
        <w:jc w:val="both"/>
        <w:rPr>
          <w:rFonts w:ascii="Times New Roman" w:hAnsi="Times New Roman"/>
          <w:sz w:val="24"/>
          <w:szCs w:val="24"/>
        </w:rPr>
      </w:pPr>
      <w:r w:rsidRPr="00E93EFB">
        <w:rPr>
          <w:rFonts w:ascii="Times New Roman" w:hAnsi="Times New Roman"/>
          <w:sz w:val="24"/>
          <w:szCs w:val="24"/>
          <w:lang w:val="en-NZ"/>
        </w:rPr>
        <w:fldChar w:fldCharType="begin"/>
      </w:r>
      <w:r w:rsidRPr="00AE1948">
        <w:rPr>
          <w:rFonts w:ascii="Times New Roman" w:hAnsi="Times New Roman"/>
          <w:sz w:val="24"/>
          <w:szCs w:val="24"/>
          <w:lang w:val="en-NZ"/>
        </w:rPr>
        <w:instrText xml:space="preserve"> AUTONUM  </w:instrText>
      </w:r>
      <w:r w:rsidRPr="00E93EFB">
        <w:rPr>
          <w:rFonts w:ascii="Times New Roman" w:hAnsi="Times New Roman"/>
          <w:sz w:val="24"/>
          <w:szCs w:val="24"/>
        </w:rPr>
        <w:fldChar w:fldCharType="end"/>
      </w:r>
      <w:r w:rsidRPr="00AE1948">
        <w:rPr>
          <w:rFonts w:ascii="Times New Roman" w:hAnsi="Times New Roman"/>
          <w:sz w:val="24"/>
          <w:szCs w:val="24"/>
          <w:lang w:val="en-NZ"/>
        </w:rPr>
        <w:tab/>
      </w:r>
      <w:r w:rsidRPr="00E93EFB">
        <w:rPr>
          <w:rFonts w:ascii="Times New Roman" w:hAnsi="Times New Roman"/>
          <w:sz w:val="24"/>
          <w:szCs w:val="24"/>
        </w:rPr>
        <w:t xml:space="preserve">Analysis is required to fully understand the administrative impacts. These have not yet been completed </w:t>
      </w:r>
      <w:r w:rsidR="00AE1948" w:rsidRPr="00E93EFB">
        <w:rPr>
          <w:rFonts w:ascii="Times New Roman" w:hAnsi="Times New Roman"/>
          <w:sz w:val="24"/>
          <w:szCs w:val="24"/>
        </w:rPr>
        <w:t xml:space="preserve">nor quantified </w:t>
      </w:r>
      <w:r w:rsidRPr="00E93EFB">
        <w:rPr>
          <w:rFonts w:ascii="Times New Roman" w:hAnsi="Times New Roman"/>
          <w:sz w:val="24"/>
          <w:szCs w:val="24"/>
        </w:rPr>
        <w:t>due to time constraints. They would include but are not limited to:</w:t>
      </w:r>
    </w:p>
    <w:p w:rsidR="006401BB" w:rsidRPr="00E93EFB" w:rsidRDefault="006401BB" w:rsidP="00E93EFB">
      <w:pPr>
        <w:pStyle w:val="ListParagraph"/>
        <w:numPr>
          <w:ilvl w:val="0"/>
          <w:numId w:val="46"/>
        </w:numPr>
        <w:rPr>
          <w:rFonts w:ascii="Times New Roman" w:hAnsi="Times New Roman"/>
          <w:sz w:val="24"/>
          <w:szCs w:val="24"/>
        </w:rPr>
      </w:pPr>
      <w:r w:rsidRPr="00E93EFB">
        <w:rPr>
          <w:rFonts w:ascii="Times New Roman" w:hAnsi="Times New Roman"/>
          <w:sz w:val="24"/>
          <w:szCs w:val="24"/>
        </w:rPr>
        <w:t>Customer contacts for LINZ and I</w:t>
      </w:r>
      <w:r w:rsidR="00ED2CEB">
        <w:rPr>
          <w:rFonts w:ascii="Times New Roman" w:hAnsi="Times New Roman"/>
          <w:sz w:val="24"/>
          <w:szCs w:val="24"/>
        </w:rPr>
        <w:t>nland Revenue</w:t>
      </w:r>
      <w:r w:rsidR="005F7158">
        <w:rPr>
          <w:rFonts w:ascii="Times New Roman" w:hAnsi="Times New Roman"/>
          <w:sz w:val="24"/>
          <w:szCs w:val="24"/>
        </w:rPr>
        <w:t>.</w:t>
      </w:r>
    </w:p>
    <w:p w:rsidR="006401BB" w:rsidRPr="00E93EFB" w:rsidRDefault="006401BB" w:rsidP="00E93EFB">
      <w:pPr>
        <w:pStyle w:val="ListParagraph"/>
        <w:numPr>
          <w:ilvl w:val="0"/>
          <w:numId w:val="46"/>
        </w:numPr>
        <w:rPr>
          <w:rFonts w:ascii="Times New Roman" w:hAnsi="Times New Roman"/>
          <w:sz w:val="24"/>
          <w:szCs w:val="24"/>
        </w:rPr>
      </w:pPr>
      <w:r w:rsidRPr="00E93EFB">
        <w:rPr>
          <w:rFonts w:ascii="Times New Roman" w:hAnsi="Times New Roman"/>
          <w:sz w:val="24"/>
          <w:szCs w:val="24"/>
        </w:rPr>
        <w:t>Processing time and staff costs to issue additional IRD numbers.</w:t>
      </w:r>
    </w:p>
    <w:p w:rsidR="006401BB" w:rsidRPr="00E93EFB" w:rsidRDefault="006401BB" w:rsidP="00E93EFB">
      <w:pPr>
        <w:pStyle w:val="ListParagraph"/>
        <w:numPr>
          <w:ilvl w:val="0"/>
          <w:numId w:val="46"/>
        </w:numPr>
        <w:rPr>
          <w:rFonts w:ascii="Times New Roman" w:hAnsi="Times New Roman"/>
          <w:sz w:val="24"/>
          <w:szCs w:val="24"/>
        </w:rPr>
      </w:pPr>
      <w:r w:rsidRPr="00E93EFB">
        <w:rPr>
          <w:rFonts w:ascii="Times New Roman" w:hAnsi="Times New Roman"/>
          <w:sz w:val="24"/>
          <w:szCs w:val="24"/>
        </w:rPr>
        <w:t xml:space="preserve">Implementation costs which will include an evaluation of the IRD number application processes for </w:t>
      </w:r>
      <w:r w:rsidR="00AE1948">
        <w:rPr>
          <w:rFonts w:ascii="Times New Roman" w:hAnsi="Times New Roman"/>
          <w:sz w:val="24"/>
          <w:szCs w:val="24"/>
        </w:rPr>
        <w:t>n</w:t>
      </w:r>
      <w:r w:rsidRPr="00E93EFB">
        <w:rPr>
          <w:rFonts w:ascii="Times New Roman" w:hAnsi="Times New Roman"/>
          <w:sz w:val="24"/>
          <w:szCs w:val="24"/>
        </w:rPr>
        <w:t>on</w:t>
      </w:r>
      <w:r w:rsidR="00AE1948" w:rsidRPr="00AE1948">
        <w:rPr>
          <w:rFonts w:ascii="Times New Roman" w:hAnsi="Times New Roman"/>
          <w:sz w:val="24"/>
          <w:szCs w:val="24"/>
        </w:rPr>
        <w:t>-</w:t>
      </w:r>
      <w:r w:rsidRPr="00E93EFB">
        <w:rPr>
          <w:rFonts w:ascii="Times New Roman" w:hAnsi="Times New Roman"/>
          <w:sz w:val="24"/>
          <w:szCs w:val="24"/>
        </w:rPr>
        <w:t>residents.</w:t>
      </w:r>
    </w:p>
    <w:p w:rsidR="006401BB" w:rsidRPr="00E93EFB" w:rsidRDefault="006401BB" w:rsidP="00E93EFB">
      <w:pPr>
        <w:pStyle w:val="ListParagraph"/>
        <w:numPr>
          <w:ilvl w:val="0"/>
          <w:numId w:val="46"/>
        </w:numPr>
        <w:rPr>
          <w:rFonts w:ascii="Times New Roman" w:hAnsi="Times New Roman"/>
          <w:sz w:val="24"/>
          <w:szCs w:val="24"/>
        </w:rPr>
      </w:pPr>
      <w:r w:rsidRPr="00E93EFB">
        <w:rPr>
          <w:rFonts w:ascii="Times New Roman" w:hAnsi="Times New Roman"/>
          <w:sz w:val="24"/>
          <w:szCs w:val="24"/>
        </w:rPr>
        <w:t xml:space="preserve">For LINZ, data entry for </w:t>
      </w:r>
      <w:r w:rsidR="00ED2CEB">
        <w:rPr>
          <w:rFonts w:ascii="Times New Roman" w:hAnsi="Times New Roman"/>
          <w:sz w:val="24"/>
          <w:szCs w:val="24"/>
        </w:rPr>
        <w:t>m</w:t>
      </w:r>
      <w:r w:rsidRPr="00E93EFB">
        <w:rPr>
          <w:rFonts w:ascii="Times New Roman" w:hAnsi="Times New Roman"/>
          <w:sz w:val="24"/>
          <w:szCs w:val="24"/>
        </w:rPr>
        <w:t xml:space="preserve">anual </w:t>
      </w:r>
      <w:r w:rsidR="00ED2CEB">
        <w:rPr>
          <w:rFonts w:ascii="Times New Roman" w:hAnsi="Times New Roman"/>
          <w:sz w:val="24"/>
          <w:szCs w:val="24"/>
        </w:rPr>
        <w:t>d</w:t>
      </w:r>
      <w:r w:rsidRPr="00E93EFB">
        <w:rPr>
          <w:rFonts w:ascii="Times New Roman" w:hAnsi="Times New Roman"/>
          <w:sz w:val="24"/>
          <w:szCs w:val="24"/>
        </w:rPr>
        <w:t>ealings received by LINZ, responding to information requests (e</w:t>
      </w:r>
      <w:r w:rsidR="00E93EFB">
        <w:rPr>
          <w:rFonts w:ascii="Times New Roman" w:hAnsi="Times New Roman"/>
          <w:sz w:val="24"/>
          <w:szCs w:val="24"/>
        </w:rPr>
        <w:t>.</w:t>
      </w:r>
      <w:r w:rsidRPr="00E93EFB">
        <w:rPr>
          <w:rFonts w:ascii="Times New Roman" w:hAnsi="Times New Roman"/>
          <w:sz w:val="24"/>
          <w:szCs w:val="24"/>
        </w:rPr>
        <w:t>g</w:t>
      </w:r>
      <w:r w:rsidR="00E93EFB">
        <w:rPr>
          <w:rFonts w:ascii="Times New Roman" w:hAnsi="Times New Roman"/>
          <w:sz w:val="24"/>
          <w:szCs w:val="24"/>
        </w:rPr>
        <w:t>.</w:t>
      </w:r>
      <w:r w:rsidRPr="00E93EFB">
        <w:rPr>
          <w:rFonts w:ascii="Times New Roman" w:hAnsi="Times New Roman"/>
          <w:sz w:val="24"/>
          <w:szCs w:val="24"/>
        </w:rPr>
        <w:t xml:space="preserve"> data on numbers of overseas tax residents purchasing property), queries about the policy and </w:t>
      </w:r>
      <w:r w:rsidR="00ED2CEB">
        <w:rPr>
          <w:rFonts w:ascii="Times New Roman" w:hAnsi="Times New Roman"/>
          <w:sz w:val="24"/>
          <w:szCs w:val="24"/>
        </w:rPr>
        <w:t xml:space="preserve">servicing </w:t>
      </w:r>
      <w:r w:rsidRPr="00E93EFB">
        <w:rPr>
          <w:rFonts w:ascii="Times New Roman" w:hAnsi="Times New Roman"/>
          <w:sz w:val="24"/>
          <w:szCs w:val="24"/>
        </w:rPr>
        <w:t>Ministerial</w:t>
      </w:r>
      <w:r w:rsidR="00ED2CEB">
        <w:rPr>
          <w:rFonts w:ascii="Times New Roman" w:hAnsi="Times New Roman"/>
          <w:sz w:val="24"/>
          <w:szCs w:val="24"/>
        </w:rPr>
        <w:t xml:space="preserve"> queries</w:t>
      </w:r>
      <w:r w:rsidRPr="00E93EFB">
        <w:rPr>
          <w:rFonts w:ascii="Times New Roman" w:hAnsi="Times New Roman"/>
          <w:sz w:val="24"/>
          <w:szCs w:val="24"/>
        </w:rPr>
        <w:t>.</w:t>
      </w:r>
    </w:p>
    <w:p w:rsidR="006401BB" w:rsidRPr="00E93EFB" w:rsidRDefault="006401BB" w:rsidP="00E93EFB">
      <w:pPr>
        <w:pStyle w:val="ListParagraph"/>
        <w:numPr>
          <w:ilvl w:val="0"/>
          <w:numId w:val="46"/>
        </w:numPr>
        <w:rPr>
          <w:rFonts w:ascii="Times New Roman" w:hAnsi="Times New Roman"/>
          <w:sz w:val="24"/>
          <w:szCs w:val="24"/>
        </w:rPr>
      </w:pPr>
      <w:r w:rsidRPr="00E93EFB">
        <w:rPr>
          <w:rFonts w:ascii="Times New Roman" w:hAnsi="Times New Roman"/>
          <w:sz w:val="24"/>
          <w:szCs w:val="24"/>
        </w:rPr>
        <w:t>Implementation costs may also include an evaluation of other systems costs to ensure the right tax treatments are applied.</w:t>
      </w:r>
    </w:p>
    <w:p w:rsidR="005F7158" w:rsidRPr="00E93EFB" w:rsidRDefault="006401BB" w:rsidP="00E93EFB">
      <w:pPr>
        <w:pStyle w:val="ListParagraph"/>
        <w:numPr>
          <w:ilvl w:val="0"/>
          <w:numId w:val="46"/>
        </w:numPr>
        <w:rPr>
          <w:rFonts w:ascii="Times New Roman" w:hAnsi="Times New Roman"/>
          <w:sz w:val="24"/>
          <w:szCs w:val="24"/>
        </w:rPr>
      </w:pPr>
      <w:r w:rsidRPr="00E93EFB">
        <w:rPr>
          <w:rFonts w:ascii="Times New Roman" w:hAnsi="Times New Roman"/>
          <w:sz w:val="24"/>
          <w:szCs w:val="24"/>
        </w:rPr>
        <w:t xml:space="preserve">Training materials, </w:t>
      </w:r>
      <w:r w:rsidR="00ED2CEB">
        <w:rPr>
          <w:rFonts w:ascii="Times New Roman" w:hAnsi="Times New Roman"/>
          <w:sz w:val="24"/>
          <w:szCs w:val="24"/>
        </w:rPr>
        <w:t>c</w:t>
      </w:r>
      <w:r w:rsidRPr="00E93EFB">
        <w:rPr>
          <w:rFonts w:ascii="Times New Roman" w:hAnsi="Times New Roman"/>
          <w:sz w:val="24"/>
          <w:szCs w:val="24"/>
        </w:rPr>
        <w:t>ommunications and website updates</w:t>
      </w:r>
      <w:r w:rsidR="005F7158">
        <w:rPr>
          <w:rFonts w:ascii="Times New Roman" w:hAnsi="Times New Roman"/>
          <w:sz w:val="24"/>
          <w:szCs w:val="24"/>
        </w:rPr>
        <w:t>.</w:t>
      </w:r>
    </w:p>
    <w:p w:rsidR="005F7158" w:rsidRPr="00E93EFB" w:rsidRDefault="006401BB" w:rsidP="00E93EFB">
      <w:pPr>
        <w:pStyle w:val="ListParagraph"/>
        <w:numPr>
          <w:ilvl w:val="0"/>
          <w:numId w:val="46"/>
        </w:numPr>
        <w:rPr>
          <w:rFonts w:ascii="Times New Roman" w:hAnsi="Times New Roman"/>
          <w:sz w:val="24"/>
          <w:szCs w:val="24"/>
        </w:rPr>
      </w:pPr>
      <w:r w:rsidRPr="00E93EFB">
        <w:rPr>
          <w:rFonts w:ascii="Times New Roman" w:hAnsi="Times New Roman"/>
          <w:sz w:val="24"/>
          <w:szCs w:val="24"/>
        </w:rPr>
        <w:t>Potentially for LINZ (and/or I</w:t>
      </w:r>
      <w:r w:rsidR="00ED2CEB">
        <w:rPr>
          <w:rFonts w:ascii="Times New Roman" w:hAnsi="Times New Roman"/>
          <w:sz w:val="24"/>
          <w:szCs w:val="24"/>
        </w:rPr>
        <w:t>nland Revenue</w:t>
      </w:r>
      <w:r w:rsidRPr="00E93EFB">
        <w:rPr>
          <w:rFonts w:ascii="Times New Roman" w:hAnsi="Times New Roman"/>
          <w:sz w:val="24"/>
          <w:szCs w:val="24"/>
        </w:rPr>
        <w:t>) various costs associated with capture, transfer and storage of property/tax data</w:t>
      </w:r>
      <w:r w:rsidR="005F7158">
        <w:rPr>
          <w:rFonts w:ascii="Times New Roman" w:hAnsi="Times New Roman"/>
          <w:sz w:val="24"/>
          <w:szCs w:val="24"/>
        </w:rPr>
        <w:t>.</w:t>
      </w:r>
    </w:p>
    <w:p w:rsidR="005F7158" w:rsidRDefault="005F7158" w:rsidP="00E93EFB">
      <w:pPr>
        <w:pStyle w:val="ListParagraph"/>
        <w:rPr>
          <w:rFonts w:ascii="Times New Roman" w:hAnsi="Times New Roman"/>
          <w:sz w:val="24"/>
          <w:szCs w:val="24"/>
        </w:rPr>
      </w:pPr>
    </w:p>
    <w:p w:rsidR="007C050D" w:rsidRDefault="00BF1502" w:rsidP="00ED2CEB">
      <w:pPr>
        <w:spacing w:after="0" w:line="240" w:lineRule="auto"/>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Pr>
          <w:rFonts w:ascii="Times New Roman" w:hAnsi="Times New Roman"/>
          <w:sz w:val="24"/>
          <w:szCs w:val="24"/>
          <w:lang w:val="en-NZ"/>
        </w:rPr>
        <w:t xml:space="preserve">This </w:t>
      </w:r>
      <w:r w:rsidR="00AF62BF">
        <w:rPr>
          <w:rFonts w:ascii="Times New Roman" w:hAnsi="Times New Roman"/>
          <w:sz w:val="24"/>
          <w:szCs w:val="24"/>
          <w:lang w:val="en-NZ"/>
        </w:rPr>
        <w:t>is Inland Revenue’s preferred option.</w:t>
      </w:r>
    </w:p>
    <w:p w:rsidR="005F7158" w:rsidRPr="005F7158" w:rsidRDefault="005F7158" w:rsidP="00ED2CEB">
      <w:pPr>
        <w:spacing w:after="0" w:line="240" w:lineRule="auto"/>
        <w:jc w:val="both"/>
        <w:rPr>
          <w:rFonts w:ascii="Times New Roman" w:hAnsi="Times New Roman"/>
          <w:b/>
          <w:i/>
          <w:sz w:val="24"/>
          <w:szCs w:val="24"/>
        </w:rPr>
      </w:pPr>
    </w:p>
    <w:p w:rsidR="00AF62BF" w:rsidRPr="00AF62BF" w:rsidRDefault="00AF62BF" w:rsidP="00ED2CEB">
      <w:pPr>
        <w:spacing w:after="0" w:line="240" w:lineRule="auto"/>
        <w:jc w:val="both"/>
        <w:rPr>
          <w:rFonts w:ascii="Times New Roman" w:hAnsi="Times New Roman"/>
          <w:b/>
          <w:i/>
          <w:sz w:val="24"/>
          <w:szCs w:val="24"/>
        </w:rPr>
      </w:pPr>
      <w:r w:rsidRPr="00AF62BF">
        <w:rPr>
          <w:rFonts w:ascii="Times New Roman" w:hAnsi="Times New Roman"/>
          <w:b/>
          <w:i/>
          <w:sz w:val="24"/>
          <w:szCs w:val="24"/>
        </w:rPr>
        <w:t xml:space="preserve">Option </w:t>
      </w:r>
      <w:r>
        <w:rPr>
          <w:rFonts w:ascii="Times New Roman" w:hAnsi="Times New Roman"/>
          <w:b/>
          <w:i/>
          <w:sz w:val="24"/>
          <w:szCs w:val="24"/>
        </w:rPr>
        <w:t>3</w:t>
      </w:r>
      <w:r w:rsidRPr="00AF62BF">
        <w:rPr>
          <w:rFonts w:ascii="Times New Roman" w:hAnsi="Times New Roman"/>
          <w:b/>
          <w:i/>
          <w:sz w:val="24"/>
          <w:szCs w:val="24"/>
        </w:rPr>
        <w:t xml:space="preserve"> – Requiring IRD numbers and TIN numbers to be provided to LINZ</w:t>
      </w:r>
      <w:r w:rsidR="001C754C">
        <w:rPr>
          <w:rFonts w:ascii="Times New Roman" w:hAnsi="Times New Roman"/>
          <w:b/>
          <w:i/>
          <w:sz w:val="24"/>
          <w:szCs w:val="24"/>
        </w:rPr>
        <w:t xml:space="preserve"> unless the property is to be the main </w:t>
      </w:r>
      <w:r w:rsidR="00891979">
        <w:rPr>
          <w:rFonts w:ascii="Times New Roman" w:hAnsi="Times New Roman"/>
          <w:b/>
          <w:i/>
          <w:sz w:val="24"/>
          <w:szCs w:val="24"/>
        </w:rPr>
        <w:t>home</w:t>
      </w:r>
    </w:p>
    <w:p w:rsidR="00AF62BF" w:rsidRDefault="00AF62BF" w:rsidP="00ED2CEB">
      <w:pPr>
        <w:spacing w:after="0" w:line="240" w:lineRule="auto"/>
        <w:jc w:val="both"/>
        <w:rPr>
          <w:rFonts w:ascii="Times New Roman" w:hAnsi="Times New Roman"/>
          <w:sz w:val="24"/>
          <w:szCs w:val="24"/>
        </w:rPr>
      </w:pPr>
    </w:p>
    <w:p w:rsidR="00517534" w:rsidRDefault="00AF62BF" w:rsidP="00ED2CEB">
      <w:pPr>
        <w:spacing w:after="140"/>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Pr>
          <w:rFonts w:ascii="Times New Roman" w:hAnsi="Times New Roman"/>
          <w:sz w:val="24"/>
          <w:szCs w:val="24"/>
          <w:lang w:val="en-NZ"/>
        </w:rPr>
        <w:t>This option is a varia</w:t>
      </w:r>
      <w:r w:rsidR="00517534">
        <w:rPr>
          <w:rFonts w:ascii="Times New Roman" w:hAnsi="Times New Roman"/>
          <w:sz w:val="24"/>
          <w:szCs w:val="24"/>
          <w:lang w:val="en-NZ"/>
        </w:rPr>
        <w:t>tion</w:t>
      </w:r>
      <w:r w:rsidR="00ED2CEB">
        <w:rPr>
          <w:rFonts w:ascii="Times New Roman" w:hAnsi="Times New Roman"/>
          <w:sz w:val="24"/>
          <w:szCs w:val="24"/>
          <w:lang w:val="en-NZ"/>
        </w:rPr>
        <w:t xml:space="preserve"> on option 2. </w:t>
      </w:r>
      <w:r w:rsidR="00517534">
        <w:rPr>
          <w:rFonts w:ascii="Times New Roman" w:hAnsi="Times New Roman"/>
          <w:sz w:val="24"/>
          <w:szCs w:val="24"/>
          <w:lang w:val="en-NZ"/>
        </w:rPr>
        <w:t xml:space="preserve">Under option 3 there would be </w:t>
      </w:r>
      <w:r w:rsidR="00517534">
        <w:rPr>
          <w:rFonts w:ascii="Times New Roman" w:hAnsi="Times New Roman"/>
          <w:sz w:val="24"/>
          <w:szCs w:val="24"/>
        </w:rPr>
        <w:t>an exemption</w:t>
      </w:r>
      <w:r w:rsidR="00517534" w:rsidRPr="00F90281">
        <w:rPr>
          <w:rFonts w:ascii="Times New Roman" w:hAnsi="Times New Roman"/>
          <w:sz w:val="24"/>
          <w:szCs w:val="24"/>
        </w:rPr>
        <w:t xml:space="preserve"> </w:t>
      </w:r>
      <w:r w:rsidR="00517534" w:rsidRPr="00326ABE">
        <w:rPr>
          <w:rFonts w:ascii="Times New Roman" w:hAnsi="Times New Roman"/>
          <w:sz w:val="24"/>
          <w:szCs w:val="24"/>
        </w:rPr>
        <w:t xml:space="preserve">in the case of purchasers for whom the property will be their main </w:t>
      </w:r>
      <w:r w:rsidR="00891979">
        <w:rPr>
          <w:rFonts w:ascii="Times New Roman" w:hAnsi="Times New Roman"/>
          <w:sz w:val="24"/>
          <w:szCs w:val="24"/>
        </w:rPr>
        <w:t>home</w:t>
      </w:r>
      <w:r w:rsidR="00ED2CEB">
        <w:rPr>
          <w:rFonts w:ascii="Times New Roman" w:hAnsi="Times New Roman"/>
          <w:sz w:val="24"/>
          <w:szCs w:val="24"/>
        </w:rPr>
        <w:t>.</w:t>
      </w:r>
    </w:p>
    <w:p w:rsidR="00AE1948" w:rsidRDefault="00517534" w:rsidP="00ED2CEB">
      <w:pPr>
        <w:ind w:right="170"/>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Pr>
          <w:rFonts w:ascii="Times New Roman" w:hAnsi="Times New Roman"/>
          <w:sz w:val="24"/>
          <w:szCs w:val="24"/>
        </w:rPr>
        <w:t xml:space="preserve">Inland Revenue considers that when considered against option 2, </w:t>
      </w:r>
      <w:r w:rsidR="00AE1948">
        <w:rPr>
          <w:rFonts w:ascii="Times New Roman" w:hAnsi="Times New Roman"/>
          <w:sz w:val="24"/>
          <w:szCs w:val="24"/>
        </w:rPr>
        <w:t xml:space="preserve">on balance </w:t>
      </w:r>
      <w:r>
        <w:rPr>
          <w:rFonts w:ascii="Times New Roman" w:hAnsi="Times New Roman"/>
          <w:sz w:val="24"/>
          <w:szCs w:val="24"/>
        </w:rPr>
        <w:t xml:space="preserve">option 3 would </w:t>
      </w:r>
      <w:r w:rsidR="00393D19">
        <w:rPr>
          <w:rFonts w:ascii="Times New Roman" w:hAnsi="Times New Roman"/>
          <w:sz w:val="24"/>
          <w:szCs w:val="24"/>
        </w:rPr>
        <w:t xml:space="preserve">be unlikely to </w:t>
      </w:r>
      <w:r>
        <w:rPr>
          <w:rFonts w:ascii="Times New Roman" w:hAnsi="Times New Roman"/>
          <w:sz w:val="24"/>
          <w:szCs w:val="24"/>
        </w:rPr>
        <w:t xml:space="preserve">reduce compliance costs </w:t>
      </w:r>
      <w:r w:rsidR="00095C5C">
        <w:rPr>
          <w:rFonts w:ascii="Times New Roman" w:hAnsi="Times New Roman"/>
          <w:sz w:val="24"/>
          <w:szCs w:val="24"/>
        </w:rPr>
        <w:t xml:space="preserve">overall </w:t>
      </w:r>
      <w:r w:rsidR="00042EAB">
        <w:rPr>
          <w:rFonts w:ascii="Times New Roman" w:hAnsi="Times New Roman"/>
          <w:sz w:val="24"/>
          <w:szCs w:val="24"/>
        </w:rPr>
        <w:t>for</w:t>
      </w:r>
      <w:r>
        <w:rPr>
          <w:rFonts w:ascii="Times New Roman" w:hAnsi="Times New Roman"/>
          <w:sz w:val="24"/>
          <w:szCs w:val="24"/>
        </w:rPr>
        <w:t xml:space="preserve"> such </w:t>
      </w:r>
      <w:r w:rsidRPr="00326ABE">
        <w:rPr>
          <w:rFonts w:ascii="Times New Roman" w:hAnsi="Times New Roman"/>
          <w:sz w:val="24"/>
          <w:szCs w:val="24"/>
        </w:rPr>
        <w:t>purchasers</w:t>
      </w:r>
      <w:r>
        <w:rPr>
          <w:rFonts w:ascii="Times New Roman" w:hAnsi="Times New Roman"/>
          <w:sz w:val="24"/>
          <w:szCs w:val="24"/>
        </w:rPr>
        <w:t>. This is because</w:t>
      </w:r>
      <w:r w:rsidR="00E93EFB">
        <w:rPr>
          <w:rFonts w:ascii="Times New Roman" w:hAnsi="Times New Roman"/>
          <w:sz w:val="24"/>
          <w:szCs w:val="24"/>
        </w:rPr>
        <w:t xml:space="preserve"> of the following factors</w:t>
      </w:r>
      <w:r w:rsidR="00AE1948">
        <w:rPr>
          <w:rFonts w:ascii="Times New Roman" w:hAnsi="Times New Roman"/>
          <w:sz w:val="24"/>
          <w:szCs w:val="24"/>
        </w:rPr>
        <w:t>:</w:t>
      </w:r>
    </w:p>
    <w:p w:rsidR="00AE1948" w:rsidRPr="00AE1948" w:rsidRDefault="00E93EFB" w:rsidP="00E93EFB">
      <w:pPr>
        <w:pStyle w:val="ListParagraph"/>
        <w:numPr>
          <w:ilvl w:val="0"/>
          <w:numId w:val="45"/>
        </w:numPr>
        <w:ind w:right="170"/>
        <w:rPr>
          <w:rFonts w:ascii="Times New Roman" w:hAnsi="Times New Roman"/>
          <w:sz w:val="24"/>
          <w:szCs w:val="24"/>
        </w:rPr>
      </w:pPr>
      <w:r>
        <w:rPr>
          <w:rFonts w:ascii="Times New Roman" w:hAnsi="Times New Roman"/>
          <w:sz w:val="24"/>
          <w:szCs w:val="24"/>
        </w:rPr>
        <w:t>w</w:t>
      </w:r>
      <w:r w:rsidR="00517534" w:rsidRPr="00E93EFB">
        <w:rPr>
          <w:rFonts w:ascii="Times New Roman" w:hAnsi="Times New Roman"/>
          <w:sz w:val="24"/>
          <w:szCs w:val="24"/>
        </w:rPr>
        <w:t xml:space="preserve">e expect that most of those purchasers </w:t>
      </w:r>
      <w:r w:rsidR="00ED2CEB">
        <w:rPr>
          <w:rFonts w:ascii="Times New Roman" w:hAnsi="Times New Roman"/>
          <w:sz w:val="24"/>
          <w:szCs w:val="24"/>
        </w:rPr>
        <w:t>will</w:t>
      </w:r>
      <w:r w:rsidR="00517534" w:rsidRPr="00E93EFB">
        <w:rPr>
          <w:rFonts w:ascii="Times New Roman" w:hAnsi="Times New Roman"/>
          <w:sz w:val="24"/>
          <w:szCs w:val="24"/>
        </w:rPr>
        <w:t xml:space="preserve"> already have an Inland Revenue number</w:t>
      </w:r>
      <w:r w:rsidR="00AE1948" w:rsidRPr="00E93EFB">
        <w:rPr>
          <w:rFonts w:ascii="Times New Roman" w:hAnsi="Times New Roman"/>
          <w:sz w:val="24"/>
          <w:szCs w:val="24"/>
        </w:rPr>
        <w:t>, so they will not have additional compliance costs in obtaining an IRD number</w:t>
      </w:r>
      <w:r w:rsidR="00CB26F3">
        <w:rPr>
          <w:rFonts w:ascii="Times New Roman" w:hAnsi="Times New Roman"/>
          <w:sz w:val="24"/>
          <w:szCs w:val="24"/>
        </w:rPr>
        <w:t xml:space="preserve">; </w:t>
      </w:r>
    </w:p>
    <w:p w:rsidR="00E93EFB" w:rsidRDefault="00CB26F3" w:rsidP="00E93EFB">
      <w:pPr>
        <w:pStyle w:val="ListParagraph"/>
        <w:numPr>
          <w:ilvl w:val="0"/>
          <w:numId w:val="45"/>
        </w:numPr>
        <w:ind w:right="170"/>
        <w:rPr>
          <w:rFonts w:ascii="Times New Roman" w:hAnsi="Times New Roman"/>
          <w:sz w:val="24"/>
          <w:szCs w:val="24"/>
        </w:rPr>
      </w:pPr>
      <w:proofErr w:type="gramStart"/>
      <w:r w:rsidRPr="00E93EFB">
        <w:rPr>
          <w:rFonts w:ascii="Times New Roman" w:hAnsi="Times New Roman"/>
          <w:sz w:val="24"/>
          <w:szCs w:val="24"/>
        </w:rPr>
        <w:t>a</w:t>
      </w:r>
      <w:r w:rsidR="00AE1948" w:rsidRPr="00E93EFB">
        <w:rPr>
          <w:rFonts w:ascii="Times New Roman" w:hAnsi="Times New Roman"/>
          <w:sz w:val="24"/>
          <w:szCs w:val="24"/>
        </w:rPr>
        <w:t>s</w:t>
      </w:r>
      <w:proofErr w:type="gramEnd"/>
      <w:r w:rsidR="00AE1948" w:rsidRPr="00E93EFB">
        <w:rPr>
          <w:rFonts w:ascii="Times New Roman" w:hAnsi="Times New Roman"/>
          <w:sz w:val="24"/>
          <w:szCs w:val="24"/>
        </w:rPr>
        <w:t xml:space="preserve"> noted above for option 2, a </w:t>
      </w:r>
      <w:proofErr w:type="spellStart"/>
      <w:r w:rsidR="00AE1948" w:rsidRPr="00E93EFB">
        <w:rPr>
          <w:rFonts w:ascii="Times New Roman" w:hAnsi="Times New Roman"/>
          <w:sz w:val="24"/>
          <w:szCs w:val="24"/>
        </w:rPr>
        <w:t>conveyancer</w:t>
      </w:r>
      <w:proofErr w:type="spellEnd"/>
      <w:r w:rsidR="00AE1948" w:rsidRPr="00E93EFB">
        <w:rPr>
          <w:rFonts w:ascii="Times New Roman" w:hAnsi="Times New Roman"/>
          <w:sz w:val="24"/>
          <w:szCs w:val="24"/>
        </w:rPr>
        <w:t xml:space="preserve"> is likely to spend an additional 1-5 minutes entering the information into </w:t>
      </w:r>
      <w:proofErr w:type="spellStart"/>
      <w:r w:rsidR="00AE1948" w:rsidRPr="00E93EFB">
        <w:rPr>
          <w:rFonts w:ascii="Times New Roman" w:hAnsi="Times New Roman"/>
          <w:sz w:val="24"/>
          <w:szCs w:val="24"/>
        </w:rPr>
        <w:t>Landonline</w:t>
      </w:r>
      <w:proofErr w:type="spellEnd"/>
      <w:r w:rsidR="00AE1948" w:rsidRPr="00E93EFB">
        <w:rPr>
          <w:rFonts w:ascii="Times New Roman" w:hAnsi="Times New Roman"/>
          <w:sz w:val="24"/>
          <w:szCs w:val="24"/>
        </w:rPr>
        <w:t>, resulting in an additional cost of between $4 and $20 for purchaser and seller. Under option 3, compliance costs will be at the lower end of the scale for those exempted from providing information</w:t>
      </w:r>
      <w:r w:rsidRPr="00E93EFB">
        <w:rPr>
          <w:rFonts w:ascii="Times New Roman" w:hAnsi="Times New Roman"/>
          <w:sz w:val="24"/>
          <w:szCs w:val="24"/>
        </w:rPr>
        <w:t xml:space="preserve">; </w:t>
      </w:r>
    </w:p>
    <w:p w:rsidR="005F7158" w:rsidRPr="00E93EFB" w:rsidRDefault="00E93EFB" w:rsidP="00E93EFB">
      <w:pPr>
        <w:pStyle w:val="ListParagraph"/>
        <w:numPr>
          <w:ilvl w:val="0"/>
          <w:numId w:val="45"/>
        </w:numPr>
        <w:ind w:right="170"/>
        <w:rPr>
          <w:rFonts w:ascii="Times New Roman" w:hAnsi="Times New Roman"/>
          <w:sz w:val="24"/>
          <w:szCs w:val="24"/>
        </w:rPr>
      </w:pPr>
      <w:proofErr w:type="gramStart"/>
      <w:r>
        <w:rPr>
          <w:rFonts w:ascii="Times New Roman" w:hAnsi="Times New Roman"/>
          <w:sz w:val="24"/>
          <w:szCs w:val="24"/>
        </w:rPr>
        <w:t>however</w:t>
      </w:r>
      <w:proofErr w:type="gramEnd"/>
      <w:r>
        <w:rPr>
          <w:rFonts w:ascii="Times New Roman" w:hAnsi="Times New Roman"/>
          <w:sz w:val="24"/>
          <w:szCs w:val="24"/>
        </w:rPr>
        <w:t xml:space="preserve">, </w:t>
      </w:r>
      <w:r w:rsidR="00AE1948" w:rsidRPr="00E93EFB">
        <w:rPr>
          <w:rFonts w:ascii="Times New Roman" w:hAnsi="Times New Roman"/>
          <w:sz w:val="24"/>
          <w:szCs w:val="24"/>
        </w:rPr>
        <w:t>a</w:t>
      </w:r>
      <w:r w:rsidR="00517534" w:rsidRPr="00E93EFB">
        <w:rPr>
          <w:rFonts w:ascii="Times New Roman" w:hAnsi="Times New Roman"/>
          <w:sz w:val="24"/>
          <w:szCs w:val="24"/>
        </w:rPr>
        <w:t>dding an</w:t>
      </w:r>
      <w:r w:rsidR="00042EAB" w:rsidRPr="00E93EFB">
        <w:rPr>
          <w:rFonts w:ascii="Times New Roman" w:hAnsi="Times New Roman"/>
          <w:sz w:val="24"/>
          <w:szCs w:val="24"/>
        </w:rPr>
        <w:t xml:space="preserve"> exemption</w:t>
      </w:r>
      <w:r w:rsidR="00517534" w:rsidRPr="00E93EFB">
        <w:rPr>
          <w:rFonts w:ascii="Times New Roman" w:hAnsi="Times New Roman"/>
          <w:sz w:val="24"/>
          <w:szCs w:val="24"/>
        </w:rPr>
        <w:t xml:space="preserve"> also makes the rules more complicated as purchasers and </w:t>
      </w:r>
      <w:proofErr w:type="spellStart"/>
      <w:r w:rsidR="00517534" w:rsidRPr="00E93EFB">
        <w:rPr>
          <w:rFonts w:ascii="Times New Roman" w:hAnsi="Times New Roman"/>
          <w:sz w:val="24"/>
          <w:szCs w:val="24"/>
        </w:rPr>
        <w:t>conveyancers</w:t>
      </w:r>
      <w:proofErr w:type="spellEnd"/>
      <w:r w:rsidR="00517534" w:rsidRPr="00E93EFB">
        <w:rPr>
          <w:rFonts w:ascii="Times New Roman" w:hAnsi="Times New Roman"/>
          <w:sz w:val="24"/>
          <w:szCs w:val="24"/>
        </w:rPr>
        <w:t xml:space="preserve"> would also need to consider </w:t>
      </w:r>
      <w:r w:rsidR="00393D19" w:rsidRPr="00E93EFB">
        <w:rPr>
          <w:rFonts w:ascii="Times New Roman" w:hAnsi="Times New Roman"/>
          <w:sz w:val="24"/>
          <w:szCs w:val="24"/>
        </w:rPr>
        <w:t xml:space="preserve">whether </w:t>
      </w:r>
      <w:r w:rsidR="00517534" w:rsidRPr="00E93EFB">
        <w:rPr>
          <w:rFonts w:ascii="Times New Roman" w:hAnsi="Times New Roman"/>
          <w:sz w:val="24"/>
          <w:szCs w:val="24"/>
        </w:rPr>
        <w:t>another rule</w:t>
      </w:r>
      <w:r w:rsidR="00393D19" w:rsidRPr="00E93EFB">
        <w:rPr>
          <w:rFonts w:ascii="Times New Roman" w:hAnsi="Times New Roman"/>
          <w:sz w:val="24"/>
          <w:szCs w:val="24"/>
        </w:rPr>
        <w:t xml:space="preserve"> applies</w:t>
      </w:r>
      <w:r w:rsidR="00517534" w:rsidRPr="00E93EFB">
        <w:rPr>
          <w:rFonts w:ascii="Times New Roman" w:hAnsi="Times New Roman"/>
          <w:sz w:val="24"/>
          <w:szCs w:val="24"/>
        </w:rPr>
        <w:t xml:space="preserve">.  </w:t>
      </w:r>
      <w:r w:rsidR="00AE1948" w:rsidRPr="00E93EFB">
        <w:rPr>
          <w:rFonts w:ascii="Times New Roman" w:hAnsi="Times New Roman"/>
          <w:sz w:val="24"/>
          <w:szCs w:val="24"/>
        </w:rPr>
        <w:t>(Although concerns regarding complexity could potentially be mitigated to an extent depending on the design of the exemption.)</w:t>
      </w:r>
    </w:p>
    <w:p w:rsidR="005F7158" w:rsidRDefault="005F7158" w:rsidP="00E93EFB">
      <w:pPr>
        <w:pStyle w:val="ListParagraph"/>
        <w:rPr>
          <w:rFonts w:ascii="Times New Roman" w:hAnsi="Times New Roman"/>
          <w:sz w:val="24"/>
          <w:szCs w:val="24"/>
        </w:rPr>
      </w:pPr>
    </w:p>
    <w:p w:rsidR="00517534" w:rsidRDefault="00517534" w:rsidP="00ED2CEB">
      <w:pPr>
        <w:ind w:right="170"/>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Pr>
          <w:rFonts w:ascii="Times New Roman" w:hAnsi="Times New Roman"/>
          <w:sz w:val="24"/>
          <w:szCs w:val="24"/>
        </w:rPr>
        <w:t xml:space="preserve">Further, we </w:t>
      </w:r>
      <w:r w:rsidR="00441F6D">
        <w:rPr>
          <w:rFonts w:ascii="Times New Roman" w:hAnsi="Times New Roman"/>
          <w:sz w:val="24"/>
          <w:szCs w:val="24"/>
        </w:rPr>
        <w:t xml:space="preserve">are </w:t>
      </w:r>
      <w:r>
        <w:rPr>
          <w:rFonts w:ascii="Times New Roman" w:hAnsi="Times New Roman"/>
          <w:sz w:val="24"/>
          <w:szCs w:val="24"/>
        </w:rPr>
        <w:t>concern</w:t>
      </w:r>
      <w:r w:rsidR="00441F6D">
        <w:rPr>
          <w:rFonts w:ascii="Times New Roman" w:hAnsi="Times New Roman"/>
          <w:sz w:val="24"/>
          <w:szCs w:val="24"/>
        </w:rPr>
        <w:t>ed</w:t>
      </w:r>
      <w:r>
        <w:rPr>
          <w:rFonts w:ascii="Times New Roman" w:hAnsi="Times New Roman"/>
          <w:sz w:val="24"/>
          <w:szCs w:val="24"/>
        </w:rPr>
        <w:t xml:space="preserve"> that the benefits of collecting the information will be reduced under </w:t>
      </w:r>
      <w:r w:rsidR="00095C5C">
        <w:rPr>
          <w:rFonts w:ascii="Times New Roman" w:hAnsi="Times New Roman"/>
          <w:sz w:val="24"/>
          <w:szCs w:val="24"/>
        </w:rPr>
        <w:t xml:space="preserve">option 3 compared to option 2. </w:t>
      </w:r>
      <w:r>
        <w:rPr>
          <w:rFonts w:ascii="Times New Roman" w:hAnsi="Times New Roman"/>
          <w:sz w:val="24"/>
          <w:szCs w:val="24"/>
        </w:rPr>
        <w:t xml:space="preserve">For example, some individuals who are purchasing their main home could still be subject to tax if they </w:t>
      </w:r>
      <w:r w:rsidR="00722C43">
        <w:rPr>
          <w:rFonts w:ascii="Times New Roman" w:hAnsi="Times New Roman"/>
          <w:sz w:val="24"/>
          <w:szCs w:val="24"/>
        </w:rPr>
        <w:t>have a regular pattern</w:t>
      </w:r>
      <w:r>
        <w:rPr>
          <w:rFonts w:ascii="Times New Roman" w:hAnsi="Times New Roman"/>
          <w:sz w:val="24"/>
          <w:szCs w:val="24"/>
        </w:rPr>
        <w:t xml:space="preserve"> of buying, improving, and selling their main </w:t>
      </w:r>
      <w:r w:rsidR="00891979">
        <w:rPr>
          <w:rFonts w:ascii="Times New Roman" w:hAnsi="Times New Roman"/>
          <w:sz w:val="24"/>
          <w:szCs w:val="24"/>
        </w:rPr>
        <w:t>home</w:t>
      </w:r>
      <w:r w:rsidR="00095C5C">
        <w:rPr>
          <w:rFonts w:ascii="Times New Roman" w:hAnsi="Times New Roman"/>
          <w:sz w:val="24"/>
          <w:szCs w:val="24"/>
        </w:rPr>
        <w:t xml:space="preserve">. </w:t>
      </w:r>
      <w:r w:rsidR="00095C5C" w:rsidRPr="00095C5C">
        <w:rPr>
          <w:rFonts w:ascii="Times New Roman" w:hAnsi="Times New Roman"/>
          <w:sz w:val="24"/>
          <w:szCs w:val="24"/>
        </w:rPr>
        <w:t>Another example is where the owner changes the use of the property (for example, after living in the house as their main home, they move into a different house and use the first house as an investment property, thus deriving a rental income stream from it).</w:t>
      </w:r>
      <w:r w:rsidR="00095C5C">
        <w:rPr>
          <w:rFonts w:cs="Arial"/>
          <w:sz w:val="24"/>
          <w:szCs w:val="24"/>
        </w:rPr>
        <w:t xml:space="preserve"> </w:t>
      </w:r>
      <w:r>
        <w:rPr>
          <w:rFonts w:ascii="Times New Roman" w:hAnsi="Times New Roman"/>
          <w:sz w:val="24"/>
          <w:szCs w:val="24"/>
        </w:rPr>
        <w:t>Under option 3 Inland Revenue would not be provided with the information that would help to investigate this.</w:t>
      </w:r>
    </w:p>
    <w:p w:rsidR="00722C43" w:rsidRDefault="00722C43" w:rsidP="00ED2CEB">
      <w:pPr>
        <w:ind w:right="170"/>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Pr>
          <w:rFonts w:ascii="Times New Roman" w:hAnsi="Times New Roman"/>
          <w:sz w:val="24"/>
          <w:szCs w:val="24"/>
        </w:rPr>
        <w:t xml:space="preserve">Inland Revenue notes that these concerns regarding complexity could potentially be mitigated to an extent depending </w:t>
      </w:r>
      <w:r w:rsidR="00095C5C">
        <w:rPr>
          <w:rFonts w:ascii="Times New Roman" w:hAnsi="Times New Roman"/>
          <w:sz w:val="24"/>
          <w:szCs w:val="24"/>
        </w:rPr>
        <w:t>on the design of the exemption.</w:t>
      </w:r>
      <w:r>
        <w:rPr>
          <w:rFonts w:ascii="Times New Roman" w:hAnsi="Times New Roman"/>
          <w:sz w:val="24"/>
          <w:szCs w:val="24"/>
        </w:rPr>
        <w:t xml:space="preserve"> </w:t>
      </w:r>
    </w:p>
    <w:p w:rsidR="002B7B9A" w:rsidRPr="00E93EFB" w:rsidRDefault="00517534" w:rsidP="00E93EFB">
      <w:pPr>
        <w:spacing w:after="0" w:line="240" w:lineRule="auto"/>
        <w:jc w:val="both"/>
        <w:rPr>
          <w:rFonts w:ascii="Times New Roman" w:hAnsi="Times New Roman"/>
          <w:sz w:val="24"/>
          <w:szCs w:val="24"/>
        </w:rPr>
      </w:pPr>
      <w:r w:rsidRPr="009A02B9">
        <w:rPr>
          <w:rFonts w:ascii="Times New Roman" w:hAnsi="Times New Roman"/>
          <w:sz w:val="24"/>
          <w:szCs w:val="24"/>
          <w:lang w:val="en-NZ"/>
        </w:rPr>
        <w:fldChar w:fldCharType="begin"/>
      </w:r>
      <w:r w:rsidRPr="009A02B9">
        <w:rPr>
          <w:rFonts w:ascii="Times New Roman" w:hAnsi="Times New Roman"/>
          <w:sz w:val="24"/>
          <w:szCs w:val="24"/>
          <w:lang w:val="en-NZ"/>
        </w:rPr>
        <w:instrText xml:space="preserve"> AUTONUM  </w:instrText>
      </w:r>
      <w:r w:rsidRPr="009A02B9">
        <w:rPr>
          <w:rFonts w:ascii="Times New Roman" w:hAnsi="Times New Roman"/>
          <w:sz w:val="24"/>
          <w:szCs w:val="24"/>
        </w:rPr>
        <w:fldChar w:fldCharType="end"/>
      </w:r>
      <w:r w:rsidRPr="009A02B9">
        <w:rPr>
          <w:rFonts w:ascii="Times New Roman" w:hAnsi="Times New Roman"/>
          <w:sz w:val="24"/>
          <w:szCs w:val="24"/>
          <w:lang w:val="en-NZ"/>
        </w:rPr>
        <w:tab/>
      </w:r>
      <w:r w:rsidR="00014499">
        <w:rPr>
          <w:rFonts w:ascii="Times New Roman" w:hAnsi="Times New Roman"/>
          <w:sz w:val="24"/>
          <w:szCs w:val="24"/>
          <w:lang w:val="en-NZ"/>
        </w:rPr>
        <w:t xml:space="preserve">Option 3 </w:t>
      </w:r>
      <w:r>
        <w:rPr>
          <w:rFonts w:ascii="Times New Roman" w:hAnsi="Times New Roman"/>
          <w:sz w:val="24"/>
          <w:szCs w:val="24"/>
          <w:lang w:val="en-NZ"/>
        </w:rPr>
        <w:t>is not Inland Revenue’s preferred option</w:t>
      </w:r>
      <w:r w:rsidR="00441F6D">
        <w:rPr>
          <w:rFonts w:ascii="Times New Roman" w:hAnsi="Times New Roman"/>
          <w:sz w:val="24"/>
          <w:szCs w:val="24"/>
          <w:lang w:val="en-NZ"/>
        </w:rPr>
        <w:t>.  However, option 3 is preferred over option 1 (the status quo)</w:t>
      </w:r>
      <w:r>
        <w:rPr>
          <w:rFonts w:ascii="Times New Roman" w:hAnsi="Times New Roman"/>
          <w:sz w:val="24"/>
          <w:szCs w:val="24"/>
          <w:lang w:val="en-NZ"/>
        </w:rPr>
        <w:t>.</w:t>
      </w:r>
    </w:p>
    <w:p w:rsidR="00CB26F3" w:rsidRDefault="00CB26F3" w:rsidP="00ED2CEB">
      <w:pPr>
        <w:spacing w:after="0" w:line="240" w:lineRule="auto"/>
        <w:jc w:val="both"/>
        <w:rPr>
          <w:rFonts w:ascii="Times New Roman" w:hAnsi="Times New Roman"/>
          <w:b/>
          <w:sz w:val="24"/>
          <w:szCs w:val="24"/>
        </w:rPr>
      </w:pPr>
    </w:p>
    <w:p w:rsidR="00CB26F3" w:rsidRDefault="00CB26F3" w:rsidP="00ED2CEB">
      <w:pPr>
        <w:spacing w:after="0" w:line="240" w:lineRule="auto"/>
        <w:jc w:val="both"/>
        <w:rPr>
          <w:rFonts w:ascii="Times New Roman" w:hAnsi="Times New Roman"/>
          <w:b/>
          <w:sz w:val="24"/>
          <w:szCs w:val="24"/>
        </w:rPr>
      </w:pPr>
    </w:p>
    <w:p w:rsidR="00006652" w:rsidRPr="00412CC4" w:rsidRDefault="00EB7619" w:rsidP="00ED2CEB">
      <w:pPr>
        <w:spacing w:after="0" w:line="240" w:lineRule="auto"/>
        <w:jc w:val="both"/>
        <w:rPr>
          <w:rFonts w:ascii="Times New Roman" w:hAnsi="Times New Roman"/>
          <w:b/>
          <w:sz w:val="24"/>
          <w:szCs w:val="24"/>
        </w:rPr>
      </w:pPr>
      <w:r>
        <w:rPr>
          <w:rFonts w:ascii="Times New Roman" w:hAnsi="Times New Roman"/>
          <w:b/>
          <w:sz w:val="24"/>
          <w:szCs w:val="24"/>
        </w:rPr>
        <w:t>I</w:t>
      </w:r>
      <w:r w:rsidR="00E1736A">
        <w:rPr>
          <w:rFonts w:ascii="Times New Roman" w:hAnsi="Times New Roman"/>
          <w:b/>
          <w:sz w:val="24"/>
          <w:szCs w:val="24"/>
        </w:rPr>
        <w:t>mpact analysis</w:t>
      </w:r>
    </w:p>
    <w:p w:rsidR="00412CC4" w:rsidRDefault="00412CC4" w:rsidP="00ED2CEB">
      <w:pPr>
        <w:spacing w:after="0" w:line="240" w:lineRule="auto"/>
        <w:jc w:val="both"/>
        <w:rPr>
          <w:rFonts w:ascii="Times New Roman" w:hAnsi="Times New Roman"/>
          <w:sz w:val="24"/>
          <w:szCs w:val="24"/>
        </w:rPr>
      </w:pPr>
    </w:p>
    <w:p w:rsidR="00AD50FA" w:rsidRPr="00AD50FA" w:rsidRDefault="00E1736A" w:rsidP="00ED2CEB">
      <w:pPr>
        <w:spacing w:after="0" w:line="240" w:lineRule="auto"/>
        <w:jc w:val="both"/>
        <w:rPr>
          <w:rFonts w:ascii="Times New Roman" w:hAnsi="Times New Roman"/>
          <w:sz w:val="24"/>
          <w:szCs w:val="24"/>
          <w:lang w:val="en-NZ"/>
        </w:rPr>
      </w:pPr>
      <w:r w:rsidRPr="00E1736A">
        <w:rPr>
          <w:rFonts w:ascii="Times New Roman" w:hAnsi="Times New Roman"/>
          <w:sz w:val="24"/>
          <w:szCs w:val="24"/>
          <w:lang w:val="en-NZ"/>
        </w:rPr>
        <w:fldChar w:fldCharType="begin"/>
      </w:r>
      <w:r w:rsidRPr="00E1736A">
        <w:rPr>
          <w:rFonts w:ascii="Times New Roman" w:hAnsi="Times New Roman"/>
          <w:sz w:val="24"/>
          <w:szCs w:val="24"/>
          <w:lang w:val="en-NZ"/>
        </w:rPr>
        <w:instrText xml:space="preserve"> AUTONUM  </w:instrText>
      </w:r>
      <w:r w:rsidRPr="00E1736A">
        <w:rPr>
          <w:rFonts w:ascii="Times New Roman" w:hAnsi="Times New Roman"/>
          <w:sz w:val="24"/>
          <w:szCs w:val="24"/>
        </w:rPr>
        <w:fldChar w:fldCharType="end"/>
      </w:r>
      <w:r w:rsidRPr="00E1736A">
        <w:rPr>
          <w:rFonts w:ascii="Times New Roman" w:hAnsi="Times New Roman"/>
          <w:sz w:val="24"/>
          <w:szCs w:val="24"/>
          <w:lang w:val="en-NZ"/>
        </w:rPr>
        <w:tab/>
      </w:r>
      <w:r>
        <w:rPr>
          <w:rFonts w:ascii="Times New Roman" w:hAnsi="Times New Roman"/>
          <w:sz w:val="24"/>
          <w:szCs w:val="24"/>
        </w:rPr>
        <w:t xml:space="preserve">The table below </w:t>
      </w:r>
      <w:r w:rsidR="00B91C70">
        <w:rPr>
          <w:rFonts w:ascii="Times New Roman" w:hAnsi="Times New Roman"/>
          <w:sz w:val="24"/>
          <w:szCs w:val="24"/>
        </w:rPr>
        <w:t>summarises</w:t>
      </w:r>
      <w:r>
        <w:rPr>
          <w:rFonts w:ascii="Times New Roman" w:hAnsi="Times New Roman"/>
          <w:sz w:val="24"/>
          <w:szCs w:val="24"/>
        </w:rPr>
        <w:t xml:space="preserve"> our analysis of </w:t>
      </w:r>
      <w:r w:rsidR="00A366D2">
        <w:rPr>
          <w:rFonts w:ascii="Times New Roman" w:hAnsi="Times New Roman"/>
          <w:sz w:val="24"/>
          <w:szCs w:val="24"/>
        </w:rPr>
        <w:t xml:space="preserve">the </w:t>
      </w:r>
      <w:r>
        <w:rPr>
          <w:rFonts w:ascii="Times New Roman" w:hAnsi="Times New Roman"/>
          <w:sz w:val="24"/>
          <w:szCs w:val="24"/>
        </w:rPr>
        <w:t>options (including the status quo).</w:t>
      </w:r>
    </w:p>
    <w:p w:rsidR="00AD50FA" w:rsidRPr="00AD50FA" w:rsidRDefault="00AD50FA" w:rsidP="00ED2CEB">
      <w:pPr>
        <w:spacing w:after="0" w:line="240" w:lineRule="auto"/>
        <w:jc w:val="both"/>
        <w:rPr>
          <w:rFonts w:ascii="Times New Roman" w:hAnsi="Times New Roman"/>
          <w:sz w:val="24"/>
          <w:szCs w:val="24"/>
          <w:lang w:val="en-NZ"/>
        </w:rPr>
        <w:sectPr w:rsidR="00AD50FA" w:rsidRPr="00AD50FA" w:rsidSect="00AD50FA">
          <w:footerReference w:type="default" r:id="rId8"/>
          <w:headerReference w:type="first" r:id="rId9"/>
          <w:footerReference w:type="first" r:id="rId10"/>
          <w:pgSz w:w="11906" w:h="16838" w:code="9"/>
          <w:pgMar w:top="1021" w:right="1588" w:bottom="1135" w:left="1418" w:header="720" w:footer="720" w:gutter="0"/>
          <w:cols w:space="720"/>
          <w:titlePg/>
          <w:docGrid w:linePitch="299"/>
        </w:sectPr>
      </w:pPr>
    </w:p>
    <w:p w:rsidR="00AD50FA" w:rsidRPr="00AD50FA" w:rsidRDefault="00AD50FA" w:rsidP="003F40F7">
      <w:pPr>
        <w:spacing w:after="0" w:line="240" w:lineRule="auto"/>
        <w:jc w:val="both"/>
        <w:rPr>
          <w:rFonts w:ascii="Times New Roman" w:hAnsi="Times New Roman"/>
          <w:b/>
          <w:sz w:val="24"/>
          <w:szCs w:val="24"/>
          <w:lang w:val="en-NZ"/>
        </w:rPr>
      </w:pPr>
      <w:r w:rsidRPr="00AD50FA">
        <w:rPr>
          <w:rFonts w:ascii="Times New Roman" w:hAnsi="Times New Roman"/>
          <w:b/>
          <w:sz w:val="24"/>
          <w:szCs w:val="24"/>
          <w:lang w:val="en-NZ"/>
        </w:rPr>
        <w:lastRenderedPageBreak/>
        <w:t xml:space="preserve">Table:  </w:t>
      </w:r>
      <w:r w:rsidR="00EB7619">
        <w:rPr>
          <w:rFonts w:ascii="Times New Roman" w:hAnsi="Times New Roman"/>
          <w:b/>
          <w:sz w:val="24"/>
          <w:szCs w:val="24"/>
          <w:lang w:val="en-NZ"/>
        </w:rPr>
        <w:t>A</w:t>
      </w:r>
      <w:r w:rsidRPr="00AD50FA">
        <w:rPr>
          <w:rFonts w:ascii="Times New Roman" w:hAnsi="Times New Roman"/>
          <w:b/>
          <w:sz w:val="24"/>
          <w:szCs w:val="24"/>
          <w:lang w:val="en-NZ"/>
        </w:rPr>
        <w:t>nalysis</w:t>
      </w:r>
    </w:p>
    <w:tbl>
      <w:tblPr>
        <w:tblStyle w:val="TableGrid"/>
        <w:tblW w:w="15276" w:type="dxa"/>
        <w:tblLayout w:type="fixed"/>
        <w:tblLook w:val="04A0" w:firstRow="1" w:lastRow="0" w:firstColumn="1" w:lastColumn="0" w:noHBand="0" w:noVBand="1"/>
      </w:tblPr>
      <w:tblGrid>
        <w:gridCol w:w="1466"/>
        <w:gridCol w:w="336"/>
        <w:gridCol w:w="2729"/>
        <w:gridCol w:w="2146"/>
        <w:gridCol w:w="94"/>
        <w:gridCol w:w="2258"/>
        <w:gridCol w:w="2266"/>
        <w:gridCol w:w="12"/>
        <w:gridCol w:w="1842"/>
        <w:gridCol w:w="27"/>
        <w:gridCol w:w="1668"/>
        <w:gridCol w:w="432"/>
      </w:tblGrid>
      <w:tr w:rsidR="005D693A" w:rsidRPr="00AD50FA" w:rsidTr="00E93EFB">
        <w:trPr>
          <w:gridAfter w:val="1"/>
          <w:wAfter w:w="432" w:type="dxa"/>
        </w:trPr>
        <w:tc>
          <w:tcPr>
            <w:tcW w:w="1802" w:type="dxa"/>
            <w:gridSpan w:val="2"/>
            <w:vMerge w:val="restart"/>
            <w:vAlign w:val="center"/>
          </w:tcPr>
          <w:p w:rsidR="00AD50FA" w:rsidRPr="00AD50FA" w:rsidRDefault="00AD50FA" w:rsidP="003F40F7">
            <w:pPr>
              <w:spacing w:after="0" w:line="240" w:lineRule="auto"/>
              <w:jc w:val="center"/>
              <w:rPr>
                <w:rFonts w:ascii="Times New Roman" w:hAnsi="Times New Roman"/>
                <w:b/>
                <w:i/>
                <w:sz w:val="20"/>
              </w:rPr>
            </w:pPr>
            <w:r w:rsidRPr="00AD50FA">
              <w:rPr>
                <w:rFonts w:ascii="Times New Roman" w:hAnsi="Times New Roman"/>
                <w:b/>
                <w:i/>
                <w:sz w:val="20"/>
              </w:rPr>
              <w:t>Option</w:t>
            </w:r>
          </w:p>
        </w:tc>
        <w:tc>
          <w:tcPr>
            <w:tcW w:w="2729" w:type="dxa"/>
            <w:vMerge w:val="restart"/>
            <w:vAlign w:val="center"/>
          </w:tcPr>
          <w:p w:rsidR="00AD50FA" w:rsidRPr="00AD50FA" w:rsidRDefault="00EB7619" w:rsidP="00BF1502">
            <w:pPr>
              <w:spacing w:after="0" w:line="240" w:lineRule="auto"/>
              <w:jc w:val="center"/>
              <w:rPr>
                <w:rFonts w:ascii="Times New Roman" w:hAnsi="Times New Roman"/>
                <w:b/>
                <w:i/>
                <w:sz w:val="20"/>
              </w:rPr>
            </w:pPr>
            <w:r>
              <w:rPr>
                <w:rFonts w:ascii="Times New Roman" w:hAnsi="Times New Roman"/>
                <w:b/>
                <w:i/>
                <w:sz w:val="20"/>
              </w:rPr>
              <w:t>Meets objective</w:t>
            </w:r>
            <w:r w:rsidR="00AD50FA" w:rsidRPr="00AD50FA">
              <w:rPr>
                <w:rFonts w:ascii="Times New Roman" w:hAnsi="Times New Roman"/>
                <w:b/>
                <w:i/>
                <w:sz w:val="20"/>
              </w:rPr>
              <w:t>?</w:t>
            </w:r>
          </w:p>
        </w:tc>
        <w:tc>
          <w:tcPr>
            <w:tcW w:w="8645" w:type="dxa"/>
            <w:gridSpan w:val="7"/>
          </w:tcPr>
          <w:p w:rsidR="004430D9" w:rsidRPr="00AD50FA" w:rsidRDefault="00AD50FA" w:rsidP="003F40F7">
            <w:pPr>
              <w:spacing w:after="0" w:line="240" w:lineRule="auto"/>
              <w:jc w:val="center"/>
              <w:rPr>
                <w:rFonts w:ascii="Times New Roman" w:hAnsi="Times New Roman"/>
                <w:b/>
                <w:i/>
                <w:sz w:val="20"/>
              </w:rPr>
            </w:pPr>
            <w:r w:rsidRPr="00AD50FA">
              <w:rPr>
                <w:rFonts w:ascii="Times New Roman" w:hAnsi="Times New Roman"/>
                <w:b/>
                <w:i/>
                <w:sz w:val="20"/>
              </w:rPr>
              <w:t>Impacts</w:t>
            </w:r>
          </w:p>
        </w:tc>
        <w:tc>
          <w:tcPr>
            <w:tcW w:w="1668" w:type="dxa"/>
            <w:vMerge w:val="restart"/>
            <w:vAlign w:val="center"/>
          </w:tcPr>
          <w:p w:rsidR="00AD50FA" w:rsidRPr="00AD50FA" w:rsidRDefault="00AD50FA" w:rsidP="003F40F7">
            <w:pPr>
              <w:spacing w:after="0" w:line="240" w:lineRule="auto"/>
              <w:jc w:val="center"/>
              <w:rPr>
                <w:rFonts w:ascii="Times New Roman" w:hAnsi="Times New Roman"/>
                <w:b/>
                <w:i/>
                <w:sz w:val="20"/>
              </w:rPr>
            </w:pPr>
            <w:r w:rsidRPr="00AD50FA">
              <w:rPr>
                <w:rFonts w:ascii="Times New Roman" w:hAnsi="Times New Roman"/>
                <w:b/>
                <w:i/>
                <w:sz w:val="20"/>
              </w:rPr>
              <w:t>Net impact</w:t>
            </w:r>
          </w:p>
        </w:tc>
      </w:tr>
      <w:tr w:rsidR="005D693A" w:rsidRPr="00AD50FA" w:rsidTr="00E93EFB">
        <w:trPr>
          <w:gridAfter w:val="1"/>
          <w:wAfter w:w="432" w:type="dxa"/>
          <w:trHeight w:val="669"/>
        </w:trPr>
        <w:tc>
          <w:tcPr>
            <w:tcW w:w="1802" w:type="dxa"/>
            <w:gridSpan w:val="2"/>
            <w:vMerge/>
          </w:tcPr>
          <w:p w:rsidR="00AD50FA" w:rsidRPr="00AD50FA" w:rsidRDefault="00AD50FA" w:rsidP="003F40F7">
            <w:pPr>
              <w:spacing w:after="0" w:line="240" w:lineRule="auto"/>
              <w:jc w:val="center"/>
              <w:rPr>
                <w:rFonts w:ascii="Times New Roman" w:hAnsi="Times New Roman"/>
                <w:b/>
                <w:sz w:val="20"/>
              </w:rPr>
            </w:pPr>
          </w:p>
        </w:tc>
        <w:tc>
          <w:tcPr>
            <w:tcW w:w="2729" w:type="dxa"/>
            <w:vMerge/>
          </w:tcPr>
          <w:p w:rsidR="00AD50FA" w:rsidRPr="00AD50FA" w:rsidRDefault="00AD50FA" w:rsidP="003F40F7">
            <w:pPr>
              <w:spacing w:after="0" w:line="240" w:lineRule="auto"/>
              <w:jc w:val="center"/>
              <w:rPr>
                <w:rFonts w:ascii="Times New Roman" w:hAnsi="Times New Roman"/>
                <w:sz w:val="20"/>
              </w:rPr>
            </w:pPr>
          </w:p>
        </w:tc>
        <w:tc>
          <w:tcPr>
            <w:tcW w:w="2146" w:type="dxa"/>
          </w:tcPr>
          <w:p w:rsidR="00AD50FA" w:rsidRPr="00AD50FA" w:rsidRDefault="00E1736A" w:rsidP="003F40F7">
            <w:pPr>
              <w:spacing w:after="0" w:line="240" w:lineRule="auto"/>
              <w:jc w:val="center"/>
              <w:rPr>
                <w:rFonts w:ascii="Times New Roman" w:hAnsi="Times New Roman"/>
                <w:b/>
                <w:i/>
                <w:sz w:val="20"/>
              </w:rPr>
            </w:pPr>
            <w:r>
              <w:rPr>
                <w:rFonts w:ascii="Times New Roman" w:hAnsi="Times New Roman"/>
                <w:b/>
                <w:i/>
                <w:sz w:val="20"/>
              </w:rPr>
              <w:t>E</w:t>
            </w:r>
            <w:r w:rsidR="004430D9">
              <w:rPr>
                <w:rFonts w:ascii="Times New Roman" w:hAnsi="Times New Roman"/>
                <w:b/>
                <w:i/>
                <w:sz w:val="20"/>
              </w:rPr>
              <w:t xml:space="preserve">conomic </w:t>
            </w:r>
            <w:r>
              <w:rPr>
                <w:rFonts w:ascii="Times New Roman" w:hAnsi="Times New Roman"/>
                <w:b/>
                <w:i/>
                <w:sz w:val="20"/>
              </w:rPr>
              <w:t xml:space="preserve">/ revenue </w:t>
            </w:r>
            <w:r w:rsidR="004430D9">
              <w:rPr>
                <w:rFonts w:ascii="Times New Roman" w:hAnsi="Times New Roman"/>
                <w:b/>
                <w:i/>
                <w:sz w:val="20"/>
              </w:rPr>
              <w:t>impact</w:t>
            </w:r>
          </w:p>
        </w:tc>
        <w:tc>
          <w:tcPr>
            <w:tcW w:w="2352" w:type="dxa"/>
            <w:gridSpan w:val="2"/>
            <w:vAlign w:val="center"/>
          </w:tcPr>
          <w:p w:rsidR="00AD50FA" w:rsidRPr="00AD50FA" w:rsidRDefault="004430D9" w:rsidP="003F40F7">
            <w:pPr>
              <w:spacing w:after="0" w:line="240" w:lineRule="auto"/>
              <w:jc w:val="center"/>
              <w:rPr>
                <w:rFonts w:ascii="Times New Roman" w:hAnsi="Times New Roman"/>
                <w:b/>
                <w:i/>
                <w:sz w:val="20"/>
              </w:rPr>
            </w:pPr>
            <w:r>
              <w:rPr>
                <w:rFonts w:ascii="Times New Roman" w:hAnsi="Times New Roman"/>
                <w:b/>
                <w:i/>
                <w:sz w:val="20"/>
              </w:rPr>
              <w:t>Administrative impact</w:t>
            </w:r>
          </w:p>
        </w:tc>
        <w:tc>
          <w:tcPr>
            <w:tcW w:w="2266" w:type="dxa"/>
            <w:vAlign w:val="center"/>
          </w:tcPr>
          <w:p w:rsidR="00AD50FA" w:rsidRPr="00AD50FA" w:rsidRDefault="004430D9" w:rsidP="003F40F7">
            <w:pPr>
              <w:spacing w:after="0" w:line="240" w:lineRule="auto"/>
              <w:jc w:val="center"/>
              <w:rPr>
                <w:rFonts w:ascii="Times New Roman" w:hAnsi="Times New Roman"/>
                <w:b/>
                <w:i/>
                <w:sz w:val="20"/>
              </w:rPr>
            </w:pPr>
            <w:r>
              <w:rPr>
                <w:rFonts w:ascii="Times New Roman" w:hAnsi="Times New Roman"/>
                <w:b/>
                <w:i/>
                <w:sz w:val="20"/>
              </w:rPr>
              <w:t>Compliance impact</w:t>
            </w:r>
          </w:p>
        </w:tc>
        <w:tc>
          <w:tcPr>
            <w:tcW w:w="1881" w:type="dxa"/>
            <w:gridSpan w:val="3"/>
            <w:tcBorders>
              <w:bottom w:val="single" w:sz="4" w:space="0" w:color="auto"/>
            </w:tcBorders>
            <w:vAlign w:val="center"/>
          </w:tcPr>
          <w:p w:rsidR="00AD50FA" w:rsidRPr="00AD50FA" w:rsidRDefault="00E1736A" w:rsidP="003F40F7">
            <w:pPr>
              <w:spacing w:after="0" w:line="240" w:lineRule="auto"/>
              <w:jc w:val="center"/>
              <w:rPr>
                <w:rFonts w:ascii="Times New Roman" w:hAnsi="Times New Roman"/>
                <w:b/>
                <w:i/>
                <w:sz w:val="20"/>
              </w:rPr>
            </w:pPr>
            <w:r>
              <w:rPr>
                <w:rFonts w:ascii="Times New Roman" w:hAnsi="Times New Roman"/>
                <w:b/>
                <w:i/>
                <w:sz w:val="20"/>
              </w:rPr>
              <w:t>F</w:t>
            </w:r>
            <w:r w:rsidR="004430D9">
              <w:rPr>
                <w:rFonts w:ascii="Times New Roman" w:hAnsi="Times New Roman"/>
                <w:b/>
                <w:i/>
                <w:sz w:val="20"/>
              </w:rPr>
              <w:t>airness</w:t>
            </w:r>
          </w:p>
        </w:tc>
        <w:tc>
          <w:tcPr>
            <w:tcW w:w="1668" w:type="dxa"/>
            <w:vMerge/>
            <w:tcBorders>
              <w:bottom w:val="single" w:sz="4" w:space="0" w:color="auto"/>
            </w:tcBorders>
          </w:tcPr>
          <w:p w:rsidR="00AD50FA" w:rsidRPr="00AD50FA" w:rsidRDefault="00AD50FA" w:rsidP="003F40F7">
            <w:pPr>
              <w:spacing w:after="0" w:line="240" w:lineRule="auto"/>
              <w:jc w:val="center"/>
              <w:rPr>
                <w:rFonts w:ascii="Times New Roman" w:hAnsi="Times New Roman"/>
                <w:sz w:val="20"/>
              </w:rPr>
            </w:pPr>
          </w:p>
        </w:tc>
      </w:tr>
      <w:tr w:rsidR="005D693A" w:rsidRPr="00AD50FA" w:rsidTr="00E93EFB">
        <w:trPr>
          <w:gridAfter w:val="1"/>
          <w:wAfter w:w="432" w:type="dxa"/>
          <w:trHeight w:val="1490"/>
        </w:trPr>
        <w:tc>
          <w:tcPr>
            <w:tcW w:w="1802" w:type="dxa"/>
            <w:gridSpan w:val="2"/>
          </w:tcPr>
          <w:p w:rsidR="00042EAB" w:rsidRDefault="004430D9" w:rsidP="003F40F7">
            <w:pPr>
              <w:spacing w:after="0" w:line="240" w:lineRule="auto"/>
              <w:jc w:val="left"/>
              <w:rPr>
                <w:rFonts w:ascii="Times New Roman" w:hAnsi="Times New Roman"/>
                <w:sz w:val="24"/>
                <w:szCs w:val="24"/>
              </w:rPr>
            </w:pPr>
            <w:r w:rsidRPr="00C1671A">
              <w:rPr>
                <w:rFonts w:ascii="Times New Roman" w:hAnsi="Times New Roman"/>
                <w:sz w:val="20"/>
              </w:rPr>
              <w:t xml:space="preserve">1 - </w:t>
            </w:r>
            <w:r w:rsidR="00C1671A" w:rsidRPr="00C1671A">
              <w:rPr>
                <w:rFonts w:ascii="Times New Roman" w:hAnsi="Times New Roman"/>
                <w:sz w:val="20"/>
              </w:rPr>
              <w:t>Not requiring IRD numbers and TIN</w:t>
            </w:r>
            <w:r w:rsidR="00042EAB">
              <w:rPr>
                <w:rFonts w:ascii="Times New Roman" w:hAnsi="Times New Roman"/>
                <w:sz w:val="20"/>
              </w:rPr>
              <w:t>s</w:t>
            </w:r>
            <w:r w:rsidR="00C1671A" w:rsidRPr="00C1671A">
              <w:rPr>
                <w:rFonts w:ascii="Times New Roman" w:hAnsi="Times New Roman"/>
                <w:sz w:val="20"/>
              </w:rPr>
              <w:t xml:space="preserve"> to be provided to LINZ (and passed on to Inland Revenue) upon sale or purchase</w:t>
            </w:r>
            <w:r w:rsidR="00095C5C">
              <w:rPr>
                <w:rFonts w:ascii="Times New Roman" w:hAnsi="Times New Roman"/>
                <w:sz w:val="20"/>
              </w:rPr>
              <w:t xml:space="preserve"> of property</w:t>
            </w:r>
            <w:r w:rsidR="00C1671A">
              <w:rPr>
                <w:rFonts w:ascii="Times New Roman" w:hAnsi="Times New Roman"/>
                <w:sz w:val="24"/>
                <w:szCs w:val="24"/>
              </w:rPr>
              <w:t xml:space="preserve"> </w:t>
            </w:r>
          </w:p>
          <w:p w:rsidR="004430D9" w:rsidRPr="00095C5C" w:rsidRDefault="00E1736A" w:rsidP="003F40F7">
            <w:pPr>
              <w:spacing w:after="0" w:line="240" w:lineRule="auto"/>
              <w:jc w:val="left"/>
              <w:rPr>
                <w:rFonts w:ascii="Times New Roman" w:hAnsi="Times New Roman"/>
                <w:sz w:val="20"/>
                <w:lang w:val="en-NZ"/>
              </w:rPr>
            </w:pPr>
            <w:r w:rsidRPr="00095C5C">
              <w:rPr>
                <w:rFonts w:ascii="Times New Roman" w:hAnsi="Times New Roman"/>
                <w:sz w:val="20"/>
              </w:rPr>
              <w:t>(status quo)</w:t>
            </w:r>
          </w:p>
        </w:tc>
        <w:tc>
          <w:tcPr>
            <w:tcW w:w="2729" w:type="dxa"/>
          </w:tcPr>
          <w:p w:rsidR="003F1D35" w:rsidRPr="00E93EFB" w:rsidRDefault="00EB7619" w:rsidP="006401BB">
            <w:pPr>
              <w:pStyle w:val="ListParagraph"/>
              <w:ind w:left="0" w:right="170"/>
              <w:contextualSpacing w:val="0"/>
              <w:rPr>
                <w:rFonts w:ascii="Times New Roman" w:hAnsi="Times New Roman"/>
                <w:sz w:val="20"/>
                <w:lang w:val="en-GB" w:eastAsia="en-GB"/>
              </w:rPr>
            </w:pPr>
            <w:r>
              <w:rPr>
                <w:rFonts w:ascii="Times New Roman" w:hAnsi="Times New Roman"/>
                <w:sz w:val="20"/>
              </w:rPr>
              <w:t>M</w:t>
            </w:r>
            <w:proofErr w:type="spellStart"/>
            <w:r w:rsidRPr="00E93EFB">
              <w:rPr>
                <w:rFonts w:ascii="Times New Roman" w:hAnsi="Times New Roman"/>
                <w:sz w:val="20"/>
                <w:lang w:val="en-GB" w:eastAsia="en-GB"/>
              </w:rPr>
              <w:t>eets</w:t>
            </w:r>
            <w:proofErr w:type="spellEnd"/>
            <w:r w:rsidRPr="00E93EFB">
              <w:rPr>
                <w:rFonts w:ascii="Times New Roman" w:hAnsi="Times New Roman"/>
                <w:sz w:val="20"/>
                <w:lang w:val="en-GB" w:eastAsia="en-GB"/>
              </w:rPr>
              <w:t xml:space="preserve"> </w:t>
            </w:r>
            <w:r w:rsidR="00BF1502" w:rsidRPr="00E93EFB">
              <w:rPr>
                <w:rFonts w:ascii="Times New Roman" w:hAnsi="Times New Roman"/>
                <w:sz w:val="20"/>
                <w:lang w:val="en-GB" w:eastAsia="en-GB"/>
              </w:rPr>
              <w:t>objective</w:t>
            </w:r>
            <w:r w:rsidR="006401BB" w:rsidRPr="00E93EFB">
              <w:rPr>
                <w:rFonts w:ascii="Times New Roman" w:hAnsi="Times New Roman"/>
                <w:sz w:val="20"/>
                <w:lang w:val="en-GB" w:eastAsia="en-GB"/>
              </w:rPr>
              <w:t>s (a) and (b)</w:t>
            </w:r>
            <w:r w:rsidR="00BE5C03" w:rsidRPr="00E93EFB">
              <w:rPr>
                <w:rFonts w:ascii="Times New Roman" w:hAnsi="Times New Roman"/>
                <w:sz w:val="20"/>
                <w:lang w:val="en-GB" w:eastAsia="en-GB"/>
              </w:rPr>
              <w:t xml:space="preserve"> in part</w:t>
            </w:r>
            <w:r w:rsidR="003F1D35" w:rsidRPr="00E93EFB">
              <w:rPr>
                <w:rFonts w:ascii="Times New Roman" w:hAnsi="Times New Roman"/>
                <w:sz w:val="20"/>
                <w:lang w:val="en-GB" w:eastAsia="en-GB"/>
              </w:rPr>
              <w:t xml:space="preserve"> at the moment</w:t>
            </w:r>
            <w:r w:rsidR="00BE5C03" w:rsidRPr="00E93EFB">
              <w:rPr>
                <w:rFonts w:ascii="Times New Roman" w:hAnsi="Times New Roman"/>
                <w:sz w:val="20"/>
                <w:lang w:val="en-GB" w:eastAsia="en-GB"/>
              </w:rPr>
              <w:t>.</w:t>
            </w:r>
            <w:r w:rsidR="00BF1502" w:rsidRPr="00E93EFB">
              <w:rPr>
                <w:rFonts w:ascii="Times New Roman" w:hAnsi="Times New Roman"/>
                <w:sz w:val="20"/>
                <w:lang w:val="en-GB" w:eastAsia="en-GB"/>
              </w:rPr>
              <w:t xml:space="preserve"> </w:t>
            </w:r>
            <w:r w:rsidR="00BE5C03" w:rsidRPr="00E93EFB">
              <w:rPr>
                <w:rFonts w:ascii="Times New Roman" w:hAnsi="Times New Roman"/>
                <w:sz w:val="20"/>
                <w:lang w:val="en-GB" w:eastAsia="en-GB"/>
              </w:rPr>
              <w:t xml:space="preserve"> </w:t>
            </w:r>
          </w:p>
          <w:p w:rsidR="00C1671A" w:rsidRPr="00E93EFB" w:rsidRDefault="00C1671A" w:rsidP="00C1671A">
            <w:pPr>
              <w:pStyle w:val="ListParagraph"/>
              <w:ind w:left="0" w:right="170"/>
              <w:contextualSpacing w:val="0"/>
              <w:rPr>
                <w:rFonts w:ascii="Times New Roman" w:hAnsi="Times New Roman"/>
                <w:sz w:val="20"/>
                <w:lang w:val="en-GB" w:eastAsia="en-GB"/>
              </w:rPr>
            </w:pPr>
          </w:p>
          <w:p w:rsidR="00424D0B" w:rsidRPr="00AD50FA" w:rsidRDefault="00424D0B" w:rsidP="00C1671A">
            <w:pPr>
              <w:pStyle w:val="ListParagraph"/>
              <w:ind w:left="0" w:right="170"/>
              <w:contextualSpacing w:val="0"/>
              <w:rPr>
                <w:rFonts w:ascii="Times New Roman" w:hAnsi="Times New Roman"/>
                <w:sz w:val="20"/>
              </w:rPr>
            </w:pPr>
          </w:p>
        </w:tc>
        <w:tc>
          <w:tcPr>
            <w:tcW w:w="2146" w:type="dxa"/>
          </w:tcPr>
          <w:p w:rsidR="00C1671A" w:rsidRDefault="00C1671A" w:rsidP="003F40F7">
            <w:pPr>
              <w:spacing w:after="0" w:line="240" w:lineRule="auto"/>
              <w:jc w:val="left"/>
              <w:rPr>
                <w:rFonts w:ascii="Times New Roman" w:hAnsi="Times New Roman"/>
                <w:sz w:val="20"/>
              </w:rPr>
            </w:pPr>
            <w:r>
              <w:rPr>
                <w:rFonts w:ascii="Times New Roman" w:hAnsi="Times New Roman"/>
                <w:sz w:val="20"/>
              </w:rPr>
              <w:t>Potentially less N</w:t>
            </w:r>
            <w:r w:rsidR="00095C5C">
              <w:rPr>
                <w:rFonts w:ascii="Times New Roman" w:hAnsi="Times New Roman"/>
                <w:sz w:val="20"/>
              </w:rPr>
              <w:t xml:space="preserve">ew </w:t>
            </w:r>
            <w:r>
              <w:rPr>
                <w:rFonts w:ascii="Times New Roman" w:hAnsi="Times New Roman"/>
                <w:sz w:val="20"/>
              </w:rPr>
              <w:t>Z</w:t>
            </w:r>
            <w:r w:rsidR="00095C5C">
              <w:rPr>
                <w:rFonts w:ascii="Times New Roman" w:hAnsi="Times New Roman"/>
                <w:sz w:val="20"/>
              </w:rPr>
              <w:t>ealand</w:t>
            </w:r>
            <w:r>
              <w:rPr>
                <w:rFonts w:ascii="Times New Roman" w:hAnsi="Times New Roman"/>
                <w:sz w:val="20"/>
              </w:rPr>
              <w:t xml:space="preserve"> tax revenue is collected as a result of information about the </w:t>
            </w:r>
            <w:r w:rsidRPr="00C1671A">
              <w:rPr>
                <w:rFonts w:ascii="Times New Roman" w:hAnsi="Times New Roman"/>
                <w:sz w:val="20"/>
              </w:rPr>
              <w:t xml:space="preserve">taxpayer and the property transaction not always </w:t>
            </w:r>
            <w:r w:rsidR="00095C5C">
              <w:rPr>
                <w:rFonts w:ascii="Times New Roman" w:hAnsi="Times New Roman"/>
                <w:sz w:val="20"/>
              </w:rPr>
              <w:t xml:space="preserve">being </w:t>
            </w:r>
            <w:r w:rsidRPr="00C1671A">
              <w:rPr>
                <w:rFonts w:ascii="Times New Roman" w:hAnsi="Times New Roman"/>
                <w:sz w:val="20"/>
              </w:rPr>
              <w:t>clearly linked</w:t>
            </w:r>
            <w:r w:rsidR="00095C5C">
              <w:rPr>
                <w:rFonts w:ascii="Times New Roman" w:hAnsi="Times New Roman"/>
                <w:sz w:val="20"/>
              </w:rPr>
              <w:t xml:space="preserve">. </w:t>
            </w:r>
            <w:r w:rsidR="006401BB">
              <w:rPr>
                <w:rFonts w:ascii="Times New Roman" w:hAnsi="Times New Roman"/>
                <w:sz w:val="20"/>
              </w:rPr>
              <w:t>To the extent that there is evasion, this would make property investment more attractive, especially for non-residents.</w:t>
            </w:r>
          </w:p>
          <w:p w:rsidR="00C1671A" w:rsidRDefault="00C1671A" w:rsidP="003F40F7">
            <w:pPr>
              <w:spacing w:after="0" w:line="240" w:lineRule="auto"/>
              <w:jc w:val="left"/>
              <w:rPr>
                <w:rFonts w:ascii="Times New Roman" w:hAnsi="Times New Roman"/>
                <w:sz w:val="20"/>
              </w:rPr>
            </w:pPr>
          </w:p>
          <w:p w:rsidR="005E4CB1" w:rsidRPr="00AD50FA" w:rsidRDefault="00C1671A" w:rsidP="00042EAB">
            <w:pPr>
              <w:spacing w:after="0" w:line="240" w:lineRule="auto"/>
              <w:jc w:val="left"/>
              <w:rPr>
                <w:rFonts w:ascii="Times New Roman" w:hAnsi="Times New Roman"/>
                <w:sz w:val="20"/>
              </w:rPr>
            </w:pPr>
            <w:r>
              <w:rPr>
                <w:rFonts w:ascii="Times New Roman" w:hAnsi="Times New Roman"/>
                <w:sz w:val="20"/>
              </w:rPr>
              <w:t>These effects are not quantifiable.</w:t>
            </w:r>
          </w:p>
        </w:tc>
        <w:tc>
          <w:tcPr>
            <w:tcW w:w="2352" w:type="dxa"/>
            <w:gridSpan w:val="2"/>
          </w:tcPr>
          <w:p w:rsidR="004430D9" w:rsidRDefault="006A282F" w:rsidP="003F40F7">
            <w:pPr>
              <w:spacing w:after="0" w:line="240" w:lineRule="auto"/>
              <w:jc w:val="left"/>
              <w:rPr>
                <w:rFonts w:ascii="Times New Roman" w:hAnsi="Times New Roman"/>
                <w:sz w:val="20"/>
              </w:rPr>
            </w:pPr>
            <w:r>
              <w:rPr>
                <w:rFonts w:ascii="Times New Roman" w:hAnsi="Times New Roman"/>
                <w:sz w:val="20"/>
                <w:lang w:val="en-NZ"/>
              </w:rPr>
              <w:t xml:space="preserve">Inland Revenue continues to use the current </w:t>
            </w:r>
            <w:r w:rsidR="00C1671A">
              <w:rPr>
                <w:rFonts w:ascii="Times New Roman" w:hAnsi="Times New Roman"/>
                <w:sz w:val="20"/>
                <w:lang w:val="en-NZ"/>
              </w:rPr>
              <w:t xml:space="preserve">powers, but will be limited to some extent in its ability to link </w:t>
            </w:r>
            <w:r w:rsidR="00C1671A" w:rsidRPr="00C1671A">
              <w:rPr>
                <w:rFonts w:ascii="Times New Roman" w:hAnsi="Times New Roman"/>
                <w:sz w:val="20"/>
              </w:rPr>
              <w:t>the taxpayer and the property transaction</w:t>
            </w:r>
            <w:r w:rsidR="00C1671A">
              <w:rPr>
                <w:rFonts w:ascii="Times New Roman" w:hAnsi="Times New Roman"/>
                <w:sz w:val="20"/>
              </w:rPr>
              <w:t>.</w:t>
            </w:r>
          </w:p>
          <w:p w:rsidR="006A282F" w:rsidRPr="00AD50FA" w:rsidRDefault="006A282F" w:rsidP="003F40F7">
            <w:pPr>
              <w:spacing w:after="0" w:line="240" w:lineRule="auto"/>
              <w:jc w:val="left"/>
              <w:rPr>
                <w:rFonts w:ascii="Times New Roman" w:hAnsi="Times New Roman"/>
                <w:sz w:val="20"/>
              </w:rPr>
            </w:pPr>
          </w:p>
        </w:tc>
        <w:tc>
          <w:tcPr>
            <w:tcW w:w="2266" w:type="dxa"/>
            <w:tcBorders>
              <w:right w:val="single" w:sz="4" w:space="0" w:color="auto"/>
            </w:tcBorders>
          </w:tcPr>
          <w:p w:rsidR="004430D9" w:rsidRPr="00AD50FA" w:rsidRDefault="00C1671A" w:rsidP="00C1671A">
            <w:pPr>
              <w:spacing w:after="0" w:line="240" w:lineRule="auto"/>
              <w:jc w:val="left"/>
              <w:rPr>
                <w:rFonts w:ascii="Times New Roman" w:hAnsi="Times New Roman"/>
                <w:sz w:val="20"/>
              </w:rPr>
            </w:pPr>
            <w:r>
              <w:rPr>
                <w:rFonts w:ascii="Times New Roman" w:hAnsi="Times New Roman"/>
                <w:sz w:val="20"/>
                <w:lang w:val="en-NZ"/>
              </w:rPr>
              <w:t>Lowest compliance costs of the three options.</w:t>
            </w:r>
            <w:r w:rsidR="006A282F">
              <w:rPr>
                <w:rFonts w:ascii="Times New Roman" w:hAnsi="Times New Roman"/>
                <w:sz w:val="20"/>
                <w:lang w:val="en-NZ"/>
              </w:rPr>
              <w:t xml:space="preserve">  </w:t>
            </w:r>
          </w:p>
        </w:tc>
        <w:tc>
          <w:tcPr>
            <w:tcW w:w="1881" w:type="dxa"/>
            <w:gridSpan w:val="3"/>
            <w:tcBorders>
              <w:top w:val="single" w:sz="4" w:space="0" w:color="auto"/>
              <w:left w:val="single" w:sz="4" w:space="0" w:color="auto"/>
              <w:right w:val="single" w:sz="4" w:space="0" w:color="auto"/>
            </w:tcBorders>
          </w:tcPr>
          <w:p w:rsidR="004430D9" w:rsidRDefault="00C1671A" w:rsidP="00095C5C">
            <w:pPr>
              <w:spacing w:after="0" w:line="240" w:lineRule="auto"/>
              <w:jc w:val="left"/>
              <w:rPr>
                <w:rFonts w:ascii="Verdana" w:hAnsi="Verdana"/>
                <w:sz w:val="20"/>
              </w:rPr>
            </w:pPr>
            <w:r>
              <w:rPr>
                <w:rFonts w:ascii="Times New Roman" w:hAnsi="Times New Roman"/>
                <w:sz w:val="20"/>
                <w:lang w:val="en-NZ"/>
              </w:rPr>
              <w:t>To the extent that taxpayers are able to evade tax because I</w:t>
            </w:r>
            <w:r w:rsidR="00095C5C">
              <w:rPr>
                <w:rFonts w:ascii="Times New Roman" w:hAnsi="Times New Roman"/>
                <w:sz w:val="20"/>
                <w:lang w:val="en-NZ"/>
              </w:rPr>
              <w:t>nland Revenue</w:t>
            </w:r>
            <w:r>
              <w:rPr>
                <w:rFonts w:ascii="Times New Roman" w:hAnsi="Times New Roman"/>
                <w:sz w:val="20"/>
                <w:lang w:val="en-NZ"/>
              </w:rPr>
              <w:t xml:space="preserve"> is unable to link the </w:t>
            </w:r>
            <w:r w:rsidRPr="00C1671A">
              <w:rPr>
                <w:rFonts w:ascii="Times New Roman" w:hAnsi="Times New Roman"/>
                <w:sz w:val="20"/>
              </w:rPr>
              <w:t>taxpayer and the property transaction</w:t>
            </w:r>
            <w:r>
              <w:rPr>
                <w:rFonts w:ascii="Times New Roman" w:hAnsi="Times New Roman"/>
                <w:sz w:val="20"/>
              </w:rPr>
              <w:t>, the current situation is unfair to other taxpayers</w:t>
            </w:r>
            <w:r w:rsidR="00AF666F">
              <w:rPr>
                <w:rFonts w:ascii="Times New Roman" w:hAnsi="Times New Roman"/>
                <w:sz w:val="20"/>
              </w:rPr>
              <w:t xml:space="preserve"> who have to bear the burden of the </w:t>
            </w:r>
            <w:r w:rsidR="00042EAB">
              <w:rPr>
                <w:rFonts w:ascii="Times New Roman" w:hAnsi="Times New Roman"/>
                <w:sz w:val="20"/>
              </w:rPr>
              <w:t>evaded</w:t>
            </w:r>
            <w:r w:rsidR="00AF666F">
              <w:rPr>
                <w:rFonts w:ascii="Times New Roman" w:hAnsi="Times New Roman"/>
                <w:sz w:val="20"/>
              </w:rPr>
              <w:t xml:space="preserve"> tax</w:t>
            </w:r>
            <w:r>
              <w:rPr>
                <w:rFonts w:ascii="Times New Roman" w:hAnsi="Times New Roman"/>
                <w:sz w:val="20"/>
              </w:rPr>
              <w:t>.</w:t>
            </w:r>
          </w:p>
        </w:tc>
        <w:tc>
          <w:tcPr>
            <w:tcW w:w="1668" w:type="dxa"/>
            <w:tcBorders>
              <w:top w:val="single" w:sz="4" w:space="0" w:color="auto"/>
              <w:left w:val="single" w:sz="4" w:space="0" w:color="auto"/>
              <w:right w:val="single" w:sz="4" w:space="0" w:color="auto"/>
            </w:tcBorders>
          </w:tcPr>
          <w:p w:rsidR="004430D9" w:rsidRDefault="00377894" w:rsidP="00377894">
            <w:pPr>
              <w:spacing w:after="0" w:line="240" w:lineRule="auto"/>
              <w:jc w:val="left"/>
              <w:rPr>
                <w:rFonts w:ascii="Times New Roman" w:hAnsi="Times New Roman"/>
                <w:sz w:val="20"/>
              </w:rPr>
            </w:pPr>
            <w:r>
              <w:rPr>
                <w:rFonts w:ascii="Times New Roman" w:hAnsi="Times New Roman"/>
                <w:sz w:val="20"/>
              </w:rPr>
              <w:t xml:space="preserve">The status quo </w:t>
            </w:r>
            <w:r w:rsidR="006401BB">
              <w:rPr>
                <w:rFonts w:ascii="Times New Roman" w:hAnsi="Times New Roman"/>
                <w:sz w:val="20"/>
              </w:rPr>
              <w:t xml:space="preserve">partially </w:t>
            </w:r>
            <w:proofErr w:type="gramStart"/>
            <w:r w:rsidR="006401BB">
              <w:rPr>
                <w:rFonts w:ascii="Times New Roman" w:hAnsi="Times New Roman"/>
                <w:sz w:val="20"/>
              </w:rPr>
              <w:t>meets  the</w:t>
            </w:r>
            <w:proofErr w:type="gramEnd"/>
            <w:r w:rsidR="006401BB">
              <w:rPr>
                <w:rFonts w:ascii="Times New Roman" w:hAnsi="Times New Roman"/>
                <w:sz w:val="20"/>
              </w:rPr>
              <w:t xml:space="preserve"> objectives at the moment.  It will not meet the objectives to the same extent once the </w:t>
            </w:r>
            <w:proofErr w:type="spellStart"/>
            <w:r w:rsidR="006401BB">
              <w:rPr>
                <w:rFonts w:ascii="Times New Roman" w:hAnsi="Times New Roman"/>
                <w:sz w:val="20"/>
              </w:rPr>
              <w:t>brightline</w:t>
            </w:r>
            <w:proofErr w:type="spellEnd"/>
            <w:r w:rsidR="006401BB">
              <w:rPr>
                <w:rFonts w:ascii="Times New Roman" w:hAnsi="Times New Roman"/>
                <w:sz w:val="20"/>
              </w:rPr>
              <w:t xml:space="preserve"> rules have been introduced</w:t>
            </w:r>
            <w:r>
              <w:rPr>
                <w:rFonts w:ascii="Times New Roman" w:hAnsi="Times New Roman"/>
                <w:sz w:val="20"/>
              </w:rPr>
              <w:t xml:space="preserve">.  </w:t>
            </w:r>
          </w:p>
          <w:p w:rsidR="005E4CB1" w:rsidRDefault="005E4CB1"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6401BB" w:rsidRDefault="006401BB" w:rsidP="00377894">
            <w:pPr>
              <w:spacing w:after="0" w:line="240" w:lineRule="auto"/>
              <w:jc w:val="left"/>
              <w:rPr>
                <w:rFonts w:ascii="Times New Roman" w:hAnsi="Times New Roman"/>
                <w:sz w:val="20"/>
              </w:rPr>
            </w:pPr>
          </w:p>
          <w:p w:rsidR="005E4CB1" w:rsidRPr="00AD50FA" w:rsidRDefault="005E4CB1" w:rsidP="00377894">
            <w:pPr>
              <w:spacing w:after="0" w:line="240" w:lineRule="auto"/>
              <w:jc w:val="left"/>
              <w:rPr>
                <w:rFonts w:ascii="Times New Roman" w:hAnsi="Times New Roman"/>
                <w:sz w:val="20"/>
              </w:rPr>
            </w:pPr>
          </w:p>
        </w:tc>
      </w:tr>
      <w:tr w:rsidR="00166AD0" w:rsidRPr="00AD50FA" w:rsidTr="00E93EFB">
        <w:tc>
          <w:tcPr>
            <w:tcW w:w="1466" w:type="dxa"/>
            <w:vMerge w:val="restart"/>
            <w:vAlign w:val="center"/>
          </w:tcPr>
          <w:p w:rsidR="00166AD0" w:rsidRPr="00AD50FA" w:rsidRDefault="00433EE1" w:rsidP="00166AD0">
            <w:pPr>
              <w:spacing w:after="0" w:line="240" w:lineRule="auto"/>
              <w:jc w:val="center"/>
              <w:rPr>
                <w:rFonts w:ascii="Times New Roman" w:hAnsi="Times New Roman"/>
                <w:b/>
                <w:i/>
                <w:sz w:val="20"/>
              </w:rPr>
            </w:pPr>
            <w:r>
              <w:lastRenderedPageBreak/>
              <w:br w:type="page"/>
            </w:r>
            <w:r w:rsidR="00166AD0" w:rsidRPr="00AD50FA">
              <w:rPr>
                <w:rFonts w:ascii="Times New Roman" w:hAnsi="Times New Roman"/>
                <w:b/>
                <w:i/>
                <w:sz w:val="20"/>
              </w:rPr>
              <w:t>Option</w:t>
            </w:r>
          </w:p>
        </w:tc>
        <w:tc>
          <w:tcPr>
            <w:tcW w:w="3065" w:type="dxa"/>
            <w:gridSpan w:val="2"/>
            <w:vMerge w:val="restart"/>
            <w:vAlign w:val="center"/>
          </w:tcPr>
          <w:p w:rsidR="00166AD0" w:rsidRPr="00AD50FA" w:rsidRDefault="00166AD0" w:rsidP="00166AD0">
            <w:pPr>
              <w:spacing w:after="0" w:line="240" w:lineRule="auto"/>
              <w:jc w:val="center"/>
              <w:rPr>
                <w:rFonts w:ascii="Times New Roman" w:hAnsi="Times New Roman"/>
                <w:b/>
                <w:i/>
                <w:sz w:val="20"/>
              </w:rPr>
            </w:pPr>
            <w:r>
              <w:rPr>
                <w:rFonts w:ascii="Times New Roman" w:hAnsi="Times New Roman"/>
                <w:b/>
                <w:i/>
                <w:sz w:val="20"/>
              </w:rPr>
              <w:t>Meets objective</w:t>
            </w:r>
            <w:r w:rsidRPr="00AD50FA">
              <w:rPr>
                <w:rFonts w:ascii="Times New Roman" w:hAnsi="Times New Roman"/>
                <w:b/>
                <w:i/>
                <w:sz w:val="20"/>
              </w:rPr>
              <w:t>?</w:t>
            </w:r>
          </w:p>
        </w:tc>
        <w:tc>
          <w:tcPr>
            <w:tcW w:w="8618" w:type="dxa"/>
            <w:gridSpan w:val="6"/>
          </w:tcPr>
          <w:p w:rsidR="00166AD0" w:rsidRPr="00AD50FA" w:rsidRDefault="00166AD0" w:rsidP="00166AD0">
            <w:pPr>
              <w:spacing w:after="0" w:line="240" w:lineRule="auto"/>
              <w:jc w:val="center"/>
              <w:rPr>
                <w:rFonts w:ascii="Times New Roman" w:hAnsi="Times New Roman"/>
                <w:b/>
                <w:i/>
                <w:sz w:val="20"/>
              </w:rPr>
            </w:pPr>
            <w:r w:rsidRPr="00AD50FA">
              <w:rPr>
                <w:rFonts w:ascii="Times New Roman" w:hAnsi="Times New Roman"/>
                <w:b/>
                <w:i/>
                <w:sz w:val="20"/>
              </w:rPr>
              <w:t>Impacts</w:t>
            </w:r>
          </w:p>
        </w:tc>
        <w:tc>
          <w:tcPr>
            <w:tcW w:w="2127" w:type="dxa"/>
            <w:gridSpan w:val="3"/>
            <w:vMerge w:val="restart"/>
            <w:vAlign w:val="center"/>
          </w:tcPr>
          <w:p w:rsidR="00166AD0" w:rsidRPr="00AD50FA" w:rsidRDefault="00166AD0" w:rsidP="00166AD0">
            <w:pPr>
              <w:spacing w:after="0" w:line="240" w:lineRule="auto"/>
              <w:jc w:val="center"/>
              <w:rPr>
                <w:rFonts w:ascii="Times New Roman" w:hAnsi="Times New Roman"/>
                <w:b/>
                <w:i/>
                <w:sz w:val="20"/>
              </w:rPr>
            </w:pPr>
            <w:r w:rsidRPr="00AD50FA">
              <w:rPr>
                <w:rFonts w:ascii="Times New Roman" w:hAnsi="Times New Roman"/>
                <w:b/>
                <w:i/>
                <w:sz w:val="20"/>
              </w:rPr>
              <w:t>Net impact</w:t>
            </w:r>
          </w:p>
        </w:tc>
      </w:tr>
      <w:tr w:rsidR="00166AD0" w:rsidRPr="00AD50FA" w:rsidTr="00E93EFB">
        <w:trPr>
          <w:trHeight w:val="669"/>
        </w:trPr>
        <w:tc>
          <w:tcPr>
            <w:tcW w:w="1466" w:type="dxa"/>
            <w:vMerge/>
          </w:tcPr>
          <w:p w:rsidR="00166AD0" w:rsidRPr="00AD50FA" w:rsidRDefault="00166AD0" w:rsidP="00166AD0">
            <w:pPr>
              <w:spacing w:after="0" w:line="240" w:lineRule="auto"/>
              <w:jc w:val="center"/>
              <w:rPr>
                <w:rFonts w:ascii="Times New Roman" w:hAnsi="Times New Roman"/>
                <w:b/>
                <w:sz w:val="20"/>
              </w:rPr>
            </w:pPr>
          </w:p>
        </w:tc>
        <w:tc>
          <w:tcPr>
            <w:tcW w:w="3065" w:type="dxa"/>
            <w:gridSpan w:val="2"/>
            <w:vMerge/>
          </w:tcPr>
          <w:p w:rsidR="00166AD0" w:rsidRPr="00AD50FA" w:rsidRDefault="00166AD0" w:rsidP="00166AD0">
            <w:pPr>
              <w:spacing w:after="0" w:line="240" w:lineRule="auto"/>
              <w:jc w:val="center"/>
              <w:rPr>
                <w:rFonts w:ascii="Times New Roman" w:hAnsi="Times New Roman"/>
                <w:sz w:val="20"/>
              </w:rPr>
            </w:pPr>
          </w:p>
        </w:tc>
        <w:tc>
          <w:tcPr>
            <w:tcW w:w="2240" w:type="dxa"/>
            <w:gridSpan w:val="2"/>
          </w:tcPr>
          <w:p w:rsidR="00166AD0" w:rsidRPr="00AD50FA" w:rsidRDefault="00166AD0" w:rsidP="00166AD0">
            <w:pPr>
              <w:spacing w:after="0" w:line="240" w:lineRule="auto"/>
              <w:jc w:val="center"/>
              <w:rPr>
                <w:rFonts w:ascii="Times New Roman" w:hAnsi="Times New Roman"/>
                <w:b/>
                <w:i/>
                <w:sz w:val="20"/>
              </w:rPr>
            </w:pPr>
            <w:r>
              <w:rPr>
                <w:rFonts w:ascii="Times New Roman" w:hAnsi="Times New Roman"/>
                <w:b/>
                <w:i/>
                <w:sz w:val="20"/>
              </w:rPr>
              <w:t>Economic / revenue impact</w:t>
            </w:r>
          </w:p>
        </w:tc>
        <w:tc>
          <w:tcPr>
            <w:tcW w:w="2258" w:type="dxa"/>
            <w:vAlign w:val="center"/>
          </w:tcPr>
          <w:p w:rsidR="00166AD0" w:rsidRPr="00AD50FA" w:rsidRDefault="00166AD0" w:rsidP="00166AD0">
            <w:pPr>
              <w:spacing w:after="0" w:line="240" w:lineRule="auto"/>
              <w:jc w:val="center"/>
              <w:rPr>
                <w:rFonts w:ascii="Times New Roman" w:hAnsi="Times New Roman"/>
                <w:b/>
                <w:i/>
                <w:sz w:val="20"/>
              </w:rPr>
            </w:pPr>
            <w:r>
              <w:rPr>
                <w:rFonts w:ascii="Times New Roman" w:hAnsi="Times New Roman"/>
                <w:b/>
                <w:i/>
                <w:sz w:val="20"/>
              </w:rPr>
              <w:t>Administrative impact</w:t>
            </w:r>
          </w:p>
        </w:tc>
        <w:tc>
          <w:tcPr>
            <w:tcW w:w="2278" w:type="dxa"/>
            <w:gridSpan w:val="2"/>
            <w:vAlign w:val="center"/>
          </w:tcPr>
          <w:p w:rsidR="00166AD0" w:rsidRPr="00AD50FA" w:rsidRDefault="00166AD0" w:rsidP="00166AD0">
            <w:pPr>
              <w:spacing w:after="0" w:line="240" w:lineRule="auto"/>
              <w:jc w:val="center"/>
              <w:rPr>
                <w:rFonts w:ascii="Times New Roman" w:hAnsi="Times New Roman"/>
                <w:b/>
                <w:i/>
                <w:sz w:val="20"/>
              </w:rPr>
            </w:pPr>
            <w:r>
              <w:rPr>
                <w:rFonts w:ascii="Times New Roman" w:hAnsi="Times New Roman"/>
                <w:b/>
                <w:i/>
                <w:sz w:val="20"/>
              </w:rPr>
              <w:t>Compliance impact</w:t>
            </w:r>
          </w:p>
        </w:tc>
        <w:tc>
          <w:tcPr>
            <w:tcW w:w="1842" w:type="dxa"/>
            <w:tcBorders>
              <w:bottom w:val="single" w:sz="4" w:space="0" w:color="auto"/>
            </w:tcBorders>
            <w:vAlign w:val="center"/>
          </w:tcPr>
          <w:p w:rsidR="00166AD0" w:rsidRPr="00AD50FA" w:rsidRDefault="00166AD0" w:rsidP="00166AD0">
            <w:pPr>
              <w:spacing w:after="0" w:line="240" w:lineRule="auto"/>
              <w:jc w:val="center"/>
              <w:rPr>
                <w:rFonts w:ascii="Times New Roman" w:hAnsi="Times New Roman"/>
                <w:b/>
                <w:i/>
                <w:sz w:val="20"/>
              </w:rPr>
            </w:pPr>
            <w:r>
              <w:rPr>
                <w:rFonts w:ascii="Times New Roman" w:hAnsi="Times New Roman"/>
                <w:b/>
                <w:i/>
                <w:sz w:val="20"/>
              </w:rPr>
              <w:t>Fairness</w:t>
            </w:r>
          </w:p>
        </w:tc>
        <w:tc>
          <w:tcPr>
            <w:tcW w:w="2127" w:type="dxa"/>
            <w:gridSpan w:val="3"/>
            <w:vMerge/>
            <w:tcBorders>
              <w:bottom w:val="single" w:sz="4" w:space="0" w:color="auto"/>
            </w:tcBorders>
          </w:tcPr>
          <w:p w:rsidR="00166AD0" w:rsidRPr="00AD50FA" w:rsidRDefault="00166AD0" w:rsidP="00166AD0">
            <w:pPr>
              <w:spacing w:after="0" w:line="240" w:lineRule="auto"/>
              <w:jc w:val="center"/>
              <w:rPr>
                <w:rFonts w:ascii="Times New Roman" w:hAnsi="Times New Roman"/>
                <w:sz w:val="20"/>
              </w:rPr>
            </w:pPr>
          </w:p>
        </w:tc>
      </w:tr>
      <w:tr w:rsidR="005D693A" w:rsidRPr="00AD50FA" w:rsidTr="00E93EFB">
        <w:trPr>
          <w:trHeight w:val="1553"/>
        </w:trPr>
        <w:tc>
          <w:tcPr>
            <w:tcW w:w="1466" w:type="dxa"/>
            <w:tcBorders>
              <w:top w:val="single" w:sz="4" w:space="0" w:color="auto"/>
              <w:left w:val="single" w:sz="4" w:space="0" w:color="auto"/>
            </w:tcBorders>
          </w:tcPr>
          <w:p w:rsidR="004430D9" w:rsidRPr="00AD50FA" w:rsidRDefault="004430D9" w:rsidP="00E93EFB">
            <w:pPr>
              <w:spacing w:after="0" w:line="240" w:lineRule="auto"/>
              <w:jc w:val="left"/>
              <w:rPr>
                <w:rFonts w:ascii="Times New Roman" w:hAnsi="Times New Roman"/>
                <w:sz w:val="20"/>
                <w:lang w:val="en-NZ"/>
              </w:rPr>
            </w:pPr>
            <w:r w:rsidRPr="00E93EFB">
              <w:rPr>
                <w:rFonts w:ascii="Times New Roman" w:hAnsi="Times New Roman"/>
                <w:sz w:val="20"/>
                <w:lang w:val="en-NZ"/>
              </w:rPr>
              <w:t xml:space="preserve">2 - </w:t>
            </w:r>
            <w:r w:rsidR="00042EAB" w:rsidRPr="00E93EFB">
              <w:rPr>
                <w:rFonts w:ascii="Times New Roman" w:hAnsi="Times New Roman"/>
                <w:sz w:val="20"/>
                <w:lang w:val="en-NZ"/>
              </w:rPr>
              <w:t>Requiring IRD numbers and TINs</w:t>
            </w:r>
            <w:r w:rsidR="005E4CB1" w:rsidRPr="00E93EFB">
              <w:rPr>
                <w:rFonts w:ascii="Times New Roman" w:hAnsi="Times New Roman"/>
                <w:sz w:val="20"/>
                <w:lang w:val="en-NZ"/>
              </w:rPr>
              <w:t xml:space="preserve"> to be provided to LINZ</w:t>
            </w:r>
            <w:r w:rsidR="00095C5C" w:rsidRPr="00C1671A">
              <w:rPr>
                <w:rFonts w:ascii="Times New Roman" w:hAnsi="Times New Roman"/>
                <w:sz w:val="20"/>
              </w:rPr>
              <w:t xml:space="preserve"> </w:t>
            </w:r>
            <w:r w:rsidR="00095C5C">
              <w:rPr>
                <w:rFonts w:ascii="Times New Roman" w:hAnsi="Times New Roman"/>
                <w:sz w:val="20"/>
              </w:rPr>
              <w:t>(</w:t>
            </w:r>
            <w:r w:rsidR="00095C5C" w:rsidRPr="00C1671A">
              <w:rPr>
                <w:rFonts w:ascii="Times New Roman" w:hAnsi="Times New Roman"/>
                <w:sz w:val="20"/>
              </w:rPr>
              <w:t>and passed on to Inland Revenue) upon sale or purchase</w:t>
            </w:r>
            <w:r w:rsidR="00095C5C">
              <w:rPr>
                <w:rFonts w:ascii="Times New Roman" w:hAnsi="Times New Roman"/>
                <w:sz w:val="20"/>
              </w:rPr>
              <w:t xml:space="preserve"> of property</w:t>
            </w:r>
            <w:r w:rsidR="001908C3" w:rsidRPr="00E93EFB">
              <w:rPr>
                <w:rFonts w:ascii="Times New Roman" w:hAnsi="Times New Roman"/>
                <w:sz w:val="20"/>
                <w:lang w:val="en-NZ"/>
              </w:rPr>
              <w:t>.</w:t>
            </w:r>
          </w:p>
        </w:tc>
        <w:tc>
          <w:tcPr>
            <w:tcW w:w="3065" w:type="dxa"/>
            <w:gridSpan w:val="2"/>
            <w:tcBorders>
              <w:top w:val="single" w:sz="4" w:space="0" w:color="auto"/>
            </w:tcBorders>
          </w:tcPr>
          <w:p w:rsidR="001908C3" w:rsidRPr="00E93EFB" w:rsidRDefault="003561E4">
            <w:pPr>
              <w:spacing w:after="0" w:line="240" w:lineRule="auto"/>
              <w:jc w:val="left"/>
              <w:rPr>
                <w:rFonts w:ascii="Times New Roman" w:hAnsi="Times New Roman"/>
                <w:sz w:val="20"/>
                <w:lang w:val="en-NZ"/>
              </w:rPr>
            </w:pPr>
            <w:r w:rsidRPr="00CB26F3">
              <w:rPr>
                <w:rFonts w:ascii="Times New Roman" w:hAnsi="Times New Roman"/>
                <w:sz w:val="20"/>
                <w:lang w:val="en-NZ"/>
              </w:rPr>
              <w:t xml:space="preserve">Meets </w:t>
            </w:r>
            <w:r w:rsidR="00BE5C03" w:rsidRPr="00CB26F3">
              <w:rPr>
                <w:rFonts w:ascii="Times New Roman" w:hAnsi="Times New Roman"/>
                <w:sz w:val="20"/>
                <w:lang w:val="en-NZ"/>
              </w:rPr>
              <w:t>objective</w:t>
            </w:r>
            <w:r w:rsidR="006401BB" w:rsidRPr="00CB26F3">
              <w:rPr>
                <w:rFonts w:ascii="Times New Roman" w:hAnsi="Times New Roman"/>
                <w:sz w:val="20"/>
                <w:lang w:val="en-NZ"/>
              </w:rPr>
              <w:t>s (a) and (b)</w:t>
            </w:r>
            <w:r w:rsidR="00095C5C">
              <w:rPr>
                <w:rFonts w:ascii="Times New Roman" w:hAnsi="Times New Roman"/>
                <w:sz w:val="20"/>
                <w:lang w:val="en-NZ"/>
              </w:rPr>
              <w:t xml:space="preserve">. </w:t>
            </w:r>
            <w:r w:rsidR="005E4CB1" w:rsidRPr="00CB26F3">
              <w:rPr>
                <w:rFonts w:ascii="Times New Roman" w:hAnsi="Times New Roman"/>
                <w:sz w:val="20"/>
                <w:lang w:val="en-NZ"/>
              </w:rPr>
              <w:t>This w</w:t>
            </w:r>
            <w:r w:rsidR="00042EAB" w:rsidRPr="00CB26F3">
              <w:rPr>
                <w:rFonts w:ascii="Times New Roman" w:hAnsi="Times New Roman"/>
                <w:sz w:val="20"/>
                <w:lang w:val="en-NZ"/>
              </w:rPr>
              <w:t>ould</w:t>
            </w:r>
            <w:r w:rsidR="005E4CB1" w:rsidRPr="00CB26F3">
              <w:rPr>
                <w:rFonts w:ascii="Times New Roman" w:hAnsi="Times New Roman"/>
                <w:sz w:val="20"/>
                <w:lang w:val="en-NZ"/>
              </w:rPr>
              <w:t xml:space="preserve"> enable Inland Revenue to </w:t>
            </w:r>
            <w:r w:rsidR="00095C5C">
              <w:rPr>
                <w:rFonts w:ascii="Times New Roman" w:hAnsi="Times New Roman"/>
                <w:sz w:val="20"/>
                <w:lang w:val="en-NZ"/>
              </w:rPr>
              <w:t xml:space="preserve">better </w:t>
            </w:r>
            <w:r w:rsidR="005E4CB1" w:rsidRPr="00CB26F3">
              <w:rPr>
                <w:rFonts w:ascii="Times New Roman" w:hAnsi="Times New Roman"/>
                <w:sz w:val="20"/>
                <w:lang w:val="en-NZ"/>
              </w:rPr>
              <w:t>link the taxpayer and the property transaction which will make enforcement easier.</w:t>
            </w:r>
          </w:p>
          <w:p w:rsidR="003F1D35" w:rsidRPr="00E93EFB" w:rsidRDefault="003F1D35">
            <w:pPr>
              <w:spacing w:after="0" w:line="240" w:lineRule="auto"/>
              <w:jc w:val="left"/>
              <w:rPr>
                <w:rFonts w:ascii="Times New Roman" w:hAnsi="Times New Roman"/>
                <w:sz w:val="20"/>
                <w:lang w:val="en-NZ"/>
              </w:rPr>
            </w:pPr>
          </w:p>
          <w:p w:rsidR="003F1D35" w:rsidRPr="00AD50FA" w:rsidRDefault="003F1D35" w:rsidP="00E93EFB">
            <w:pPr>
              <w:pStyle w:val="ListParagraph"/>
              <w:ind w:left="0" w:right="170"/>
              <w:contextualSpacing w:val="0"/>
              <w:jc w:val="left"/>
              <w:rPr>
                <w:rFonts w:ascii="Times New Roman" w:hAnsi="Times New Roman"/>
                <w:sz w:val="20"/>
                <w:lang w:eastAsia="en-GB"/>
              </w:rPr>
            </w:pPr>
          </w:p>
        </w:tc>
        <w:tc>
          <w:tcPr>
            <w:tcW w:w="2240" w:type="dxa"/>
            <w:gridSpan w:val="2"/>
            <w:tcBorders>
              <w:top w:val="single" w:sz="4" w:space="0" w:color="auto"/>
            </w:tcBorders>
          </w:tcPr>
          <w:p w:rsidR="005E4CB1" w:rsidRPr="00E93EFB" w:rsidRDefault="005E4CB1">
            <w:pPr>
              <w:spacing w:after="0" w:line="240" w:lineRule="auto"/>
              <w:jc w:val="left"/>
              <w:rPr>
                <w:rFonts w:ascii="Times New Roman" w:hAnsi="Times New Roman"/>
                <w:sz w:val="20"/>
                <w:lang w:val="en-NZ"/>
              </w:rPr>
            </w:pPr>
            <w:r w:rsidRPr="00E93EFB">
              <w:rPr>
                <w:rFonts w:ascii="Times New Roman" w:hAnsi="Times New Roman"/>
                <w:sz w:val="20"/>
                <w:lang w:val="en-NZ"/>
              </w:rPr>
              <w:t xml:space="preserve">This is expected to increase revenue collection and support the other property measures (particularly relating to the </w:t>
            </w:r>
            <w:proofErr w:type="spellStart"/>
            <w:r w:rsidRPr="00E93EFB">
              <w:rPr>
                <w:rFonts w:ascii="Times New Roman" w:hAnsi="Times New Roman"/>
                <w:sz w:val="20"/>
                <w:lang w:val="en-NZ"/>
              </w:rPr>
              <w:t>brightline</w:t>
            </w:r>
            <w:proofErr w:type="spellEnd"/>
            <w:r w:rsidRPr="00E93EFB">
              <w:rPr>
                <w:rFonts w:ascii="Times New Roman" w:hAnsi="Times New Roman"/>
                <w:sz w:val="20"/>
                <w:lang w:val="en-NZ"/>
              </w:rPr>
              <w:t xml:space="preserve"> test).  To the extent that this prevents evasion, this could make property investment </w:t>
            </w:r>
            <w:r w:rsidR="00A85126" w:rsidRPr="00E93EFB">
              <w:rPr>
                <w:rFonts w:ascii="Times New Roman" w:hAnsi="Times New Roman"/>
                <w:sz w:val="20"/>
                <w:lang w:val="en-NZ"/>
              </w:rPr>
              <w:t>less</w:t>
            </w:r>
            <w:r w:rsidRPr="00E93EFB">
              <w:rPr>
                <w:rFonts w:ascii="Times New Roman" w:hAnsi="Times New Roman"/>
                <w:sz w:val="20"/>
                <w:lang w:val="en-NZ"/>
              </w:rPr>
              <w:t xml:space="preserve"> attractive.</w:t>
            </w:r>
          </w:p>
          <w:p w:rsidR="005E4CB1" w:rsidRPr="00E93EFB" w:rsidRDefault="005E4CB1">
            <w:pPr>
              <w:spacing w:after="0" w:line="240" w:lineRule="auto"/>
              <w:jc w:val="left"/>
              <w:rPr>
                <w:rFonts w:ascii="Times New Roman" w:hAnsi="Times New Roman"/>
                <w:sz w:val="20"/>
                <w:lang w:val="en-NZ"/>
              </w:rPr>
            </w:pPr>
          </w:p>
          <w:p w:rsidR="005E4CB1" w:rsidRPr="00E93EFB" w:rsidRDefault="005E4CB1">
            <w:pPr>
              <w:spacing w:after="0" w:line="240" w:lineRule="auto"/>
              <w:jc w:val="left"/>
              <w:rPr>
                <w:rFonts w:ascii="Times New Roman" w:hAnsi="Times New Roman"/>
                <w:sz w:val="20"/>
                <w:lang w:val="en-NZ"/>
              </w:rPr>
            </w:pPr>
            <w:r w:rsidRPr="00E93EFB">
              <w:rPr>
                <w:rFonts w:ascii="Times New Roman" w:hAnsi="Times New Roman"/>
                <w:sz w:val="20"/>
                <w:lang w:val="en-NZ"/>
              </w:rPr>
              <w:t xml:space="preserve">To the extent that </w:t>
            </w:r>
            <w:r w:rsidR="00A85126" w:rsidRPr="00E93EFB">
              <w:rPr>
                <w:rFonts w:ascii="Times New Roman" w:hAnsi="Times New Roman"/>
                <w:sz w:val="20"/>
                <w:lang w:val="en-NZ"/>
              </w:rPr>
              <w:t xml:space="preserve">it </w:t>
            </w:r>
            <w:r w:rsidR="005A075A" w:rsidRPr="00E93EFB">
              <w:rPr>
                <w:rFonts w:ascii="Times New Roman" w:hAnsi="Times New Roman"/>
                <w:sz w:val="20"/>
                <w:lang w:val="en-NZ"/>
              </w:rPr>
              <w:t>helps the</w:t>
            </w:r>
            <w:r w:rsidR="00A85126" w:rsidRPr="00E93EFB">
              <w:rPr>
                <w:rFonts w:ascii="Times New Roman" w:hAnsi="Times New Roman"/>
                <w:sz w:val="20"/>
                <w:lang w:val="en-NZ"/>
              </w:rPr>
              <w:t xml:space="preserve"> </w:t>
            </w:r>
            <w:r w:rsidRPr="00E93EFB">
              <w:rPr>
                <w:rFonts w:ascii="Times New Roman" w:hAnsi="Times New Roman"/>
                <w:sz w:val="20"/>
                <w:lang w:val="en-NZ"/>
              </w:rPr>
              <w:t xml:space="preserve">foreign tax jurisdiction </w:t>
            </w:r>
            <w:r w:rsidR="005A075A" w:rsidRPr="00E93EFB">
              <w:rPr>
                <w:rFonts w:ascii="Times New Roman" w:hAnsi="Times New Roman"/>
                <w:sz w:val="20"/>
                <w:lang w:val="en-NZ"/>
              </w:rPr>
              <w:t>to</w:t>
            </w:r>
            <w:r w:rsidRPr="00E93EFB">
              <w:rPr>
                <w:rFonts w:ascii="Times New Roman" w:hAnsi="Times New Roman"/>
                <w:sz w:val="20"/>
                <w:lang w:val="en-NZ"/>
              </w:rPr>
              <w:t xml:space="preserve"> link the taxpayer and the NZ property transaction, </w:t>
            </w:r>
            <w:r w:rsidR="005A075A" w:rsidRPr="00E93EFB">
              <w:rPr>
                <w:rFonts w:ascii="Times New Roman" w:hAnsi="Times New Roman"/>
                <w:sz w:val="20"/>
                <w:lang w:val="en-NZ"/>
              </w:rPr>
              <w:t xml:space="preserve">it could help prevent </w:t>
            </w:r>
            <w:r w:rsidRPr="00E93EFB">
              <w:rPr>
                <w:rFonts w:ascii="Times New Roman" w:hAnsi="Times New Roman"/>
                <w:sz w:val="20"/>
                <w:lang w:val="en-NZ"/>
              </w:rPr>
              <w:t xml:space="preserve">the </w:t>
            </w:r>
            <w:r w:rsidR="005A075A" w:rsidRPr="00E93EFB">
              <w:rPr>
                <w:rFonts w:ascii="Times New Roman" w:hAnsi="Times New Roman"/>
                <w:sz w:val="20"/>
                <w:lang w:val="en-NZ"/>
              </w:rPr>
              <w:t>evasion of</w:t>
            </w:r>
            <w:r w:rsidR="00095C5C">
              <w:rPr>
                <w:rFonts w:ascii="Times New Roman" w:hAnsi="Times New Roman"/>
                <w:sz w:val="20"/>
                <w:lang w:val="en-NZ"/>
              </w:rPr>
              <w:t xml:space="preserve"> foreign tax. </w:t>
            </w:r>
            <w:r w:rsidR="005A075A" w:rsidRPr="00E93EFB">
              <w:rPr>
                <w:rFonts w:ascii="Times New Roman" w:hAnsi="Times New Roman"/>
                <w:sz w:val="20"/>
                <w:lang w:val="en-NZ"/>
              </w:rPr>
              <w:t xml:space="preserve">If so, </w:t>
            </w:r>
            <w:r w:rsidRPr="00E93EFB">
              <w:rPr>
                <w:rFonts w:ascii="Times New Roman" w:hAnsi="Times New Roman"/>
                <w:sz w:val="20"/>
                <w:lang w:val="en-NZ"/>
              </w:rPr>
              <w:t xml:space="preserve">this </w:t>
            </w:r>
            <w:r w:rsidR="005A075A" w:rsidRPr="00E93EFB">
              <w:rPr>
                <w:rFonts w:ascii="Times New Roman" w:hAnsi="Times New Roman"/>
                <w:sz w:val="20"/>
                <w:lang w:val="en-NZ"/>
              </w:rPr>
              <w:t xml:space="preserve">option </w:t>
            </w:r>
            <w:r w:rsidRPr="00E93EFB">
              <w:rPr>
                <w:rFonts w:ascii="Times New Roman" w:hAnsi="Times New Roman"/>
                <w:sz w:val="20"/>
                <w:lang w:val="en-NZ"/>
              </w:rPr>
              <w:t xml:space="preserve">could make it </w:t>
            </w:r>
            <w:r w:rsidR="005A075A" w:rsidRPr="00E93EFB">
              <w:rPr>
                <w:rFonts w:ascii="Times New Roman" w:hAnsi="Times New Roman"/>
                <w:sz w:val="20"/>
                <w:lang w:val="en-NZ"/>
              </w:rPr>
              <w:t>less</w:t>
            </w:r>
            <w:r w:rsidRPr="00E93EFB">
              <w:rPr>
                <w:rFonts w:ascii="Times New Roman" w:hAnsi="Times New Roman"/>
                <w:sz w:val="20"/>
                <w:lang w:val="en-NZ"/>
              </w:rPr>
              <w:t xml:space="preserve"> attractive for non-residents to invest in New Zealand property.</w:t>
            </w:r>
          </w:p>
          <w:p w:rsidR="005E4CB1" w:rsidRPr="00E93EFB" w:rsidRDefault="005E4CB1">
            <w:pPr>
              <w:spacing w:after="0" w:line="240" w:lineRule="auto"/>
              <w:jc w:val="left"/>
              <w:rPr>
                <w:rFonts w:ascii="Times New Roman" w:hAnsi="Times New Roman"/>
                <w:sz w:val="20"/>
                <w:lang w:val="en-NZ"/>
              </w:rPr>
            </w:pPr>
          </w:p>
          <w:p w:rsidR="00AC378A" w:rsidRPr="00E93EFB" w:rsidRDefault="005E4CB1">
            <w:pPr>
              <w:spacing w:after="0" w:line="240" w:lineRule="auto"/>
              <w:jc w:val="left"/>
              <w:rPr>
                <w:rFonts w:ascii="Times New Roman" w:hAnsi="Times New Roman"/>
                <w:sz w:val="20"/>
                <w:lang w:val="en-NZ"/>
              </w:rPr>
            </w:pPr>
            <w:r w:rsidRPr="00E93EFB">
              <w:rPr>
                <w:rFonts w:ascii="Times New Roman" w:hAnsi="Times New Roman"/>
                <w:sz w:val="20"/>
                <w:lang w:val="en-NZ"/>
              </w:rPr>
              <w:t>These effects are not quantifiable.</w:t>
            </w:r>
          </w:p>
        </w:tc>
        <w:tc>
          <w:tcPr>
            <w:tcW w:w="2258" w:type="dxa"/>
            <w:tcBorders>
              <w:top w:val="single" w:sz="4" w:space="0" w:color="auto"/>
            </w:tcBorders>
          </w:tcPr>
          <w:p w:rsidR="007D6BEE" w:rsidRPr="00E93EFB" w:rsidRDefault="002F1CD9">
            <w:pPr>
              <w:spacing w:after="0" w:line="240" w:lineRule="auto"/>
              <w:jc w:val="left"/>
              <w:rPr>
                <w:rFonts w:ascii="Times New Roman" w:hAnsi="Times New Roman"/>
                <w:sz w:val="20"/>
              </w:rPr>
            </w:pPr>
            <w:r w:rsidRPr="00E93EFB">
              <w:rPr>
                <w:rFonts w:ascii="Times New Roman" w:hAnsi="Times New Roman"/>
                <w:sz w:val="20"/>
                <w:lang w:val="en-NZ"/>
              </w:rPr>
              <w:t xml:space="preserve">Analysis is required to fully </w:t>
            </w:r>
            <w:r w:rsidRPr="00CB26F3">
              <w:rPr>
                <w:rFonts w:ascii="Times New Roman" w:hAnsi="Times New Roman"/>
                <w:sz w:val="20"/>
              </w:rPr>
              <w:t xml:space="preserve">understand the administrative impacts. </w:t>
            </w:r>
            <w:r w:rsidR="007D6BEE" w:rsidRPr="00E93EFB">
              <w:rPr>
                <w:rFonts w:ascii="Times New Roman" w:hAnsi="Times New Roman"/>
                <w:sz w:val="20"/>
              </w:rPr>
              <w:t>These costs have not been quantified.</w:t>
            </w:r>
          </w:p>
          <w:p w:rsidR="007D6BEE" w:rsidRPr="00E93EFB" w:rsidRDefault="007D6BEE">
            <w:pPr>
              <w:jc w:val="left"/>
              <w:rPr>
                <w:rFonts w:ascii="Times New Roman" w:hAnsi="Times New Roman"/>
                <w:sz w:val="20"/>
                <w:lang w:val="en-NZ"/>
              </w:rPr>
            </w:pPr>
          </w:p>
        </w:tc>
        <w:tc>
          <w:tcPr>
            <w:tcW w:w="2278" w:type="dxa"/>
            <w:gridSpan w:val="2"/>
            <w:tcBorders>
              <w:top w:val="single" w:sz="4" w:space="0" w:color="auto"/>
              <w:right w:val="single" w:sz="4" w:space="0" w:color="auto"/>
            </w:tcBorders>
          </w:tcPr>
          <w:p w:rsidR="00AC378A" w:rsidRPr="00E93EFB" w:rsidRDefault="00AE1948" w:rsidP="00E93EFB">
            <w:pPr>
              <w:ind w:right="170"/>
              <w:rPr>
                <w:rFonts w:ascii="Times New Roman" w:hAnsi="Times New Roman"/>
                <w:sz w:val="20"/>
                <w:lang w:val="en-NZ"/>
              </w:rPr>
            </w:pPr>
            <w:r w:rsidRPr="00E93EFB">
              <w:rPr>
                <w:rFonts w:ascii="Times New Roman" w:hAnsi="Times New Roman"/>
                <w:sz w:val="20"/>
                <w:lang w:val="en-NZ"/>
              </w:rPr>
              <w:t>Compliance costs will be i</w:t>
            </w:r>
            <w:r w:rsidR="003561E4" w:rsidRPr="00E93EFB">
              <w:rPr>
                <w:rFonts w:ascii="Times New Roman" w:hAnsi="Times New Roman"/>
                <w:sz w:val="20"/>
                <w:lang w:val="en-NZ"/>
              </w:rPr>
              <w:t>ncreased.</w:t>
            </w:r>
          </w:p>
        </w:tc>
        <w:tc>
          <w:tcPr>
            <w:tcW w:w="1842" w:type="dxa"/>
            <w:tcBorders>
              <w:top w:val="single" w:sz="4" w:space="0" w:color="auto"/>
              <w:left w:val="single" w:sz="4" w:space="0" w:color="auto"/>
              <w:right w:val="single" w:sz="4" w:space="0" w:color="auto"/>
            </w:tcBorders>
          </w:tcPr>
          <w:p w:rsidR="004430D9" w:rsidRPr="00E93EFB" w:rsidRDefault="00AF666F" w:rsidP="00837C6F">
            <w:pPr>
              <w:spacing w:after="0" w:line="240" w:lineRule="auto"/>
              <w:jc w:val="left"/>
              <w:rPr>
                <w:rFonts w:ascii="Times New Roman" w:hAnsi="Times New Roman"/>
                <w:sz w:val="20"/>
                <w:lang w:val="en-NZ"/>
              </w:rPr>
            </w:pPr>
            <w:r w:rsidRPr="00E93EFB">
              <w:rPr>
                <w:rFonts w:ascii="Times New Roman" w:hAnsi="Times New Roman"/>
                <w:sz w:val="20"/>
              </w:rPr>
              <w:t xml:space="preserve">The proposal will enable </w:t>
            </w:r>
            <w:r w:rsidR="00095C5C">
              <w:rPr>
                <w:rFonts w:ascii="Times New Roman" w:hAnsi="Times New Roman"/>
                <w:sz w:val="20"/>
              </w:rPr>
              <w:t>Inland Revenue</w:t>
            </w:r>
            <w:r w:rsidRPr="00E93EFB">
              <w:rPr>
                <w:rFonts w:ascii="Times New Roman" w:hAnsi="Times New Roman"/>
                <w:sz w:val="20"/>
              </w:rPr>
              <w:t xml:space="preserve"> and </w:t>
            </w:r>
            <w:r w:rsidR="00095C5C">
              <w:rPr>
                <w:rFonts w:ascii="Times New Roman" w:hAnsi="Times New Roman"/>
                <w:sz w:val="20"/>
              </w:rPr>
              <w:t xml:space="preserve">tax authorities in </w:t>
            </w:r>
            <w:r w:rsidRPr="00E93EFB">
              <w:rPr>
                <w:rFonts w:ascii="Times New Roman" w:hAnsi="Times New Roman"/>
                <w:sz w:val="20"/>
              </w:rPr>
              <w:t>other jurisdictions to link the taxpayer and the property transaction, which should help prevent taxpayers from evading tax. This will increase fairness for other</w:t>
            </w:r>
            <w:r w:rsidRPr="00CB26F3">
              <w:rPr>
                <w:rFonts w:ascii="Times New Roman" w:hAnsi="Times New Roman"/>
                <w:sz w:val="20"/>
                <w:lang w:val="en-NZ"/>
              </w:rPr>
              <w:t xml:space="preserve"> taxpayers.</w:t>
            </w:r>
          </w:p>
        </w:tc>
        <w:tc>
          <w:tcPr>
            <w:tcW w:w="2127" w:type="dxa"/>
            <w:gridSpan w:val="3"/>
            <w:tcBorders>
              <w:top w:val="single" w:sz="4" w:space="0" w:color="auto"/>
              <w:left w:val="single" w:sz="4" w:space="0" w:color="auto"/>
              <w:right w:val="single" w:sz="4" w:space="0" w:color="auto"/>
            </w:tcBorders>
          </w:tcPr>
          <w:p w:rsidR="00AE1948" w:rsidRPr="00CB26F3" w:rsidRDefault="00AE1948">
            <w:pPr>
              <w:spacing w:after="0" w:line="240" w:lineRule="auto"/>
              <w:jc w:val="left"/>
              <w:rPr>
                <w:rFonts w:ascii="Times New Roman" w:hAnsi="Times New Roman"/>
                <w:sz w:val="20"/>
              </w:rPr>
            </w:pPr>
            <w:r w:rsidRPr="00E93EFB">
              <w:rPr>
                <w:rFonts w:ascii="Times New Roman" w:hAnsi="Times New Roman"/>
                <w:sz w:val="20"/>
              </w:rPr>
              <w:t>Meets objectives (a) and (b).  This would enable Inland Revenue to link the taxpayer and the property transaction which will make enforcement easier.</w:t>
            </w:r>
          </w:p>
          <w:p w:rsidR="00AF666F" w:rsidRPr="00E93EFB" w:rsidRDefault="00AF666F" w:rsidP="00E93EFB">
            <w:pPr>
              <w:pStyle w:val="ListParagraph"/>
              <w:ind w:left="0" w:right="170"/>
              <w:contextualSpacing w:val="0"/>
              <w:jc w:val="left"/>
              <w:rPr>
                <w:rFonts w:ascii="Times New Roman" w:hAnsi="Times New Roman"/>
                <w:sz w:val="20"/>
                <w:lang w:val="en-GB" w:eastAsia="en-GB"/>
              </w:rPr>
            </w:pPr>
            <w:r w:rsidRPr="00E93EFB">
              <w:rPr>
                <w:rFonts w:ascii="Times New Roman" w:hAnsi="Times New Roman"/>
                <w:sz w:val="20"/>
                <w:lang w:val="en-GB" w:eastAsia="en-GB"/>
              </w:rPr>
              <w:t>The exact level of benefits has not been quantified.</w:t>
            </w:r>
          </w:p>
          <w:p w:rsidR="00433EE1" w:rsidRPr="00E93EFB" w:rsidRDefault="00433EE1">
            <w:pPr>
              <w:spacing w:after="0" w:line="240" w:lineRule="auto"/>
              <w:jc w:val="left"/>
              <w:rPr>
                <w:rFonts w:ascii="Times New Roman" w:hAnsi="Times New Roman"/>
                <w:sz w:val="20"/>
                <w:lang w:val="en-NZ"/>
              </w:rPr>
            </w:pPr>
          </w:p>
        </w:tc>
      </w:tr>
    </w:tbl>
    <w:p w:rsidR="00AF666F" w:rsidRDefault="00AF666F" w:rsidP="003F40F7">
      <w:pPr>
        <w:spacing w:after="0" w:line="240" w:lineRule="auto"/>
        <w:jc w:val="both"/>
        <w:rPr>
          <w:rFonts w:ascii="Times New Roman" w:hAnsi="Times New Roman"/>
          <w:sz w:val="24"/>
          <w:szCs w:val="24"/>
          <w:lang w:val="en-NZ"/>
        </w:rPr>
      </w:pPr>
    </w:p>
    <w:p w:rsidR="00AF666F" w:rsidRDefault="00AF666F">
      <w:pPr>
        <w:spacing w:after="0" w:line="240" w:lineRule="auto"/>
        <w:rPr>
          <w:rFonts w:ascii="Times New Roman" w:hAnsi="Times New Roman"/>
          <w:sz w:val="24"/>
          <w:szCs w:val="24"/>
          <w:lang w:val="en-NZ"/>
        </w:rPr>
      </w:pPr>
      <w:r>
        <w:rPr>
          <w:rFonts w:ascii="Times New Roman" w:hAnsi="Times New Roman"/>
          <w:sz w:val="24"/>
          <w:szCs w:val="24"/>
          <w:lang w:val="en-NZ"/>
        </w:rPr>
        <w:br w:type="page"/>
      </w:r>
    </w:p>
    <w:tbl>
      <w:tblPr>
        <w:tblStyle w:val="TableGrid"/>
        <w:tblW w:w="15276" w:type="dxa"/>
        <w:tblLayout w:type="fixed"/>
        <w:tblLook w:val="04A0" w:firstRow="1" w:lastRow="0" w:firstColumn="1" w:lastColumn="0" w:noHBand="0" w:noVBand="1"/>
      </w:tblPr>
      <w:tblGrid>
        <w:gridCol w:w="1501"/>
        <w:gridCol w:w="3002"/>
        <w:gridCol w:w="2268"/>
        <w:gridCol w:w="2268"/>
        <w:gridCol w:w="2268"/>
        <w:gridCol w:w="1842"/>
        <w:gridCol w:w="2127"/>
      </w:tblGrid>
      <w:tr w:rsidR="00AF666F" w:rsidRPr="00AD50FA" w:rsidTr="00E93EFB">
        <w:tc>
          <w:tcPr>
            <w:tcW w:w="1501" w:type="dxa"/>
            <w:vMerge w:val="restart"/>
            <w:vAlign w:val="center"/>
          </w:tcPr>
          <w:p w:rsidR="00AF666F" w:rsidRPr="00AD50FA" w:rsidRDefault="00AF666F" w:rsidP="00AF666F">
            <w:pPr>
              <w:spacing w:after="0" w:line="240" w:lineRule="auto"/>
              <w:jc w:val="center"/>
              <w:rPr>
                <w:rFonts w:ascii="Times New Roman" w:hAnsi="Times New Roman"/>
                <w:b/>
                <w:i/>
                <w:sz w:val="20"/>
              </w:rPr>
            </w:pPr>
            <w:r>
              <w:lastRenderedPageBreak/>
              <w:br w:type="page"/>
            </w:r>
            <w:r w:rsidRPr="00AD50FA">
              <w:rPr>
                <w:rFonts w:ascii="Times New Roman" w:hAnsi="Times New Roman"/>
                <w:b/>
                <w:i/>
                <w:sz w:val="20"/>
              </w:rPr>
              <w:t>Option</w:t>
            </w:r>
          </w:p>
        </w:tc>
        <w:tc>
          <w:tcPr>
            <w:tcW w:w="3002" w:type="dxa"/>
            <w:vMerge w:val="restart"/>
            <w:vAlign w:val="center"/>
          </w:tcPr>
          <w:p w:rsidR="00AF666F" w:rsidRPr="00AD50FA" w:rsidRDefault="00AF666F" w:rsidP="00AF666F">
            <w:pPr>
              <w:spacing w:after="0" w:line="240" w:lineRule="auto"/>
              <w:jc w:val="center"/>
              <w:rPr>
                <w:rFonts w:ascii="Times New Roman" w:hAnsi="Times New Roman"/>
                <w:b/>
                <w:i/>
                <w:sz w:val="20"/>
              </w:rPr>
            </w:pPr>
            <w:r>
              <w:rPr>
                <w:rFonts w:ascii="Times New Roman" w:hAnsi="Times New Roman"/>
                <w:b/>
                <w:i/>
                <w:sz w:val="20"/>
              </w:rPr>
              <w:t>Meets objective</w:t>
            </w:r>
            <w:r w:rsidRPr="00AD50FA">
              <w:rPr>
                <w:rFonts w:ascii="Times New Roman" w:hAnsi="Times New Roman"/>
                <w:b/>
                <w:i/>
                <w:sz w:val="20"/>
              </w:rPr>
              <w:t>?</w:t>
            </w:r>
          </w:p>
        </w:tc>
        <w:tc>
          <w:tcPr>
            <w:tcW w:w="8646" w:type="dxa"/>
            <w:gridSpan w:val="4"/>
          </w:tcPr>
          <w:p w:rsidR="00AF666F" w:rsidRPr="00AD50FA" w:rsidRDefault="00AF666F" w:rsidP="00AF666F">
            <w:pPr>
              <w:spacing w:after="0" w:line="240" w:lineRule="auto"/>
              <w:jc w:val="center"/>
              <w:rPr>
                <w:rFonts w:ascii="Times New Roman" w:hAnsi="Times New Roman"/>
                <w:b/>
                <w:i/>
                <w:sz w:val="20"/>
              </w:rPr>
            </w:pPr>
            <w:r w:rsidRPr="00AD50FA">
              <w:rPr>
                <w:rFonts w:ascii="Times New Roman" w:hAnsi="Times New Roman"/>
                <w:b/>
                <w:i/>
                <w:sz w:val="20"/>
              </w:rPr>
              <w:t>Impacts</w:t>
            </w:r>
          </w:p>
        </w:tc>
        <w:tc>
          <w:tcPr>
            <w:tcW w:w="2127" w:type="dxa"/>
            <w:vMerge w:val="restart"/>
            <w:vAlign w:val="center"/>
          </w:tcPr>
          <w:p w:rsidR="00AF666F" w:rsidRPr="00AD50FA" w:rsidRDefault="00AF666F" w:rsidP="00AF666F">
            <w:pPr>
              <w:spacing w:after="0" w:line="240" w:lineRule="auto"/>
              <w:jc w:val="center"/>
              <w:rPr>
                <w:rFonts w:ascii="Times New Roman" w:hAnsi="Times New Roman"/>
                <w:b/>
                <w:i/>
                <w:sz w:val="20"/>
              </w:rPr>
            </w:pPr>
            <w:r w:rsidRPr="00AD50FA">
              <w:rPr>
                <w:rFonts w:ascii="Times New Roman" w:hAnsi="Times New Roman"/>
                <w:b/>
                <w:i/>
                <w:sz w:val="20"/>
              </w:rPr>
              <w:t>Net impact</w:t>
            </w:r>
          </w:p>
        </w:tc>
      </w:tr>
      <w:tr w:rsidR="00AF666F" w:rsidRPr="00AD50FA" w:rsidTr="00E93EFB">
        <w:trPr>
          <w:trHeight w:val="669"/>
        </w:trPr>
        <w:tc>
          <w:tcPr>
            <w:tcW w:w="1501" w:type="dxa"/>
            <w:vMerge/>
          </w:tcPr>
          <w:p w:rsidR="00AF666F" w:rsidRPr="00AD50FA" w:rsidRDefault="00AF666F" w:rsidP="00AF666F">
            <w:pPr>
              <w:spacing w:after="0" w:line="240" w:lineRule="auto"/>
              <w:jc w:val="center"/>
              <w:rPr>
                <w:rFonts w:ascii="Times New Roman" w:hAnsi="Times New Roman"/>
                <w:b/>
                <w:sz w:val="20"/>
              </w:rPr>
            </w:pPr>
          </w:p>
        </w:tc>
        <w:tc>
          <w:tcPr>
            <w:tcW w:w="3002" w:type="dxa"/>
            <w:vMerge/>
          </w:tcPr>
          <w:p w:rsidR="00AF666F" w:rsidRPr="00AD50FA" w:rsidRDefault="00AF666F" w:rsidP="00AF666F">
            <w:pPr>
              <w:spacing w:after="0" w:line="240" w:lineRule="auto"/>
              <w:jc w:val="center"/>
              <w:rPr>
                <w:rFonts w:ascii="Times New Roman" w:hAnsi="Times New Roman"/>
                <w:sz w:val="20"/>
              </w:rPr>
            </w:pPr>
          </w:p>
        </w:tc>
        <w:tc>
          <w:tcPr>
            <w:tcW w:w="2268" w:type="dxa"/>
          </w:tcPr>
          <w:p w:rsidR="00AF666F" w:rsidRPr="00AD50FA" w:rsidRDefault="00AF666F" w:rsidP="00AF666F">
            <w:pPr>
              <w:spacing w:after="0" w:line="240" w:lineRule="auto"/>
              <w:jc w:val="center"/>
              <w:rPr>
                <w:rFonts w:ascii="Times New Roman" w:hAnsi="Times New Roman"/>
                <w:b/>
                <w:i/>
                <w:sz w:val="20"/>
              </w:rPr>
            </w:pPr>
            <w:r>
              <w:rPr>
                <w:rFonts w:ascii="Times New Roman" w:hAnsi="Times New Roman"/>
                <w:b/>
                <w:i/>
                <w:sz w:val="20"/>
              </w:rPr>
              <w:t>Economic / revenue impact</w:t>
            </w:r>
          </w:p>
        </w:tc>
        <w:tc>
          <w:tcPr>
            <w:tcW w:w="2268" w:type="dxa"/>
            <w:vAlign w:val="center"/>
          </w:tcPr>
          <w:p w:rsidR="00AF666F" w:rsidRPr="00AD50FA" w:rsidRDefault="00AF666F" w:rsidP="00AF666F">
            <w:pPr>
              <w:spacing w:after="0" w:line="240" w:lineRule="auto"/>
              <w:jc w:val="center"/>
              <w:rPr>
                <w:rFonts w:ascii="Times New Roman" w:hAnsi="Times New Roman"/>
                <w:b/>
                <w:i/>
                <w:sz w:val="20"/>
              </w:rPr>
            </w:pPr>
            <w:r>
              <w:rPr>
                <w:rFonts w:ascii="Times New Roman" w:hAnsi="Times New Roman"/>
                <w:b/>
                <w:i/>
                <w:sz w:val="20"/>
              </w:rPr>
              <w:t>Administrative impact</w:t>
            </w:r>
          </w:p>
        </w:tc>
        <w:tc>
          <w:tcPr>
            <w:tcW w:w="2268" w:type="dxa"/>
            <w:vAlign w:val="center"/>
          </w:tcPr>
          <w:p w:rsidR="00AF666F" w:rsidRPr="00AD50FA" w:rsidRDefault="00AF666F" w:rsidP="00AF666F">
            <w:pPr>
              <w:spacing w:after="0" w:line="240" w:lineRule="auto"/>
              <w:jc w:val="center"/>
              <w:rPr>
                <w:rFonts w:ascii="Times New Roman" w:hAnsi="Times New Roman"/>
                <w:b/>
                <w:i/>
                <w:sz w:val="20"/>
              </w:rPr>
            </w:pPr>
            <w:r>
              <w:rPr>
                <w:rFonts w:ascii="Times New Roman" w:hAnsi="Times New Roman"/>
                <w:b/>
                <w:i/>
                <w:sz w:val="20"/>
              </w:rPr>
              <w:t>Compliance impact</w:t>
            </w:r>
          </w:p>
        </w:tc>
        <w:tc>
          <w:tcPr>
            <w:tcW w:w="1842" w:type="dxa"/>
            <w:tcBorders>
              <w:bottom w:val="single" w:sz="4" w:space="0" w:color="auto"/>
            </w:tcBorders>
            <w:vAlign w:val="center"/>
          </w:tcPr>
          <w:p w:rsidR="00AF666F" w:rsidRPr="00AD50FA" w:rsidRDefault="00AF666F" w:rsidP="00AF666F">
            <w:pPr>
              <w:spacing w:after="0" w:line="240" w:lineRule="auto"/>
              <w:jc w:val="center"/>
              <w:rPr>
                <w:rFonts w:ascii="Times New Roman" w:hAnsi="Times New Roman"/>
                <w:b/>
                <w:i/>
                <w:sz w:val="20"/>
              </w:rPr>
            </w:pPr>
            <w:r>
              <w:rPr>
                <w:rFonts w:ascii="Times New Roman" w:hAnsi="Times New Roman"/>
                <w:b/>
                <w:i/>
                <w:sz w:val="20"/>
              </w:rPr>
              <w:t>Fairness</w:t>
            </w:r>
          </w:p>
        </w:tc>
        <w:tc>
          <w:tcPr>
            <w:tcW w:w="2127" w:type="dxa"/>
            <w:vMerge/>
            <w:tcBorders>
              <w:bottom w:val="single" w:sz="4" w:space="0" w:color="auto"/>
            </w:tcBorders>
          </w:tcPr>
          <w:p w:rsidR="00AF666F" w:rsidRPr="00AD50FA" w:rsidRDefault="00AF666F" w:rsidP="00AF666F">
            <w:pPr>
              <w:spacing w:after="0" w:line="240" w:lineRule="auto"/>
              <w:jc w:val="center"/>
              <w:rPr>
                <w:rFonts w:ascii="Times New Roman" w:hAnsi="Times New Roman"/>
                <w:sz w:val="20"/>
              </w:rPr>
            </w:pPr>
          </w:p>
        </w:tc>
      </w:tr>
      <w:tr w:rsidR="00AF666F" w:rsidRPr="00A0416D" w:rsidTr="00E93EFB">
        <w:trPr>
          <w:trHeight w:val="1553"/>
        </w:trPr>
        <w:tc>
          <w:tcPr>
            <w:tcW w:w="1501" w:type="dxa"/>
            <w:tcBorders>
              <w:top w:val="single" w:sz="4" w:space="0" w:color="auto"/>
              <w:left w:val="single" w:sz="4" w:space="0" w:color="auto"/>
            </w:tcBorders>
          </w:tcPr>
          <w:p w:rsidR="00AF666F" w:rsidRPr="00E93EFB" w:rsidRDefault="00AF666F" w:rsidP="00095C5C">
            <w:pPr>
              <w:spacing w:after="0" w:line="240" w:lineRule="auto"/>
              <w:jc w:val="left"/>
              <w:rPr>
                <w:rFonts w:ascii="Times New Roman" w:hAnsi="Times New Roman"/>
                <w:sz w:val="20"/>
              </w:rPr>
            </w:pPr>
            <w:r>
              <w:rPr>
                <w:rFonts w:ascii="Times New Roman" w:hAnsi="Times New Roman"/>
                <w:sz w:val="20"/>
              </w:rPr>
              <w:t>3</w:t>
            </w:r>
            <w:r w:rsidRPr="00E1736A">
              <w:rPr>
                <w:rFonts w:ascii="Times New Roman" w:hAnsi="Times New Roman"/>
                <w:sz w:val="20"/>
              </w:rPr>
              <w:t xml:space="preserve"> - </w:t>
            </w:r>
            <w:r w:rsidRPr="005E4CB1">
              <w:rPr>
                <w:rFonts w:ascii="Times New Roman" w:hAnsi="Times New Roman"/>
                <w:sz w:val="20"/>
              </w:rPr>
              <w:t xml:space="preserve">Requiring IRD numbers and TIN numbers to be provided to </w:t>
            </w:r>
            <w:r w:rsidRPr="00AF666F">
              <w:rPr>
                <w:rFonts w:ascii="Times New Roman" w:hAnsi="Times New Roman"/>
                <w:sz w:val="20"/>
              </w:rPr>
              <w:t>LINZ</w:t>
            </w:r>
            <w:r w:rsidR="00095C5C">
              <w:rPr>
                <w:rFonts w:ascii="Times New Roman" w:hAnsi="Times New Roman"/>
                <w:sz w:val="20"/>
              </w:rPr>
              <w:t xml:space="preserve"> (</w:t>
            </w:r>
            <w:r w:rsidR="00095C5C" w:rsidRPr="00C1671A">
              <w:rPr>
                <w:rFonts w:ascii="Times New Roman" w:hAnsi="Times New Roman"/>
                <w:sz w:val="20"/>
              </w:rPr>
              <w:t>and passed on to Inland Revenue) upon sale or purchase</w:t>
            </w:r>
            <w:r w:rsidRPr="00AF666F">
              <w:rPr>
                <w:rFonts w:ascii="Times New Roman" w:hAnsi="Times New Roman"/>
                <w:sz w:val="20"/>
              </w:rPr>
              <w:t xml:space="preserve">, but with an exemption </w:t>
            </w:r>
            <w:r w:rsidR="00095C5C">
              <w:rPr>
                <w:rFonts w:ascii="Times New Roman" w:hAnsi="Times New Roman"/>
                <w:sz w:val="20"/>
              </w:rPr>
              <w:t>for</w:t>
            </w:r>
            <w:r w:rsidRPr="00AF666F">
              <w:rPr>
                <w:rFonts w:ascii="Times New Roman" w:hAnsi="Times New Roman"/>
                <w:sz w:val="20"/>
              </w:rPr>
              <w:t xml:space="preserve"> purchasers for whom the property will be their main </w:t>
            </w:r>
            <w:r w:rsidR="00891979">
              <w:rPr>
                <w:rFonts w:ascii="Times New Roman" w:hAnsi="Times New Roman"/>
                <w:sz w:val="20"/>
              </w:rPr>
              <w:t>home</w:t>
            </w:r>
            <w:r w:rsidR="007D6362">
              <w:rPr>
                <w:rFonts w:ascii="Times New Roman" w:hAnsi="Times New Roman"/>
                <w:sz w:val="20"/>
              </w:rPr>
              <w:t xml:space="preserve"> </w:t>
            </w:r>
            <w:r w:rsidR="007D6362" w:rsidRPr="00E93EFB">
              <w:rPr>
                <w:rFonts w:ascii="Times New Roman" w:hAnsi="Times New Roman"/>
                <w:sz w:val="20"/>
              </w:rPr>
              <w:t>(variation o</w:t>
            </w:r>
            <w:r w:rsidR="00CB1F71" w:rsidRPr="00E93EFB">
              <w:rPr>
                <w:rFonts w:ascii="Times New Roman" w:hAnsi="Times New Roman"/>
                <w:sz w:val="20"/>
              </w:rPr>
              <w:t>n</w:t>
            </w:r>
            <w:r w:rsidR="007D6362" w:rsidRPr="00E93EFB">
              <w:rPr>
                <w:rFonts w:ascii="Times New Roman" w:hAnsi="Times New Roman"/>
                <w:sz w:val="20"/>
              </w:rPr>
              <w:t xml:space="preserve"> option 2)</w:t>
            </w:r>
          </w:p>
        </w:tc>
        <w:tc>
          <w:tcPr>
            <w:tcW w:w="3002" w:type="dxa"/>
            <w:tcBorders>
              <w:top w:val="single" w:sz="4" w:space="0" w:color="auto"/>
            </w:tcBorders>
          </w:tcPr>
          <w:p w:rsidR="00076334" w:rsidRPr="00E93EFB" w:rsidRDefault="00AF666F" w:rsidP="00E93EFB">
            <w:pPr>
              <w:spacing w:after="0" w:line="240" w:lineRule="auto"/>
              <w:ind w:right="170"/>
              <w:jc w:val="left"/>
              <w:rPr>
                <w:rFonts w:ascii="Times New Roman" w:hAnsi="Times New Roman"/>
                <w:sz w:val="20"/>
              </w:rPr>
            </w:pPr>
            <w:r w:rsidRPr="00E93EFB">
              <w:rPr>
                <w:rFonts w:ascii="Times New Roman" w:hAnsi="Times New Roman"/>
                <w:sz w:val="20"/>
              </w:rPr>
              <w:t>Partially meets objective</w:t>
            </w:r>
            <w:r w:rsidR="00837C6F">
              <w:rPr>
                <w:rFonts w:ascii="Times New Roman" w:hAnsi="Times New Roman"/>
                <w:sz w:val="20"/>
              </w:rPr>
              <w:t>s</w:t>
            </w:r>
            <w:r w:rsidR="00014499" w:rsidRPr="00E93EFB">
              <w:rPr>
                <w:rFonts w:ascii="Times New Roman" w:hAnsi="Times New Roman"/>
                <w:sz w:val="20"/>
              </w:rPr>
              <w:t xml:space="preserve"> (a) and (b)</w:t>
            </w:r>
            <w:r w:rsidR="00441F6D" w:rsidRPr="00E93EFB">
              <w:rPr>
                <w:rFonts w:ascii="Times New Roman" w:hAnsi="Times New Roman"/>
                <w:sz w:val="20"/>
              </w:rPr>
              <w:t xml:space="preserve"> to a greater extent than the status quo</w:t>
            </w:r>
            <w:r w:rsidRPr="00E93EFB">
              <w:rPr>
                <w:rFonts w:ascii="Times New Roman" w:hAnsi="Times New Roman"/>
                <w:sz w:val="20"/>
              </w:rPr>
              <w:t xml:space="preserve">.  </w:t>
            </w:r>
            <w:r w:rsidR="00076334" w:rsidRPr="00E93EFB">
              <w:rPr>
                <w:rFonts w:ascii="Times New Roman" w:hAnsi="Times New Roman"/>
                <w:sz w:val="20"/>
              </w:rPr>
              <w:t>T</w:t>
            </w:r>
            <w:r w:rsidR="00076334" w:rsidRPr="00DE46A9">
              <w:rPr>
                <w:rFonts w:ascii="Times New Roman" w:hAnsi="Times New Roman"/>
                <w:sz w:val="20"/>
              </w:rPr>
              <w:t xml:space="preserve">he benefits of collecting the information </w:t>
            </w:r>
            <w:r w:rsidR="00B905A6">
              <w:rPr>
                <w:rFonts w:ascii="Times New Roman" w:hAnsi="Times New Roman"/>
                <w:sz w:val="20"/>
              </w:rPr>
              <w:t xml:space="preserve">in relation to revenue and tax integrity </w:t>
            </w:r>
            <w:r w:rsidR="00076334" w:rsidRPr="00DE46A9">
              <w:rPr>
                <w:rFonts w:ascii="Times New Roman" w:hAnsi="Times New Roman"/>
                <w:sz w:val="20"/>
              </w:rPr>
              <w:t xml:space="preserve">will </w:t>
            </w:r>
            <w:r w:rsidR="00B905A6">
              <w:rPr>
                <w:rFonts w:ascii="Times New Roman" w:hAnsi="Times New Roman"/>
                <w:sz w:val="20"/>
              </w:rPr>
              <w:t xml:space="preserve">still exist but </w:t>
            </w:r>
            <w:r w:rsidR="00441F6D">
              <w:rPr>
                <w:rFonts w:ascii="Times New Roman" w:hAnsi="Times New Roman"/>
                <w:sz w:val="20"/>
              </w:rPr>
              <w:t xml:space="preserve">would </w:t>
            </w:r>
            <w:r w:rsidR="00B905A6">
              <w:rPr>
                <w:rFonts w:ascii="Times New Roman" w:hAnsi="Times New Roman"/>
                <w:sz w:val="20"/>
              </w:rPr>
              <w:t>be</w:t>
            </w:r>
            <w:r w:rsidR="00076334" w:rsidRPr="00DE46A9">
              <w:rPr>
                <w:rFonts w:ascii="Times New Roman" w:hAnsi="Times New Roman"/>
                <w:sz w:val="20"/>
              </w:rPr>
              <w:t xml:space="preserve"> reduced under option 3 compared to option 2.  For example, some individuals who are purchasing their main home could still be subject to tax if they are </w:t>
            </w:r>
            <w:r w:rsidR="00722C43">
              <w:rPr>
                <w:rFonts w:ascii="Times New Roman" w:hAnsi="Times New Roman"/>
                <w:sz w:val="20"/>
              </w:rPr>
              <w:t xml:space="preserve">have a regular pattern of </w:t>
            </w:r>
            <w:r w:rsidR="00076334" w:rsidRPr="00DE46A9">
              <w:rPr>
                <w:rFonts w:ascii="Times New Roman" w:hAnsi="Times New Roman"/>
                <w:sz w:val="20"/>
              </w:rPr>
              <w:t xml:space="preserve">buying, improving, and selling their main </w:t>
            </w:r>
            <w:r w:rsidR="00891979">
              <w:rPr>
                <w:rFonts w:ascii="Times New Roman" w:hAnsi="Times New Roman"/>
                <w:sz w:val="20"/>
              </w:rPr>
              <w:t>home</w:t>
            </w:r>
            <w:r w:rsidR="00A32666">
              <w:rPr>
                <w:rFonts w:ascii="Times New Roman" w:hAnsi="Times New Roman"/>
                <w:sz w:val="20"/>
              </w:rPr>
              <w:t xml:space="preserve">. </w:t>
            </w:r>
            <w:r w:rsidR="00837C6F">
              <w:rPr>
                <w:rFonts w:ascii="Times New Roman" w:hAnsi="Times New Roman"/>
                <w:sz w:val="20"/>
              </w:rPr>
              <w:t xml:space="preserve">Other taxpayers </w:t>
            </w:r>
            <w:r w:rsidR="00095C5C">
              <w:rPr>
                <w:rFonts w:ascii="Times New Roman" w:hAnsi="Times New Roman"/>
                <w:sz w:val="20"/>
              </w:rPr>
              <w:t>could have income tax obligations relating to the property if they subsequently use the property as a rental.</w:t>
            </w:r>
            <w:r w:rsidR="00076334" w:rsidRPr="00DE46A9">
              <w:rPr>
                <w:rFonts w:ascii="Times New Roman" w:hAnsi="Times New Roman"/>
                <w:sz w:val="20"/>
              </w:rPr>
              <w:t xml:space="preserve"> Under option 3 Inland Revenue would not be provided with th</w:t>
            </w:r>
            <w:r w:rsidR="002D4B78">
              <w:rPr>
                <w:rFonts w:ascii="Times New Roman" w:hAnsi="Times New Roman"/>
                <w:sz w:val="20"/>
              </w:rPr>
              <w:t>ose</w:t>
            </w:r>
            <w:r w:rsidR="00076334" w:rsidRPr="00DE46A9">
              <w:rPr>
                <w:rFonts w:ascii="Times New Roman" w:hAnsi="Times New Roman"/>
                <w:sz w:val="20"/>
              </w:rPr>
              <w:t xml:space="preserve"> </w:t>
            </w:r>
            <w:r w:rsidR="002D4B78">
              <w:rPr>
                <w:rFonts w:ascii="Times New Roman" w:hAnsi="Times New Roman"/>
                <w:sz w:val="20"/>
              </w:rPr>
              <w:t xml:space="preserve">taxpayers’ IRD </w:t>
            </w:r>
            <w:proofErr w:type="gramStart"/>
            <w:r w:rsidR="002D4B78">
              <w:rPr>
                <w:rFonts w:ascii="Times New Roman" w:hAnsi="Times New Roman"/>
                <w:sz w:val="20"/>
              </w:rPr>
              <w:t xml:space="preserve">numbers  </w:t>
            </w:r>
            <w:r w:rsidR="00076334" w:rsidRPr="00DE46A9">
              <w:rPr>
                <w:rFonts w:ascii="Times New Roman" w:hAnsi="Times New Roman"/>
                <w:sz w:val="20"/>
              </w:rPr>
              <w:t>that</w:t>
            </w:r>
            <w:proofErr w:type="gramEnd"/>
            <w:r w:rsidR="00076334" w:rsidRPr="00DE46A9">
              <w:rPr>
                <w:rFonts w:ascii="Times New Roman" w:hAnsi="Times New Roman"/>
                <w:sz w:val="20"/>
              </w:rPr>
              <w:t xml:space="preserve"> would help to investigate this.</w:t>
            </w:r>
          </w:p>
          <w:p w:rsidR="00AF666F" w:rsidRPr="00AD50FA" w:rsidRDefault="00AF666F">
            <w:pPr>
              <w:ind w:right="170"/>
              <w:jc w:val="left"/>
              <w:rPr>
                <w:rFonts w:ascii="Times New Roman" w:hAnsi="Times New Roman"/>
                <w:sz w:val="20"/>
              </w:rPr>
            </w:pPr>
          </w:p>
        </w:tc>
        <w:tc>
          <w:tcPr>
            <w:tcW w:w="2268" w:type="dxa"/>
            <w:tcBorders>
              <w:top w:val="single" w:sz="4" w:space="0" w:color="auto"/>
            </w:tcBorders>
          </w:tcPr>
          <w:p w:rsidR="00AF666F" w:rsidRDefault="005A075A" w:rsidP="00E93EFB">
            <w:pPr>
              <w:spacing w:after="0" w:line="240" w:lineRule="auto"/>
              <w:ind w:right="170"/>
              <w:jc w:val="left"/>
              <w:rPr>
                <w:rFonts w:ascii="Times New Roman" w:hAnsi="Times New Roman"/>
                <w:sz w:val="20"/>
              </w:rPr>
            </w:pPr>
            <w:r>
              <w:rPr>
                <w:rFonts w:ascii="Times New Roman" w:hAnsi="Times New Roman"/>
                <w:sz w:val="20"/>
              </w:rPr>
              <w:t xml:space="preserve">Similar to option 2. However, </w:t>
            </w:r>
            <w:r w:rsidRPr="00E93EFB">
              <w:rPr>
                <w:rFonts w:ascii="Times New Roman" w:hAnsi="Times New Roman"/>
                <w:sz w:val="20"/>
              </w:rPr>
              <w:t>t</w:t>
            </w:r>
            <w:r w:rsidRPr="00DE46A9">
              <w:rPr>
                <w:rFonts w:ascii="Times New Roman" w:hAnsi="Times New Roman"/>
                <w:sz w:val="20"/>
              </w:rPr>
              <w:t xml:space="preserve">he benefits of collecting the information </w:t>
            </w:r>
            <w:r>
              <w:rPr>
                <w:rFonts w:ascii="Times New Roman" w:hAnsi="Times New Roman"/>
                <w:sz w:val="20"/>
              </w:rPr>
              <w:t xml:space="preserve">in relation to revenue could be reduced </w:t>
            </w:r>
            <w:r w:rsidRPr="00DE46A9">
              <w:rPr>
                <w:rFonts w:ascii="Times New Roman" w:hAnsi="Times New Roman"/>
                <w:sz w:val="20"/>
              </w:rPr>
              <w:t>under option 3 compared to option 2.</w:t>
            </w:r>
          </w:p>
          <w:p w:rsidR="00AF666F" w:rsidRPr="00AD50FA" w:rsidRDefault="00AF666F">
            <w:pPr>
              <w:spacing w:after="0" w:line="240" w:lineRule="auto"/>
              <w:jc w:val="left"/>
              <w:rPr>
                <w:rFonts w:ascii="Times New Roman" w:hAnsi="Times New Roman"/>
                <w:sz w:val="20"/>
              </w:rPr>
            </w:pPr>
          </w:p>
        </w:tc>
        <w:tc>
          <w:tcPr>
            <w:tcW w:w="2268" w:type="dxa"/>
            <w:tcBorders>
              <w:top w:val="single" w:sz="4" w:space="0" w:color="auto"/>
            </w:tcBorders>
          </w:tcPr>
          <w:p w:rsidR="007D6BEE" w:rsidRDefault="007D6BEE" w:rsidP="00E93EFB">
            <w:pPr>
              <w:spacing w:after="0" w:line="240" w:lineRule="auto"/>
              <w:ind w:right="170"/>
              <w:jc w:val="left"/>
              <w:rPr>
                <w:rFonts w:ascii="Times New Roman" w:hAnsi="Times New Roman"/>
                <w:sz w:val="20"/>
              </w:rPr>
            </w:pPr>
            <w:r>
              <w:rPr>
                <w:rFonts w:ascii="Times New Roman" w:hAnsi="Times New Roman"/>
                <w:sz w:val="20"/>
              </w:rPr>
              <w:t xml:space="preserve">Similar to option 2. </w:t>
            </w:r>
          </w:p>
          <w:p w:rsidR="007D6BEE" w:rsidRDefault="007D6BEE" w:rsidP="00E93EFB">
            <w:pPr>
              <w:spacing w:after="0" w:line="240" w:lineRule="auto"/>
              <w:ind w:right="170"/>
              <w:jc w:val="left"/>
              <w:rPr>
                <w:rFonts w:ascii="Times New Roman" w:hAnsi="Times New Roman"/>
                <w:sz w:val="20"/>
              </w:rPr>
            </w:pPr>
            <w:r>
              <w:rPr>
                <w:rFonts w:ascii="Times New Roman" w:hAnsi="Times New Roman"/>
                <w:sz w:val="20"/>
              </w:rPr>
              <w:t>T</w:t>
            </w:r>
            <w:r w:rsidRPr="00DE46A9">
              <w:rPr>
                <w:rFonts w:ascii="Times New Roman" w:hAnsi="Times New Roman"/>
                <w:sz w:val="20"/>
              </w:rPr>
              <w:t xml:space="preserve">he </w:t>
            </w:r>
            <w:r>
              <w:rPr>
                <w:rFonts w:ascii="Times New Roman" w:hAnsi="Times New Roman"/>
                <w:sz w:val="20"/>
              </w:rPr>
              <w:t xml:space="preserve">administrative costs are likely to be slightly higher </w:t>
            </w:r>
            <w:r w:rsidRPr="00DE46A9">
              <w:rPr>
                <w:rFonts w:ascii="Times New Roman" w:hAnsi="Times New Roman"/>
                <w:sz w:val="20"/>
              </w:rPr>
              <w:t>under option 3 compared to option 2</w:t>
            </w:r>
            <w:r>
              <w:rPr>
                <w:rFonts w:ascii="Times New Roman" w:hAnsi="Times New Roman"/>
                <w:sz w:val="20"/>
              </w:rPr>
              <w:t xml:space="preserve"> because of the complexity</w:t>
            </w:r>
            <w:r w:rsidR="00014499">
              <w:rPr>
                <w:rFonts w:ascii="Times New Roman" w:hAnsi="Times New Roman"/>
                <w:sz w:val="20"/>
              </w:rPr>
              <w:t xml:space="preserve"> (although this might be able to be mitigated to an extent depending on the </w:t>
            </w:r>
            <w:r w:rsidR="00095C5C">
              <w:rPr>
                <w:rFonts w:ascii="Times New Roman" w:hAnsi="Times New Roman"/>
                <w:sz w:val="20"/>
              </w:rPr>
              <w:t>d</w:t>
            </w:r>
            <w:r w:rsidR="00014499">
              <w:rPr>
                <w:rFonts w:ascii="Times New Roman" w:hAnsi="Times New Roman"/>
                <w:sz w:val="20"/>
              </w:rPr>
              <w:t>esign</w:t>
            </w:r>
            <w:r w:rsidR="00923966">
              <w:rPr>
                <w:rFonts w:ascii="Times New Roman" w:hAnsi="Times New Roman"/>
                <w:sz w:val="20"/>
              </w:rPr>
              <w:t>)</w:t>
            </w:r>
            <w:r w:rsidRPr="00DE46A9">
              <w:rPr>
                <w:rFonts w:ascii="Times New Roman" w:hAnsi="Times New Roman"/>
                <w:sz w:val="20"/>
              </w:rPr>
              <w:t>.</w:t>
            </w:r>
          </w:p>
          <w:p w:rsidR="005A52C5" w:rsidRPr="00E93EFB" w:rsidRDefault="005A52C5">
            <w:pPr>
              <w:jc w:val="left"/>
              <w:rPr>
                <w:rFonts w:ascii="Times New Roman" w:hAnsi="Times New Roman"/>
                <w:sz w:val="20"/>
              </w:rPr>
            </w:pPr>
          </w:p>
        </w:tc>
        <w:tc>
          <w:tcPr>
            <w:tcW w:w="2268" w:type="dxa"/>
            <w:tcBorders>
              <w:top w:val="single" w:sz="4" w:space="0" w:color="auto"/>
              <w:right w:val="single" w:sz="4" w:space="0" w:color="auto"/>
            </w:tcBorders>
          </w:tcPr>
          <w:p w:rsidR="007D6362" w:rsidRDefault="007D6362" w:rsidP="00E93EFB">
            <w:pPr>
              <w:spacing w:after="0" w:line="240" w:lineRule="auto"/>
              <w:ind w:right="170"/>
              <w:jc w:val="left"/>
              <w:rPr>
                <w:rFonts w:ascii="Times New Roman" w:hAnsi="Times New Roman"/>
                <w:sz w:val="20"/>
              </w:rPr>
            </w:pPr>
            <w:r w:rsidRPr="00DE46A9">
              <w:rPr>
                <w:rFonts w:ascii="Times New Roman" w:hAnsi="Times New Roman"/>
                <w:sz w:val="20"/>
              </w:rPr>
              <w:t xml:space="preserve">Inland Revenue considers that compared to option 2, </w:t>
            </w:r>
            <w:r w:rsidR="00AE1948">
              <w:rPr>
                <w:rFonts w:ascii="Times New Roman" w:hAnsi="Times New Roman"/>
                <w:sz w:val="20"/>
              </w:rPr>
              <w:t xml:space="preserve">on balance </w:t>
            </w:r>
            <w:r w:rsidRPr="00DE46A9">
              <w:rPr>
                <w:rFonts w:ascii="Times New Roman" w:hAnsi="Times New Roman"/>
                <w:sz w:val="20"/>
              </w:rPr>
              <w:t xml:space="preserve">option 3 would </w:t>
            </w:r>
            <w:r w:rsidR="00AE1948">
              <w:rPr>
                <w:rFonts w:ascii="Times New Roman" w:hAnsi="Times New Roman"/>
                <w:sz w:val="20"/>
              </w:rPr>
              <w:t xml:space="preserve">probably </w:t>
            </w:r>
            <w:r w:rsidRPr="00DE46A9">
              <w:rPr>
                <w:rFonts w:ascii="Times New Roman" w:hAnsi="Times New Roman"/>
                <w:sz w:val="20"/>
              </w:rPr>
              <w:t xml:space="preserve">not </w:t>
            </w:r>
            <w:r w:rsidR="00095C5C">
              <w:rPr>
                <w:rFonts w:ascii="Times New Roman" w:hAnsi="Times New Roman"/>
                <w:sz w:val="20"/>
              </w:rPr>
              <w:t xml:space="preserve">overall </w:t>
            </w:r>
            <w:r w:rsidRPr="00DE46A9">
              <w:rPr>
                <w:rFonts w:ascii="Times New Roman" w:hAnsi="Times New Roman"/>
                <w:sz w:val="20"/>
              </w:rPr>
              <w:t xml:space="preserve">reduce compliance costs </w:t>
            </w:r>
            <w:r w:rsidRPr="00AF666F">
              <w:rPr>
                <w:rFonts w:ascii="Times New Roman" w:hAnsi="Times New Roman"/>
                <w:sz w:val="20"/>
              </w:rPr>
              <w:t xml:space="preserve">for </w:t>
            </w:r>
            <w:r w:rsidR="00CB1F71">
              <w:rPr>
                <w:rFonts w:ascii="Times New Roman" w:hAnsi="Times New Roman"/>
                <w:sz w:val="20"/>
              </w:rPr>
              <w:t xml:space="preserve">purchasers for </w:t>
            </w:r>
            <w:r w:rsidRPr="00AF666F">
              <w:rPr>
                <w:rFonts w:ascii="Times New Roman" w:hAnsi="Times New Roman"/>
                <w:sz w:val="20"/>
              </w:rPr>
              <w:t xml:space="preserve">whom the property will be their main </w:t>
            </w:r>
            <w:r w:rsidR="00891979">
              <w:rPr>
                <w:rFonts w:ascii="Times New Roman" w:hAnsi="Times New Roman"/>
                <w:sz w:val="20"/>
              </w:rPr>
              <w:t>home</w:t>
            </w:r>
            <w:r w:rsidR="00095C5C">
              <w:rPr>
                <w:rFonts w:ascii="Times New Roman" w:hAnsi="Times New Roman"/>
                <w:sz w:val="20"/>
              </w:rPr>
              <w:t>.</w:t>
            </w:r>
          </w:p>
          <w:p w:rsidR="00AF666F" w:rsidRPr="00AD50FA" w:rsidRDefault="00AF666F">
            <w:pPr>
              <w:ind w:right="170"/>
              <w:jc w:val="left"/>
              <w:rPr>
                <w:rFonts w:ascii="Times New Roman" w:hAnsi="Times New Roman"/>
                <w:sz w:val="20"/>
              </w:rPr>
            </w:pPr>
          </w:p>
        </w:tc>
        <w:tc>
          <w:tcPr>
            <w:tcW w:w="1842" w:type="dxa"/>
            <w:tcBorders>
              <w:top w:val="single" w:sz="4" w:space="0" w:color="auto"/>
              <w:left w:val="single" w:sz="4" w:space="0" w:color="auto"/>
              <w:right w:val="single" w:sz="4" w:space="0" w:color="auto"/>
            </w:tcBorders>
          </w:tcPr>
          <w:p w:rsidR="007D6362" w:rsidRPr="00E93EFB" w:rsidRDefault="00AF666F" w:rsidP="00E93EFB">
            <w:pPr>
              <w:spacing w:after="0" w:line="240" w:lineRule="auto"/>
              <w:ind w:right="170"/>
              <w:jc w:val="left"/>
              <w:rPr>
                <w:rFonts w:ascii="Times New Roman" w:hAnsi="Times New Roman"/>
                <w:sz w:val="20"/>
              </w:rPr>
            </w:pPr>
            <w:r w:rsidRPr="00E93EFB">
              <w:rPr>
                <w:rFonts w:ascii="Times New Roman" w:hAnsi="Times New Roman"/>
                <w:sz w:val="20"/>
              </w:rPr>
              <w:t>The</w:t>
            </w:r>
            <w:r w:rsidR="007D6362" w:rsidRPr="00E93EFB">
              <w:rPr>
                <w:rFonts w:ascii="Times New Roman" w:hAnsi="Times New Roman"/>
                <w:sz w:val="20"/>
              </w:rPr>
              <w:t xml:space="preserve">re will be a difference in treatment between those </w:t>
            </w:r>
            <w:r w:rsidR="007D6362" w:rsidRPr="00AF666F">
              <w:rPr>
                <w:rFonts w:ascii="Times New Roman" w:hAnsi="Times New Roman"/>
                <w:sz w:val="20"/>
              </w:rPr>
              <w:t xml:space="preserve">for whom the property will be their main </w:t>
            </w:r>
            <w:r w:rsidR="00891979">
              <w:rPr>
                <w:rFonts w:ascii="Times New Roman" w:hAnsi="Times New Roman"/>
                <w:sz w:val="20"/>
              </w:rPr>
              <w:t>home</w:t>
            </w:r>
            <w:r w:rsidR="007D6362" w:rsidRPr="00E93EFB">
              <w:rPr>
                <w:rFonts w:ascii="Times New Roman" w:hAnsi="Times New Roman"/>
                <w:sz w:val="20"/>
              </w:rPr>
              <w:t xml:space="preserve"> and those who are not. This could be considered unfair to other purchasers who have to provide their tax information even if they are </w:t>
            </w:r>
          </w:p>
          <w:p w:rsidR="00AF666F" w:rsidRPr="002B7B9A" w:rsidRDefault="007D6362" w:rsidP="00E93EFB">
            <w:pPr>
              <w:spacing w:after="0" w:line="240" w:lineRule="auto"/>
              <w:ind w:right="170"/>
              <w:jc w:val="left"/>
              <w:rPr>
                <w:rFonts w:ascii="Times New Roman" w:hAnsi="Times New Roman"/>
                <w:sz w:val="20"/>
              </w:rPr>
            </w:pPr>
            <w:proofErr w:type="gramStart"/>
            <w:r w:rsidRPr="00E93EFB">
              <w:rPr>
                <w:rFonts w:ascii="Times New Roman" w:hAnsi="Times New Roman"/>
                <w:sz w:val="20"/>
              </w:rPr>
              <w:t>unlikely</w:t>
            </w:r>
            <w:proofErr w:type="gramEnd"/>
            <w:r w:rsidRPr="00E93EFB">
              <w:rPr>
                <w:rFonts w:ascii="Times New Roman" w:hAnsi="Times New Roman"/>
                <w:sz w:val="20"/>
              </w:rPr>
              <w:t xml:space="preserve"> to have a tax liability – for example, if the property is inherited. </w:t>
            </w:r>
          </w:p>
        </w:tc>
        <w:tc>
          <w:tcPr>
            <w:tcW w:w="2127" w:type="dxa"/>
            <w:tcBorders>
              <w:top w:val="single" w:sz="4" w:space="0" w:color="auto"/>
              <w:left w:val="single" w:sz="4" w:space="0" w:color="auto"/>
              <w:right w:val="single" w:sz="4" w:space="0" w:color="auto"/>
            </w:tcBorders>
          </w:tcPr>
          <w:p w:rsidR="00837C6F" w:rsidRDefault="00014499" w:rsidP="00E93EFB">
            <w:pPr>
              <w:spacing w:after="0" w:line="240" w:lineRule="auto"/>
              <w:ind w:right="170"/>
              <w:rPr>
                <w:rFonts w:ascii="Times New Roman" w:hAnsi="Times New Roman"/>
                <w:sz w:val="20"/>
              </w:rPr>
            </w:pPr>
            <w:r w:rsidRPr="00105C44">
              <w:rPr>
                <w:rFonts w:ascii="Times New Roman" w:hAnsi="Times New Roman"/>
                <w:sz w:val="20"/>
              </w:rPr>
              <w:t xml:space="preserve">This option partially meets the objectives.  </w:t>
            </w:r>
          </w:p>
          <w:p w:rsidR="00837C6F" w:rsidRDefault="00837C6F" w:rsidP="00837C6F">
            <w:pPr>
              <w:spacing w:after="0" w:line="240" w:lineRule="auto"/>
              <w:ind w:right="170"/>
              <w:rPr>
                <w:rFonts w:ascii="Times New Roman" w:hAnsi="Times New Roman"/>
                <w:sz w:val="20"/>
              </w:rPr>
            </w:pPr>
          </w:p>
          <w:p w:rsidR="00B905A6" w:rsidRPr="00891979" w:rsidRDefault="00B905A6" w:rsidP="00837C6F">
            <w:pPr>
              <w:spacing w:after="0" w:line="240" w:lineRule="auto"/>
              <w:ind w:right="170"/>
              <w:rPr>
                <w:rFonts w:ascii="Times New Roman" w:hAnsi="Times New Roman"/>
                <w:sz w:val="20"/>
              </w:rPr>
            </w:pPr>
            <w:r w:rsidRPr="006522A8">
              <w:rPr>
                <w:rFonts w:ascii="Times New Roman" w:hAnsi="Times New Roman"/>
                <w:sz w:val="20"/>
              </w:rPr>
              <w:t>Compared to option 2, this option:</w:t>
            </w:r>
          </w:p>
          <w:p w:rsidR="00B905A6" w:rsidRPr="00891979" w:rsidRDefault="00B905A6" w:rsidP="00E93EFB">
            <w:pPr>
              <w:spacing w:after="0" w:line="240" w:lineRule="auto"/>
              <w:ind w:right="170"/>
              <w:rPr>
                <w:rFonts w:ascii="Times New Roman" w:hAnsi="Times New Roman"/>
                <w:sz w:val="20"/>
              </w:rPr>
            </w:pPr>
            <w:r w:rsidRPr="00891979">
              <w:rPr>
                <w:rFonts w:ascii="Times New Roman" w:hAnsi="Times New Roman"/>
                <w:sz w:val="20"/>
              </w:rPr>
              <w:t>- w</w:t>
            </w:r>
            <w:r w:rsidR="00CB1F71" w:rsidRPr="00891979">
              <w:rPr>
                <w:rFonts w:ascii="Times New Roman" w:hAnsi="Times New Roman"/>
                <w:sz w:val="20"/>
              </w:rPr>
              <w:t>ould</w:t>
            </w:r>
            <w:r w:rsidRPr="00891979">
              <w:rPr>
                <w:rFonts w:ascii="Times New Roman" w:hAnsi="Times New Roman"/>
                <w:sz w:val="20"/>
              </w:rPr>
              <w:t xml:space="preserve"> still provide revenue and tax integrity benefits, although these will not be as high as option 2</w:t>
            </w:r>
            <w:r w:rsidR="00923966">
              <w:rPr>
                <w:rFonts w:ascii="Times New Roman" w:hAnsi="Times New Roman"/>
                <w:sz w:val="20"/>
              </w:rPr>
              <w:t>.</w:t>
            </w:r>
          </w:p>
          <w:p w:rsidR="00AF666F" w:rsidRDefault="00B905A6" w:rsidP="00E93EFB">
            <w:pPr>
              <w:spacing w:after="0" w:line="240" w:lineRule="auto"/>
              <w:ind w:right="170"/>
              <w:jc w:val="left"/>
              <w:rPr>
                <w:rFonts w:ascii="Times New Roman" w:hAnsi="Times New Roman"/>
                <w:sz w:val="20"/>
              </w:rPr>
            </w:pPr>
            <w:r>
              <w:rPr>
                <w:rFonts w:ascii="Times New Roman" w:hAnsi="Times New Roman"/>
                <w:sz w:val="20"/>
              </w:rPr>
              <w:t xml:space="preserve">- </w:t>
            </w:r>
            <w:r w:rsidRPr="00B905A6">
              <w:rPr>
                <w:rFonts w:ascii="Times New Roman" w:hAnsi="Times New Roman"/>
                <w:sz w:val="20"/>
              </w:rPr>
              <w:t xml:space="preserve">has </w:t>
            </w:r>
            <w:r w:rsidR="00AE1948">
              <w:rPr>
                <w:rFonts w:ascii="Times New Roman" w:hAnsi="Times New Roman"/>
                <w:sz w:val="20"/>
              </w:rPr>
              <w:t xml:space="preserve">broadly </w:t>
            </w:r>
            <w:r w:rsidRPr="00B905A6">
              <w:rPr>
                <w:rFonts w:ascii="Times New Roman" w:hAnsi="Times New Roman"/>
                <w:sz w:val="20"/>
              </w:rPr>
              <w:t>similar compliance costs</w:t>
            </w:r>
            <w:r w:rsidR="00095C5C">
              <w:rPr>
                <w:rFonts w:ascii="Times New Roman" w:hAnsi="Times New Roman"/>
                <w:sz w:val="20"/>
              </w:rPr>
              <w:t xml:space="preserve"> overall</w:t>
            </w:r>
            <w:r>
              <w:rPr>
                <w:rFonts w:ascii="Times New Roman" w:hAnsi="Times New Roman"/>
                <w:sz w:val="20"/>
              </w:rPr>
              <w:t>.</w:t>
            </w:r>
            <w:r w:rsidRPr="00B905A6">
              <w:rPr>
                <w:rFonts w:ascii="Times New Roman" w:hAnsi="Times New Roman"/>
                <w:sz w:val="20"/>
              </w:rPr>
              <w:t xml:space="preserve"> </w:t>
            </w:r>
          </w:p>
          <w:p w:rsidR="00722C43" w:rsidRPr="00B905A6" w:rsidRDefault="00722C43" w:rsidP="00E93EFB">
            <w:pPr>
              <w:spacing w:after="0" w:line="240" w:lineRule="auto"/>
              <w:ind w:right="170"/>
              <w:jc w:val="left"/>
              <w:rPr>
                <w:rFonts w:ascii="Times New Roman" w:hAnsi="Times New Roman"/>
                <w:sz w:val="20"/>
              </w:rPr>
            </w:pPr>
          </w:p>
          <w:p w:rsidR="00AF666F" w:rsidRPr="00A0416D" w:rsidRDefault="00AF666F">
            <w:pPr>
              <w:spacing w:after="0" w:line="240" w:lineRule="auto"/>
              <w:jc w:val="left"/>
              <w:rPr>
                <w:rFonts w:ascii="Times New Roman" w:hAnsi="Times New Roman"/>
                <w:sz w:val="20"/>
              </w:rPr>
            </w:pPr>
          </w:p>
        </w:tc>
      </w:tr>
    </w:tbl>
    <w:p w:rsidR="00D47807" w:rsidRDefault="00D47807" w:rsidP="003F40F7">
      <w:pPr>
        <w:spacing w:after="0" w:line="240" w:lineRule="auto"/>
        <w:jc w:val="both"/>
        <w:rPr>
          <w:rFonts w:ascii="Times New Roman" w:hAnsi="Times New Roman"/>
          <w:sz w:val="24"/>
          <w:szCs w:val="24"/>
          <w:lang w:val="en-NZ"/>
        </w:rPr>
        <w:sectPr w:rsidR="00D47807" w:rsidSect="00AD50FA">
          <w:footerReference w:type="even" r:id="rId11"/>
          <w:footerReference w:type="default" r:id="rId12"/>
          <w:headerReference w:type="first" r:id="rId13"/>
          <w:pgSz w:w="16840" w:h="11907" w:orient="landscape" w:code="9"/>
          <w:pgMar w:top="1418" w:right="1134" w:bottom="1418" w:left="1134" w:header="567" w:footer="567" w:gutter="0"/>
          <w:pgNumType w:start="1"/>
          <w:cols w:space="720"/>
          <w:titlePg/>
          <w:docGrid w:linePitch="360"/>
        </w:sectPr>
      </w:pPr>
    </w:p>
    <w:p w:rsidR="00AD50FA" w:rsidRPr="00E93EFB" w:rsidRDefault="00CB26F3" w:rsidP="003F40F7">
      <w:pPr>
        <w:spacing w:after="0" w:line="240" w:lineRule="auto"/>
        <w:jc w:val="both"/>
        <w:rPr>
          <w:rFonts w:ascii="Times New Roman" w:hAnsi="Times New Roman"/>
          <w:b/>
          <w:sz w:val="24"/>
          <w:szCs w:val="24"/>
          <w:lang w:val="en-NZ"/>
        </w:rPr>
      </w:pPr>
      <w:r w:rsidRPr="00E93EFB">
        <w:rPr>
          <w:rFonts w:ascii="Times New Roman" w:hAnsi="Times New Roman"/>
          <w:b/>
          <w:sz w:val="24"/>
          <w:szCs w:val="24"/>
          <w:lang w:val="en-NZ"/>
        </w:rPr>
        <w:lastRenderedPageBreak/>
        <w:t>Other impacts</w:t>
      </w:r>
    </w:p>
    <w:p w:rsidR="000E245F" w:rsidRDefault="000E245F" w:rsidP="003F40F7">
      <w:pPr>
        <w:spacing w:after="0" w:line="240" w:lineRule="auto"/>
        <w:jc w:val="both"/>
        <w:rPr>
          <w:rFonts w:ascii="Times New Roman" w:hAnsi="Times New Roman"/>
          <w:sz w:val="24"/>
          <w:szCs w:val="24"/>
        </w:rPr>
      </w:pPr>
    </w:p>
    <w:p w:rsidR="00CB26F3" w:rsidRDefault="00CB26F3" w:rsidP="003F40F7">
      <w:pPr>
        <w:spacing w:after="0" w:line="240" w:lineRule="auto"/>
        <w:jc w:val="both"/>
        <w:rPr>
          <w:rFonts w:ascii="Times New Roman" w:hAnsi="Times New Roman"/>
          <w:sz w:val="24"/>
          <w:szCs w:val="24"/>
        </w:rPr>
      </w:pPr>
      <w:r w:rsidRPr="00CB26F3">
        <w:rPr>
          <w:rFonts w:ascii="Times New Roman" w:hAnsi="Times New Roman"/>
          <w:sz w:val="24"/>
          <w:szCs w:val="24"/>
        </w:rPr>
        <w:fldChar w:fldCharType="begin"/>
      </w:r>
      <w:r w:rsidRPr="00CB26F3">
        <w:rPr>
          <w:rFonts w:ascii="Times New Roman" w:hAnsi="Times New Roman"/>
          <w:sz w:val="24"/>
          <w:szCs w:val="24"/>
        </w:rPr>
        <w:instrText xml:space="preserve"> AUTONUM  </w:instrText>
      </w:r>
      <w:r w:rsidRPr="00CB26F3">
        <w:rPr>
          <w:rFonts w:ascii="Times New Roman" w:hAnsi="Times New Roman"/>
          <w:sz w:val="24"/>
          <w:szCs w:val="24"/>
        </w:rPr>
        <w:fldChar w:fldCharType="end"/>
      </w:r>
      <w:r w:rsidRPr="00CB26F3">
        <w:rPr>
          <w:rFonts w:ascii="Times New Roman" w:hAnsi="Times New Roman"/>
          <w:sz w:val="24"/>
          <w:szCs w:val="24"/>
        </w:rPr>
        <w:tab/>
      </w:r>
      <w:r>
        <w:rPr>
          <w:rFonts w:ascii="Times New Roman" w:hAnsi="Times New Roman"/>
          <w:sz w:val="24"/>
          <w:szCs w:val="24"/>
        </w:rPr>
        <w:t>There are no social, cultural or environmental impacts.</w:t>
      </w:r>
    </w:p>
    <w:p w:rsidR="00CB26F3" w:rsidRDefault="00CB26F3" w:rsidP="003F40F7">
      <w:pPr>
        <w:spacing w:after="0" w:line="240" w:lineRule="auto"/>
        <w:jc w:val="both"/>
        <w:rPr>
          <w:rFonts w:ascii="Times New Roman" w:hAnsi="Times New Roman"/>
          <w:sz w:val="24"/>
          <w:szCs w:val="24"/>
        </w:rPr>
      </w:pPr>
    </w:p>
    <w:p w:rsidR="00CB26F3" w:rsidRDefault="00837C6F" w:rsidP="003F40F7">
      <w:pPr>
        <w:spacing w:after="0" w:line="240" w:lineRule="auto"/>
        <w:jc w:val="both"/>
        <w:rPr>
          <w:rFonts w:ascii="Times New Roman" w:hAnsi="Times New Roman"/>
          <w:sz w:val="24"/>
          <w:szCs w:val="24"/>
        </w:rPr>
      </w:pPr>
      <w:r w:rsidRPr="00CB26F3">
        <w:rPr>
          <w:rFonts w:ascii="Times New Roman" w:hAnsi="Times New Roman"/>
          <w:sz w:val="24"/>
          <w:szCs w:val="24"/>
        </w:rPr>
        <w:fldChar w:fldCharType="begin"/>
      </w:r>
      <w:r w:rsidRPr="00CB26F3">
        <w:rPr>
          <w:rFonts w:ascii="Times New Roman" w:hAnsi="Times New Roman"/>
          <w:sz w:val="24"/>
          <w:szCs w:val="24"/>
        </w:rPr>
        <w:instrText xml:space="preserve"> AUTONUM  </w:instrText>
      </w:r>
      <w:r w:rsidRPr="00CB26F3">
        <w:rPr>
          <w:rFonts w:ascii="Times New Roman" w:hAnsi="Times New Roman"/>
          <w:sz w:val="24"/>
          <w:szCs w:val="24"/>
        </w:rPr>
        <w:fldChar w:fldCharType="end"/>
      </w:r>
      <w:r w:rsidRPr="00CB26F3">
        <w:rPr>
          <w:rFonts w:ascii="Times New Roman" w:hAnsi="Times New Roman"/>
          <w:sz w:val="24"/>
          <w:szCs w:val="24"/>
        </w:rPr>
        <w:tab/>
      </w:r>
      <w:r>
        <w:rPr>
          <w:rFonts w:ascii="Times New Roman" w:hAnsi="Times New Roman"/>
          <w:sz w:val="24"/>
          <w:szCs w:val="24"/>
        </w:rPr>
        <w:t>Fiscal impacts are likely to be positive, but are not able to be quantified.</w:t>
      </w:r>
    </w:p>
    <w:p w:rsidR="00CB26F3" w:rsidRDefault="00CB26F3" w:rsidP="003F40F7">
      <w:pPr>
        <w:spacing w:after="0" w:line="240" w:lineRule="auto"/>
        <w:jc w:val="both"/>
        <w:rPr>
          <w:rFonts w:ascii="Times New Roman" w:hAnsi="Times New Roman"/>
          <w:sz w:val="24"/>
          <w:szCs w:val="24"/>
        </w:rPr>
      </w:pPr>
    </w:p>
    <w:p w:rsidR="00D47807" w:rsidRPr="00A0416D" w:rsidRDefault="00D47807" w:rsidP="003F40F7">
      <w:pPr>
        <w:spacing w:after="0" w:line="240" w:lineRule="auto"/>
        <w:jc w:val="both"/>
        <w:rPr>
          <w:rFonts w:ascii="Times New Roman" w:hAnsi="Times New Roman"/>
          <w:b/>
          <w:caps/>
          <w:sz w:val="24"/>
          <w:szCs w:val="24"/>
        </w:rPr>
      </w:pPr>
      <w:r w:rsidRPr="00A0416D">
        <w:rPr>
          <w:rFonts w:ascii="Times New Roman" w:hAnsi="Times New Roman"/>
          <w:b/>
          <w:caps/>
          <w:sz w:val="24"/>
          <w:szCs w:val="24"/>
        </w:rPr>
        <w:t>Consultation</w:t>
      </w:r>
      <w:r w:rsidR="00CD44B7">
        <w:rPr>
          <w:rFonts w:ascii="Times New Roman" w:hAnsi="Times New Roman"/>
          <w:b/>
          <w:caps/>
          <w:sz w:val="24"/>
          <w:szCs w:val="24"/>
        </w:rPr>
        <w:t xml:space="preserve"> And Impact</w:t>
      </w:r>
    </w:p>
    <w:p w:rsidR="00D47807" w:rsidRPr="00816ED5" w:rsidRDefault="00D47807" w:rsidP="003F40F7">
      <w:pPr>
        <w:spacing w:after="0" w:line="240" w:lineRule="auto"/>
        <w:jc w:val="both"/>
        <w:rPr>
          <w:rFonts w:ascii="Times New Roman" w:hAnsi="Times New Roman"/>
          <w:sz w:val="24"/>
          <w:szCs w:val="24"/>
        </w:rPr>
      </w:pPr>
    </w:p>
    <w:p w:rsidR="001814B1" w:rsidRDefault="007D1A4D" w:rsidP="001814B1">
      <w:pPr>
        <w:pStyle w:val="ListParagraph"/>
        <w:ind w:left="0" w:right="170"/>
        <w:contextualSpacing w:val="0"/>
        <w:rPr>
          <w:rFonts w:ascii="Times New Roman" w:hAnsi="Times New Roman"/>
          <w:sz w:val="24"/>
          <w:szCs w:val="24"/>
        </w:rPr>
      </w:pPr>
      <w:r w:rsidRPr="007D1A4D">
        <w:rPr>
          <w:rFonts w:ascii="Times New Roman" w:hAnsi="Times New Roman"/>
          <w:sz w:val="24"/>
          <w:szCs w:val="24"/>
        </w:rPr>
        <w:fldChar w:fldCharType="begin"/>
      </w:r>
      <w:r w:rsidRPr="007D1A4D">
        <w:rPr>
          <w:rFonts w:ascii="Times New Roman" w:hAnsi="Times New Roman"/>
          <w:sz w:val="24"/>
          <w:szCs w:val="24"/>
        </w:rPr>
        <w:instrText xml:space="preserve"> AUTONUM  </w:instrText>
      </w:r>
      <w:r w:rsidRPr="007D1A4D">
        <w:rPr>
          <w:rFonts w:ascii="Times New Roman" w:hAnsi="Times New Roman"/>
          <w:sz w:val="24"/>
          <w:szCs w:val="24"/>
        </w:rPr>
        <w:fldChar w:fldCharType="end"/>
      </w:r>
      <w:r w:rsidRPr="007D1A4D">
        <w:rPr>
          <w:rFonts w:ascii="Times New Roman" w:hAnsi="Times New Roman"/>
          <w:sz w:val="24"/>
          <w:szCs w:val="24"/>
        </w:rPr>
        <w:tab/>
      </w:r>
      <w:r w:rsidR="006D68FF">
        <w:rPr>
          <w:rFonts w:ascii="Times New Roman" w:hAnsi="Times New Roman"/>
          <w:sz w:val="24"/>
          <w:szCs w:val="24"/>
        </w:rPr>
        <w:t xml:space="preserve">Apart from Inland Revenue and LINZ, impacted parties are likely to be purchasers and sellers of real property, and </w:t>
      </w:r>
      <w:proofErr w:type="spellStart"/>
      <w:r w:rsidR="006D68FF">
        <w:rPr>
          <w:rFonts w:ascii="Times New Roman" w:hAnsi="Times New Roman"/>
          <w:sz w:val="24"/>
          <w:szCs w:val="24"/>
        </w:rPr>
        <w:t>conveyancers</w:t>
      </w:r>
      <w:proofErr w:type="spellEnd"/>
      <w:r w:rsidR="006D68FF">
        <w:rPr>
          <w:rFonts w:ascii="Times New Roman" w:hAnsi="Times New Roman"/>
          <w:sz w:val="24"/>
          <w:szCs w:val="24"/>
        </w:rPr>
        <w:t xml:space="preserve">. </w:t>
      </w:r>
      <w:r w:rsidR="00CB26F3">
        <w:rPr>
          <w:rFonts w:ascii="Times New Roman" w:hAnsi="Times New Roman"/>
          <w:sz w:val="24"/>
          <w:szCs w:val="24"/>
        </w:rPr>
        <w:t xml:space="preserve"> </w:t>
      </w:r>
      <w:r w:rsidR="001814B1">
        <w:rPr>
          <w:rFonts w:ascii="Times New Roman" w:hAnsi="Times New Roman"/>
          <w:sz w:val="24"/>
          <w:szCs w:val="24"/>
        </w:rPr>
        <w:t xml:space="preserve">Inland Revenue has not consulted with </w:t>
      </w:r>
      <w:r w:rsidR="00CB26F3">
        <w:rPr>
          <w:rFonts w:ascii="Times New Roman" w:hAnsi="Times New Roman"/>
          <w:sz w:val="24"/>
          <w:szCs w:val="24"/>
        </w:rPr>
        <w:t xml:space="preserve">purchasers and sellers of real property or their representatives </w:t>
      </w:r>
      <w:r w:rsidR="001025A7">
        <w:rPr>
          <w:rFonts w:ascii="Times New Roman" w:hAnsi="Times New Roman"/>
          <w:sz w:val="24"/>
          <w:szCs w:val="24"/>
        </w:rPr>
        <w:t>because of time constraints</w:t>
      </w:r>
      <w:r w:rsidR="001814B1">
        <w:rPr>
          <w:rFonts w:ascii="Times New Roman" w:hAnsi="Times New Roman"/>
          <w:sz w:val="24"/>
          <w:szCs w:val="24"/>
        </w:rPr>
        <w:t>.  The Treasury</w:t>
      </w:r>
      <w:r w:rsidR="00A057FA">
        <w:rPr>
          <w:rFonts w:ascii="Times New Roman" w:hAnsi="Times New Roman"/>
          <w:sz w:val="24"/>
          <w:szCs w:val="24"/>
        </w:rPr>
        <w:t xml:space="preserve">, </w:t>
      </w:r>
      <w:r w:rsidR="00B905A6">
        <w:rPr>
          <w:rFonts w:ascii="Times New Roman" w:hAnsi="Times New Roman"/>
          <w:sz w:val="24"/>
          <w:szCs w:val="24"/>
        </w:rPr>
        <w:t>LINZ</w:t>
      </w:r>
      <w:r w:rsidR="00A057FA">
        <w:rPr>
          <w:rFonts w:ascii="Times New Roman" w:hAnsi="Times New Roman"/>
          <w:sz w:val="24"/>
          <w:szCs w:val="24"/>
        </w:rPr>
        <w:t>, and the Office of the Privacy Commissioner</w:t>
      </w:r>
      <w:r w:rsidR="00B905A6">
        <w:rPr>
          <w:rFonts w:ascii="Times New Roman" w:hAnsi="Times New Roman"/>
          <w:sz w:val="24"/>
          <w:szCs w:val="24"/>
        </w:rPr>
        <w:t xml:space="preserve"> were</w:t>
      </w:r>
      <w:r w:rsidR="001814B1">
        <w:rPr>
          <w:rFonts w:ascii="Times New Roman" w:hAnsi="Times New Roman"/>
          <w:sz w:val="24"/>
          <w:szCs w:val="24"/>
        </w:rPr>
        <w:t xml:space="preserve"> consulted on the policy proposal.</w:t>
      </w:r>
    </w:p>
    <w:p w:rsidR="006D68FF" w:rsidRDefault="006D68FF" w:rsidP="001814B1">
      <w:pPr>
        <w:pStyle w:val="ListParagraph"/>
        <w:ind w:left="0" w:right="170"/>
        <w:contextualSpacing w:val="0"/>
        <w:rPr>
          <w:rFonts w:ascii="Times New Roman" w:hAnsi="Times New Roman"/>
          <w:sz w:val="24"/>
          <w:szCs w:val="24"/>
        </w:rPr>
      </w:pPr>
    </w:p>
    <w:p w:rsidR="007D1A4D" w:rsidRPr="00412CC4" w:rsidRDefault="007D1A4D" w:rsidP="003F40F7">
      <w:pPr>
        <w:spacing w:after="0" w:line="240" w:lineRule="auto"/>
        <w:jc w:val="both"/>
        <w:rPr>
          <w:rFonts w:ascii="Times New Roman" w:hAnsi="Times New Roman"/>
          <w:sz w:val="24"/>
          <w:szCs w:val="24"/>
        </w:rPr>
      </w:pPr>
    </w:p>
    <w:p w:rsidR="000F1DD0" w:rsidRPr="00182C43" w:rsidRDefault="000F1DD0" w:rsidP="003F40F7">
      <w:pPr>
        <w:spacing w:after="0" w:line="240" w:lineRule="auto"/>
        <w:jc w:val="both"/>
        <w:rPr>
          <w:rFonts w:ascii="Times New Roman" w:hAnsi="Times New Roman"/>
          <w:b/>
          <w:caps/>
          <w:sz w:val="24"/>
          <w:szCs w:val="24"/>
        </w:rPr>
      </w:pPr>
      <w:r w:rsidRPr="00182C43">
        <w:rPr>
          <w:rFonts w:ascii="Times New Roman" w:hAnsi="Times New Roman"/>
          <w:b/>
          <w:caps/>
          <w:sz w:val="24"/>
          <w:szCs w:val="24"/>
        </w:rPr>
        <w:t>Conclusions and Recommendations</w:t>
      </w:r>
    </w:p>
    <w:p w:rsidR="008E6B70" w:rsidRPr="00412CC4" w:rsidRDefault="008E6B70" w:rsidP="003F40F7">
      <w:pPr>
        <w:spacing w:after="0" w:line="240" w:lineRule="auto"/>
        <w:jc w:val="both"/>
        <w:rPr>
          <w:rFonts w:ascii="Times New Roman" w:hAnsi="Times New Roman"/>
          <w:sz w:val="24"/>
          <w:szCs w:val="24"/>
        </w:rPr>
      </w:pPr>
    </w:p>
    <w:p w:rsidR="00B905A6" w:rsidRDefault="00412CC4" w:rsidP="00042EAB">
      <w:pPr>
        <w:pStyle w:val="ListParagraph"/>
        <w:ind w:left="0" w:right="170"/>
        <w:contextualSpacing w:val="0"/>
        <w:rPr>
          <w:rFonts w:ascii="Times New Roman" w:hAnsi="Times New Roman"/>
          <w:sz w:val="24"/>
          <w:szCs w:val="24"/>
        </w:rPr>
      </w:pPr>
      <w:r w:rsidRPr="00412CC4">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rPr>
        <w:tab/>
      </w:r>
      <w:r w:rsidR="00421392" w:rsidRPr="00DB6C97">
        <w:rPr>
          <w:rFonts w:ascii="Times New Roman" w:hAnsi="Times New Roman"/>
          <w:sz w:val="24"/>
          <w:szCs w:val="24"/>
        </w:rPr>
        <w:t xml:space="preserve">We recommend </w:t>
      </w:r>
      <w:r w:rsidR="00042EAB">
        <w:rPr>
          <w:rFonts w:ascii="Times New Roman" w:hAnsi="Times New Roman"/>
          <w:sz w:val="24"/>
          <w:szCs w:val="24"/>
        </w:rPr>
        <w:t>o</w:t>
      </w:r>
      <w:r w:rsidR="00F241F7" w:rsidRPr="00DB6C97">
        <w:rPr>
          <w:rFonts w:ascii="Times New Roman" w:hAnsi="Times New Roman"/>
          <w:sz w:val="24"/>
          <w:szCs w:val="24"/>
        </w:rPr>
        <w:t xml:space="preserve">ption </w:t>
      </w:r>
      <w:r w:rsidR="00B905A6">
        <w:rPr>
          <w:rFonts w:ascii="Times New Roman" w:hAnsi="Times New Roman"/>
          <w:sz w:val="24"/>
          <w:szCs w:val="24"/>
        </w:rPr>
        <w:t>2</w:t>
      </w:r>
      <w:r w:rsidR="00837C6F">
        <w:rPr>
          <w:rFonts w:ascii="Times New Roman" w:hAnsi="Times New Roman"/>
          <w:sz w:val="24"/>
          <w:szCs w:val="24"/>
        </w:rPr>
        <w:t xml:space="preserve">. </w:t>
      </w:r>
      <w:r w:rsidR="00B905A6">
        <w:rPr>
          <w:rFonts w:ascii="Times New Roman" w:hAnsi="Times New Roman"/>
          <w:sz w:val="24"/>
          <w:szCs w:val="24"/>
        </w:rPr>
        <w:t xml:space="preserve">Inland Revenue expects that option </w:t>
      </w:r>
      <w:r w:rsidR="00263A2D">
        <w:rPr>
          <w:rFonts w:ascii="Times New Roman" w:hAnsi="Times New Roman"/>
          <w:sz w:val="24"/>
          <w:szCs w:val="24"/>
        </w:rPr>
        <w:t>2</w:t>
      </w:r>
      <w:r w:rsidR="00B905A6">
        <w:rPr>
          <w:rFonts w:ascii="Times New Roman" w:hAnsi="Times New Roman"/>
          <w:sz w:val="24"/>
          <w:szCs w:val="24"/>
        </w:rPr>
        <w:t xml:space="preserve"> would enhance </w:t>
      </w:r>
      <w:r w:rsidR="00837C6F">
        <w:rPr>
          <w:rFonts w:ascii="Times New Roman" w:hAnsi="Times New Roman"/>
          <w:sz w:val="24"/>
          <w:szCs w:val="24"/>
        </w:rPr>
        <w:t>its</w:t>
      </w:r>
      <w:r w:rsidR="00B33BA7">
        <w:rPr>
          <w:rFonts w:ascii="Times New Roman" w:hAnsi="Times New Roman"/>
          <w:sz w:val="24"/>
          <w:szCs w:val="24"/>
        </w:rPr>
        <w:t xml:space="preserve"> ability to enforce the income tax obligations of those who buy and sell New Zealand real property</w:t>
      </w:r>
      <w:r w:rsidR="00FB7458">
        <w:rPr>
          <w:rFonts w:ascii="Times New Roman" w:hAnsi="Times New Roman"/>
          <w:sz w:val="24"/>
          <w:szCs w:val="24"/>
        </w:rPr>
        <w:t>.</w:t>
      </w:r>
      <w:r w:rsidR="00837C6F">
        <w:rPr>
          <w:rFonts w:ascii="Times New Roman" w:hAnsi="Times New Roman"/>
          <w:sz w:val="24"/>
          <w:szCs w:val="24"/>
        </w:rPr>
        <w:t xml:space="preserve"> </w:t>
      </w:r>
      <w:r w:rsidR="00B905A6">
        <w:rPr>
          <w:rFonts w:ascii="Times New Roman" w:hAnsi="Times New Roman"/>
          <w:sz w:val="24"/>
          <w:szCs w:val="24"/>
        </w:rPr>
        <w:t xml:space="preserve">Inland Revenue also expects that it would help prevent non-residents from evading </w:t>
      </w:r>
      <w:r w:rsidR="00B905A6" w:rsidRPr="007C050D">
        <w:rPr>
          <w:rFonts w:ascii="Times New Roman" w:hAnsi="Times New Roman"/>
          <w:sz w:val="24"/>
          <w:szCs w:val="24"/>
        </w:rPr>
        <w:t>foreign tax on their New Zealand land sale or purchase</w:t>
      </w:r>
      <w:r w:rsidR="00B905A6">
        <w:rPr>
          <w:rFonts w:ascii="Times New Roman" w:hAnsi="Times New Roman"/>
          <w:sz w:val="24"/>
          <w:szCs w:val="24"/>
        </w:rPr>
        <w:t xml:space="preserve"> by ensuring that the foreign tax authority can match the transaction with the taxpayer. The exact level of benefits has not been quantified.</w:t>
      </w:r>
      <w:r w:rsidR="00837C6F">
        <w:rPr>
          <w:rFonts w:ascii="Times New Roman" w:hAnsi="Times New Roman"/>
          <w:sz w:val="24"/>
          <w:szCs w:val="24"/>
        </w:rPr>
        <w:t xml:space="preserve"> This is partially because Inland Revenue does not have accurate data and partially because of time constraints.</w:t>
      </w:r>
    </w:p>
    <w:p w:rsidR="00B905A6" w:rsidRDefault="00B905A6" w:rsidP="00042EAB">
      <w:pPr>
        <w:pStyle w:val="ListParagraph"/>
        <w:ind w:left="0" w:right="170"/>
        <w:contextualSpacing w:val="0"/>
        <w:rPr>
          <w:rFonts w:ascii="Times New Roman" w:hAnsi="Times New Roman"/>
          <w:sz w:val="24"/>
          <w:szCs w:val="24"/>
        </w:rPr>
      </w:pPr>
    </w:p>
    <w:p w:rsidR="00B905A6" w:rsidRDefault="00B905A6" w:rsidP="00042EAB">
      <w:pPr>
        <w:ind w:right="170"/>
        <w:jc w:val="both"/>
        <w:rPr>
          <w:rFonts w:ascii="Times New Roman" w:hAnsi="Times New Roman"/>
          <w:sz w:val="24"/>
          <w:szCs w:val="24"/>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sidRPr="00326ABE">
        <w:rPr>
          <w:rFonts w:ascii="Times New Roman" w:hAnsi="Times New Roman"/>
          <w:sz w:val="24"/>
          <w:szCs w:val="24"/>
        </w:rPr>
        <w:t xml:space="preserve">The actual compliance costs likely to be imposed </w:t>
      </w:r>
      <w:r>
        <w:rPr>
          <w:rFonts w:ascii="Times New Roman" w:hAnsi="Times New Roman"/>
          <w:sz w:val="24"/>
          <w:szCs w:val="24"/>
        </w:rPr>
        <w:t xml:space="preserve">by </w:t>
      </w:r>
      <w:r w:rsidR="00042EAB">
        <w:rPr>
          <w:rFonts w:ascii="Times New Roman" w:hAnsi="Times New Roman"/>
          <w:sz w:val="24"/>
          <w:szCs w:val="24"/>
        </w:rPr>
        <w:t>option 2</w:t>
      </w:r>
      <w:r>
        <w:rPr>
          <w:rFonts w:ascii="Times New Roman" w:hAnsi="Times New Roman"/>
          <w:sz w:val="24"/>
          <w:szCs w:val="24"/>
        </w:rPr>
        <w:t xml:space="preserve"> </w:t>
      </w:r>
      <w:r w:rsidRPr="00326ABE">
        <w:rPr>
          <w:rFonts w:ascii="Times New Roman" w:hAnsi="Times New Roman"/>
          <w:sz w:val="24"/>
          <w:szCs w:val="24"/>
        </w:rPr>
        <w:t>have not been accurately determined</w:t>
      </w:r>
      <w:r w:rsidR="00B33BA7">
        <w:rPr>
          <w:rFonts w:ascii="Times New Roman" w:hAnsi="Times New Roman"/>
          <w:sz w:val="24"/>
          <w:szCs w:val="24"/>
        </w:rPr>
        <w:t>,</w:t>
      </w:r>
      <w:r>
        <w:rPr>
          <w:rFonts w:ascii="Times New Roman" w:hAnsi="Times New Roman"/>
          <w:sz w:val="24"/>
          <w:szCs w:val="24"/>
        </w:rPr>
        <w:t xml:space="preserve"> but </w:t>
      </w:r>
      <w:r w:rsidR="00042EAB">
        <w:rPr>
          <w:rFonts w:ascii="Times New Roman" w:hAnsi="Times New Roman"/>
          <w:sz w:val="24"/>
          <w:szCs w:val="24"/>
        </w:rPr>
        <w:t xml:space="preserve">overall </w:t>
      </w:r>
      <w:r>
        <w:rPr>
          <w:rFonts w:ascii="Times New Roman" w:hAnsi="Times New Roman"/>
          <w:sz w:val="24"/>
          <w:szCs w:val="24"/>
        </w:rPr>
        <w:t>are not expected to be high given that information which verifies their identit</w:t>
      </w:r>
      <w:r w:rsidR="00837C6F">
        <w:rPr>
          <w:rFonts w:ascii="Times New Roman" w:hAnsi="Times New Roman"/>
          <w:sz w:val="24"/>
          <w:szCs w:val="24"/>
        </w:rPr>
        <w:t xml:space="preserve">y is already supplied to LINZ. </w:t>
      </w:r>
      <w:r>
        <w:rPr>
          <w:rFonts w:ascii="Times New Roman" w:hAnsi="Times New Roman"/>
          <w:sz w:val="24"/>
          <w:szCs w:val="24"/>
        </w:rPr>
        <w:t xml:space="preserve">There will be additional compliance costs for those who do not already have </w:t>
      </w:r>
      <w:r w:rsidR="00CB26F3">
        <w:rPr>
          <w:rFonts w:ascii="Times New Roman" w:hAnsi="Times New Roman"/>
          <w:sz w:val="24"/>
          <w:szCs w:val="24"/>
        </w:rPr>
        <w:t xml:space="preserve">IRD </w:t>
      </w:r>
      <w:r>
        <w:rPr>
          <w:rFonts w:ascii="Times New Roman" w:hAnsi="Times New Roman"/>
          <w:sz w:val="24"/>
          <w:szCs w:val="24"/>
        </w:rPr>
        <w:t>numbers (which woul</w:t>
      </w:r>
      <w:r w:rsidR="00837C6F">
        <w:rPr>
          <w:rFonts w:ascii="Times New Roman" w:hAnsi="Times New Roman"/>
          <w:sz w:val="24"/>
          <w:szCs w:val="24"/>
        </w:rPr>
        <w:t>d generally be non-residents).</w:t>
      </w:r>
    </w:p>
    <w:p w:rsidR="00B905A6" w:rsidRDefault="00B905A6" w:rsidP="00042EAB">
      <w:pPr>
        <w:pStyle w:val="ListParagraph"/>
        <w:ind w:left="0" w:right="170"/>
        <w:contextualSpacing w:val="0"/>
        <w:rPr>
          <w:rFonts w:ascii="Times New Roman" w:hAnsi="Times New Roman"/>
          <w:sz w:val="24"/>
          <w:szCs w:val="24"/>
        </w:rPr>
      </w:pPr>
      <w:r w:rsidRPr="00412CC4">
        <w:rPr>
          <w:rFonts w:ascii="Times New Roman" w:hAnsi="Times New Roman"/>
          <w:sz w:val="24"/>
          <w:szCs w:val="24"/>
        </w:rPr>
        <w:fldChar w:fldCharType="begin"/>
      </w:r>
      <w:r w:rsidRPr="00412CC4">
        <w:rPr>
          <w:rFonts w:ascii="Times New Roman" w:hAnsi="Times New Roman"/>
          <w:sz w:val="24"/>
          <w:szCs w:val="24"/>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rPr>
        <w:tab/>
      </w:r>
      <w:r w:rsidR="00263A2D">
        <w:rPr>
          <w:rFonts w:ascii="Times New Roman" w:hAnsi="Times New Roman"/>
          <w:sz w:val="24"/>
          <w:szCs w:val="24"/>
        </w:rPr>
        <w:t xml:space="preserve">Compared to option 2, </w:t>
      </w:r>
      <w:r w:rsidRPr="00FB6002">
        <w:rPr>
          <w:rFonts w:ascii="Times New Roman" w:hAnsi="Times New Roman"/>
          <w:sz w:val="24"/>
          <w:szCs w:val="24"/>
        </w:rPr>
        <w:t>o</w:t>
      </w:r>
      <w:r w:rsidR="00263A2D">
        <w:rPr>
          <w:rFonts w:ascii="Times New Roman" w:hAnsi="Times New Roman"/>
          <w:sz w:val="24"/>
          <w:szCs w:val="24"/>
        </w:rPr>
        <w:t xml:space="preserve">ption 3 would </w:t>
      </w:r>
      <w:r w:rsidRPr="00FB6002">
        <w:rPr>
          <w:rFonts w:ascii="Times New Roman" w:hAnsi="Times New Roman"/>
          <w:sz w:val="24"/>
          <w:szCs w:val="24"/>
        </w:rPr>
        <w:t>still provide revenue and tax integrity benefits</w:t>
      </w:r>
      <w:r w:rsidR="00263A2D">
        <w:rPr>
          <w:rFonts w:ascii="Times New Roman" w:hAnsi="Times New Roman"/>
          <w:sz w:val="24"/>
          <w:szCs w:val="24"/>
        </w:rPr>
        <w:t>, although these would not</w:t>
      </w:r>
      <w:r w:rsidRPr="00FB6002">
        <w:rPr>
          <w:rFonts w:ascii="Times New Roman" w:hAnsi="Times New Roman"/>
          <w:sz w:val="24"/>
          <w:szCs w:val="24"/>
        </w:rPr>
        <w:t xml:space="preserve"> be as high as </w:t>
      </w:r>
      <w:r w:rsidR="00837C6F">
        <w:rPr>
          <w:rFonts w:ascii="Times New Roman" w:hAnsi="Times New Roman"/>
          <w:sz w:val="24"/>
          <w:szCs w:val="24"/>
        </w:rPr>
        <w:t xml:space="preserve">under </w:t>
      </w:r>
      <w:r w:rsidRPr="00FB6002">
        <w:rPr>
          <w:rFonts w:ascii="Times New Roman" w:hAnsi="Times New Roman"/>
          <w:sz w:val="24"/>
          <w:szCs w:val="24"/>
        </w:rPr>
        <w:t>option 2</w:t>
      </w:r>
      <w:r w:rsidR="00837C6F">
        <w:rPr>
          <w:rFonts w:ascii="Times New Roman" w:hAnsi="Times New Roman"/>
          <w:sz w:val="24"/>
          <w:szCs w:val="24"/>
        </w:rPr>
        <w:t xml:space="preserve">. </w:t>
      </w:r>
      <w:r w:rsidR="00263A2D">
        <w:rPr>
          <w:rFonts w:ascii="Times New Roman" w:hAnsi="Times New Roman"/>
          <w:sz w:val="24"/>
          <w:szCs w:val="24"/>
        </w:rPr>
        <w:t>O</w:t>
      </w:r>
      <w:r w:rsidR="00722C43">
        <w:rPr>
          <w:rFonts w:ascii="Times New Roman" w:hAnsi="Times New Roman"/>
          <w:sz w:val="24"/>
          <w:szCs w:val="24"/>
        </w:rPr>
        <w:t>verall, we consider that o</w:t>
      </w:r>
      <w:r w:rsidR="00263A2D">
        <w:rPr>
          <w:rFonts w:ascii="Times New Roman" w:hAnsi="Times New Roman"/>
          <w:sz w:val="24"/>
          <w:szCs w:val="24"/>
        </w:rPr>
        <w:t xml:space="preserve">ption 3 would have similar or </w:t>
      </w:r>
      <w:r w:rsidR="00263A2D" w:rsidRPr="00FB6002">
        <w:rPr>
          <w:rFonts w:ascii="Times New Roman" w:hAnsi="Times New Roman"/>
          <w:sz w:val="24"/>
          <w:szCs w:val="24"/>
        </w:rPr>
        <w:t xml:space="preserve">potentially higher compliance costs </w:t>
      </w:r>
      <w:r w:rsidR="00837C6F">
        <w:rPr>
          <w:rFonts w:ascii="Times New Roman" w:hAnsi="Times New Roman"/>
          <w:sz w:val="24"/>
          <w:szCs w:val="24"/>
        </w:rPr>
        <w:t xml:space="preserve">than option 2. </w:t>
      </w:r>
      <w:r w:rsidR="00263A2D">
        <w:rPr>
          <w:rFonts w:ascii="Times New Roman" w:hAnsi="Times New Roman"/>
          <w:sz w:val="24"/>
          <w:szCs w:val="24"/>
        </w:rPr>
        <w:t xml:space="preserve">This is because adding an exception makes the rules more complicated as purchasers and </w:t>
      </w:r>
      <w:proofErr w:type="spellStart"/>
      <w:r w:rsidR="00263A2D">
        <w:rPr>
          <w:rFonts w:ascii="Times New Roman" w:hAnsi="Times New Roman"/>
          <w:sz w:val="24"/>
          <w:szCs w:val="24"/>
        </w:rPr>
        <w:t>conveyancers</w:t>
      </w:r>
      <w:proofErr w:type="spellEnd"/>
      <w:r w:rsidR="00263A2D">
        <w:rPr>
          <w:rFonts w:ascii="Times New Roman" w:hAnsi="Times New Roman"/>
          <w:sz w:val="24"/>
          <w:szCs w:val="24"/>
        </w:rPr>
        <w:t xml:space="preserve"> would also need to consider another rule</w:t>
      </w:r>
      <w:r w:rsidR="00837C6F">
        <w:rPr>
          <w:rFonts w:ascii="Times New Roman" w:hAnsi="Times New Roman"/>
          <w:sz w:val="24"/>
          <w:szCs w:val="24"/>
        </w:rPr>
        <w:t xml:space="preserve">. </w:t>
      </w:r>
      <w:r w:rsidR="00722C43">
        <w:rPr>
          <w:rFonts w:ascii="Times New Roman" w:hAnsi="Times New Roman"/>
          <w:sz w:val="24"/>
          <w:szCs w:val="24"/>
        </w:rPr>
        <w:t>(Inland Revenue notes that these concerns regarding complexity could potentially be mitigated to an extent depending o</w:t>
      </w:r>
      <w:r w:rsidR="002D4B78">
        <w:rPr>
          <w:rFonts w:ascii="Times New Roman" w:hAnsi="Times New Roman"/>
          <w:sz w:val="24"/>
          <w:szCs w:val="24"/>
        </w:rPr>
        <w:t>n the design of the exemption</w:t>
      </w:r>
      <w:r w:rsidR="00722C43">
        <w:rPr>
          <w:rFonts w:ascii="Times New Roman" w:hAnsi="Times New Roman"/>
          <w:sz w:val="24"/>
          <w:szCs w:val="24"/>
        </w:rPr>
        <w:t>)</w:t>
      </w:r>
      <w:r w:rsidR="00837C6F">
        <w:rPr>
          <w:rFonts w:ascii="Times New Roman" w:hAnsi="Times New Roman"/>
          <w:sz w:val="24"/>
          <w:szCs w:val="24"/>
        </w:rPr>
        <w:t xml:space="preserve">. </w:t>
      </w:r>
      <w:r w:rsidR="00263A2D">
        <w:rPr>
          <w:rFonts w:ascii="Times New Roman" w:hAnsi="Times New Roman"/>
          <w:sz w:val="24"/>
          <w:szCs w:val="24"/>
        </w:rPr>
        <w:t>Accordingly, we do not consider that the</w:t>
      </w:r>
      <w:r w:rsidR="00942350">
        <w:rPr>
          <w:rFonts w:ascii="Times New Roman" w:hAnsi="Times New Roman"/>
          <w:sz w:val="24"/>
          <w:szCs w:val="24"/>
        </w:rPr>
        <w:t xml:space="preserve"> potential</w:t>
      </w:r>
      <w:r w:rsidR="00263A2D">
        <w:rPr>
          <w:rFonts w:ascii="Times New Roman" w:hAnsi="Times New Roman"/>
          <w:sz w:val="24"/>
          <w:szCs w:val="24"/>
        </w:rPr>
        <w:t xml:space="preserve"> benefits of option 3 outweigh the</w:t>
      </w:r>
      <w:r w:rsidR="00942350">
        <w:rPr>
          <w:rFonts w:ascii="Times New Roman" w:hAnsi="Times New Roman"/>
          <w:sz w:val="24"/>
          <w:szCs w:val="24"/>
        </w:rPr>
        <w:t xml:space="preserve"> potential</w:t>
      </w:r>
      <w:r w:rsidR="00042EAB">
        <w:rPr>
          <w:rFonts w:ascii="Times New Roman" w:hAnsi="Times New Roman"/>
          <w:sz w:val="24"/>
          <w:szCs w:val="24"/>
        </w:rPr>
        <w:t xml:space="preserve"> costs. </w:t>
      </w:r>
    </w:p>
    <w:p w:rsidR="00DC3BCB" w:rsidRDefault="00DC3BCB" w:rsidP="00B905A6">
      <w:pPr>
        <w:spacing w:after="0" w:line="240" w:lineRule="auto"/>
        <w:jc w:val="both"/>
        <w:rPr>
          <w:rFonts w:ascii="Times New Roman" w:hAnsi="Times New Roman"/>
          <w:b/>
          <w:sz w:val="24"/>
          <w:szCs w:val="24"/>
        </w:rPr>
      </w:pPr>
    </w:p>
    <w:p w:rsidR="00CB26F3" w:rsidRDefault="00CB26F3" w:rsidP="00B905A6">
      <w:pPr>
        <w:spacing w:after="0" w:line="240" w:lineRule="auto"/>
        <w:jc w:val="both"/>
        <w:rPr>
          <w:rFonts w:ascii="Times New Roman" w:hAnsi="Times New Roman"/>
          <w:b/>
          <w:sz w:val="24"/>
          <w:szCs w:val="24"/>
        </w:rPr>
      </w:pPr>
    </w:p>
    <w:p w:rsidR="00C56B7C" w:rsidRPr="00182C43" w:rsidRDefault="00C56B7C" w:rsidP="003F40F7">
      <w:pPr>
        <w:spacing w:after="0" w:line="240" w:lineRule="auto"/>
        <w:jc w:val="both"/>
        <w:rPr>
          <w:rFonts w:ascii="Times New Roman" w:hAnsi="Times New Roman"/>
          <w:b/>
          <w:caps/>
          <w:sz w:val="24"/>
          <w:szCs w:val="24"/>
        </w:rPr>
      </w:pPr>
      <w:r w:rsidRPr="00182C43">
        <w:rPr>
          <w:rFonts w:ascii="Times New Roman" w:hAnsi="Times New Roman"/>
          <w:b/>
          <w:caps/>
          <w:sz w:val="24"/>
          <w:szCs w:val="24"/>
        </w:rPr>
        <w:t>Implementation</w:t>
      </w:r>
    </w:p>
    <w:p w:rsidR="00C56B7C" w:rsidRDefault="00C56B7C" w:rsidP="003F40F7">
      <w:pPr>
        <w:spacing w:after="0" w:line="240" w:lineRule="auto"/>
        <w:jc w:val="both"/>
        <w:rPr>
          <w:rFonts w:ascii="Times New Roman" w:hAnsi="Times New Roman"/>
          <w:sz w:val="24"/>
          <w:szCs w:val="24"/>
        </w:rPr>
      </w:pPr>
    </w:p>
    <w:p w:rsidR="000A1DF5" w:rsidRDefault="00412CC4" w:rsidP="003F40F7">
      <w:pPr>
        <w:spacing w:after="0" w:line="240" w:lineRule="auto"/>
        <w:jc w:val="both"/>
        <w:rPr>
          <w:rFonts w:ascii="Times New Roman" w:hAnsi="Times New Roman"/>
          <w:sz w:val="24"/>
          <w:szCs w:val="24"/>
          <w:lang w:val="en-NZ"/>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sidR="000A1DF5">
        <w:rPr>
          <w:rFonts w:ascii="Times New Roman" w:hAnsi="Times New Roman"/>
          <w:sz w:val="24"/>
          <w:szCs w:val="24"/>
          <w:lang w:val="en-NZ"/>
        </w:rPr>
        <w:t xml:space="preserve">Option </w:t>
      </w:r>
      <w:r w:rsidR="00A11F20">
        <w:rPr>
          <w:rFonts w:ascii="Times New Roman" w:hAnsi="Times New Roman"/>
          <w:sz w:val="24"/>
          <w:szCs w:val="24"/>
          <w:lang w:val="en-NZ"/>
        </w:rPr>
        <w:t>1</w:t>
      </w:r>
      <w:r w:rsidR="000A1DF5" w:rsidRPr="00A11F20">
        <w:rPr>
          <w:rFonts w:ascii="Times New Roman" w:hAnsi="Times New Roman"/>
          <w:sz w:val="24"/>
          <w:szCs w:val="24"/>
          <w:lang w:val="en-NZ"/>
        </w:rPr>
        <w:t xml:space="preserve"> </w:t>
      </w:r>
      <w:r w:rsidR="00433EE1">
        <w:rPr>
          <w:rFonts w:ascii="Times New Roman" w:hAnsi="Times New Roman"/>
          <w:sz w:val="24"/>
          <w:szCs w:val="24"/>
          <w:lang w:val="en-NZ"/>
        </w:rPr>
        <w:t>does</w:t>
      </w:r>
      <w:r w:rsidR="000A1DF5">
        <w:rPr>
          <w:rFonts w:ascii="Times New Roman" w:hAnsi="Times New Roman"/>
          <w:sz w:val="24"/>
          <w:szCs w:val="24"/>
          <w:lang w:val="en-NZ"/>
        </w:rPr>
        <w:t xml:space="preserve"> not require legislation to implement.  Legislative change </w:t>
      </w:r>
      <w:r w:rsidR="00B33BA7">
        <w:rPr>
          <w:rFonts w:ascii="Times New Roman" w:hAnsi="Times New Roman"/>
          <w:sz w:val="24"/>
          <w:szCs w:val="24"/>
          <w:lang w:val="en-NZ"/>
        </w:rPr>
        <w:t>would</w:t>
      </w:r>
      <w:r w:rsidR="00B91C70">
        <w:rPr>
          <w:rFonts w:ascii="Times New Roman" w:hAnsi="Times New Roman"/>
          <w:sz w:val="24"/>
          <w:szCs w:val="24"/>
          <w:lang w:val="en-NZ"/>
        </w:rPr>
        <w:t xml:space="preserve"> be</w:t>
      </w:r>
      <w:r w:rsidR="000A1DF5">
        <w:rPr>
          <w:rFonts w:ascii="Times New Roman" w:hAnsi="Times New Roman"/>
          <w:sz w:val="24"/>
          <w:szCs w:val="24"/>
          <w:lang w:val="en-NZ"/>
        </w:rPr>
        <w:t xml:space="preserve"> required to implement </w:t>
      </w:r>
      <w:r w:rsidR="00B33BA7">
        <w:rPr>
          <w:rFonts w:ascii="Times New Roman" w:hAnsi="Times New Roman"/>
          <w:sz w:val="24"/>
          <w:szCs w:val="24"/>
          <w:lang w:val="en-NZ"/>
        </w:rPr>
        <w:t xml:space="preserve">either </w:t>
      </w:r>
      <w:r w:rsidR="00433EE1">
        <w:rPr>
          <w:rFonts w:ascii="Times New Roman" w:hAnsi="Times New Roman"/>
          <w:sz w:val="24"/>
          <w:szCs w:val="24"/>
          <w:lang w:val="en-NZ"/>
        </w:rPr>
        <w:t>option 2</w:t>
      </w:r>
      <w:r w:rsidR="00B905A6">
        <w:rPr>
          <w:rFonts w:ascii="Times New Roman" w:hAnsi="Times New Roman"/>
          <w:sz w:val="24"/>
          <w:szCs w:val="24"/>
          <w:lang w:val="en-NZ"/>
        </w:rPr>
        <w:t xml:space="preserve"> </w:t>
      </w:r>
      <w:r w:rsidR="00B33BA7">
        <w:rPr>
          <w:rFonts w:ascii="Times New Roman" w:hAnsi="Times New Roman"/>
          <w:sz w:val="24"/>
          <w:szCs w:val="24"/>
          <w:lang w:val="en-NZ"/>
        </w:rPr>
        <w:t>or</w:t>
      </w:r>
      <w:r w:rsidR="00B905A6">
        <w:rPr>
          <w:rFonts w:ascii="Times New Roman" w:hAnsi="Times New Roman"/>
          <w:sz w:val="24"/>
          <w:szCs w:val="24"/>
          <w:lang w:val="en-NZ"/>
        </w:rPr>
        <w:t xml:space="preserve"> 3</w:t>
      </w:r>
      <w:r w:rsidR="000A1DF5">
        <w:rPr>
          <w:rFonts w:ascii="Times New Roman" w:hAnsi="Times New Roman"/>
          <w:sz w:val="24"/>
          <w:szCs w:val="24"/>
          <w:lang w:val="en-NZ"/>
        </w:rPr>
        <w:t>.</w:t>
      </w:r>
    </w:p>
    <w:p w:rsidR="000A1DF5" w:rsidRDefault="000A1DF5" w:rsidP="003F40F7">
      <w:pPr>
        <w:spacing w:after="0" w:line="240" w:lineRule="auto"/>
        <w:jc w:val="both"/>
        <w:rPr>
          <w:rFonts w:ascii="Times New Roman" w:hAnsi="Times New Roman"/>
          <w:sz w:val="24"/>
          <w:szCs w:val="24"/>
          <w:lang w:val="en-NZ"/>
        </w:rPr>
      </w:pPr>
    </w:p>
    <w:p w:rsidR="007934F0" w:rsidRDefault="003F40F7" w:rsidP="00837C6F">
      <w:pPr>
        <w:spacing w:after="0" w:line="240" w:lineRule="auto"/>
        <w:jc w:val="both"/>
        <w:rPr>
          <w:rFonts w:ascii="Times New Roman" w:hAnsi="Times New Roman"/>
          <w:sz w:val="24"/>
          <w:szCs w:val="24"/>
          <w:lang w:val="en-NZ"/>
        </w:rPr>
      </w:pPr>
      <w:r w:rsidRPr="003F40F7">
        <w:rPr>
          <w:rFonts w:ascii="Times New Roman" w:hAnsi="Times New Roman"/>
          <w:sz w:val="24"/>
          <w:szCs w:val="24"/>
          <w:lang w:val="en-NZ"/>
        </w:rPr>
        <w:fldChar w:fldCharType="begin"/>
      </w:r>
      <w:r w:rsidRPr="003F40F7">
        <w:rPr>
          <w:rFonts w:ascii="Times New Roman" w:hAnsi="Times New Roman"/>
          <w:sz w:val="24"/>
          <w:szCs w:val="24"/>
          <w:lang w:val="en-NZ"/>
        </w:rPr>
        <w:instrText xml:space="preserve"> AUTONUM  </w:instrText>
      </w:r>
      <w:r w:rsidRPr="003F40F7">
        <w:rPr>
          <w:rFonts w:ascii="Times New Roman" w:hAnsi="Times New Roman"/>
          <w:sz w:val="24"/>
          <w:szCs w:val="24"/>
          <w:lang w:val="en-NZ"/>
        </w:rPr>
        <w:fldChar w:fldCharType="end"/>
      </w:r>
      <w:r w:rsidRPr="003F40F7">
        <w:rPr>
          <w:rFonts w:ascii="Times New Roman" w:hAnsi="Times New Roman"/>
          <w:sz w:val="24"/>
          <w:szCs w:val="24"/>
          <w:lang w:val="en-NZ"/>
        </w:rPr>
        <w:tab/>
      </w:r>
      <w:r w:rsidR="00334AE3">
        <w:rPr>
          <w:rFonts w:ascii="Times New Roman" w:hAnsi="Times New Roman"/>
          <w:sz w:val="24"/>
          <w:szCs w:val="24"/>
          <w:lang w:val="en-NZ"/>
        </w:rPr>
        <w:t>Any legislative amendments required to implement option 2</w:t>
      </w:r>
      <w:r w:rsidR="00B905A6">
        <w:rPr>
          <w:rFonts w:ascii="Times New Roman" w:hAnsi="Times New Roman"/>
          <w:sz w:val="24"/>
          <w:szCs w:val="24"/>
          <w:lang w:val="en-NZ"/>
        </w:rPr>
        <w:t xml:space="preserve"> or 3</w:t>
      </w:r>
      <w:r w:rsidR="00334AE3">
        <w:rPr>
          <w:rFonts w:ascii="Times New Roman" w:hAnsi="Times New Roman"/>
          <w:sz w:val="24"/>
          <w:szCs w:val="24"/>
          <w:lang w:val="en-NZ"/>
        </w:rPr>
        <w:t xml:space="preserve"> could</w:t>
      </w:r>
      <w:r w:rsidR="000A1DF5">
        <w:rPr>
          <w:rFonts w:ascii="Times New Roman" w:hAnsi="Times New Roman"/>
          <w:sz w:val="24"/>
          <w:szCs w:val="24"/>
          <w:lang w:val="en-NZ"/>
        </w:rPr>
        <w:t xml:space="preserve"> be included in </w:t>
      </w:r>
      <w:r w:rsidR="00B905A6">
        <w:rPr>
          <w:rFonts w:ascii="Times New Roman" w:hAnsi="Times New Roman"/>
          <w:sz w:val="24"/>
          <w:szCs w:val="24"/>
          <w:lang w:val="en-NZ"/>
        </w:rPr>
        <w:t>a bill to amend the Land Transfer Act 1954 and the Tax Administration Act 1994</w:t>
      </w:r>
      <w:r w:rsidR="003C1DF1">
        <w:rPr>
          <w:rFonts w:ascii="Times New Roman" w:hAnsi="Times New Roman"/>
          <w:sz w:val="24"/>
          <w:szCs w:val="24"/>
          <w:lang w:val="en-NZ"/>
        </w:rPr>
        <w:t xml:space="preserve">, and could be implemented from </w:t>
      </w:r>
      <w:r w:rsidR="00433EE1">
        <w:rPr>
          <w:rFonts w:ascii="Times New Roman" w:hAnsi="Times New Roman"/>
          <w:sz w:val="24"/>
          <w:szCs w:val="24"/>
          <w:lang w:val="en-NZ"/>
        </w:rPr>
        <w:t xml:space="preserve">1 </w:t>
      </w:r>
      <w:r w:rsidR="00642C70">
        <w:rPr>
          <w:rFonts w:ascii="Times New Roman" w:hAnsi="Times New Roman"/>
          <w:sz w:val="24"/>
          <w:szCs w:val="24"/>
          <w:lang w:val="en-NZ"/>
        </w:rPr>
        <w:t>October</w:t>
      </w:r>
      <w:r w:rsidR="00433EE1">
        <w:rPr>
          <w:rFonts w:ascii="Times New Roman" w:hAnsi="Times New Roman"/>
          <w:sz w:val="24"/>
          <w:szCs w:val="24"/>
          <w:lang w:val="en-NZ"/>
        </w:rPr>
        <w:t xml:space="preserve"> 2015</w:t>
      </w:r>
      <w:r w:rsidR="000A1DF5">
        <w:rPr>
          <w:rFonts w:ascii="Times New Roman" w:hAnsi="Times New Roman"/>
          <w:sz w:val="24"/>
          <w:szCs w:val="24"/>
          <w:lang w:val="en-NZ"/>
        </w:rPr>
        <w:t>.</w:t>
      </w:r>
      <w:r w:rsidR="00A366D2">
        <w:rPr>
          <w:rFonts w:ascii="Times New Roman" w:hAnsi="Times New Roman"/>
          <w:sz w:val="24"/>
          <w:szCs w:val="24"/>
          <w:lang w:val="en-NZ"/>
        </w:rPr>
        <w:t xml:space="preserve"> </w:t>
      </w:r>
      <w:r w:rsidR="00263A2D">
        <w:rPr>
          <w:rFonts w:ascii="Times New Roman" w:hAnsi="Times New Roman"/>
          <w:sz w:val="24"/>
          <w:szCs w:val="24"/>
          <w:lang w:val="en-NZ"/>
        </w:rPr>
        <w:t xml:space="preserve">Regulations are likely to </w:t>
      </w:r>
      <w:r w:rsidR="00B33BA7">
        <w:rPr>
          <w:rFonts w:ascii="Times New Roman" w:hAnsi="Times New Roman"/>
          <w:sz w:val="24"/>
          <w:szCs w:val="24"/>
          <w:lang w:val="en-NZ"/>
        </w:rPr>
        <w:t xml:space="preserve">be </w:t>
      </w:r>
      <w:r w:rsidR="00263A2D">
        <w:rPr>
          <w:rFonts w:ascii="Times New Roman" w:hAnsi="Times New Roman"/>
          <w:sz w:val="24"/>
          <w:szCs w:val="24"/>
          <w:lang w:val="en-NZ"/>
        </w:rPr>
        <w:t xml:space="preserve">included as part of this work </w:t>
      </w:r>
      <w:r w:rsidR="00B33BA7">
        <w:rPr>
          <w:rFonts w:ascii="Times New Roman" w:hAnsi="Times New Roman"/>
          <w:sz w:val="24"/>
          <w:szCs w:val="24"/>
          <w:lang w:val="en-NZ"/>
        </w:rPr>
        <w:t>to provide the details of e</w:t>
      </w:r>
      <w:proofErr w:type="spellStart"/>
      <w:r w:rsidR="00263A2D" w:rsidRPr="00263A2D">
        <w:rPr>
          <w:rFonts w:ascii="Times New Roman" w:hAnsi="Times New Roman"/>
          <w:sz w:val="24"/>
          <w:szCs w:val="24"/>
        </w:rPr>
        <w:t>xemptions</w:t>
      </w:r>
      <w:proofErr w:type="spellEnd"/>
      <w:r w:rsidR="00263A2D" w:rsidRPr="00263A2D">
        <w:rPr>
          <w:rFonts w:ascii="Times New Roman" w:hAnsi="Times New Roman"/>
          <w:sz w:val="24"/>
          <w:szCs w:val="24"/>
        </w:rPr>
        <w:t xml:space="preserve"> to the policy</w:t>
      </w:r>
      <w:r w:rsidR="00B33BA7">
        <w:rPr>
          <w:rFonts w:ascii="Times New Roman" w:hAnsi="Times New Roman"/>
          <w:sz w:val="24"/>
          <w:szCs w:val="24"/>
        </w:rPr>
        <w:t xml:space="preserve"> (such as the</w:t>
      </w:r>
      <w:r w:rsidR="00263A2D" w:rsidRPr="00263A2D">
        <w:rPr>
          <w:rFonts w:ascii="Times New Roman" w:hAnsi="Times New Roman"/>
          <w:sz w:val="24"/>
          <w:szCs w:val="24"/>
        </w:rPr>
        <w:t xml:space="preserve"> </w:t>
      </w:r>
      <w:r w:rsidR="00CB26F3">
        <w:rPr>
          <w:rFonts w:ascii="Times New Roman" w:hAnsi="Times New Roman"/>
          <w:sz w:val="24"/>
          <w:szCs w:val="24"/>
        </w:rPr>
        <w:t>“</w:t>
      </w:r>
      <w:r w:rsidR="00891979">
        <w:rPr>
          <w:rFonts w:ascii="Times New Roman" w:hAnsi="Times New Roman"/>
          <w:sz w:val="24"/>
          <w:szCs w:val="24"/>
        </w:rPr>
        <w:t>main home</w:t>
      </w:r>
      <w:r w:rsidR="00CB26F3">
        <w:rPr>
          <w:rFonts w:ascii="Times New Roman" w:hAnsi="Times New Roman"/>
          <w:sz w:val="24"/>
          <w:szCs w:val="24"/>
        </w:rPr>
        <w:t>”</w:t>
      </w:r>
      <w:r w:rsidR="00B33BA7">
        <w:rPr>
          <w:rFonts w:ascii="Times New Roman" w:hAnsi="Times New Roman"/>
          <w:sz w:val="24"/>
          <w:szCs w:val="24"/>
        </w:rPr>
        <w:t xml:space="preserve"> </w:t>
      </w:r>
      <w:r w:rsidR="00F81E4C">
        <w:rPr>
          <w:rFonts w:ascii="Times New Roman" w:hAnsi="Times New Roman"/>
          <w:sz w:val="24"/>
          <w:szCs w:val="24"/>
        </w:rPr>
        <w:t xml:space="preserve">under </w:t>
      </w:r>
      <w:r w:rsidR="00263A2D" w:rsidRPr="00263A2D">
        <w:rPr>
          <w:rFonts w:ascii="Times New Roman" w:hAnsi="Times New Roman"/>
          <w:sz w:val="24"/>
          <w:szCs w:val="24"/>
        </w:rPr>
        <w:t>option 3</w:t>
      </w:r>
      <w:r w:rsidR="00F81E4C">
        <w:rPr>
          <w:rFonts w:ascii="Times New Roman" w:hAnsi="Times New Roman"/>
          <w:sz w:val="24"/>
          <w:szCs w:val="24"/>
        </w:rPr>
        <w:t>, and classes of land such as Maori freehold land where the compliance costs are likely to be high</w:t>
      </w:r>
      <w:r w:rsidR="00263A2D" w:rsidRPr="00263A2D">
        <w:rPr>
          <w:rFonts w:ascii="Times New Roman" w:hAnsi="Times New Roman"/>
          <w:sz w:val="24"/>
          <w:szCs w:val="24"/>
        </w:rPr>
        <w:t xml:space="preserve">) and to describe </w:t>
      </w:r>
      <w:r w:rsidR="00F81E4C">
        <w:rPr>
          <w:rFonts w:ascii="Times New Roman" w:hAnsi="Times New Roman"/>
          <w:sz w:val="24"/>
          <w:szCs w:val="24"/>
        </w:rPr>
        <w:t xml:space="preserve">detailed </w:t>
      </w:r>
      <w:r w:rsidR="00263A2D" w:rsidRPr="00263A2D">
        <w:rPr>
          <w:rFonts w:ascii="Times New Roman" w:hAnsi="Times New Roman"/>
          <w:sz w:val="24"/>
          <w:szCs w:val="24"/>
        </w:rPr>
        <w:t>information</w:t>
      </w:r>
      <w:r w:rsidR="00F81E4C">
        <w:rPr>
          <w:rFonts w:ascii="Times New Roman" w:hAnsi="Times New Roman"/>
          <w:sz w:val="24"/>
          <w:szCs w:val="24"/>
        </w:rPr>
        <w:t xml:space="preserve"> to be collected</w:t>
      </w:r>
      <w:r w:rsidR="00263A2D" w:rsidRPr="00263A2D">
        <w:rPr>
          <w:rFonts w:ascii="Times New Roman" w:hAnsi="Times New Roman"/>
          <w:sz w:val="24"/>
          <w:szCs w:val="24"/>
        </w:rPr>
        <w:t>.</w:t>
      </w:r>
    </w:p>
    <w:p w:rsidR="007934F0" w:rsidRDefault="007934F0" w:rsidP="00837C6F">
      <w:pPr>
        <w:spacing w:after="0" w:line="240" w:lineRule="auto"/>
        <w:jc w:val="both"/>
        <w:rPr>
          <w:rFonts w:ascii="Times New Roman" w:hAnsi="Times New Roman"/>
          <w:sz w:val="24"/>
          <w:szCs w:val="24"/>
          <w:lang w:val="en-NZ"/>
        </w:rPr>
      </w:pPr>
    </w:p>
    <w:p w:rsidR="00F81E4C" w:rsidRDefault="00642C70" w:rsidP="00837C6F">
      <w:pPr>
        <w:spacing w:after="0" w:line="240" w:lineRule="auto"/>
        <w:jc w:val="both"/>
        <w:rPr>
          <w:rFonts w:ascii="Times New Roman" w:hAnsi="Times New Roman"/>
          <w:sz w:val="24"/>
          <w:szCs w:val="24"/>
          <w:lang w:val="en-NZ"/>
        </w:rPr>
      </w:pPr>
      <w:r w:rsidRPr="00412CC4">
        <w:rPr>
          <w:rFonts w:ascii="Times New Roman" w:hAnsi="Times New Roman"/>
          <w:sz w:val="24"/>
          <w:szCs w:val="24"/>
          <w:lang w:val="en-NZ"/>
        </w:rPr>
        <w:lastRenderedPageBreak/>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sidR="00433EE1">
        <w:rPr>
          <w:rFonts w:ascii="Times New Roman" w:hAnsi="Times New Roman"/>
          <w:sz w:val="24"/>
          <w:szCs w:val="24"/>
          <w:lang w:val="en-NZ"/>
        </w:rPr>
        <w:t xml:space="preserve">Inland Revenue will be required to update forms and communication material prior to </w:t>
      </w:r>
      <w:r w:rsidR="007934F0">
        <w:rPr>
          <w:rFonts w:ascii="Times New Roman" w:hAnsi="Times New Roman"/>
          <w:sz w:val="24"/>
          <w:szCs w:val="24"/>
          <w:lang w:val="en-NZ"/>
        </w:rPr>
        <w:t xml:space="preserve">the proposed implementation date of 1 </w:t>
      </w:r>
      <w:r>
        <w:rPr>
          <w:rFonts w:ascii="Times New Roman" w:hAnsi="Times New Roman"/>
          <w:sz w:val="24"/>
          <w:szCs w:val="24"/>
          <w:lang w:val="en-NZ"/>
        </w:rPr>
        <w:t>October</w:t>
      </w:r>
      <w:r w:rsidR="007934F0">
        <w:rPr>
          <w:rFonts w:ascii="Times New Roman" w:hAnsi="Times New Roman"/>
          <w:sz w:val="24"/>
          <w:szCs w:val="24"/>
          <w:lang w:val="en-NZ"/>
        </w:rPr>
        <w:t xml:space="preserve"> 2015</w:t>
      </w:r>
      <w:r w:rsidR="00433EE1">
        <w:rPr>
          <w:rFonts w:ascii="Times New Roman" w:hAnsi="Times New Roman"/>
          <w:sz w:val="24"/>
          <w:szCs w:val="24"/>
          <w:lang w:val="en-NZ"/>
        </w:rPr>
        <w:t>.</w:t>
      </w:r>
      <w:r w:rsidR="00F81E4C" w:rsidRPr="00F81E4C">
        <w:rPr>
          <w:rFonts w:ascii="Times New Roman" w:hAnsi="Times New Roman"/>
          <w:sz w:val="24"/>
          <w:szCs w:val="24"/>
          <w:lang w:val="en-NZ"/>
        </w:rPr>
        <w:t xml:space="preserve"> </w:t>
      </w:r>
    </w:p>
    <w:p w:rsidR="00F81E4C" w:rsidRDefault="00F81E4C" w:rsidP="00837C6F">
      <w:pPr>
        <w:spacing w:after="0" w:line="240" w:lineRule="auto"/>
        <w:jc w:val="both"/>
        <w:rPr>
          <w:rFonts w:ascii="Times New Roman" w:hAnsi="Times New Roman"/>
          <w:sz w:val="24"/>
          <w:szCs w:val="24"/>
          <w:lang w:val="en-NZ"/>
        </w:rPr>
      </w:pPr>
    </w:p>
    <w:p w:rsidR="00F81E4C" w:rsidRDefault="00F81E4C" w:rsidP="00837C6F">
      <w:pPr>
        <w:spacing w:after="0" w:line="240" w:lineRule="auto"/>
        <w:jc w:val="both"/>
        <w:rPr>
          <w:rFonts w:ascii="Times New Roman" w:hAnsi="Times New Roman"/>
          <w:sz w:val="24"/>
          <w:szCs w:val="24"/>
          <w:lang w:val="en-NZ"/>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Pr>
          <w:rFonts w:ascii="Times New Roman" w:hAnsi="Times New Roman"/>
          <w:sz w:val="24"/>
          <w:szCs w:val="24"/>
          <w:lang w:val="en-NZ"/>
        </w:rPr>
        <w:t xml:space="preserve">LINZ will be required to make administrative and system changes to the </w:t>
      </w:r>
      <w:proofErr w:type="spellStart"/>
      <w:r>
        <w:rPr>
          <w:rFonts w:ascii="Times New Roman" w:hAnsi="Times New Roman"/>
          <w:sz w:val="24"/>
          <w:szCs w:val="24"/>
          <w:lang w:val="en-NZ"/>
        </w:rPr>
        <w:t>Landonline</w:t>
      </w:r>
      <w:proofErr w:type="spellEnd"/>
      <w:r>
        <w:rPr>
          <w:rFonts w:ascii="Times New Roman" w:hAnsi="Times New Roman"/>
          <w:sz w:val="24"/>
          <w:szCs w:val="24"/>
          <w:lang w:val="en-NZ"/>
        </w:rPr>
        <w:t xml:space="preserve"> electronic land transfer service, consult with </w:t>
      </w:r>
      <w:proofErr w:type="spellStart"/>
      <w:r>
        <w:rPr>
          <w:rFonts w:ascii="Times New Roman" w:hAnsi="Times New Roman"/>
          <w:sz w:val="24"/>
          <w:szCs w:val="24"/>
          <w:lang w:val="en-NZ"/>
        </w:rPr>
        <w:t>conveyancers</w:t>
      </w:r>
      <w:proofErr w:type="spellEnd"/>
      <w:r>
        <w:rPr>
          <w:rFonts w:ascii="Times New Roman" w:hAnsi="Times New Roman"/>
          <w:sz w:val="24"/>
          <w:szCs w:val="24"/>
          <w:lang w:val="en-NZ"/>
        </w:rPr>
        <w:t xml:space="preserve"> on the changes</w:t>
      </w:r>
      <w:r w:rsidR="00923966">
        <w:rPr>
          <w:rFonts w:ascii="Times New Roman" w:hAnsi="Times New Roman"/>
          <w:sz w:val="24"/>
          <w:szCs w:val="24"/>
          <w:lang w:val="en-NZ"/>
        </w:rPr>
        <w:t>,</w:t>
      </w:r>
      <w:r>
        <w:rPr>
          <w:rFonts w:ascii="Times New Roman" w:hAnsi="Times New Roman"/>
          <w:sz w:val="24"/>
          <w:szCs w:val="24"/>
          <w:lang w:val="en-NZ"/>
        </w:rPr>
        <w:t xml:space="preserve"> and conduct a change management process to ensure the policy and requirements are understood. </w:t>
      </w:r>
    </w:p>
    <w:p w:rsidR="000A1DF5" w:rsidRDefault="000A1DF5" w:rsidP="00837C6F">
      <w:pPr>
        <w:spacing w:after="0" w:line="240" w:lineRule="auto"/>
        <w:jc w:val="both"/>
        <w:rPr>
          <w:rFonts w:ascii="Times New Roman" w:hAnsi="Times New Roman"/>
          <w:sz w:val="24"/>
          <w:szCs w:val="24"/>
          <w:lang w:val="en-NZ"/>
        </w:rPr>
      </w:pPr>
    </w:p>
    <w:p w:rsidR="00561BC0" w:rsidRDefault="00561BC0" w:rsidP="00837C6F">
      <w:pPr>
        <w:jc w:val="both"/>
        <w:rPr>
          <w:rFonts w:ascii="Verdana" w:hAnsi="Verdana" w:cstheme="minorBidi"/>
          <w:color w:val="1F497D" w:themeColor="dark2"/>
          <w:sz w:val="20"/>
        </w:rPr>
      </w:pPr>
      <w:r w:rsidRPr="00561BC0">
        <w:rPr>
          <w:rFonts w:ascii="Times New Roman" w:hAnsi="Times New Roman"/>
          <w:sz w:val="24"/>
          <w:szCs w:val="24"/>
          <w:lang w:val="en-NZ"/>
        </w:rPr>
        <w:fldChar w:fldCharType="begin"/>
      </w:r>
      <w:r w:rsidRPr="00561BC0">
        <w:rPr>
          <w:rFonts w:ascii="Times New Roman" w:hAnsi="Times New Roman"/>
          <w:sz w:val="24"/>
          <w:szCs w:val="24"/>
          <w:lang w:val="en-NZ"/>
        </w:rPr>
        <w:instrText xml:space="preserve"> AUTONUM  </w:instrText>
      </w:r>
      <w:r w:rsidRPr="00561BC0">
        <w:rPr>
          <w:rFonts w:ascii="Times New Roman" w:hAnsi="Times New Roman"/>
          <w:sz w:val="24"/>
          <w:szCs w:val="24"/>
        </w:rPr>
        <w:fldChar w:fldCharType="end"/>
      </w:r>
      <w:r w:rsidRPr="00561BC0">
        <w:rPr>
          <w:rFonts w:ascii="Times New Roman" w:hAnsi="Times New Roman"/>
          <w:sz w:val="24"/>
          <w:szCs w:val="24"/>
          <w:lang w:val="en-NZ"/>
        </w:rPr>
        <w:tab/>
      </w:r>
      <w:r>
        <w:rPr>
          <w:rFonts w:ascii="Times New Roman" w:hAnsi="Times New Roman"/>
          <w:sz w:val="24"/>
          <w:szCs w:val="24"/>
        </w:rPr>
        <w:t>It is proposed that regulations will provide the details of exemptions to the policy (such as the “</w:t>
      </w:r>
      <w:r w:rsidR="00891979">
        <w:rPr>
          <w:rFonts w:ascii="Times New Roman" w:hAnsi="Times New Roman"/>
          <w:sz w:val="24"/>
          <w:szCs w:val="24"/>
        </w:rPr>
        <w:t>main home</w:t>
      </w:r>
      <w:r>
        <w:rPr>
          <w:rFonts w:ascii="Times New Roman" w:hAnsi="Times New Roman"/>
          <w:sz w:val="24"/>
          <w:szCs w:val="24"/>
        </w:rPr>
        <w:t>” under option 3, and classes of land such as Maori freehold land where the compliance costs are likely to be high) and to describe detailed information to be collected. The design of the policy under these regulations could help to mitigate some of the compliance costs identified in this analysis</w:t>
      </w:r>
      <w:r w:rsidR="00923966">
        <w:rPr>
          <w:rFonts w:ascii="Times New Roman" w:hAnsi="Times New Roman"/>
          <w:sz w:val="24"/>
          <w:szCs w:val="24"/>
        </w:rPr>
        <w:t>.</w:t>
      </w:r>
    </w:p>
    <w:p w:rsidR="00412CC4" w:rsidRDefault="00412CC4" w:rsidP="00837C6F">
      <w:pPr>
        <w:spacing w:after="0" w:line="240" w:lineRule="auto"/>
        <w:jc w:val="both"/>
        <w:rPr>
          <w:rFonts w:ascii="Times New Roman" w:hAnsi="Times New Roman"/>
          <w:sz w:val="24"/>
          <w:szCs w:val="24"/>
        </w:rPr>
      </w:pPr>
    </w:p>
    <w:p w:rsidR="00FC5A75" w:rsidRPr="00C5790C" w:rsidRDefault="00FC5A75" w:rsidP="00837C6F">
      <w:pPr>
        <w:spacing w:after="0" w:line="240" w:lineRule="auto"/>
        <w:jc w:val="both"/>
        <w:rPr>
          <w:rFonts w:ascii="Times New Roman" w:hAnsi="Times New Roman"/>
          <w:b/>
          <w:caps/>
          <w:sz w:val="24"/>
          <w:szCs w:val="24"/>
        </w:rPr>
      </w:pPr>
      <w:r w:rsidRPr="00C5790C">
        <w:rPr>
          <w:rFonts w:ascii="Times New Roman" w:hAnsi="Times New Roman"/>
          <w:b/>
          <w:caps/>
          <w:sz w:val="24"/>
          <w:szCs w:val="24"/>
        </w:rPr>
        <w:t>Monitoring, Evaluation and Review</w:t>
      </w:r>
    </w:p>
    <w:p w:rsidR="00FC5A75" w:rsidRPr="00412CC4" w:rsidRDefault="00FC5A75" w:rsidP="00837C6F">
      <w:pPr>
        <w:spacing w:after="0" w:line="240" w:lineRule="auto"/>
        <w:jc w:val="both"/>
        <w:rPr>
          <w:rFonts w:ascii="Times New Roman" w:hAnsi="Times New Roman"/>
          <w:sz w:val="24"/>
          <w:szCs w:val="24"/>
        </w:rPr>
      </w:pPr>
    </w:p>
    <w:p w:rsidR="00594805" w:rsidRPr="00594805" w:rsidRDefault="00412CC4" w:rsidP="005B5466">
      <w:pPr>
        <w:spacing w:after="0" w:line="240" w:lineRule="auto"/>
        <w:jc w:val="both"/>
        <w:rPr>
          <w:rFonts w:ascii="Times New Roman" w:hAnsi="Times New Roman"/>
          <w:sz w:val="24"/>
          <w:szCs w:val="24"/>
          <w:lang w:val="en-NZ" w:eastAsia="en-AU"/>
        </w:rPr>
      </w:pPr>
      <w:r w:rsidRPr="00412CC4">
        <w:rPr>
          <w:rFonts w:ascii="Times New Roman" w:hAnsi="Times New Roman"/>
          <w:sz w:val="24"/>
          <w:szCs w:val="24"/>
          <w:lang w:val="en-NZ"/>
        </w:rPr>
        <w:fldChar w:fldCharType="begin"/>
      </w:r>
      <w:r w:rsidRPr="00412CC4">
        <w:rPr>
          <w:rFonts w:ascii="Times New Roman" w:hAnsi="Times New Roman"/>
          <w:sz w:val="24"/>
          <w:szCs w:val="24"/>
          <w:lang w:val="en-NZ"/>
        </w:rPr>
        <w:instrText xml:space="preserve"> AUTONUM  </w:instrText>
      </w:r>
      <w:r w:rsidRPr="00412CC4">
        <w:rPr>
          <w:rFonts w:ascii="Times New Roman" w:hAnsi="Times New Roman"/>
          <w:sz w:val="24"/>
          <w:szCs w:val="24"/>
        </w:rPr>
        <w:fldChar w:fldCharType="end"/>
      </w:r>
      <w:r w:rsidRPr="00412CC4">
        <w:rPr>
          <w:rFonts w:ascii="Times New Roman" w:hAnsi="Times New Roman"/>
          <w:sz w:val="24"/>
          <w:szCs w:val="24"/>
          <w:lang w:val="en-NZ"/>
        </w:rPr>
        <w:tab/>
      </w:r>
      <w:r w:rsidR="00FC5A75">
        <w:rPr>
          <w:rFonts w:ascii="Times New Roman" w:hAnsi="Times New Roman"/>
          <w:sz w:val="24"/>
          <w:szCs w:val="24"/>
        </w:rPr>
        <w:t>There are no specific plans to monitor, evaluate</w:t>
      </w:r>
      <w:r w:rsidR="00923966">
        <w:rPr>
          <w:rFonts w:ascii="Times New Roman" w:hAnsi="Times New Roman"/>
          <w:sz w:val="24"/>
          <w:szCs w:val="24"/>
        </w:rPr>
        <w:t>,</w:t>
      </w:r>
      <w:r w:rsidR="00FC5A75">
        <w:rPr>
          <w:rFonts w:ascii="Times New Roman" w:hAnsi="Times New Roman"/>
          <w:sz w:val="24"/>
          <w:szCs w:val="24"/>
        </w:rPr>
        <w:t xml:space="preserve"> and review the changes to give effect to </w:t>
      </w:r>
      <w:r w:rsidR="002B7B9A">
        <w:rPr>
          <w:rFonts w:ascii="Times New Roman" w:hAnsi="Times New Roman"/>
          <w:sz w:val="24"/>
          <w:szCs w:val="24"/>
        </w:rPr>
        <w:t>any legislative amendment required to implement option</w:t>
      </w:r>
      <w:r w:rsidR="00837C6F">
        <w:rPr>
          <w:rFonts w:ascii="Times New Roman" w:hAnsi="Times New Roman"/>
          <w:sz w:val="24"/>
          <w:szCs w:val="24"/>
        </w:rPr>
        <w:t>s</w:t>
      </w:r>
      <w:r w:rsidR="002B7B9A">
        <w:rPr>
          <w:rFonts w:ascii="Times New Roman" w:hAnsi="Times New Roman"/>
          <w:sz w:val="24"/>
          <w:szCs w:val="24"/>
        </w:rPr>
        <w:t xml:space="preserve"> 2</w:t>
      </w:r>
      <w:r w:rsidR="00837C6F">
        <w:rPr>
          <w:rFonts w:ascii="Times New Roman" w:hAnsi="Times New Roman"/>
          <w:sz w:val="24"/>
          <w:szCs w:val="24"/>
        </w:rPr>
        <w:t xml:space="preserve"> or 3</w:t>
      </w:r>
      <w:r w:rsidR="00FC5A75">
        <w:rPr>
          <w:rFonts w:ascii="Times New Roman" w:hAnsi="Times New Roman"/>
          <w:sz w:val="24"/>
          <w:szCs w:val="24"/>
        </w:rPr>
        <w:t>.</w:t>
      </w:r>
      <w:r w:rsidR="0046776F">
        <w:rPr>
          <w:rFonts w:ascii="Times New Roman" w:hAnsi="Times New Roman"/>
          <w:sz w:val="24"/>
          <w:szCs w:val="24"/>
        </w:rPr>
        <w:t xml:space="preserve"> If any detailed concerns are raised in relation to these changes, Inland Revenue will determine whether there are substantive grounds for review under the Generic Tax Policy Process (GTPP).</w:t>
      </w:r>
      <w:bookmarkStart w:id="5" w:name="_Preferred_option_[optional]"/>
      <w:bookmarkStart w:id="6" w:name="_GoBack"/>
      <w:bookmarkEnd w:id="5"/>
      <w:bookmarkEnd w:id="6"/>
    </w:p>
    <w:sectPr w:rsidR="00594805" w:rsidRPr="00594805" w:rsidSect="006221D1">
      <w:pgSz w:w="11907" w:h="16840" w:code="9"/>
      <w:pgMar w:top="1134" w:right="1418" w:bottom="1134" w:left="1418"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DB" w:rsidRDefault="00D34ADB" w:rsidP="00F72085">
      <w:r>
        <w:separator/>
      </w:r>
    </w:p>
  </w:endnote>
  <w:endnote w:type="continuationSeparator" w:id="0">
    <w:p w:rsidR="00D34ADB" w:rsidRDefault="00D34ADB"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90891729"/>
      <w:docPartObj>
        <w:docPartGallery w:val="Page Numbers (Bottom of Page)"/>
        <w:docPartUnique/>
      </w:docPartObj>
    </w:sdtPr>
    <w:sdtEndPr>
      <w:rPr>
        <w:noProof/>
      </w:rPr>
    </w:sdtEndPr>
    <w:sdtContent>
      <w:p w:rsidR="00D34ADB" w:rsidRDefault="00D34ADB">
        <w:pPr>
          <w:pStyle w:val="Footer"/>
          <w:jc w:val="right"/>
        </w:pPr>
        <w:r>
          <w:rPr>
            <w:noProof w:val="0"/>
          </w:rPr>
          <w:fldChar w:fldCharType="begin"/>
        </w:r>
        <w:r>
          <w:instrText xml:space="preserve"> PAGE   \* MERGEFORMAT </w:instrText>
        </w:r>
        <w:r>
          <w:rPr>
            <w:noProof w:val="0"/>
          </w:rPr>
          <w:fldChar w:fldCharType="separate"/>
        </w:r>
        <w:r w:rsidR="005B5466">
          <w:t>8</w:t>
        </w:r>
        <w:r>
          <w:fldChar w:fldCharType="end"/>
        </w:r>
      </w:p>
    </w:sdtContent>
  </w:sdt>
  <w:p w:rsidR="00D34ADB" w:rsidRDefault="00D34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91620876"/>
      <w:docPartObj>
        <w:docPartGallery w:val="Page Numbers (Bottom of Page)"/>
        <w:docPartUnique/>
      </w:docPartObj>
    </w:sdtPr>
    <w:sdtEndPr>
      <w:rPr>
        <w:noProof/>
      </w:rPr>
    </w:sdtEndPr>
    <w:sdtContent>
      <w:p w:rsidR="00D34ADB" w:rsidRDefault="00D34ADB">
        <w:pPr>
          <w:pStyle w:val="Footer"/>
          <w:jc w:val="right"/>
        </w:pPr>
        <w:r>
          <w:rPr>
            <w:noProof w:val="0"/>
          </w:rPr>
          <w:fldChar w:fldCharType="begin"/>
        </w:r>
        <w:r>
          <w:instrText xml:space="preserve"> PAGE   \* MERGEFORMAT </w:instrText>
        </w:r>
        <w:r>
          <w:rPr>
            <w:noProof w:val="0"/>
          </w:rPr>
          <w:fldChar w:fldCharType="separate"/>
        </w:r>
        <w:r w:rsidR="00FD417B">
          <w:t>1</w:t>
        </w:r>
        <w:r>
          <w:fldChar w:fldCharType="end"/>
        </w:r>
      </w:p>
    </w:sdtContent>
  </w:sdt>
  <w:p w:rsidR="00D34ADB" w:rsidRPr="00E1736A" w:rsidRDefault="00D34ADB" w:rsidP="00E1736A">
    <w:pPr>
      <w:pStyle w:val="Footer"/>
      <w:jc w:val="left"/>
      <w:rPr>
        <w:lang w:val="mi-N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DB" w:rsidRDefault="00D34ADB" w:rsidP="005948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34ADB" w:rsidRPr="00281580" w:rsidRDefault="00D34ADB" w:rsidP="00594805">
    <w:pPr>
      <w:pStyle w:val="EvenFooter"/>
      <w:rPr>
        <w:caps/>
      </w:rPr>
    </w:pPr>
    <w:r w:rsidRPr="00281580">
      <w:t xml:space="preserve">   |   </w:t>
    </w:r>
    <w:r>
      <w:t>Regulatory Impact Statement - Template</w:t>
    </w:r>
  </w:p>
  <w:p w:rsidR="00D34ADB" w:rsidRDefault="00D34A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DB" w:rsidRPr="00E1736A" w:rsidRDefault="00D34ADB" w:rsidP="00E17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DB" w:rsidRDefault="00D34ADB" w:rsidP="00F72085">
      <w:r>
        <w:separator/>
      </w:r>
    </w:p>
  </w:footnote>
  <w:footnote w:type="continuationSeparator" w:id="0">
    <w:p w:rsidR="00D34ADB" w:rsidRDefault="00D34ADB" w:rsidP="00F7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DB" w:rsidRPr="001B5992" w:rsidRDefault="00D34ADB" w:rsidP="00AD50FA">
    <w:pPr>
      <w:pStyle w:val="Header"/>
      <w:jc w:val="center"/>
      <w:rPr>
        <w:rFonts w:ascii="Times New Roman" w:hAnsi="Times New Roman"/>
        <w:sz w:val="24"/>
        <w:szCs w:val="24"/>
        <w:lang w:val="mi-N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DB" w:rsidRPr="00E1736A" w:rsidRDefault="00D34ADB" w:rsidP="00E17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BC2"/>
    <w:multiLevelType w:val="hybridMultilevel"/>
    <w:tmpl w:val="28CEF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487F05"/>
    <w:multiLevelType w:val="hybridMultilevel"/>
    <w:tmpl w:val="61382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A656555"/>
    <w:multiLevelType w:val="hybridMultilevel"/>
    <w:tmpl w:val="7D7A40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ACA19FA"/>
    <w:multiLevelType w:val="hybridMultilevel"/>
    <w:tmpl w:val="7E843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1801FBF"/>
    <w:multiLevelType w:val="hybridMultilevel"/>
    <w:tmpl w:val="23807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446FB2"/>
    <w:multiLevelType w:val="hybridMultilevel"/>
    <w:tmpl w:val="83F27B64"/>
    <w:lvl w:ilvl="0" w:tplc="14090001">
      <w:start w:val="1"/>
      <w:numFmt w:val="bullet"/>
      <w:lvlText w:val=""/>
      <w:lvlJc w:val="left"/>
      <w:pPr>
        <w:ind w:left="927" w:hanging="360"/>
      </w:pPr>
      <w:rPr>
        <w:rFonts w:ascii="Symbol" w:hAnsi="Symbol"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nsid w:val="1670033C"/>
    <w:multiLevelType w:val="hybridMultilevel"/>
    <w:tmpl w:val="AE7C488C"/>
    <w:lvl w:ilvl="0" w:tplc="49302404">
      <w:start w:val="1"/>
      <w:numFmt w:val="decimal"/>
      <w:lvlText w:val="%1."/>
      <w:lvlJc w:val="left"/>
      <w:pPr>
        <w:tabs>
          <w:tab w:val="num" w:pos="720"/>
        </w:tabs>
        <w:ind w:left="720" w:hanging="360"/>
      </w:pPr>
      <w:rPr>
        <w:b w:val="0"/>
      </w:rPr>
    </w:lvl>
    <w:lvl w:ilvl="1" w:tplc="0C09000F">
      <w:start w:val="1"/>
      <w:numFmt w:val="decimal"/>
      <w:lvlText w:val="%2."/>
      <w:lvlJc w:val="left"/>
      <w:pPr>
        <w:tabs>
          <w:tab w:val="num" w:pos="1440"/>
        </w:tabs>
        <w:ind w:left="1440" w:hanging="360"/>
      </w:pPr>
      <w:rPr>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6AF61DA"/>
    <w:multiLevelType w:val="hybridMultilevel"/>
    <w:tmpl w:val="A3D81B74"/>
    <w:lvl w:ilvl="0" w:tplc="5824EE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8860313"/>
    <w:multiLevelType w:val="hybridMultilevel"/>
    <w:tmpl w:val="2EE0D0A0"/>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9">
    <w:nsid w:val="1A417075"/>
    <w:multiLevelType w:val="hybridMultilevel"/>
    <w:tmpl w:val="24320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D7F51E7"/>
    <w:multiLevelType w:val="hybridMultilevel"/>
    <w:tmpl w:val="AFDE7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3E715C8"/>
    <w:multiLevelType w:val="hybridMultilevel"/>
    <w:tmpl w:val="94AACA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52E1F4B"/>
    <w:multiLevelType w:val="hybridMultilevel"/>
    <w:tmpl w:val="D94A6E04"/>
    <w:lvl w:ilvl="0" w:tplc="BC2C67EA">
      <w:start w:val="3"/>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5F97193"/>
    <w:multiLevelType w:val="hybridMultilevel"/>
    <w:tmpl w:val="AC26A894"/>
    <w:lvl w:ilvl="0" w:tplc="A3428BC6">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6914105"/>
    <w:multiLevelType w:val="hybridMultilevel"/>
    <w:tmpl w:val="77AEE96A"/>
    <w:lvl w:ilvl="0" w:tplc="700E540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nsid w:val="26926BC1"/>
    <w:multiLevelType w:val="hybridMultilevel"/>
    <w:tmpl w:val="32962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A2C19AA"/>
    <w:multiLevelType w:val="hybridMultilevel"/>
    <w:tmpl w:val="7C10D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8">
    <w:nsid w:val="32F17B8A"/>
    <w:multiLevelType w:val="hybridMultilevel"/>
    <w:tmpl w:val="410CF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35F0215"/>
    <w:multiLevelType w:val="hybridMultilevel"/>
    <w:tmpl w:val="51F81936"/>
    <w:lvl w:ilvl="0" w:tplc="A89AB082">
      <w:start w:val="1"/>
      <w:numFmt w:val="decimal"/>
      <w:pStyle w:val="Number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8DE5A8D"/>
    <w:multiLevelType w:val="hybridMultilevel"/>
    <w:tmpl w:val="5AE68BEC"/>
    <w:lvl w:ilvl="0" w:tplc="E2C8BEB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9FC2FB6"/>
    <w:multiLevelType w:val="hybridMultilevel"/>
    <w:tmpl w:val="0A4AF7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02E630A"/>
    <w:multiLevelType w:val="hybridMultilevel"/>
    <w:tmpl w:val="A74A6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05B131B"/>
    <w:multiLevelType w:val="hybridMultilevel"/>
    <w:tmpl w:val="58345AFC"/>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4">
    <w:nsid w:val="494E7FCF"/>
    <w:multiLevelType w:val="hybridMultilevel"/>
    <w:tmpl w:val="F67EE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DD369B7"/>
    <w:multiLevelType w:val="hybridMultilevel"/>
    <w:tmpl w:val="B8508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2566798"/>
    <w:multiLevelType w:val="hybridMultilevel"/>
    <w:tmpl w:val="E8AE00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E3D1D84"/>
    <w:multiLevelType w:val="hybridMultilevel"/>
    <w:tmpl w:val="17684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F40670F"/>
    <w:multiLevelType w:val="hybridMultilevel"/>
    <w:tmpl w:val="D7B84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F72747D"/>
    <w:multiLevelType w:val="hybridMultilevel"/>
    <w:tmpl w:val="4D7873CA"/>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0">
    <w:nsid w:val="615675E3"/>
    <w:multiLevelType w:val="hybridMultilevel"/>
    <w:tmpl w:val="87C637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54A22E5"/>
    <w:multiLevelType w:val="hybridMultilevel"/>
    <w:tmpl w:val="B0CE3C7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nsid w:val="656D5578"/>
    <w:multiLevelType w:val="hybridMultilevel"/>
    <w:tmpl w:val="BA68A46A"/>
    <w:lvl w:ilvl="0" w:tplc="C17C65E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3">
    <w:nsid w:val="68FA7EB6"/>
    <w:multiLevelType w:val="hybridMultilevel"/>
    <w:tmpl w:val="9A74D0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nsid w:val="69DE3A03"/>
    <w:multiLevelType w:val="hybridMultilevel"/>
    <w:tmpl w:val="24B45C22"/>
    <w:lvl w:ilvl="0" w:tplc="14090017">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5">
    <w:nsid w:val="6A4C325A"/>
    <w:multiLevelType w:val="hybridMultilevel"/>
    <w:tmpl w:val="DEFC1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C473C2C"/>
    <w:multiLevelType w:val="hybridMultilevel"/>
    <w:tmpl w:val="2960984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6CC040DD"/>
    <w:multiLevelType w:val="hybridMultilevel"/>
    <w:tmpl w:val="3A66D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3A00AA0"/>
    <w:multiLevelType w:val="hybridMultilevel"/>
    <w:tmpl w:val="93C8C2A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9">
    <w:nsid w:val="780D6E08"/>
    <w:multiLevelType w:val="hybridMultilevel"/>
    <w:tmpl w:val="DD80F8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89A0B8F"/>
    <w:multiLevelType w:val="hybridMultilevel"/>
    <w:tmpl w:val="5EE4E09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1">
    <w:nsid w:val="793C56A9"/>
    <w:multiLevelType w:val="hybridMultilevel"/>
    <w:tmpl w:val="900A6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A1D0331"/>
    <w:multiLevelType w:val="hybridMultilevel"/>
    <w:tmpl w:val="2F50684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3">
    <w:nsid w:val="7B567794"/>
    <w:multiLevelType w:val="hybridMultilevel"/>
    <w:tmpl w:val="8A742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6"/>
  </w:num>
  <w:num w:numId="4">
    <w:abstractNumId w:val="2"/>
  </w:num>
  <w:num w:numId="5">
    <w:abstractNumId w:val="35"/>
  </w:num>
  <w:num w:numId="6">
    <w:abstractNumId w:val="24"/>
  </w:num>
  <w:num w:numId="7">
    <w:abstractNumId w:val="29"/>
  </w:num>
  <w:num w:numId="8">
    <w:abstractNumId w:val="31"/>
  </w:num>
  <w:num w:numId="9">
    <w:abstractNumId w:val="23"/>
  </w:num>
  <w:num w:numId="10">
    <w:abstractNumId w:val="38"/>
  </w:num>
  <w:num w:numId="11">
    <w:abstractNumId w:val="7"/>
  </w:num>
  <w:num w:numId="12">
    <w:abstractNumId w:val="26"/>
  </w:num>
  <w:num w:numId="13">
    <w:abstractNumId w:val="3"/>
  </w:num>
  <w:num w:numId="14">
    <w:abstractNumId w:val="27"/>
  </w:num>
  <w:num w:numId="15">
    <w:abstractNumId w:val="10"/>
  </w:num>
  <w:num w:numId="16">
    <w:abstractNumId w:val="25"/>
  </w:num>
  <w:num w:numId="17">
    <w:abstractNumId w:val="4"/>
  </w:num>
  <w:num w:numId="18">
    <w:abstractNumId w:val="39"/>
  </w:num>
  <w:num w:numId="19">
    <w:abstractNumId w:val="22"/>
  </w:num>
  <w:num w:numId="20">
    <w:abstractNumId w:val="16"/>
  </w:num>
  <w:num w:numId="21">
    <w:abstractNumId w:val="37"/>
  </w:num>
  <w:num w:numId="22">
    <w:abstractNumId w:val="15"/>
  </w:num>
  <w:num w:numId="23">
    <w:abstractNumId w:val="0"/>
  </w:num>
  <w:num w:numId="24">
    <w:abstractNumId w:val="18"/>
  </w:num>
  <w:num w:numId="25">
    <w:abstractNumId w:val="9"/>
  </w:num>
  <w:num w:numId="26">
    <w:abstractNumId w:val="1"/>
  </w:num>
  <w:num w:numId="27">
    <w:abstractNumId w:val="32"/>
  </w:num>
  <w:num w:numId="28">
    <w:abstractNumId w:val="30"/>
  </w:num>
  <w:num w:numId="29">
    <w:abstractNumId w:val="36"/>
  </w:num>
  <w:num w:numId="30">
    <w:abstractNumId w:val="41"/>
  </w:num>
  <w:num w:numId="31">
    <w:abstractNumId w:val="11"/>
  </w:num>
  <w:num w:numId="32">
    <w:abstractNumId w:val="40"/>
  </w:num>
  <w:num w:numId="33">
    <w:abstractNumId w:val="19"/>
  </w:num>
  <w:num w:numId="34">
    <w:abstractNumId w:val="8"/>
  </w:num>
  <w:num w:numId="35">
    <w:abstractNumId w:val="19"/>
  </w:num>
  <w:num w:numId="36">
    <w:abstractNumId w:val="19"/>
  </w:num>
  <w:num w:numId="37">
    <w:abstractNumId w:val="21"/>
  </w:num>
  <w:num w:numId="38">
    <w:abstractNumId w:val="43"/>
  </w:num>
  <w:num w:numId="39">
    <w:abstractNumId w:val="28"/>
  </w:num>
  <w:num w:numId="40">
    <w:abstractNumId w:val="12"/>
  </w:num>
  <w:num w:numId="41">
    <w:abstractNumId w:val="33"/>
  </w:num>
  <w:num w:numId="42">
    <w:abstractNumId w:val="13"/>
  </w:num>
  <w:num w:numId="43">
    <w:abstractNumId w:val="34"/>
  </w:num>
  <w:num w:numId="44">
    <w:abstractNumId w:val="14"/>
  </w:num>
  <w:num w:numId="45">
    <w:abstractNumId w:val="42"/>
  </w:num>
  <w:num w:numId="4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fillcolor="white" stroke="f">
      <v:fill color="white" opacity="0"/>
      <v:stroke on="f"/>
      <o:colormru v:ext="edit" colors="#ddd,#cfcfcf,#cacaca,#66f,blue,#ccd3e1,#002469,#33508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72"/>
    <w:rsid w:val="00001539"/>
    <w:rsid w:val="00002433"/>
    <w:rsid w:val="000037F4"/>
    <w:rsid w:val="00004A8A"/>
    <w:rsid w:val="00005DC9"/>
    <w:rsid w:val="00006652"/>
    <w:rsid w:val="00006A4C"/>
    <w:rsid w:val="00010986"/>
    <w:rsid w:val="00010F7D"/>
    <w:rsid w:val="00012338"/>
    <w:rsid w:val="00013A18"/>
    <w:rsid w:val="00014196"/>
    <w:rsid w:val="00014499"/>
    <w:rsid w:val="000147DC"/>
    <w:rsid w:val="00015072"/>
    <w:rsid w:val="00016722"/>
    <w:rsid w:val="0002068B"/>
    <w:rsid w:val="000232EB"/>
    <w:rsid w:val="00023BAB"/>
    <w:rsid w:val="00023EA6"/>
    <w:rsid w:val="00024B22"/>
    <w:rsid w:val="0002568E"/>
    <w:rsid w:val="00025954"/>
    <w:rsid w:val="00030890"/>
    <w:rsid w:val="00030DEA"/>
    <w:rsid w:val="00032ABA"/>
    <w:rsid w:val="000332EA"/>
    <w:rsid w:val="00033950"/>
    <w:rsid w:val="000343E7"/>
    <w:rsid w:val="00035185"/>
    <w:rsid w:val="00036A3D"/>
    <w:rsid w:val="00036EE4"/>
    <w:rsid w:val="00041469"/>
    <w:rsid w:val="00041CD1"/>
    <w:rsid w:val="0004221C"/>
    <w:rsid w:val="00042EAB"/>
    <w:rsid w:val="000431FE"/>
    <w:rsid w:val="000435AD"/>
    <w:rsid w:val="00045AFC"/>
    <w:rsid w:val="00046F46"/>
    <w:rsid w:val="00047559"/>
    <w:rsid w:val="000523FC"/>
    <w:rsid w:val="000526E4"/>
    <w:rsid w:val="0005434D"/>
    <w:rsid w:val="000545DC"/>
    <w:rsid w:val="0005503E"/>
    <w:rsid w:val="00055373"/>
    <w:rsid w:val="0005571A"/>
    <w:rsid w:val="00055D70"/>
    <w:rsid w:val="00056263"/>
    <w:rsid w:val="00056E3D"/>
    <w:rsid w:val="00056F77"/>
    <w:rsid w:val="000571BC"/>
    <w:rsid w:val="0005761E"/>
    <w:rsid w:val="00057AC4"/>
    <w:rsid w:val="000606D4"/>
    <w:rsid w:val="00060712"/>
    <w:rsid w:val="00060AAB"/>
    <w:rsid w:val="00060CD3"/>
    <w:rsid w:val="000655B2"/>
    <w:rsid w:val="00070193"/>
    <w:rsid w:val="000708D5"/>
    <w:rsid w:val="00073A19"/>
    <w:rsid w:val="00073F31"/>
    <w:rsid w:val="000745D3"/>
    <w:rsid w:val="00074B13"/>
    <w:rsid w:val="00074D02"/>
    <w:rsid w:val="0007562B"/>
    <w:rsid w:val="00076334"/>
    <w:rsid w:val="00080CE0"/>
    <w:rsid w:val="00080DE3"/>
    <w:rsid w:val="00082653"/>
    <w:rsid w:val="00082ABC"/>
    <w:rsid w:val="00083ADB"/>
    <w:rsid w:val="00085660"/>
    <w:rsid w:val="00086007"/>
    <w:rsid w:val="000863E2"/>
    <w:rsid w:val="00086898"/>
    <w:rsid w:val="0008712F"/>
    <w:rsid w:val="00087C41"/>
    <w:rsid w:val="0009222A"/>
    <w:rsid w:val="00093BC3"/>
    <w:rsid w:val="00095446"/>
    <w:rsid w:val="00095C5C"/>
    <w:rsid w:val="00096BFA"/>
    <w:rsid w:val="000A073E"/>
    <w:rsid w:val="000A1DF5"/>
    <w:rsid w:val="000A20D1"/>
    <w:rsid w:val="000A2143"/>
    <w:rsid w:val="000A39F4"/>
    <w:rsid w:val="000A43F8"/>
    <w:rsid w:val="000A4419"/>
    <w:rsid w:val="000A5723"/>
    <w:rsid w:val="000B005C"/>
    <w:rsid w:val="000B01CC"/>
    <w:rsid w:val="000B0480"/>
    <w:rsid w:val="000B0615"/>
    <w:rsid w:val="000B0C12"/>
    <w:rsid w:val="000B0D42"/>
    <w:rsid w:val="000B16BF"/>
    <w:rsid w:val="000B2052"/>
    <w:rsid w:val="000B5B1E"/>
    <w:rsid w:val="000C0912"/>
    <w:rsid w:val="000C2669"/>
    <w:rsid w:val="000C26E9"/>
    <w:rsid w:val="000C3EB5"/>
    <w:rsid w:val="000C43B6"/>
    <w:rsid w:val="000C4E16"/>
    <w:rsid w:val="000C684B"/>
    <w:rsid w:val="000C6EED"/>
    <w:rsid w:val="000C79FD"/>
    <w:rsid w:val="000D012A"/>
    <w:rsid w:val="000D0FA0"/>
    <w:rsid w:val="000D2A6B"/>
    <w:rsid w:val="000D31FE"/>
    <w:rsid w:val="000D3A60"/>
    <w:rsid w:val="000D5E01"/>
    <w:rsid w:val="000D6393"/>
    <w:rsid w:val="000D670A"/>
    <w:rsid w:val="000D77C0"/>
    <w:rsid w:val="000D7C12"/>
    <w:rsid w:val="000E0036"/>
    <w:rsid w:val="000E245F"/>
    <w:rsid w:val="000E310A"/>
    <w:rsid w:val="000E3979"/>
    <w:rsid w:val="000E3CE1"/>
    <w:rsid w:val="000E73FF"/>
    <w:rsid w:val="000E7C1C"/>
    <w:rsid w:val="000F03B0"/>
    <w:rsid w:val="000F162C"/>
    <w:rsid w:val="000F1DD0"/>
    <w:rsid w:val="000F3333"/>
    <w:rsid w:val="000F6F99"/>
    <w:rsid w:val="000F7020"/>
    <w:rsid w:val="000F7507"/>
    <w:rsid w:val="0010009C"/>
    <w:rsid w:val="00101A24"/>
    <w:rsid w:val="001025A7"/>
    <w:rsid w:val="00103D23"/>
    <w:rsid w:val="00105C44"/>
    <w:rsid w:val="00113146"/>
    <w:rsid w:val="00114C07"/>
    <w:rsid w:val="00114F56"/>
    <w:rsid w:val="001158BA"/>
    <w:rsid w:val="00116006"/>
    <w:rsid w:val="00116545"/>
    <w:rsid w:val="00116B51"/>
    <w:rsid w:val="00122D04"/>
    <w:rsid w:val="0012410B"/>
    <w:rsid w:val="00125812"/>
    <w:rsid w:val="00125ADD"/>
    <w:rsid w:val="00126CD1"/>
    <w:rsid w:val="00127757"/>
    <w:rsid w:val="00127BAF"/>
    <w:rsid w:val="00130E8F"/>
    <w:rsid w:val="001336E3"/>
    <w:rsid w:val="001339BB"/>
    <w:rsid w:val="00136EED"/>
    <w:rsid w:val="00140A1C"/>
    <w:rsid w:val="00141B20"/>
    <w:rsid w:val="00141D39"/>
    <w:rsid w:val="00142051"/>
    <w:rsid w:val="00143437"/>
    <w:rsid w:val="00144369"/>
    <w:rsid w:val="00144ADC"/>
    <w:rsid w:val="00144BBB"/>
    <w:rsid w:val="00146FC1"/>
    <w:rsid w:val="00150932"/>
    <w:rsid w:val="00152D49"/>
    <w:rsid w:val="00157E18"/>
    <w:rsid w:val="00161022"/>
    <w:rsid w:val="00161358"/>
    <w:rsid w:val="001620EB"/>
    <w:rsid w:val="00162AB0"/>
    <w:rsid w:val="0016538E"/>
    <w:rsid w:val="00165AC6"/>
    <w:rsid w:val="00166A36"/>
    <w:rsid w:val="00166A7A"/>
    <w:rsid w:val="00166AD0"/>
    <w:rsid w:val="00166C49"/>
    <w:rsid w:val="001674EB"/>
    <w:rsid w:val="00167EE1"/>
    <w:rsid w:val="001705C4"/>
    <w:rsid w:val="00171281"/>
    <w:rsid w:val="001712D6"/>
    <w:rsid w:val="001726B0"/>
    <w:rsid w:val="00175644"/>
    <w:rsid w:val="001767C7"/>
    <w:rsid w:val="00177C54"/>
    <w:rsid w:val="001800AF"/>
    <w:rsid w:val="00180A3B"/>
    <w:rsid w:val="00180BD5"/>
    <w:rsid w:val="00180D17"/>
    <w:rsid w:val="001814B1"/>
    <w:rsid w:val="00182C43"/>
    <w:rsid w:val="00183D99"/>
    <w:rsid w:val="00183EB1"/>
    <w:rsid w:val="00184219"/>
    <w:rsid w:val="00185884"/>
    <w:rsid w:val="001901C1"/>
    <w:rsid w:val="00190331"/>
    <w:rsid w:val="001908C3"/>
    <w:rsid w:val="0019141D"/>
    <w:rsid w:val="00191B67"/>
    <w:rsid w:val="00191EEC"/>
    <w:rsid w:val="00194873"/>
    <w:rsid w:val="00194B8A"/>
    <w:rsid w:val="00194CF9"/>
    <w:rsid w:val="00197273"/>
    <w:rsid w:val="001A0956"/>
    <w:rsid w:val="001A0A7A"/>
    <w:rsid w:val="001A13C8"/>
    <w:rsid w:val="001A1C61"/>
    <w:rsid w:val="001A1DFB"/>
    <w:rsid w:val="001A227F"/>
    <w:rsid w:val="001A5694"/>
    <w:rsid w:val="001A5BEE"/>
    <w:rsid w:val="001A5EB1"/>
    <w:rsid w:val="001B0726"/>
    <w:rsid w:val="001B0A7A"/>
    <w:rsid w:val="001B0DF0"/>
    <w:rsid w:val="001B1A87"/>
    <w:rsid w:val="001B1BDF"/>
    <w:rsid w:val="001B24D5"/>
    <w:rsid w:val="001B2869"/>
    <w:rsid w:val="001B3F6D"/>
    <w:rsid w:val="001B3F81"/>
    <w:rsid w:val="001B4E6C"/>
    <w:rsid w:val="001B54FC"/>
    <w:rsid w:val="001B7122"/>
    <w:rsid w:val="001C0CF6"/>
    <w:rsid w:val="001C0D53"/>
    <w:rsid w:val="001C2214"/>
    <w:rsid w:val="001C2524"/>
    <w:rsid w:val="001C41C2"/>
    <w:rsid w:val="001C6912"/>
    <w:rsid w:val="001C6AFF"/>
    <w:rsid w:val="001C754C"/>
    <w:rsid w:val="001D0A46"/>
    <w:rsid w:val="001D22ED"/>
    <w:rsid w:val="001D3440"/>
    <w:rsid w:val="001D37FB"/>
    <w:rsid w:val="001D4D62"/>
    <w:rsid w:val="001D53A8"/>
    <w:rsid w:val="001D7325"/>
    <w:rsid w:val="001E12C8"/>
    <w:rsid w:val="001E1A8F"/>
    <w:rsid w:val="001E6AFE"/>
    <w:rsid w:val="001F0773"/>
    <w:rsid w:val="001F0DD3"/>
    <w:rsid w:val="001F1711"/>
    <w:rsid w:val="001F1A2D"/>
    <w:rsid w:val="001F21CB"/>
    <w:rsid w:val="001F6750"/>
    <w:rsid w:val="00200311"/>
    <w:rsid w:val="002008D1"/>
    <w:rsid w:val="00201957"/>
    <w:rsid w:val="00202E20"/>
    <w:rsid w:val="002036AA"/>
    <w:rsid w:val="00203789"/>
    <w:rsid w:val="00204A66"/>
    <w:rsid w:val="00205334"/>
    <w:rsid w:val="002057D7"/>
    <w:rsid w:val="00211A80"/>
    <w:rsid w:val="00213B41"/>
    <w:rsid w:val="00213C91"/>
    <w:rsid w:val="00216DB5"/>
    <w:rsid w:val="00216F08"/>
    <w:rsid w:val="00217A19"/>
    <w:rsid w:val="00222CA5"/>
    <w:rsid w:val="00223298"/>
    <w:rsid w:val="00224A1F"/>
    <w:rsid w:val="00224BD6"/>
    <w:rsid w:val="002253E9"/>
    <w:rsid w:val="002258FC"/>
    <w:rsid w:val="00226226"/>
    <w:rsid w:val="00226AC7"/>
    <w:rsid w:val="002279F8"/>
    <w:rsid w:val="00227D78"/>
    <w:rsid w:val="00227FE4"/>
    <w:rsid w:val="002317B4"/>
    <w:rsid w:val="002331A0"/>
    <w:rsid w:val="00233DC9"/>
    <w:rsid w:val="0023447D"/>
    <w:rsid w:val="0023708B"/>
    <w:rsid w:val="00237318"/>
    <w:rsid w:val="00237FE9"/>
    <w:rsid w:val="0024128C"/>
    <w:rsid w:val="00245DA0"/>
    <w:rsid w:val="00247ADA"/>
    <w:rsid w:val="00250F1A"/>
    <w:rsid w:val="00251406"/>
    <w:rsid w:val="00253406"/>
    <w:rsid w:val="002553D6"/>
    <w:rsid w:val="00257836"/>
    <w:rsid w:val="002607BF"/>
    <w:rsid w:val="0026285D"/>
    <w:rsid w:val="00263A2D"/>
    <w:rsid w:val="00264EEE"/>
    <w:rsid w:val="0026530E"/>
    <w:rsid w:val="00265DED"/>
    <w:rsid w:val="00265E6C"/>
    <w:rsid w:val="00266A30"/>
    <w:rsid w:val="00266EDA"/>
    <w:rsid w:val="0026794D"/>
    <w:rsid w:val="00267FAB"/>
    <w:rsid w:val="00270CAF"/>
    <w:rsid w:val="002712C8"/>
    <w:rsid w:val="002719ED"/>
    <w:rsid w:val="00271EB7"/>
    <w:rsid w:val="0027239E"/>
    <w:rsid w:val="00272E82"/>
    <w:rsid w:val="00273D5C"/>
    <w:rsid w:val="00273ECF"/>
    <w:rsid w:val="00274091"/>
    <w:rsid w:val="00275209"/>
    <w:rsid w:val="0027527B"/>
    <w:rsid w:val="00275B26"/>
    <w:rsid w:val="0027706F"/>
    <w:rsid w:val="00281580"/>
    <w:rsid w:val="00282DD1"/>
    <w:rsid w:val="00283259"/>
    <w:rsid w:val="00283AFA"/>
    <w:rsid w:val="00283D22"/>
    <w:rsid w:val="002840FD"/>
    <w:rsid w:val="00287942"/>
    <w:rsid w:val="00292783"/>
    <w:rsid w:val="0029399F"/>
    <w:rsid w:val="00293E21"/>
    <w:rsid w:val="00295264"/>
    <w:rsid w:val="00295DFA"/>
    <w:rsid w:val="00296404"/>
    <w:rsid w:val="0029649F"/>
    <w:rsid w:val="002966AD"/>
    <w:rsid w:val="002A05D3"/>
    <w:rsid w:val="002A06C6"/>
    <w:rsid w:val="002A107A"/>
    <w:rsid w:val="002A535E"/>
    <w:rsid w:val="002A5881"/>
    <w:rsid w:val="002A5E7A"/>
    <w:rsid w:val="002A6F77"/>
    <w:rsid w:val="002B0025"/>
    <w:rsid w:val="002B0801"/>
    <w:rsid w:val="002B0A3F"/>
    <w:rsid w:val="002B5324"/>
    <w:rsid w:val="002B56E7"/>
    <w:rsid w:val="002B5823"/>
    <w:rsid w:val="002B733A"/>
    <w:rsid w:val="002B7B9A"/>
    <w:rsid w:val="002B7F4A"/>
    <w:rsid w:val="002C0074"/>
    <w:rsid w:val="002C097E"/>
    <w:rsid w:val="002C2315"/>
    <w:rsid w:val="002C301D"/>
    <w:rsid w:val="002C4A38"/>
    <w:rsid w:val="002C4CD1"/>
    <w:rsid w:val="002C65B8"/>
    <w:rsid w:val="002C734D"/>
    <w:rsid w:val="002C744C"/>
    <w:rsid w:val="002D01BF"/>
    <w:rsid w:val="002D0FAA"/>
    <w:rsid w:val="002D3E81"/>
    <w:rsid w:val="002D4AC3"/>
    <w:rsid w:val="002D4B78"/>
    <w:rsid w:val="002D4D01"/>
    <w:rsid w:val="002D52A0"/>
    <w:rsid w:val="002D6691"/>
    <w:rsid w:val="002E0169"/>
    <w:rsid w:val="002E062E"/>
    <w:rsid w:val="002E1226"/>
    <w:rsid w:val="002E1D30"/>
    <w:rsid w:val="002E2678"/>
    <w:rsid w:val="002E28C6"/>
    <w:rsid w:val="002E4DB3"/>
    <w:rsid w:val="002E6D37"/>
    <w:rsid w:val="002E79A6"/>
    <w:rsid w:val="002F10BF"/>
    <w:rsid w:val="002F110D"/>
    <w:rsid w:val="002F1CD9"/>
    <w:rsid w:val="002F32BD"/>
    <w:rsid w:val="002F4407"/>
    <w:rsid w:val="002F5A1A"/>
    <w:rsid w:val="002F6E67"/>
    <w:rsid w:val="002F71F1"/>
    <w:rsid w:val="002F761B"/>
    <w:rsid w:val="002F7C03"/>
    <w:rsid w:val="0030111A"/>
    <w:rsid w:val="003020F3"/>
    <w:rsid w:val="003022D4"/>
    <w:rsid w:val="003023DE"/>
    <w:rsid w:val="003038AC"/>
    <w:rsid w:val="00305726"/>
    <w:rsid w:val="00306E9B"/>
    <w:rsid w:val="003076FA"/>
    <w:rsid w:val="00310D70"/>
    <w:rsid w:val="0031214B"/>
    <w:rsid w:val="00313F3E"/>
    <w:rsid w:val="00314A19"/>
    <w:rsid w:val="00315307"/>
    <w:rsid w:val="00315D17"/>
    <w:rsid w:val="00315ECF"/>
    <w:rsid w:val="00316B54"/>
    <w:rsid w:val="003176BB"/>
    <w:rsid w:val="00317E1A"/>
    <w:rsid w:val="00320789"/>
    <w:rsid w:val="00320A3C"/>
    <w:rsid w:val="003232C2"/>
    <w:rsid w:val="003237B0"/>
    <w:rsid w:val="0032503F"/>
    <w:rsid w:val="003262CE"/>
    <w:rsid w:val="003264ED"/>
    <w:rsid w:val="00326ABE"/>
    <w:rsid w:val="003308B4"/>
    <w:rsid w:val="00333209"/>
    <w:rsid w:val="00334A4E"/>
    <w:rsid w:val="00334AE3"/>
    <w:rsid w:val="003352EF"/>
    <w:rsid w:val="003418C0"/>
    <w:rsid w:val="003424A8"/>
    <w:rsid w:val="003425F7"/>
    <w:rsid w:val="00343012"/>
    <w:rsid w:val="00343233"/>
    <w:rsid w:val="00343B25"/>
    <w:rsid w:val="003441E3"/>
    <w:rsid w:val="003445EA"/>
    <w:rsid w:val="00350175"/>
    <w:rsid w:val="00351EC0"/>
    <w:rsid w:val="00352990"/>
    <w:rsid w:val="00353113"/>
    <w:rsid w:val="00353518"/>
    <w:rsid w:val="0035588B"/>
    <w:rsid w:val="00355DAA"/>
    <w:rsid w:val="003561E4"/>
    <w:rsid w:val="00357190"/>
    <w:rsid w:val="003613F4"/>
    <w:rsid w:val="00361819"/>
    <w:rsid w:val="00361F3D"/>
    <w:rsid w:val="00362E2F"/>
    <w:rsid w:val="00362FE1"/>
    <w:rsid w:val="00363DCE"/>
    <w:rsid w:val="00365680"/>
    <w:rsid w:val="00366A1A"/>
    <w:rsid w:val="00367B6E"/>
    <w:rsid w:val="00370B2E"/>
    <w:rsid w:val="00372D68"/>
    <w:rsid w:val="0037447C"/>
    <w:rsid w:val="0037458C"/>
    <w:rsid w:val="00374E9A"/>
    <w:rsid w:val="00375E7C"/>
    <w:rsid w:val="00375FFD"/>
    <w:rsid w:val="00377894"/>
    <w:rsid w:val="003813FE"/>
    <w:rsid w:val="00381DB8"/>
    <w:rsid w:val="003826A0"/>
    <w:rsid w:val="00383462"/>
    <w:rsid w:val="00384B58"/>
    <w:rsid w:val="00385683"/>
    <w:rsid w:val="00385EC1"/>
    <w:rsid w:val="00386DD1"/>
    <w:rsid w:val="00387CA4"/>
    <w:rsid w:val="00391389"/>
    <w:rsid w:val="00391E64"/>
    <w:rsid w:val="00393D19"/>
    <w:rsid w:val="00395750"/>
    <w:rsid w:val="0039581F"/>
    <w:rsid w:val="00396861"/>
    <w:rsid w:val="0039783E"/>
    <w:rsid w:val="003A0009"/>
    <w:rsid w:val="003A0E47"/>
    <w:rsid w:val="003A4360"/>
    <w:rsid w:val="003A44B2"/>
    <w:rsid w:val="003A68AA"/>
    <w:rsid w:val="003A7561"/>
    <w:rsid w:val="003A76E4"/>
    <w:rsid w:val="003B09F2"/>
    <w:rsid w:val="003B1384"/>
    <w:rsid w:val="003B35B8"/>
    <w:rsid w:val="003B4A9D"/>
    <w:rsid w:val="003B4B13"/>
    <w:rsid w:val="003B4D2C"/>
    <w:rsid w:val="003B53A6"/>
    <w:rsid w:val="003C0785"/>
    <w:rsid w:val="003C1764"/>
    <w:rsid w:val="003C1DF1"/>
    <w:rsid w:val="003C3AD0"/>
    <w:rsid w:val="003C469B"/>
    <w:rsid w:val="003C4AAE"/>
    <w:rsid w:val="003C722C"/>
    <w:rsid w:val="003C7985"/>
    <w:rsid w:val="003C7CAC"/>
    <w:rsid w:val="003C7E67"/>
    <w:rsid w:val="003D20ED"/>
    <w:rsid w:val="003D4ED7"/>
    <w:rsid w:val="003D6531"/>
    <w:rsid w:val="003D6C84"/>
    <w:rsid w:val="003E017A"/>
    <w:rsid w:val="003E1FAF"/>
    <w:rsid w:val="003E20B9"/>
    <w:rsid w:val="003E3836"/>
    <w:rsid w:val="003E39B9"/>
    <w:rsid w:val="003E4AC8"/>
    <w:rsid w:val="003E4BB4"/>
    <w:rsid w:val="003E68B5"/>
    <w:rsid w:val="003F14AC"/>
    <w:rsid w:val="003F1D35"/>
    <w:rsid w:val="003F27A7"/>
    <w:rsid w:val="003F2D09"/>
    <w:rsid w:val="003F34BF"/>
    <w:rsid w:val="003F37EA"/>
    <w:rsid w:val="003F40F7"/>
    <w:rsid w:val="003F47F5"/>
    <w:rsid w:val="003F59CC"/>
    <w:rsid w:val="003F5E57"/>
    <w:rsid w:val="003F5F9D"/>
    <w:rsid w:val="003F7652"/>
    <w:rsid w:val="003F7EDA"/>
    <w:rsid w:val="00400A5E"/>
    <w:rsid w:val="00400F16"/>
    <w:rsid w:val="00401D87"/>
    <w:rsid w:val="00402BF8"/>
    <w:rsid w:val="00403755"/>
    <w:rsid w:val="0040387F"/>
    <w:rsid w:val="00406227"/>
    <w:rsid w:val="00407D3B"/>
    <w:rsid w:val="00412CC4"/>
    <w:rsid w:val="0041363C"/>
    <w:rsid w:val="00414E9A"/>
    <w:rsid w:val="00415CC4"/>
    <w:rsid w:val="00415FD6"/>
    <w:rsid w:val="0041696F"/>
    <w:rsid w:val="00420D4C"/>
    <w:rsid w:val="00421392"/>
    <w:rsid w:val="00423B79"/>
    <w:rsid w:val="004240D2"/>
    <w:rsid w:val="00424ADF"/>
    <w:rsid w:val="00424D0B"/>
    <w:rsid w:val="004303B8"/>
    <w:rsid w:val="00431677"/>
    <w:rsid w:val="00431E7C"/>
    <w:rsid w:val="0043247A"/>
    <w:rsid w:val="00433183"/>
    <w:rsid w:val="00433AED"/>
    <w:rsid w:val="00433EE1"/>
    <w:rsid w:val="004342F0"/>
    <w:rsid w:val="004353DD"/>
    <w:rsid w:val="00435F4A"/>
    <w:rsid w:val="00437446"/>
    <w:rsid w:val="00437C49"/>
    <w:rsid w:val="0044117C"/>
    <w:rsid w:val="004418F2"/>
    <w:rsid w:val="00441D77"/>
    <w:rsid w:val="00441F6D"/>
    <w:rsid w:val="004430D9"/>
    <w:rsid w:val="00443662"/>
    <w:rsid w:val="00443DF2"/>
    <w:rsid w:val="00444116"/>
    <w:rsid w:val="00444E78"/>
    <w:rsid w:val="00445360"/>
    <w:rsid w:val="004455A5"/>
    <w:rsid w:val="00445911"/>
    <w:rsid w:val="00445F4D"/>
    <w:rsid w:val="00446050"/>
    <w:rsid w:val="00446FC1"/>
    <w:rsid w:val="00447C26"/>
    <w:rsid w:val="00447F1A"/>
    <w:rsid w:val="0045085A"/>
    <w:rsid w:val="00450CBA"/>
    <w:rsid w:val="0045110A"/>
    <w:rsid w:val="00452DA2"/>
    <w:rsid w:val="004532A3"/>
    <w:rsid w:val="00455363"/>
    <w:rsid w:val="00456B8F"/>
    <w:rsid w:val="00457045"/>
    <w:rsid w:val="004574C4"/>
    <w:rsid w:val="00457A91"/>
    <w:rsid w:val="004604E9"/>
    <w:rsid w:val="00460A55"/>
    <w:rsid w:val="004610FB"/>
    <w:rsid w:val="0046180A"/>
    <w:rsid w:val="00462BC6"/>
    <w:rsid w:val="00463FEB"/>
    <w:rsid w:val="004660F2"/>
    <w:rsid w:val="0046776F"/>
    <w:rsid w:val="00470C11"/>
    <w:rsid w:val="00471759"/>
    <w:rsid w:val="0047175C"/>
    <w:rsid w:val="00471CC7"/>
    <w:rsid w:val="004721E0"/>
    <w:rsid w:val="00472F9C"/>
    <w:rsid w:val="00473803"/>
    <w:rsid w:val="004755FE"/>
    <w:rsid w:val="004759BF"/>
    <w:rsid w:val="00476857"/>
    <w:rsid w:val="00476B4E"/>
    <w:rsid w:val="0047782F"/>
    <w:rsid w:val="004828C6"/>
    <w:rsid w:val="004828E4"/>
    <w:rsid w:val="00484576"/>
    <w:rsid w:val="00484675"/>
    <w:rsid w:val="00484F33"/>
    <w:rsid w:val="004869CF"/>
    <w:rsid w:val="00487545"/>
    <w:rsid w:val="00490239"/>
    <w:rsid w:val="00490B1D"/>
    <w:rsid w:val="00491DC5"/>
    <w:rsid w:val="004929EC"/>
    <w:rsid w:val="004935F6"/>
    <w:rsid w:val="00493B10"/>
    <w:rsid w:val="00493F24"/>
    <w:rsid w:val="00495017"/>
    <w:rsid w:val="0049615F"/>
    <w:rsid w:val="004971EF"/>
    <w:rsid w:val="004A2043"/>
    <w:rsid w:val="004A2FD9"/>
    <w:rsid w:val="004A51CB"/>
    <w:rsid w:val="004A5D55"/>
    <w:rsid w:val="004A6D51"/>
    <w:rsid w:val="004A7325"/>
    <w:rsid w:val="004B03BE"/>
    <w:rsid w:val="004B0A80"/>
    <w:rsid w:val="004B0D84"/>
    <w:rsid w:val="004B1950"/>
    <w:rsid w:val="004B2839"/>
    <w:rsid w:val="004B300A"/>
    <w:rsid w:val="004B4E7B"/>
    <w:rsid w:val="004B56EC"/>
    <w:rsid w:val="004B7418"/>
    <w:rsid w:val="004B78FA"/>
    <w:rsid w:val="004C0C13"/>
    <w:rsid w:val="004C0FBA"/>
    <w:rsid w:val="004C1080"/>
    <w:rsid w:val="004C2B29"/>
    <w:rsid w:val="004C3F7B"/>
    <w:rsid w:val="004C3FD4"/>
    <w:rsid w:val="004C4916"/>
    <w:rsid w:val="004C4CFE"/>
    <w:rsid w:val="004C6A1A"/>
    <w:rsid w:val="004C78C4"/>
    <w:rsid w:val="004D2B88"/>
    <w:rsid w:val="004D2EB8"/>
    <w:rsid w:val="004D3A3F"/>
    <w:rsid w:val="004D512D"/>
    <w:rsid w:val="004D58A1"/>
    <w:rsid w:val="004D5D38"/>
    <w:rsid w:val="004D5F72"/>
    <w:rsid w:val="004D5F74"/>
    <w:rsid w:val="004D6ED4"/>
    <w:rsid w:val="004D7200"/>
    <w:rsid w:val="004E10E0"/>
    <w:rsid w:val="004E198A"/>
    <w:rsid w:val="004E2A32"/>
    <w:rsid w:val="004E3061"/>
    <w:rsid w:val="004E3F7E"/>
    <w:rsid w:val="004E67E6"/>
    <w:rsid w:val="004F027A"/>
    <w:rsid w:val="004F0E40"/>
    <w:rsid w:val="004F19CD"/>
    <w:rsid w:val="004F1F6E"/>
    <w:rsid w:val="004F245D"/>
    <w:rsid w:val="004F2EDA"/>
    <w:rsid w:val="004F5E93"/>
    <w:rsid w:val="004F603D"/>
    <w:rsid w:val="004F6545"/>
    <w:rsid w:val="004F6D32"/>
    <w:rsid w:val="004F6FC8"/>
    <w:rsid w:val="0050046F"/>
    <w:rsid w:val="0050078C"/>
    <w:rsid w:val="00500EEF"/>
    <w:rsid w:val="005015CE"/>
    <w:rsid w:val="00501BD9"/>
    <w:rsid w:val="00501C8A"/>
    <w:rsid w:val="005041A7"/>
    <w:rsid w:val="00504C50"/>
    <w:rsid w:val="00504E3C"/>
    <w:rsid w:val="00506456"/>
    <w:rsid w:val="00506825"/>
    <w:rsid w:val="00506FA2"/>
    <w:rsid w:val="00507196"/>
    <w:rsid w:val="005103B1"/>
    <w:rsid w:val="00515680"/>
    <w:rsid w:val="005173F5"/>
    <w:rsid w:val="00517534"/>
    <w:rsid w:val="00517D7F"/>
    <w:rsid w:val="00517E7D"/>
    <w:rsid w:val="00520779"/>
    <w:rsid w:val="00521E8C"/>
    <w:rsid w:val="00523AAC"/>
    <w:rsid w:val="00523CF5"/>
    <w:rsid w:val="005246FD"/>
    <w:rsid w:val="005251E6"/>
    <w:rsid w:val="00525A4C"/>
    <w:rsid w:val="00525C51"/>
    <w:rsid w:val="00530417"/>
    <w:rsid w:val="00530B0F"/>
    <w:rsid w:val="00532095"/>
    <w:rsid w:val="005321B7"/>
    <w:rsid w:val="005328C3"/>
    <w:rsid w:val="0053379A"/>
    <w:rsid w:val="005337D5"/>
    <w:rsid w:val="00533F4C"/>
    <w:rsid w:val="0053679A"/>
    <w:rsid w:val="00536C66"/>
    <w:rsid w:val="0054067C"/>
    <w:rsid w:val="00541C62"/>
    <w:rsid w:val="005437B7"/>
    <w:rsid w:val="00543D64"/>
    <w:rsid w:val="00543E03"/>
    <w:rsid w:val="005446F0"/>
    <w:rsid w:val="00545F4F"/>
    <w:rsid w:val="00545F60"/>
    <w:rsid w:val="00547754"/>
    <w:rsid w:val="0054782B"/>
    <w:rsid w:val="0055051C"/>
    <w:rsid w:val="00550BD7"/>
    <w:rsid w:val="005520E3"/>
    <w:rsid w:val="005536BC"/>
    <w:rsid w:val="005544E5"/>
    <w:rsid w:val="00554B2A"/>
    <w:rsid w:val="00554B2F"/>
    <w:rsid w:val="00557118"/>
    <w:rsid w:val="005612C1"/>
    <w:rsid w:val="00561BC0"/>
    <w:rsid w:val="00562BC9"/>
    <w:rsid w:val="0056357E"/>
    <w:rsid w:val="00563B07"/>
    <w:rsid w:val="00564874"/>
    <w:rsid w:val="00565596"/>
    <w:rsid w:val="00566834"/>
    <w:rsid w:val="005668F0"/>
    <w:rsid w:val="005677E2"/>
    <w:rsid w:val="0056783D"/>
    <w:rsid w:val="00567D9E"/>
    <w:rsid w:val="0057019F"/>
    <w:rsid w:val="005704E5"/>
    <w:rsid w:val="00570549"/>
    <w:rsid w:val="0057101F"/>
    <w:rsid w:val="00571A9D"/>
    <w:rsid w:val="00571BA5"/>
    <w:rsid w:val="00573B85"/>
    <w:rsid w:val="00574342"/>
    <w:rsid w:val="005754DE"/>
    <w:rsid w:val="00576798"/>
    <w:rsid w:val="00580450"/>
    <w:rsid w:val="00580CDE"/>
    <w:rsid w:val="00581009"/>
    <w:rsid w:val="005819B2"/>
    <w:rsid w:val="00582409"/>
    <w:rsid w:val="00582DC6"/>
    <w:rsid w:val="00583D8C"/>
    <w:rsid w:val="00583F9C"/>
    <w:rsid w:val="00585F5E"/>
    <w:rsid w:val="00586DC7"/>
    <w:rsid w:val="00590BD9"/>
    <w:rsid w:val="00590D92"/>
    <w:rsid w:val="00591D93"/>
    <w:rsid w:val="00593561"/>
    <w:rsid w:val="00594805"/>
    <w:rsid w:val="00596392"/>
    <w:rsid w:val="00596EAD"/>
    <w:rsid w:val="00597DFE"/>
    <w:rsid w:val="00597FAF"/>
    <w:rsid w:val="005A075A"/>
    <w:rsid w:val="005A13E7"/>
    <w:rsid w:val="005A196E"/>
    <w:rsid w:val="005A3D06"/>
    <w:rsid w:val="005A3DA9"/>
    <w:rsid w:val="005A52C5"/>
    <w:rsid w:val="005A6108"/>
    <w:rsid w:val="005A62E6"/>
    <w:rsid w:val="005A6CC1"/>
    <w:rsid w:val="005A6CCD"/>
    <w:rsid w:val="005A7107"/>
    <w:rsid w:val="005B174D"/>
    <w:rsid w:val="005B1762"/>
    <w:rsid w:val="005B29AF"/>
    <w:rsid w:val="005B39D2"/>
    <w:rsid w:val="005B3B36"/>
    <w:rsid w:val="005B545C"/>
    <w:rsid w:val="005B5466"/>
    <w:rsid w:val="005B55F8"/>
    <w:rsid w:val="005B5924"/>
    <w:rsid w:val="005B6561"/>
    <w:rsid w:val="005C0312"/>
    <w:rsid w:val="005C0453"/>
    <w:rsid w:val="005C128E"/>
    <w:rsid w:val="005C21D1"/>
    <w:rsid w:val="005C24B6"/>
    <w:rsid w:val="005C29FA"/>
    <w:rsid w:val="005C363D"/>
    <w:rsid w:val="005C375F"/>
    <w:rsid w:val="005C3E40"/>
    <w:rsid w:val="005C5F92"/>
    <w:rsid w:val="005C6EDB"/>
    <w:rsid w:val="005D0763"/>
    <w:rsid w:val="005D0FD8"/>
    <w:rsid w:val="005D3DE0"/>
    <w:rsid w:val="005D4A2D"/>
    <w:rsid w:val="005D4C84"/>
    <w:rsid w:val="005D57F3"/>
    <w:rsid w:val="005D67EA"/>
    <w:rsid w:val="005D693A"/>
    <w:rsid w:val="005E0B96"/>
    <w:rsid w:val="005E3667"/>
    <w:rsid w:val="005E4156"/>
    <w:rsid w:val="005E4CB1"/>
    <w:rsid w:val="005E6DB6"/>
    <w:rsid w:val="005E7559"/>
    <w:rsid w:val="005F2C40"/>
    <w:rsid w:val="005F40AD"/>
    <w:rsid w:val="005F4DCE"/>
    <w:rsid w:val="005F5FC9"/>
    <w:rsid w:val="005F7158"/>
    <w:rsid w:val="0060184B"/>
    <w:rsid w:val="00601A52"/>
    <w:rsid w:val="006029C5"/>
    <w:rsid w:val="00602E73"/>
    <w:rsid w:val="00603627"/>
    <w:rsid w:val="006036A6"/>
    <w:rsid w:val="00603E2B"/>
    <w:rsid w:val="00603FA8"/>
    <w:rsid w:val="006050DD"/>
    <w:rsid w:val="006062EF"/>
    <w:rsid w:val="0061025C"/>
    <w:rsid w:val="00610DB8"/>
    <w:rsid w:val="00611CDA"/>
    <w:rsid w:val="006121E5"/>
    <w:rsid w:val="00612D19"/>
    <w:rsid w:val="0061317B"/>
    <w:rsid w:val="00613972"/>
    <w:rsid w:val="006159F2"/>
    <w:rsid w:val="00615E70"/>
    <w:rsid w:val="006170F2"/>
    <w:rsid w:val="00617398"/>
    <w:rsid w:val="0061740D"/>
    <w:rsid w:val="0061761D"/>
    <w:rsid w:val="006207E9"/>
    <w:rsid w:val="00621798"/>
    <w:rsid w:val="00621E70"/>
    <w:rsid w:val="006221D1"/>
    <w:rsid w:val="00623DC6"/>
    <w:rsid w:val="00626B7E"/>
    <w:rsid w:val="00632BA7"/>
    <w:rsid w:val="00632C89"/>
    <w:rsid w:val="00632E8C"/>
    <w:rsid w:val="00632ED8"/>
    <w:rsid w:val="00634F11"/>
    <w:rsid w:val="006359F5"/>
    <w:rsid w:val="00635A18"/>
    <w:rsid w:val="006371BF"/>
    <w:rsid w:val="006377D3"/>
    <w:rsid w:val="00637BB7"/>
    <w:rsid w:val="006401BB"/>
    <w:rsid w:val="00640702"/>
    <w:rsid w:val="006422CC"/>
    <w:rsid w:val="00642ADD"/>
    <w:rsid w:val="00642C70"/>
    <w:rsid w:val="00643396"/>
    <w:rsid w:val="00643788"/>
    <w:rsid w:val="0064402C"/>
    <w:rsid w:val="006445A2"/>
    <w:rsid w:val="00645C45"/>
    <w:rsid w:val="00646179"/>
    <w:rsid w:val="006464FD"/>
    <w:rsid w:val="006474EE"/>
    <w:rsid w:val="0064763A"/>
    <w:rsid w:val="006522A8"/>
    <w:rsid w:val="006544DB"/>
    <w:rsid w:val="0065585B"/>
    <w:rsid w:val="00656647"/>
    <w:rsid w:val="0065713B"/>
    <w:rsid w:val="0065713C"/>
    <w:rsid w:val="0065726D"/>
    <w:rsid w:val="0065773E"/>
    <w:rsid w:val="00657EA1"/>
    <w:rsid w:val="00660B1F"/>
    <w:rsid w:val="00662194"/>
    <w:rsid w:val="006637FA"/>
    <w:rsid w:val="00663B17"/>
    <w:rsid w:val="00666A40"/>
    <w:rsid w:val="00671424"/>
    <w:rsid w:val="006755C1"/>
    <w:rsid w:val="00675A28"/>
    <w:rsid w:val="00676159"/>
    <w:rsid w:val="006772A7"/>
    <w:rsid w:val="006772CA"/>
    <w:rsid w:val="00677EE9"/>
    <w:rsid w:val="006804CF"/>
    <w:rsid w:val="006822DA"/>
    <w:rsid w:val="00682473"/>
    <w:rsid w:val="006829A8"/>
    <w:rsid w:val="00682FBC"/>
    <w:rsid w:val="00683A57"/>
    <w:rsid w:val="0068449E"/>
    <w:rsid w:val="00684A4C"/>
    <w:rsid w:val="006873EA"/>
    <w:rsid w:val="00691717"/>
    <w:rsid w:val="00692162"/>
    <w:rsid w:val="00693024"/>
    <w:rsid w:val="00693416"/>
    <w:rsid w:val="00694ABE"/>
    <w:rsid w:val="00694E49"/>
    <w:rsid w:val="00695009"/>
    <w:rsid w:val="006979E0"/>
    <w:rsid w:val="006A0E74"/>
    <w:rsid w:val="006A0FE1"/>
    <w:rsid w:val="006A218F"/>
    <w:rsid w:val="006A282F"/>
    <w:rsid w:val="006A3AC0"/>
    <w:rsid w:val="006A3F76"/>
    <w:rsid w:val="006A4054"/>
    <w:rsid w:val="006A40A1"/>
    <w:rsid w:val="006A4410"/>
    <w:rsid w:val="006A5C00"/>
    <w:rsid w:val="006A6165"/>
    <w:rsid w:val="006A6392"/>
    <w:rsid w:val="006A7E28"/>
    <w:rsid w:val="006B2116"/>
    <w:rsid w:val="006B2982"/>
    <w:rsid w:val="006B35BE"/>
    <w:rsid w:val="006C0A4C"/>
    <w:rsid w:val="006C1B43"/>
    <w:rsid w:val="006C1D7C"/>
    <w:rsid w:val="006C3765"/>
    <w:rsid w:val="006C39BF"/>
    <w:rsid w:val="006C4775"/>
    <w:rsid w:val="006C6FA2"/>
    <w:rsid w:val="006C7000"/>
    <w:rsid w:val="006C7763"/>
    <w:rsid w:val="006D012B"/>
    <w:rsid w:val="006D12A7"/>
    <w:rsid w:val="006D23DB"/>
    <w:rsid w:val="006D2BD5"/>
    <w:rsid w:val="006D3ECE"/>
    <w:rsid w:val="006D4E45"/>
    <w:rsid w:val="006D5350"/>
    <w:rsid w:val="006D68FF"/>
    <w:rsid w:val="006E0317"/>
    <w:rsid w:val="006E0511"/>
    <w:rsid w:val="006E0C45"/>
    <w:rsid w:val="006E12C1"/>
    <w:rsid w:val="006E5580"/>
    <w:rsid w:val="006E607F"/>
    <w:rsid w:val="006E7DC2"/>
    <w:rsid w:val="006F0D73"/>
    <w:rsid w:val="006F1342"/>
    <w:rsid w:val="006F3D80"/>
    <w:rsid w:val="006F3EF5"/>
    <w:rsid w:val="006F49F0"/>
    <w:rsid w:val="0070184A"/>
    <w:rsid w:val="00702E8D"/>
    <w:rsid w:val="0070360B"/>
    <w:rsid w:val="00704726"/>
    <w:rsid w:val="007053E7"/>
    <w:rsid w:val="0070569D"/>
    <w:rsid w:val="00705884"/>
    <w:rsid w:val="00705BD1"/>
    <w:rsid w:val="007063F2"/>
    <w:rsid w:val="00706E77"/>
    <w:rsid w:val="007075B8"/>
    <w:rsid w:val="00707B2E"/>
    <w:rsid w:val="00710B00"/>
    <w:rsid w:val="00711471"/>
    <w:rsid w:val="00712398"/>
    <w:rsid w:val="00716DEA"/>
    <w:rsid w:val="007170D7"/>
    <w:rsid w:val="0072105B"/>
    <w:rsid w:val="00721DCB"/>
    <w:rsid w:val="0072284E"/>
    <w:rsid w:val="00722C43"/>
    <w:rsid w:val="00723508"/>
    <w:rsid w:val="007305E5"/>
    <w:rsid w:val="0073286C"/>
    <w:rsid w:val="007328CC"/>
    <w:rsid w:val="007330DF"/>
    <w:rsid w:val="00733260"/>
    <w:rsid w:val="00735070"/>
    <w:rsid w:val="00735AD3"/>
    <w:rsid w:val="007364DA"/>
    <w:rsid w:val="007409D2"/>
    <w:rsid w:val="00742222"/>
    <w:rsid w:val="00743EA9"/>
    <w:rsid w:val="0074529C"/>
    <w:rsid w:val="007460FA"/>
    <w:rsid w:val="00747ECC"/>
    <w:rsid w:val="00750BF8"/>
    <w:rsid w:val="00750E2F"/>
    <w:rsid w:val="007515BC"/>
    <w:rsid w:val="00753328"/>
    <w:rsid w:val="00753433"/>
    <w:rsid w:val="007537B5"/>
    <w:rsid w:val="00754E11"/>
    <w:rsid w:val="00754E30"/>
    <w:rsid w:val="00756097"/>
    <w:rsid w:val="0075609C"/>
    <w:rsid w:val="00756206"/>
    <w:rsid w:val="00760C3A"/>
    <w:rsid w:val="00764F3A"/>
    <w:rsid w:val="00765CC1"/>
    <w:rsid w:val="007669BA"/>
    <w:rsid w:val="00770261"/>
    <w:rsid w:val="007712EA"/>
    <w:rsid w:val="00772439"/>
    <w:rsid w:val="00773ACD"/>
    <w:rsid w:val="007768C5"/>
    <w:rsid w:val="00776FA0"/>
    <w:rsid w:val="0077715B"/>
    <w:rsid w:val="007773BD"/>
    <w:rsid w:val="00777B72"/>
    <w:rsid w:val="00777EEE"/>
    <w:rsid w:val="007811C0"/>
    <w:rsid w:val="007819CF"/>
    <w:rsid w:val="0078263F"/>
    <w:rsid w:val="00783657"/>
    <w:rsid w:val="00786840"/>
    <w:rsid w:val="00790852"/>
    <w:rsid w:val="00790EEE"/>
    <w:rsid w:val="00791304"/>
    <w:rsid w:val="00791677"/>
    <w:rsid w:val="00791E8E"/>
    <w:rsid w:val="007931A9"/>
    <w:rsid w:val="007934F0"/>
    <w:rsid w:val="0079456C"/>
    <w:rsid w:val="00794E52"/>
    <w:rsid w:val="00794E6C"/>
    <w:rsid w:val="007952A7"/>
    <w:rsid w:val="00796982"/>
    <w:rsid w:val="00797939"/>
    <w:rsid w:val="007A02C7"/>
    <w:rsid w:val="007A05C6"/>
    <w:rsid w:val="007A0655"/>
    <w:rsid w:val="007A14ED"/>
    <w:rsid w:val="007A2C70"/>
    <w:rsid w:val="007A375D"/>
    <w:rsid w:val="007A3E00"/>
    <w:rsid w:val="007A57A1"/>
    <w:rsid w:val="007A5826"/>
    <w:rsid w:val="007A657A"/>
    <w:rsid w:val="007A749C"/>
    <w:rsid w:val="007B249F"/>
    <w:rsid w:val="007B4330"/>
    <w:rsid w:val="007B435A"/>
    <w:rsid w:val="007B5D7E"/>
    <w:rsid w:val="007B788E"/>
    <w:rsid w:val="007B7DDF"/>
    <w:rsid w:val="007C050D"/>
    <w:rsid w:val="007C17B1"/>
    <w:rsid w:val="007C3B86"/>
    <w:rsid w:val="007C43BB"/>
    <w:rsid w:val="007C4E4A"/>
    <w:rsid w:val="007C6ED9"/>
    <w:rsid w:val="007C737B"/>
    <w:rsid w:val="007D1A4D"/>
    <w:rsid w:val="007D1D13"/>
    <w:rsid w:val="007D20FF"/>
    <w:rsid w:val="007D36F2"/>
    <w:rsid w:val="007D3B6C"/>
    <w:rsid w:val="007D57DC"/>
    <w:rsid w:val="007D6362"/>
    <w:rsid w:val="007D6BEE"/>
    <w:rsid w:val="007D79C5"/>
    <w:rsid w:val="007E00A1"/>
    <w:rsid w:val="007E2BB1"/>
    <w:rsid w:val="007E2F2D"/>
    <w:rsid w:val="007E3150"/>
    <w:rsid w:val="007E3A3A"/>
    <w:rsid w:val="007E3C1B"/>
    <w:rsid w:val="007E6D47"/>
    <w:rsid w:val="007E71C7"/>
    <w:rsid w:val="007F0096"/>
    <w:rsid w:val="007F2BB3"/>
    <w:rsid w:val="007F35FA"/>
    <w:rsid w:val="007F3724"/>
    <w:rsid w:val="007F4330"/>
    <w:rsid w:val="007F45A7"/>
    <w:rsid w:val="007F4C1B"/>
    <w:rsid w:val="007F62A9"/>
    <w:rsid w:val="008022F1"/>
    <w:rsid w:val="00802657"/>
    <w:rsid w:val="0080288A"/>
    <w:rsid w:val="00802E2A"/>
    <w:rsid w:val="00803569"/>
    <w:rsid w:val="008049CE"/>
    <w:rsid w:val="00807058"/>
    <w:rsid w:val="0080739F"/>
    <w:rsid w:val="0080758E"/>
    <w:rsid w:val="0081025E"/>
    <w:rsid w:val="00812261"/>
    <w:rsid w:val="008124E6"/>
    <w:rsid w:val="00812B72"/>
    <w:rsid w:val="00813360"/>
    <w:rsid w:val="00813620"/>
    <w:rsid w:val="00816ED5"/>
    <w:rsid w:val="00816F3A"/>
    <w:rsid w:val="008171ED"/>
    <w:rsid w:val="00820A94"/>
    <w:rsid w:val="00822DB3"/>
    <w:rsid w:val="00823B52"/>
    <w:rsid w:val="00823B90"/>
    <w:rsid w:val="008304E8"/>
    <w:rsid w:val="00830D17"/>
    <w:rsid w:val="00831ACA"/>
    <w:rsid w:val="00831AD5"/>
    <w:rsid w:val="00831BAA"/>
    <w:rsid w:val="00831E32"/>
    <w:rsid w:val="00834C7B"/>
    <w:rsid w:val="00836367"/>
    <w:rsid w:val="00836FA0"/>
    <w:rsid w:val="008375CF"/>
    <w:rsid w:val="00837C6F"/>
    <w:rsid w:val="008425D5"/>
    <w:rsid w:val="00843D20"/>
    <w:rsid w:val="00844454"/>
    <w:rsid w:val="00847192"/>
    <w:rsid w:val="0084731D"/>
    <w:rsid w:val="00850142"/>
    <w:rsid w:val="00850789"/>
    <w:rsid w:val="008511D0"/>
    <w:rsid w:val="00857420"/>
    <w:rsid w:val="0085773A"/>
    <w:rsid w:val="008603F1"/>
    <w:rsid w:val="00860543"/>
    <w:rsid w:val="00860CCE"/>
    <w:rsid w:val="00862540"/>
    <w:rsid w:val="00862551"/>
    <w:rsid w:val="0086294E"/>
    <w:rsid w:val="00863459"/>
    <w:rsid w:val="008637E1"/>
    <w:rsid w:val="00864A97"/>
    <w:rsid w:val="008669BF"/>
    <w:rsid w:val="00867E68"/>
    <w:rsid w:val="00872CDA"/>
    <w:rsid w:val="0087340F"/>
    <w:rsid w:val="00873D37"/>
    <w:rsid w:val="00874188"/>
    <w:rsid w:val="00876879"/>
    <w:rsid w:val="00876A8C"/>
    <w:rsid w:val="00880633"/>
    <w:rsid w:val="008816A8"/>
    <w:rsid w:val="0088256B"/>
    <w:rsid w:val="0088302D"/>
    <w:rsid w:val="008830FE"/>
    <w:rsid w:val="00883A51"/>
    <w:rsid w:val="00883B69"/>
    <w:rsid w:val="008841C7"/>
    <w:rsid w:val="00885271"/>
    <w:rsid w:val="00885C28"/>
    <w:rsid w:val="00885F6B"/>
    <w:rsid w:val="008866E0"/>
    <w:rsid w:val="00886C5D"/>
    <w:rsid w:val="00887803"/>
    <w:rsid w:val="00887ABA"/>
    <w:rsid w:val="00891481"/>
    <w:rsid w:val="00891979"/>
    <w:rsid w:val="00891B01"/>
    <w:rsid w:val="008926DA"/>
    <w:rsid w:val="00893A34"/>
    <w:rsid w:val="00893F1F"/>
    <w:rsid w:val="00897964"/>
    <w:rsid w:val="008A2903"/>
    <w:rsid w:val="008A2ECB"/>
    <w:rsid w:val="008A41D1"/>
    <w:rsid w:val="008A6B32"/>
    <w:rsid w:val="008A6D57"/>
    <w:rsid w:val="008A7DEB"/>
    <w:rsid w:val="008B39F2"/>
    <w:rsid w:val="008B7CC7"/>
    <w:rsid w:val="008C0BAD"/>
    <w:rsid w:val="008C0F68"/>
    <w:rsid w:val="008C1654"/>
    <w:rsid w:val="008C28B1"/>
    <w:rsid w:val="008C2E66"/>
    <w:rsid w:val="008C3CF3"/>
    <w:rsid w:val="008C4059"/>
    <w:rsid w:val="008C5061"/>
    <w:rsid w:val="008D197F"/>
    <w:rsid w:val="008D321E"/>
    <w:rsid w:val="008D4069"/>
    <w:rsid w:val="008D4C74"/>
    <w:rsid w:val="008D578D"/>
    <w:rsid w:val="008D6F48"/>
    <w:rsid w:val="008D6F8D"/>
    <w:rsid w:val="008E0799"/>
    <w:rsid w:val="008E0C21"/>
    <w:rsid w:val="008E0D99"/>
    <w:rsid w:val="008E144C"/>
    <w:rsid w:val="008E1524"/>
    <w:rsid w:val="008E1751"/>
    <w:rsid w:val="008E35D5"/>
    <w:rsid w:val="008E499D"/>
    <w:rsid w:val="008E6B70"/>
    <w:rsid w:val="008F11EB"/>
    <w:rsid w:val="008F1742"/>
    <w:rsid w:val="008F24CE"/>
    <w:rsid w:val="008F3401"/>
    <w:rsid w:val="008F45DD"/>
    <w:rsid w:val="008F4C04"/>
    <w:rsid w:val="008F524F"/>
    <w:rsid w:val="008F546B"/>
    <w:rsid w:val="008F6BD5"/>
    <w:rsid w:val="008F7BDF"/>
    <w:rsid w:val="008F7C69"/>
    <w:rsid w:val="008F7F16"/>
    <w:rsid w:val="009011FA"/>
    <w:rsid w:val="00903A46"/>
    <w:rsid w:val="009043A5"/>
    <w:rsid w:val="00907EF1"/>
    <w:rsid w:val="009112D6"/>
    <w:rsid w:val="00911779"/>
    <w:rsid w:val="00912583"/>
    <w:rsid w:val="00912FE6"/>
    <w:rsid w:val="0091537A"/>
    <w:rsid w:val="0091613C"/>
    <w:rsid w:val="00916833"/>
    <w:rsid w:val="00916AA9"/>
    <w:rsid w:val="00917703"/>
    <w:rsid w:val="00921613"/>
    <w:rsid w:val="00921AD9"/>
    <w:rsid w:val="009229B6"/>
    <w:rsid w:val="00922DFB"/>
    <w:rsid w:val="00923966"/>
    <w:rsid w:val="00924DAD"/>
    <w:rsid w:val="00924EF9"/>
    <w:rsid w:val="00926B17"/>
    <w:rsid w:val="00927691"/>
    <w:rsid w:val="00931139"/>
    <w:rsid w:val="00931186"/>
    <w:rsid w:val="00931C60"/>
    <w:rsid w:val="00932330"/>
    <w:rsid w:val="00933DB4"/>
    <w:rsid w:val="009366A0"/>
    <w:rsid w:val="009407EE"/>
    <w:rsid w:val="00942350"/>
    <w:rsid w:val="00943B26"/>
    <w:rsid w:val="00943FC0"/>
    <w:rsid w:val="00950357"/>
    <w:rsid w:val="0095200D"/>
    <w:rsid w:val="009542D3"/>
    <w:rsid w:val="0095526F"/>
    <w:rsid w:val="00955CB8"/>
    <w:rsid w:val="00956DA6"/>
    <w:rsid w:val="009575E3"/>
    <w:rsid w:val="00957F52"/>
    <w:rsid w:val="00960387"/>
    <w:rsid w:val="00961C3D"/>
    <w:rsid w:val="00961DC0"/>
    <w:rsid w:val="00962484"/>
    <w:rsid w:val="0096278C"/>
    <w:rsid w:val="009643C4"/>
    <w:rsid w:val="00967BAA"/>
    <w:rsid w:val="00970DF3"/>
    <w:rsid w:val="00975870"/>
    <w:rsid w:val="00975CDC"/>
    <w:rsid w:val="009768F2"/>
    <w:rsid w:val="00981A56"/>
    <w:rsid w:val="00983242"/>
    <w:rsid w:val="00983700"/>
    <w:rsid w:val="00984467"/>
    <w:rsid w:val="0098561A"/>
    <w:rsid w:val="0098563C"/>
    <w:rsid w:val="0098603E"/>
    <w:rsid w:val="00986F53"/>
    <w:rsid w:val="0099053A"/>
    <w:rsid w:val="009918E8"/>
    <w:rsid w:val="00991ACC"/>
    <w:rsid w:val="00992345"/>
    <w:rsid w:val="00993572"/>
    <w:rsid w:val="00995D58"/>
    <w:rsid w:val="0099604A"/>
    <w:rsid w:val="009962FE"/>
    <w:rsid w:val="00996794"/>
    <w:rsid w:val="00997E46"/>
    <w:rsid w:val="009A02B9"/>
    <w:rsid w:val="009A0E5A"/>
    <w:rsid w:val="009A1F84"/>
    <w:rsid w:val="009A237B"/>
    <w:rsid w:val="009A23EE"/>
    <w:rsid w:val="009A28D5"/>
    <w:rsid w:val="009A2C24"/>
    <w:rsid w:val="009A4293"/>
    <w:rsid w:val="009A54F2"/>
    <w:rsid w:val="009A6068"/>
    <w:rsid w:val="009B0464"/>
    <w:rsid w:val="009B1209"/>
    <w:rsid w:val="009B3F9B"/>
    <w:rsid w:val="009B4464"/>
    <w:rsid w:val="009B5ED9"/>
    <w:rsid w:val="009B687E"/>
    <w:rsid w:val="009B78C5"/>
    <w:rsid w:val="009C4DC5"/>
    <w:rsid w:val="009C4F2E"/>
    <w:rsid w:val="009C5262"/>
    <w:rsid w:val="009C6B0A"/>
    <w:rsid w:val="009D07A9"/>
    <w:rsid w:val="009D176F"/>
    <w:rsid w:val="009D240C"/>
    <w:rsid w:val="009D5865"/>
    <w:rsid w:val="009D5E4C"/>
    <w:rsid w:val="009D6D25"/>
    <w:rsid w:val="009E03FB"/>
    <w:rsid w:val="009E17B9"/>
    <w:rsid w:val="009E39BD"/>
    <w:rsid w:val="009E56D2"/>
    <w:rsid w:val="009F06E5"/>
    <w:rsid w:val="009F09E6"/>
    <w:rsid w:val="009F362E"/>
    <w:rsid w:val="009F39B2"/>
    <w:rsid w:val="009F630C"/>
    <w:rsid w:val="009F7B9A"/>
    <w:rsid w:val="009F7F75"/>
    <w:rsid w:val="00A0358C"/>
    <w:rsid w:val="00A03704"/>
    <w:rsid w:val="00A0416D"/>
    <w:rsid w:val="00A057FA"/>
    <w:rsid w:val="00A05AD3"/>
    <w:rsid w:val="00A067D6"/>
    <w:rsid w:val="00A06AC7"/>
    <w:rsid w:val="00A11347"/>
    <w:rsid w:val="00A11C67"/>
    <w:rsid w:val="00A11F20"/>
    <w:rsid w:val="00A12961"/>
    <w:rsid w:val="00A136AC"/>
    <w:rsid w:val="00A13885"/>
    <w:rsid w:val="00A144CF"/>
    <w:rsid w:val="00A169B4"/>
    <w:rsid w:val="00A16CD8"/>
    <w:rsid w:val="00A178DF"/>
    <w:rsid w:val="00A20C92"/>
    <w:rsid w:val="00A214BF"/>
    <w:rsid w:val="00A227F2"/>
    <w:rsid w:val="00A240B1"/>
    <w:rsid w:val="00A241BD"/>
    <w:rsid w:val="00A260E7"/>
    <w:rsid w:val="00A2777E"/>
    <w:rsid w:val="00A3103A"/>
    <w:rsid w:val="00A31268"/>
    <w:rsid w:val="00A31E8F"/>
    <w:rsid w:val="00A32666"/>
    <w:rsid w:val="00A3386B"/>
    <w:rsid w:val="00A3580A"/>
    <w:rsid w:val="00A366D2"/>
    <w:rsid w:val="00A40AF3"/>
    <w:rsid w:val="00A41E37"/>
    <w:rsid w:val="00A41FC7"/>
    <w:rsid w:val="00A44EB9"/>
    <w:rsid w:val="00A458F0"/>
    <w:rsid w:val="00A46A67"/>
    <w:rsid w:val="00A474F8"/>
    <w:rsid w:val="00A51CC9"/>
    <w:rsid w:val="00A51EF6"/>
    <w:rsid w:val="00A52763"/>
    <w:rsid w:val="00A52964"/>
    <w:rsid w:val="00A52BC6"/>
    <w:rsid w:val="00A541BB"/>
    <w:rsid w:val="00A637DD"/>
    <w:rsid w:val="00A65EA6"/>
    <w:rsid w:val="00A726BC"/>
    <w:rsid w:val="00A72D91"/>
    <w:rsid w:val="00A73D4B"/>
    <w:rsid w:val="00A748A3"/>
    <w:rsid w:val="00A761FA"/>
    <w:rsid w:val="00A771C0"/>
    <w:rsid w:val="00A7799D"/>
    <w:rsid w:val="00A80CA4"/>
    <w:rsid w:val="00A81192"/>
    <w:rsid w:val="00A81297"/>
    <w:rsid w:val="00A82A72"/>
    <w:rsid w:val="00A8448E"/>
    <w:rsid w:val="00A85126"/>
    <w:rsid w:val="00A85A08"/>
    <w:rsid w:val="00A86724"/>
    <w:rsid w:val="00A8672D"/>
    <w:rsid w:val="00A86912"/>
    <w:rsid w:val="00A90B0E"/>
    <w:rsid w:val="00A90B93"/>
    <w:rsid w:val="00A92E1D"/>
    <w:rsid w:val="00A94F1D"/>
    <w:rsid w:val="00A95810"/>
    <w:rsid w:val="00A95DA6"/>
    <w:rsid w:val="00A97006"/>
    <w:rsid w:val="00A97DC2"/>
    <w:rsid w:val="00AA0305"/>
    <w:rsid w:val="00AA1E55"/>
    <w:rsid w:val="00AA2A15"/>
    <w:rsid w:val="00AA2A96"/>
    <w:rsid w:val="00AA2B71"/>
    <w:rsid w:val="00AA3995"/>
    <w:rsid w:val="00AA42A7"/>
    <w:rsid w:val="00AA4A6B"/>
    <w:rsid w:val="00AA50D5"/>
    <w:rsid w:val="00AA714E"/>
    <w:rsid w:val="00AB1C8B"/>
    <w:rsid w:val="00AB3971"/>
    <w:rsid w:val="00AB4B80"/>
    <w:rsid w:val="00AB7678"/>
    <w:rsid w:val="00AC014E"/>
    <w:rsid w:val="00AC238D"/>
    <w:rsid w:val="00AC378A"/>
    <w:rsid w:val="00AC4B7F"/>
    <w:rsid w:val="00AC7238"/>
    <w:rsid w:val="00AC7BEB"/>
    <w:rsid w:val="00AC7C05"/>
    <w:rsid w:val="00AD162D"/>
    <w:rsid w:val="00AD16E4"/>
    <w:rsid w:val="00AD2189"/>
    <w:rsid w:val="00AD2C02"/>
    <w:rsid w:val="00AD31A9"/>
    <w:rsid w:val="00AD50FA"/>
    <w:rsid w:val="00AD5287"/>
    <w:rsid w:val="00AD6CF5"/>
    <w:rsid w:val="00AD7847"/>
    <w:rsid w:val="00AE097A"/>
    <w:rsid w:val="00AE1948"/>
    <w:rsid w:val="00AE1B5A"/>
    <w:rsid w:val="00AE2113"/>
    <w:rsid w:val="00AE2151"/>
    <w:rsid w:val="00AE249D"/>
    <w:rsid w:val="00AE31B0"/>
    <w:rsid w:val="00AE397A"/>
    <w:rsid w:val="00AE3EC0"/>
    <w:rsid w:val="00AE6FC4"/>
    <w:rsid w:val="00AF0479"/>
    <w:rsid w:val="00AF26A2"/>
    <w:rsid w:val="00AF3DFB"/>
    <w:rsid w:val="00AF411C"/>
    <w:rsid w:val="00AF49AB"/>
    <w:rsid w:val="00AF4B64"/>
    <w:rsid w:val="00AF62BF"/>
    <w:rsid w:val="00AF666F"/>
    <w:rsid w:val="00AF7EC6"/>
    <w:rsid w:val="00B01B51"/>
    <w:rsid w:val="00B03333"/>
    <w:rsid w:val="00B033B6"/>
    <w:rsid w:val="00B0379D"/>
    <w:rsid w:val="00B0406A"/>
    <w:rsid w:val="00B06841"/>
    <w:rsid w:val="00B06B03"/>
    <w:rsid w:val="00B07DB6"/>
    <w:rsid w:val="00B113E5"/>
    <w:rsid w:val="00B1162D"/>
    <w:rsid w:val="00B14C06"/>
    <w:rsid w:val="00B153F0"/>
    <w:rsid w:val="00B162A3"/>
    <w:rsid w:val="00B17ECC"/>
    <w:rsid w:val="00B22391"/>
    <w:rsid w:val="00B23398"/>
    <w:rsid w:val="00B245B0"/>
    <w:rsid w:val="00B26E56"/>
    <w:rsid w:val="00B27FC4"/>
    <w:rsid w:val="00B31879"/>
    <w:rsid w:val="00B32A04"/>
    <w:rsid w:val="00B3311C"/>
    <w:rsid w:val="00B33125"/>
    <w:rsid w:val="00B33BA7"/>
    <w:rsid w:val="00B34A3B"/>
    <w:rsid w:val="00B355C5"/>
    <w:rsid w:val="00B3673D"/>
    <w:rsid w:val="00B44C6C"/>
    <w:rsid w:val="00B4757F"/>
    <w:rsid w:val="00B5187A"/>
    <w:rsid w:val="00B5229A"/>
    <w:rsid w:val="00B52E33"/>
    <w:rsid w:val="00B536BF"/>
    <w:rsid w:val="00B54DF0"/>
    <w:rsid w:val="00B5570D"/>
    <w:rsid w:val="00B55CD1"/>
    <w:rsid w:val="00B605F9"/>
    <w:rsid w:val="00B61C67"/>
    <w:rsid w:val="00B6314D"/>
    <w:rsid w:val="00B64BD8"/>
    <w:rsid w:val="00B70EFF"/>
    <w:rsid w:val="00B713DA"/>
    <w:rsid w:val="00B71654"/>
    <w:rsid w:val="00B727C2"/>
    <w:rsid w:val="00B730F4"/>
    <w:rsid w:val="00B738C7"/>
    <w:rsid w:val="00B747AC"/>
    <w:rsid w:val="00B74C5C"/>
    <w:rsid w:val="00B75E1D"/>
    <w:rsid w:val="00B77124"/>
    <w:rsid w:val="00B8023E"/>
    <w:rsid w:val="00B82106"/>
    <w:rsid w:val="00B82526"/>
    <w:rsid w:val="00B82809"/>
    <w:rsid w:val="00B87915"/>
    <w:rsid w:val="00B905A6"/>
    <w:rsid w:val="00B9084D"/>
    <w:rsid w:val="00B91224"/>
    <w:rsid w:val="00B91420"/>
    <w:rsid w:val="00B91C70"/>
    <w:rsid w:val="00B92DEC"/>
    <w:rsid w:val="00B9525A"/>
    <w:rsid w:val="00BA015D"/>
    <w:rsid w:val="00BA064C"/>
    <w:rsid w:val="00BA08F9"/>
    <w:rsid w:val="00BA0C85"/>
    <w:rsid w:val="00BA1B22"/>
    <w:rsid w:val="00BA2D0A"/>
    <w:rsid w:val="00BA4091"/>
    <w:rsid w:val="00BA4735"/>
    <w:rsid w:val="00BA54D5"/>
    <w:rsid w:val="00BB2DB8"/>
    <w:rsid w:val="00BB3A50"/>
    <w:rsid w:val="00BB4D9B"/>
    <w:rsid w:val="00BB647C"/>
    <w:rsid w:val="00BC0C83"/>
    <w:rsid w:val="00BC33E7"/>
    <w:rsid w:val="00BC5604"/>
    <w:rsid w:val="00BC5A0A"/>
    <w:rsid w:val="00BC61B1"/>
    <w:rsid w:val="00BC74B2"/>
    <w:rsid w:val="00BD19C4"/>
    <w:rsid w:val="00BD1F16"/>
    <w:rsid w:val="00BD201F"/>
    <w:rsid w:val="00BD27A9"/>
    <w:rsid w:val="00BD55D3"/>
    <w:rsid w:val="00BD6678"/>
    <w:rsid w:val="00BD787F"/>
    <w:rsid w:val="00BD7E26"/>
    <w:rsid w:val="00BE00F2"/>
    <w:rsid w:val="00BE170E"/>
    <w:rsid w:val="00BE209A"/>
    <w:rsid w:val="00BE2293"/>
    <w:rsid w:val="00BE2455"/>
    <w:rsid w:val="00BE24AF"/>
    <w:rsid w:val="00BE37DF"/>
    <w:rsid w:val="00BE37E1"/>
    <w:rsid w:val="00BE3BB8"/>
    <w:rsid w:val="00BE4B28"/>
    <w:rsid w:val="00BE4B7F"/>
    <w:rsid w:val="00BE4ED0"/>
    <w:rsid w:val="00BE57F6"/>
    <w:rsid w:val="00BE5C03"/>
    <w:rsid w:val="00BE6E5D"/>
    <w:rsid w:val="00BE7220"/>
    <w:rsid w:val="00BF021D"/>
    <w:rsid w:val="00BF1502"/>
    <w:rsid w:val="00BF20FD"/>
    <w:rsid w:val="00BF2D80"/>
    <w:rsid w:val="00BF2DF2"/>
    <w:rsid w:val="00BF32A0"/>
    <w:rsid w:val="00BF34A5"/>
    <w:rsid w:val="00BF3828"/>
    <w:rsid w:val="00BF4F4D"/>
    <w:rsid w:val="00BF5144"/>
    <w:rsid w:val="00BF5E9D"/>
    <w:rsid w:val="00BF68DA"/>
    <w:rsid w:val="00C00747"/>
    <w:rsid w:val="00C01116"/>
    <w:rsid w:val="00C02336"/>
    <w:rsid w:val="00C04254"/>
    <w:rsid w:val="00C043A7"/>
    <w:rsid w:val="00C044F1"/>
    <w:rsid w:val="00C050D3"/>
    <w:rsid w:val="00C10374"/>
    <w:rsid w:val="00C12840"/>
    <w:rsid w:val="00C13480"/>
    <w:rsid w:val="00C135D0"/>
    <w:rsid w:val="00C13DA1"/>
    <w:rsid w:val="00C1593D"/>
    <w:rsid w:val="00C1671A"/>
    <w:rsid w:val="00C172E3"/>
    <w:rsid w:val="00C217D7"/>
    <w:rsid w:val="00C21910"/>
    <w:rsid w:val="00C21FE9"/>
    <w:rsid w:val="00C22372"/>
    <w:rsid w:val="00C22791"/>
    <w:rsid w:val="00C22951"/>
    <w:rsid w:val="00C244FF"/>
    <w:rsid w:val="00C268EB"/>
    <w:rsid w:val="00C27FC3"/>
    <w:rsid w:val="00C33D51"/>
    <w:rsid w:val="00C34065"/>
    <w:rsid w:val="00C35BF3"/>
    <w:rsid w:val="00C3670D"/>
    <w:rsid w:val="00C41370"/>
    <w:rsid w:val="00C41EED"/>
    <w:rsid w:val="00C44156"/>
    <w:rsid w:val="00C442B6"/>
    <w:rsid w:val="00C459A1"/>
    <w:rsid w:val="00C47A2B"/>
    <w:rsid w:val="00C5096F"/>
    <w:rsid w:val="00C50CC6"/>
    <w:rsid w:val="00C52108"/>
    <w:rsid w:val="00C5302D"/>
    <w:rsid w:val="00C5403F"/>
    <w:rsid w:val="00C55956"/>
    <w:rsid w:val="00C55CDD"/>
    <w:rsid w:val="00C56B7C"/>
    <w:rsid w:val="00C5727F"/>
    <w:rsid w:val="00C5787F"/>
    <w:rsid w:val="00C5790C"/>
    <w:rsid w:val="00C57E44"/>
    <w:rsid w:val="00C608D7"/>
    <w:rsid w:val="00C60E71"/>
    <w:rsid w:val="00C61A6F"/>
    <w:rsid w:val="00C62F4A"/>
    <w:rsid w:val="00C6318D"/>
    <w:rsid w:val="00C634DB"/>
    <w:rsid w:val="00C63883"/>
    <w:rsid w:val="00C66506"/>
    <w:rsid w:val="00C70641"/>
    <w:rsid w:val="00C725FD"/>
    <w:rsid w:val="00C72EF0"/>
    <w:rsid w:val="00C7318D"/>
    <w:rsid w:val="00C74CC2"/>
    <w:rsid w:val="00C76487"/>
    <w:rsid w:val="00C77322"/>
    <w:rsid w:val="00C77ACD"/>
    <w:rsid w:val="00C81584"/>
    <w:rsid w:val="00C82FC1"/>
    <w:rsid w:val="00C83726"/>
    <w:rsid w:val="00C844F4"/>
    <w:rsid w:val="00C85536"/>
    <w:rsid w:val="00C87104"/>
    <w:rsid w:val="00C90BA5"/>
    <w:rsid w:val="00C9240D"/>
    <w:rsid w:val="00C9245C"/>
    <w:rsid w:val="00C9337A"/>
    <w:rsid w:val="00C96565"/>
    <w:rsid w:val="00C975F3"/>
    <w:rsid w:val="00C9766A"/>
    <w:rsid w:val="00C9795B"/>
    <w:rsid w:val="00CA0095"/>
    <w:rsid w:val="00CA1310"/>
    <w:rsid w:val="00CA1ABE"/>
    <w:rsid w:val="00CA27D5"/>
    <w:rsid w:val="00CA3336"/>
    <w:rsid w:val="00CA3630"/>
    <w:rsid w:val="00CA49A2"/>
    <w:rsid w:val="00CA4D80"/>
    <w:rsid w:val="00CA5501"/>
    <w:rsid w:val="00CA552A"/>
    <w:rsid w:val="00CA55AC"/>
    <w:rsid w:val="00CA5DA4"/>
    <w:rsid w:val="00CA6831"/>
    <w:rsid w:val="00CA683E"/>
    <w:rsid w:val="00CB0179"/>
    <w:rsid w:val="00CB0A22"/>
    <w:rsid w:val="00CB0C87"/>
    <w:rsid w:val="00CB1F71"/>
    <w:rsid w:val="00CB2278"/>
    <w:rsid w:val="00CB26F3"/>
    <w:rsid w:val="00CB354D"/>
    <w:rsid w:val="00CB6BD8"/>
    <w:rsid w:val="00CB74C1"/>
    <w:rsid w:val="00CC0031"/>
    <w:rsid w:val="00CC1B2D"/>
    <w:rsid w:val="00CC2C4F"/>
    <w:rsid w:val="00CC3FDF"/>
    <w:rsid w:val="00CC5249"/>
    <w:rsid w:val="00CC60B9"/>
    <w:rsid w:val="00CD0C6A"/>
    <w:rsid w:val="00CD1628"/>
    <w:rsid w:val="00CD2712"/>
    <w:rsid w:val="00CD35A0"/>
    <w:rsid w:val="00CD41EE"/>
    <w:rsid w:val="00CD44B7"/>
    <w:rsid w:val="00CD476F"/>
    <w:rsid w:val="00CD664F"/>
    <w:rsid w:val="00CD7C95"/>
    <w:rsid w:val="00CE1F44"/>
    <w:rsid w:val="00CE3D5E"/>
    <w:rsid w:val="00CE49E7"/>
    <w:rsid w:val="00CE5019"/>
    <w:rsid w:val="00CE642E"/>
    <w:rsid w:val="00CF034B"/>
    <w:rsid w:val="00CF22EE"/>
    <w:rsid w:val="00CF32E9"/>
    <w:rsid w:val="00CF345C"/>
    <w:rsid w:val="00CF4E94"/>
    <w:rsid w:val="00CF56C1"/>
    <w:rsid w:val="00CF75BA"/>
    <w:rsid w:val="00D0100E"/>
    <w:rsid w:val="00D010E3"/>
    <w:rsid w:val="00D01A19"/>
    <w:rsid w:val="00D02E90"/>
    <w:rsid w:val="00D0482D"/>
    <w:rsid w:val="00D05810"/>
    <w:rsid w:val="00D06542"/>
    <w:rsid w:val="00D10925"/>
    <w:rsid w:val="00D15ADE"/>
    <w:rsid w:val="00D17AC5"/>
    <w:rsid w:val="00D20416"/>
    <w:rsid w:val="00D20AB7"/>
    <w:rsid w:val="00D20CCF"/>
    <w:rsid w:val="00D21823"/>
    <w:rsid w:val="00D21942"/>
    <w:rsid w:val="00D224A3"/>
    <w:rsid w:val="00D22B65"/>
    <w:rsid w:val="00D23682"/>
    <w:rsid w:val="00D23891"/>
    <w:rsid w:val="00D30BD9"/>
    <w:rsid w:val="00D30C9F"/>
    <w:rsid w:val="00D31275"/>
    <w:rsid w:val="00D3196B"/>
    <w:rsid w:val="00D324FC"/>
    <w:rsid w:val="00D32E10"/>
    <w:rsid w:val="00D34337"/>
    <w:rsid w:val="00D34ADB"/>
    <w:rsid w:val="00D35F36"/>
    <w:rsid w:val="00D378DF"/>
    <w:rsid w:val="00D41322"/>
    <w:rsid w:val="00D42B0C"/>
    <w:rsid w:val="00D47807"/>
    <w:rsid w:val="00D47AC5"/>
    <w:rsid w:val="00D5090D"/>
    <w:rsid w:val="00D5113F"/>
    <w:rsid w:val="00D52351"/>
    <w:rsid w:val="00D52611"/>
    <w:rsid w:val="00D54830"/>
    <w:rsid w:val="00D56336"/>
    <w:rsid w:val="00D56BA7"/>
    <w:rsid w:val="00D576E9"/>
    <w:rsid w:val="00D5781D"/>
    <w:rsid w:val="00D617EF"/>
    <w:rsid w:val="00D6213B"/>
    <w:rsid w:val="00D62ECD"/>
    <w:rsid w:val="00D63445"/>
    <w:rsid w:val="00D63B22"/>
    <w:rsid w:val="00D655B9"/>
    <w:rsid w:val="00D65CF2"/>
    <w:rsid w:val="00D6682C"/>
    <w:rsid w:val="00D66CF8"/>
    <w:rsid w:val="00D66DB5"/>
    <w:rsid w:val="00D67F9B"/>
    <w:rsid w:val="00D7008D"/>
    <w:rsid w:val="00D70376"/>
    <w:rsid w:val="00D7086E"/>
    <w:rsid w:val="00D70C49"/>
    <w:rsid w:val="00D70F3A"/>
    <w:rsid w:val="00D71EDD"/>
    <w:rsid w:val="00D72BEF"/>
    <w:rsid w:val="00D72C62"/>
    <w:rsid w:val="00D73886"/>
    <w:rsid w:val="00D76AB8"/>
    <w:rsid w:val="00D772B3"/>
    <w:rsid w:val="00D77A52"/>
    <w:rsid w:val="00D81B58"/>
    <w:rsid w:val="00D81C14"/>
    <w:rsid w:val="00D81C7E"/>
    <w:rsid w:val="00D832D5"/>
    <w:rsid w:val="00D83376"/>
    <w:rsid w:val="00D84B5D"/>
    <w:rsid w:val="00D853FF"/>
    <w:rsid w:val="00D86AB1"/>
    <w:rsid w:val="00D8705F"/>
    <w:rsid w:val="00D87A07"/>
    <w:rsid w:val="00D92408"/>
    <w:rsid w:val="00D92A15"/>
    <w:rsid w:val="00D934FF"/>
    <w:rsid w:val="00D943DD"/>
    <w:rsid w:val="00D957C0"/>
    <w:rsid w:val="00D965FE"/>
    <w:rsid w:val="00DA0546"/>
    <w:rsid w:val="00DA1332"/>
    <w:rsid w:val="00DA377B"/>
    <w:rsid w:val="00DA48F6"/>
    <w:rsid w:val="00DA5238"/>
    <w:rsid w:val="00DA53C1"/>
    <w:rsid w:val="00DA5621"/>
    <w:rsid w:val="00DA5B67"/>
    <w:rsid w:val="00DA7ECD"/>
    <w:rsid w:val="00DB09E4"/>
    <w:rsid w:val="00DB2D17"/>
    <w:rsid w:val="00DB5E4D"/>
    <w:rsid w:val="00DB5F9F"/>
    <w:rsid w:val="00DB6C97"/>
    <w:rsid w:val="00DB6D1F"/>
    <w:rsid w:val="00DB7746"/>
    <w:rsid w:val="00DC11CB"/>
    <w:rsid w:val="00DC13EA"/>
    <w:rsid w:val="00DC1BB7"/>
    <w:rsid w:val="00DC3ADA"/>
    <w:rsid w:val="00DC3BCB"/>
    <w:rsid w:val="00DC4A0B"/>
    <w:rsid w:val="00DC4D66"/>
    <w:rsid w:val="00DC6C38"/>
    <w:rsid w:val="00DC73B8"/>
    <w:rsid w:val="00DC78F4"/>
    <w:rsid w:val="00DD026E"/>
    <w:rsid w:val="00DD1389"/>
    <w:rsid w:val="00DD1715"/>
    <w:rsid w:val="00DD2C4D"/>
    <w:rsid w:val="00DD35FE"/>
    <w:rsid w:val="00DD37BF"/>
    <w:rsid w:val="00DD4340"/>
    <w:rsid w:val="00DD44AD"/>
    <w:rsid w:val="00DD45F6"/>
    <w:rsid w:val="00DD5596"/>
    <w:rsid w:val="00DD5A7F"/>
    <w:rsid w:val="00DD6B23"/>
    <w:rsid w:val="00DE1E06"/>
    <w:rsid w:val="00DE342A"/>
    <w:rsid w:val="00DE46A9"/>
    <w:rsid w:val="00DE48C3"/>
    <w:rsid w:val="00DE493A"/>
    <w:rsid w:val="00DE5099"/>
    <w:rsid w:val="00DE58AE"/>
    <w:rsid w:val="00DE6A9B"/>
    <w:rsid w:val="00DE7190"/>
    <w:rsid w:val="00DF1157"/>
    <w:rsid w:val="00DF178D"/>
    <w:rsid w:val="00DF2711"/>
    <w:rsid w:val="00DF2E2D"/>
    <w:rsid w:val="00DF38C7"/>
    <w:rsid w:val="00DF4392"/>
    <w:rsid w:val="00DF4E1F"/>
    <w:rsid w:val="00DF69A1"/>
    <w:rsid w:val="00DF6DE1"/>
    <w:rsid w:val="00DF752E"/>
    <w:rsid w:val="00E0035B"/>
    <w:rsid w:val="00E00956"/>
    <w:rsid w:val="00E011B3"/>
    <w:rsid w:val="00E01A14"/>
    <w:rsid w:val="00E01A51"/>
    <w:rsid w:val="00E024A6"/>
    <w:rsid w:val="00E02EE2"/>
    <w:rsid w:val="00E03364"/>
    <w:rsid w:val="00E041DE"/>
    <w:rsid w:val="00E04B3B"/>
    <w:rsid w:val="00E04D4A"/>
    <w:rsid w:val="00E04D61"/>
    <w:rsid w:val="00E05109"/>
    <w:rsid w:val="00E05894"/>
    <w:rsid w:val="00E0642C"/>
    <w:rsid w:val="00E06BD0"/>
    <w:rsid w:val="00E109E0"/>
    <w:rsid w:val="00E1364D"/>
    <w:rsid w:val="00E14FA3"/>
    <w:rsid w:val="00E151B6"/>
    <w:rsid w:val="00E153CF"/>
    <w:rsid w:val="00E1543D"/>
    <w:rsid w:val="00E15D9B"/>
    <w:rsid w:val="00E169B1"/>
    <w:rsid w:val="00E16E68"/>
    <w:rsid w:val="00E1736A"/>
    <w:rsid w:val="00E17572"/>
    <w:rsid w:val="00E176F6"/>
    <w:rsid w:val="00E177EE"/>
    <w:rsid w:val="00E204AA"/>
    <w:rsid w:val="00E245F0"/>
    <w:rsid w:val="00E2566D"/>
    <w:rsid w:val="00E27820"/>
    <w:rsid w:val="00E304B3"/>
    <w:rsid w:val="00E32827"/>
    <w:rsid w:val="00E329AF"/>
    <w:rsid w:val="00E342B0"/>
    <w:rsid w:val="00E350B7"/>
    <w:rsid w:val="00E356BA"/>
    <w:rsid w:val="00E37D1E"/>
    <w:rsid w:val="00E40979"/>
    <w:rsid w:val="00E435B7"/>
    <w:rsid w:val="00E43A26"/>
    <w:rsid w:val="00E43B64"/>
    <w:rsid w:val="00E443FA"/>
    <w:rsid w:val="00E4627A"/>
    <w:rsid w:val="00E466D8"/>
    <w:rsid w:val="00E46AF2"/>
    <w:rsid w:val="00E47557"/>
    <w:rsid w:val="00E503F7"/>
    <w:rsid w:val="00E5543F"/>
    <w:rsid w:val="00E6140D"/>
    <w:rsid w:val="00E61F52"/>
    <w:rsid w:val="00E6414B"/>
    <w:rsid w:val="00E64851"/>
    <w:rsid w:val="00E65908"/>
    <w:rsid w:val="00E65A92"/>
    <w:rsid w:val="00E67C51"/>
    <w:rsid w:val="00E70BD3"/>
    <w:rsid w:val="00E71783"/>
    <w:rsid w:val="00E71967"/>
    <w:rsid w:val="00E7237E"/>
    <w:rsid w:val="00E72A5A"/>
    <w:rsid w:val="00E72D5C"/>
    <w:rsid w:val="00E735B1"/>
    <w:rsid w:val="00E73BE0"/>
    <w:rsid w:val="00E741ED"/>
    <w:rsid w:val="00E770AD"/>
    <w:rsid w:val="00E77FD2"/>
    <w:rsid w:val="00E81DCB"/>
    <w:rsid w:val="00E85206"/>
    <w:rsid w:val="00E90B31"/>
    <w:rsid w:val="00E90BDF"/>
    <w:rsid w:val="00E90F61"/>
    <w:rsid w:val="00E929ED"/>
    <w:rsid w:val="00E93EFB"/>
    <w:rsid w:val="00E940AC"/>
    <w:rsid w:val="00E94F36"/>
    <w:rsid w:val="00E95883"/>
    <w:rsid w:val="00EA258A"/>
    <w:rsid w:val="00EA447E"/>
    <w:rsid w:val="00EA4DBC"/>
    <w:rsid w:val="00EA50AB"/>
    <w:rsid w:val="00EB037F"/>
    <w:rsid w:val="00EB0E67"/>
    <w:rsid w:val="00EB10EA"/>
    <w:rsid w:val="00EB1595"/>
    <w:rsid w:val="00EB31AB"/>
    <w:rsid w:val="00EB4EFE"/>
    <w:rsid w:val="00EB5751"/>
    <w:rsid w:val="00EB7619"/>
    <w:rsid w:val="00EC0633"/>
    <w:rsid w:val="00EC0C3F"/>
    <w:rsid w:val="00EC175E"/>
    <w:rsid w:val="00EC22D7"/>
    <w:rsid w:val="00EC245A"/>
    <w:rsid w:val="00EC4BAE"/>
    <w:rsid w:val="00EC5B7C"/>
    <w:rsid w:val="00EC5D37"/>
    <w:rsid w:val="00EC5F9E"/>
    <w:rsid w:val="00EC693A"/>
    <w:rsid w:val="00EC6A3F"/>
    <w:rsid w:val="00ED2391"/>
    <w:rsid w:val="00ED2CEB"/>
    <w:rsid w:val="00ED3DA3"/>
    <w:rsid w:val="00ED5597"/>
    <w:rsid w:val="00ED7926"/>
    <w:rsid w:val="00EE6411"/>
    <w:rsid w:val="00EE66C7"/>
    <w:rsid w:val="00EE6B2F"/>
    <w:rsid w:val="00EE70C3"/>
    <w:rsid w:val="00EF02F8"/>
    <w:rsid w:val="00EF0400"/>
    <w:rsid w:val="00EF5730"/>
    <w:rsid w:val="00EF5C83"/>
    <w:rsid w:val="00EF7D7A"/>
    <w:rsid w:val="00F002B2"/>
    <w:rsid w:val="00F00AC2"/>
    <w:rsid w:val="00F01C27"/>
    <w:rsid w:val="00F01EF1"/>
    <w:rsid w:val="00F0204B"/>
    <w:rsid w:val="00F0301C"/>
    <w:rsid w:val="00F03B3D"/>
    <w:rsid w:val="00F05177"/>
    <w:rsid w:val="00F0601A"/>
    <w:rsid w:val="00F0724E"/>
    <w:rsid w:val="00F12FA2"/>
    <w:rsid w:val="00F14C67"/>
    <w:rsid w:val="00F15518"/>
    <w:rsid w:val="00F17616"/>
    <w:rsid w:val="00F22E5F"/>
    <w:rsid w:val="00F233B0"/>
    <w:rsid w:val="00F241F7"/>
    <w:rsid w:val="00F24E5E"/>
    <w:rsid w:val="00F25D76"/>
    <w:rsid w:val="00F26DA9"/>
    <w:rsid w:val="00F31D64"/>
    <w:rsid w:val="00F33537"/>
    <w:rsid w:val="00F33736"/>
    <w:rsid w:val="00F33B09"/>
    <w:rsid w:val="00F3434E"/>
    <w:rsid w:val="00F358FC"/>
    <w:rsid w:val="00F36D4A"/>
    <w:rsid w:val="00F376EB"/>
    <w:rsid w:val="00F37FE5"/>
    <w:rsid w:val="00F40EC2"/>
    <w:rsid w:val="00F40EFA"/>
    <w:rsid w:val="00F41545"/>
    <w:rsid w:val="00F41EEA"/>
    <w:rsid w:val="00F4341D"/>
    <w:rsid w:val="00F4545C"/>
    <w:rsid w:val="00F45E80"/>
    <w:rsid w:val="00F50177"/>
    <w:rsid w:val="00F51132"/>
    <w:rsid w:val="00F51CC5"/>
    <w:rsid w:val="00F51F90"/>
    <w:rsid w:val="00F567BF"/>
    <w:rsid w:val="00F56AC0"/>
    <w:rsid w:val="00F56F0E"/>
    <w:rsid w:val="00F56F47"/>
    <w:rsid w:val="00F57335"/>
    <w:rsid w:val="00F57A39"/>
    <w:rsid w:val="00F6031B"/>
    <w:rsid w:val="00F60E57"/>
    <w:rsid w:val="00F61F72"/>
    <w:rsid w:val="00F62680"/>
    <w:rsid w:val="00F63723"/>
    <w:rsid w:val="00F63BA4"/>
    <w:rsid w:val="00F65E9E"/>
    <w:rsid w:val="00F7025D"/>
    <w:rsid w:val="00F72085"/>
    <w:rsid w:val="00F73FF5"/>
    <w:rsid w:val="00F74EFB"/>
    <w:rsid w:val="00F7581D"/>
    <w:rsid w:val="00F76F54"/>
    <w:rsid w:val="00F7712A"/>
    <w:rsid w:val="00F77955"/>
    <w:rsid w:val="00F803F8"/>
    <w:rsid w:val="00F8144D"/>
    <w:rsid w:val="00F81E4C"/>
    <w:rsid w:val="00F82B0E"/>
    <w:rsid w:val="00F8415B"/>
    <w:rsid w:val="00F84424"/>
    <w:rsid w:val="00F865DC"/>
    <w:rsid w:val="00F869F8"/>
    <w:rsid w:val="00F86B46"/>
    <w:rsid w:val="00F86BE3"/>
    <w:rsid w:val="00F87CE0"/>
    <w:rsid w:val="00F90281"/>
    <w:rsid w:val="00F90EFD"/>
    <w:rsid w:val="00F926D8"/>
    <w:rsid w:val="00F93F4C"/>
    <w:rsid w:val="00F9535B"/>
    <w:rsid w:val="00F95DE8"/>
    <w:rsid w:val="00F962C7"/>
    <w:rsid w:val="00F96FD2"/>
    <w:rsid w:val="00F9780A"/>
    <w:rsid w:val="00FA06AC"/>
    <w:rsid w:val="00FA0E40"/>
    <w:rsid w:val="00FA13F8"/>
    <w:rsid w:val="00FA1906"/>
    <w:rsid w:val="00FA2EC0"/>
    <w:rsid w:val="00FA31AD"/>
    <w:rsid w:val="00FA3F1F"/>
    <w:rsid w:val="00FA47E1"/>
    <w:rsid w:val="00FA4EA3"/>
    <w:rsid w:val="00FA7C37"/>
    <w:rsid w:val="00FA7E33"/>
    <w:rsid w:val="00FB0933"/>
    <w:rsid w:val="00FB13E0"/>
    <w:rsid w:val="00FB38D6"/>
    <w:rsid w:val="00FB4CA8"/>
    <w:rsid w:val="00FB4E9D"/>
    <w:rsid w:val="00FB5EBA"/>
    <w:rsid w:val="00FB6002"/>
    <w:rsid w:val="00FB6B34"/>
    <w:rsid w:val="00FB7458"/>
    <w:rsid w:val="00FC07C4"/>
    <w:rsid w:val="00FC1619"/>
    <w:rsid w:val="00FC19E8"/>
    <w:rsid w:val="00FC22CF"/>
    <w:rsid w:val="00FC3B31"/>
    <w:rsid w:val="00FC43D1"/>
    <w:rsid w:val="00FC4541"/>
    <w:rsid w:val="00FC5866"/>
    <w:rsid w:val="00FC5A75"/>
    <w:rsid w:val="00FC5B63"/>
    <w:rsid w:val="00FC5E53"/>
    <w:rsid w:val="00FD0BDA"/>
    <w:rsid w:val="00FD3EB9"/>
    <w:rsid w:val="00FD417B"/>
    <w:rsid w:val="00FD4975"/>
    <w:rsid w:val="00FD4992"/>
    <w:rsid w:val="00FD69D3"/>
    <w:rsid w:val="00FD79FF"/>
    <w:rsid w:val="00FE297B"/>
    <w:rsid w:val="00FE3880"/>
    <w:rsid w:val="00FE47DF"/>
    <w:rsid w:val="00FE7555"/>
    <w:rsid w:val="00FE75DD"/>
    <w:rsid w:val="00FF0C5F"/>
    <w:rsid w:val="00FF0CC1"/>
    <w:rsid w:val="00FF253E"/>
    <w:rsid w:val="00FF274C"/>
    <w:rsid w:val="00FF2B67"/>
    <w:rsid w:val="00FF354D"/>
    <w:rsid w:val="00FF61E2"/>
    <w:rsid w:val="00FF61F5"/>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stroke="f">
      <v:fill color="white" opacity="0"/>
      <v:stroke on="f"/>
      <o:colormru v:ext="edit" colors="#ddd,#cfcfcf,#cacaca,#66f,blue,#ccd3e1,#002469,#3350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A52C5"/>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F72085"/>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8F7F16"/>
    <w:pPr>
      <w:keepNext/>
      <w:tabs>
        <w:tab w:val="left" w:pos="567"/>
      </w:tabs>
      <w:spacing w:before="120" w:after="180" w:line="300" w:lineRule="atLeast"/>
      <w:ind w:left="170" w:right="170"/>
      <w:jc w:val="center"/>
      <w:outlineLvl w:val="1"/>
    </w:pPr>
    <w:rPr>
      <w:rFonts w:ascii="Times New Roman" w:hAnsi="Times New Roman"/>
      <w:b/>
      <w:spacing w:val="20"/>
      <w:w w:val="90"/>
      <w:sz w:val="32"/>
      <w:szCs w:val="32"/>
    </w:rPr>
  </w:style>
  <w:style w:type="paragraph" w:styleId="Heading3">
    <w:name w:val="heading 3"/>
    <w:basedOn w:val="Heading2"/>
    <w:next w:val="Normal"/>
    <w:link w:val="Heading3Char"/>
    <w:qFormat/>
    <w:rsid w:val="00374E9A"/>
    <w:pPr>
      <w:spacing w:before="200"/>
      <w:outlineLvl w:val="2"/>
    </w:pPr>
    <w:rPr>
      <w:sz w:val="24"/>
      <w:szCs w:val="22"/>
    </w:rPr>
  </w:style>
  <w:style w:type="paragraph" w:styleId="Heading4">
    <w:name w:val="heading 4"/>
    <w:basedOn w:val="Normal"/>
    <w:next w:val="Normal"/>
    <w:link w:val="Heading4Char"/>
    <w:qFormat/>
    <w:rsid w:val="00961DC0"/>
    <w:pPr>
      <w:spacing w:before="120" w:after="200" w:line="240" w:lineRule="auto"/>
      <w:outlineLvl w:val="3"/>
    </w:pPr>
    <w:rPr>
      <w:b/>
      <w:bCs/>
      <w:color w:val="335087"/>
      <w:sz w:val="20"/>
    </w:rPr>
  </w:style>
  <w:style w:type="paragraph" w:styleId="Heading5">
    <w:name w:val="heading 5"/>
    <w:basedOn w:val="Normal"/>
    <w:next w:val="Normal"/>
    <w:qFormat/>
    <w:rsid w:val="00504E3C"/>
    <w:pPr>
      <w:keepNext/>
      <w:widowControl w:val="0"/>
      <w:spacing w:before="80" w:after="120"/>
      <w:outlineLvl w:val="4"/>
    </w:pPr>
    <w:rPr>
      <w:color w:val="000000"/>
      <w:szCs w:val="22"/>
    </w:rPr>
  </w:style>
  <w:style w:type="paragraph" w:styleId="Heading6">
    <w:name w:val="heading 6"/>
    <w:basedOn w:val="Normal"/>
    <w:next w:val="Normal"/>
    <w:qFormat/>
    <w:rsid w:val="00504E3C"/>
    <w:pPr>
      <w:spacing w:before="240"/>
      <w:outlineLvl w:val="5"/>
    </w:pPr>
    <w:rPr>
      <w:i/>
      <w:sz w:val="20"/>
    </w:rPr>
  </w:style>
  <w:style w:type="paragraph" w:styleId="Heading7">
    <w:name w:val="heading 7"/>
    <w:basedOn w:val="Normal"/>
    <w:next w:val="Normal"/>
    <w:qFormat/>
    <w:rsid w:val="00504E3C"/>
    <w:pPr>
      <w:spacing w:before="240"/>
      <w:outlineLvl w:val="6"/>
    </w:pPr>
    <w:rPr>
      <w:sz w:val="20"/>
    </w:rPr>
  </w:style>
  <w:style w:type="paragraph" w:styleId="Heading8">
    <w:name w:val="heading 8"/>
    <w:basedOn w:val="Normal"/>
    <w:next w:val="Normal"/>
    <w:qFormat/>
    <w:rsid w:val="00504E3C"/>
    <w:pPr>
      <w:spacing w:before="80" w:after="80"/>
      <w:outlineLvl w:val="7"/>
    </w:pPr>
    <w:rPr>
      <w:sz w:val="20"/>
    </w:rPr>
  </w:style>
  <w:style w:type="paragraph" w:styleId="Heading9">
    <w:name w:val="heading 9"/>
    <w:next w:val="Normal"/>
    <w:qFormat/>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085"/>
    <w:rPr>
      <w:rFonts w:ascii="Arial" w:hAnsi="Arial"/>
      <w:b/>
      <w:color w:val="002469"/>
      <w:spacing w:val="20"/>
      <w:w w:val="90"/>
      <w:sz w:val="44"/>
      <w:szCs w:val="44"/>
      <w:lang w:val="en-GB" w:eastAsia="en-GB"/>
    </w:rPr>
  </w:style>
  <w:style w:type="character" w:customStyle="1" w:styleId="Heading2Char">
    <w:name w:val="Heading 2 Char"/>
    <w:basedOn w:val="DefaultParagraphFont"/>
    <w:link w:val="Heading2"/>
    <w:rsid w:val="008F7F16"/>
    <w:rPr>
      <w:b/>
      <w:spacing w:val="20"/>
      <w:w w:val="90"/>
      <w:sz w:val="32"/>
      <w:szCs w:val="32"/>
      <w:lang w:val="en-GB" w:eastAsia="en-GB" w:bidi="ar-SA"/>
    </w:rPr>
  </w:style>
  <w:style w:type="character" w:customStyle="1" w:styleId="Heading3Char">
    <w:name w:val="Heading 3 Char"/>
    <w:basedOn w:val="DefaultParagraphFont"/>
    <w:link w:val="Heading3"/>
    <w:rsid w:val="000545DC"/>
    <w:rPr>
      <w:rFonts w:ascii="Arial" w:hAnsi="Arial"/>
      <w:b/>
      <w:color w:val="335087"/>
      <w:spacing w:val="20"/>
      <w:w w:val="90"/>
      <w:sz w:val="24"/>
      <w:szCs w:val="22"/>
      <w:lang w:val="en-GB" w:eastAsia="en-GB"/>
    </w:rPr>
  </w:style>
  <w:style w:type="character" w:customStyle="1" w:styleId="Heading4Char">
    <w:name w:val="Heading 4 Char"/>
    <w:basedOn w:val="DefaultParagraphFont"/>
    <w:link w:val="Heading4"/>
    <w:rsid w:val="000545DC"/>
    <w:rPr>
      <w:rFonts w:ascii="Arial" w:hAnsi="Arial"/>
      <w:b/>
      <w:bCs/>
      <w:color w:val="335087"/>
      <w:lang w:val="en-GB" w:eastAsia="en-GB"/>
    </w:rPr>
  </w:style>
  <w:style w:type="paragraph" w:styleId="Header">
    <w:name w:val="header"/>
    <w:basedOn w:val="Normal"/>
    <w:link w:val="HeaderChar"/>
    <w:rsid w:val="004C2B29"/>
    <w:pPr>
      <w:tabs>
        <w:tab w:val="center" w:pos="4153"/>
        <w:tab w:val="right" w:pos="8306"/>
      </w:tabs>
    </w:pPr>
  </w:style>
  <w:style w:type="character" w:customStyle="1" w:styleId="HeaderChar">
    <w:name w:val="Header Char"/>
    <w:basedOn w:val="DefaultParagraphFont"/>
    <w:link w:val="Header"/>
    <w:rsid w:val="000545DC"/>
    <w:rPr>
      <w:rFonts w:ascii="Arial" w:hAnsi="Arial"/>
      <w:sz w:val="22"/>
      <w:lang w:val="en-GB" w:eastAsia="en-GB"/>
    </w:rPr>
  </w:style>
  <w:style w:type="paragraph" w:styleId="Footer">
    <w:name w:val="footer"/>
    <w:basedOn w:val="Normal"/>
    <w:link w:val="FooterChar"/>
    <w:autoRedefine/>
    <w:uiPriority w:val="99"/>
    <w:rsid w:val="00594805"/>
    <w:pPr>
      <w:spacing w:after="0" w:line="240" w:lineRule="auto"/>
      <w:jc w:val="center"/>
    </w:pPr>
    <w:rPr>
      <w:noProof/>
      <w:color w:val="002469"/>
      <w:spacing w:val="6"/>
      <w:sz w:val="16"/>
      <w:szCs w:val="16"/>
    </w:rPr>
  </w:style>
  <w:style w:type="character" w:customStyle="1" w:styleId="FooterChar">
    <w:name w:val="Footer Char"/>
    <w:basedOn w:val="DefaultParagraphFont"/>
    <w:link w:val="Footer"/>
    <w:uiPriority w:val="99"/>
    <w:rsid w:val="00594805"/>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link w:val="BalloonTextChar"/>
    <w:uiPriority w:val="99"/>
    <w:semiHidden/>
    <w:rsid w:val="00504E3C"/>
    <w:rPr>
      <w:rFonts w:ascii="Tahoma" w:hAnsi="Tahoma" w:cs="Tahoma"/>
      <w:sz w:val="16"/>
      <w:szCs w:val="16"/>
    </w:rPr>
  </w:style>
  <w:style w:type="character" w:customStyle="1" w:styleId="BalloonTextChar">
    <w:name w:val="Balloon Text Char"/>
    <w:basedOn w:val="DefaultParagraphFont"/>
    <w:link w:val="BalloonText"/>
    <w:uiPriority w:val="99"/>
    <w:semiHidden/>
    <w:rsid w:val="000545DC"/>
    <w:rPr>
      <w:rFonts w:ascii="Tahoma" w:hAnsi="Tahoma" w:cs="Tahoma"/>
      <w:sz w:val="16"/>
      <w:szCs w:val="16"/>
      <w:lang w:val="en-GB" w:eastAsia="en-GB"/>
    </w:rPr>
  </w:style>
  <w:style w:type="paragraph" w:styleId="Caption">
    <w:name w:val="caption"/>
    <w:basedOn w:val="Normal"/>
    <w:next w:val="Normal"/>
    <w:qFormat/>
    <w:rsid w:val="006A3F76"/>
    <w:rPr>
      <w:b/>
      <w:bCs/>
      <w:sz w:val="20"/>
    </w:rPr>
  </w:style>
  <w:style w:type="paragraph" w:styleId="FootnoteText">
    <w:name w:val="footnote text"/>
    <w:basedOn w:val="Normal"/>
    <w:link w:val="FootnoteTextChar"/>
    <w:semiHidden/>
    <w:rsid w:val="00504E3C"/>
    <w:pPr>
      <w:tabs>
        <w:tab w:val="left" w:pos="425"/>
      </w:tabs>
      <w:spacing w:after="60" w:line="240" w:lineRule="auto"/>
      <w:ind w:left="425" w:hanging="425"/>
    </w:pPr>
    <w:rPr>
      <w:sz w:val="18"/>
    </w:rPr>
  </w:style>
  <w:style w:type="character" w:customStyle="1" w:styleId="FootnoteTextChar">
    <w:name w:val="Footnote Text Char"/>
    <w:basedOn w:val="DefaultParagraphFont"/>
    <w:link w:val="FootnoteText"/>
    <w:semiHidden/>
    <w:rsid w:val="000545DC"/>
    <w:rPr>
      <w:rFonts w:ascii="Arial" w:hAnsi="Arial"/>
      <w:sz w:val="18"/>
      <w:lang w:val="en-GB" w:eastAsia="en-GB"/>
    </w:rPr>
  </w:style>
  <w:style w:type="character" w:styleId="FootnoteReference">
    <w:name w:val="footnote reference"/>
    <w:basedOn w:val="DefaultParagraphFont"/>
    <w:semiHidden/>
    <w:rsid w:val="00504E3C"/>
    <w:rPr>
      <w:rFonts w:ascii="Arial" w:hAnsi="Arial"/>
      <w:color w:val="auto"/>
      <w:position w:val="8"/>
      <w:sz w:val="16"/>
    </w:rPr>
  </w:style>
  <w:style w:type="paragraph" w:styleId="TOC1">
    <w:name w:val="toc 1"/>
    <w:basedOn w:val="Normal"/>
    <w:next w:val="Normal"/>
    <w:uiPriority w:val="39"/>
    <w:rsid w:val="00504E3C"/>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D56336"/>
    <w:pPr>
      <w:tabs>
        <w:tab w:val="right" w:leader="dot" w:pos="9214"/>
      </w:tabs>
      <w:spacing w:before="100" w:after="100"/>
      <w:ind w:left="709" w:right="284"/>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tabs>
        <w:tab w:val="num" w:pos="426"/>
      </w:tabs>
      <w:spacing w:before="80"/>
      <w:ind w:left="426" w:hanging="284"/>
    </w:pPr>
  </w:style>
  <w:style w:type="paragraph" w:customStyle="1" w:styleId="Boxheading">
    <w:name w:val="Box heading"/>
    <w:basedOn w:val="Boxtext"/>
    <w:next w:val="Boxtext"/>
    <w:autoRedefine/>
    <w:rsid w:val="00E73BE0"/>
    <w:pPr>
      <w:spacing w:before="80"/>
    </w:pPr>
    <w:rPr>
      <w:rFonts w:ascii="Arial Narrow" w:hAnsi="Arial Narrow"/>
      <w:b/>
      <w:color w:val="336699"/>
      <w:spacing w:val="10"/>
      <w:sz w:val="22"/>
    </w:rPr>
  </w:style>
  <w:style w:type="paragraph" w:customStyle="1" w:styleId="Bullet-list">
    <w:name w:val="Bullet-list"/>
    <w:qFormat/>
    <w:rsid w:val="00CA5DA4"/>
    <w:pPr>
      <w:spacing w:after="180" w:line="280" w:lineRule="exact"/>
      <w:ind w:left="284" w:hanging="284"/>
    </w:pPr>
    <w:rPr>
      <w:rFonts w:ascii="Arial" w:hAnsi="Arial"/>
      <w:sz w:val="22"/>
      <w:lang w:val="en-AU" w:eastAsia="en-US"/>
    </w:rPr>
  </w:style>
  <w:style w:type="paragraph" w:customStyle="1" w:styleId="EvenFooter">
    <w:name w:val="Even Footer"/>
    <w:basedOn w:val="Footer"/>
    <w:rsid w:val="0054782B"/>
    <w:pPr>
      <w:jc w:val="left"/>
    </w:pPr>
  </w:style>
  <w:style w:type="table" w:styleId="TableGrid">
    <w:name w:val="Table Grid"/>
    <w:basedOn w:val="TableNormal"/>
    <w:uiPriority w:val="59"/>
    <w:rsid w:val="00504E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qFormat/>
    <w:rsid w:val="00504E3C"/>
    <w:pPr>
      <w:autoSpaceDE w:val="0"/>
      <w:autoSpaceDN w:val="0"/>
      <w:adjustRightInd w:val="0"/>
      <w:spacing w:before="60" w:after="60" w:line="240" w:lineRule="atLeast"/>
    </w:pPr>
    <w:rPr>
      <w:rFonts w:cs="GillSans"/>
      <w:sz w:val="20"/>
      <w:szCs w:val="22"/>
      <w:lang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uiPriority w:val="99"/>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qFormat/>
    <w:rsid w:val="00DF4E1F"/>
    <w:pPr>
      <w:widowControl w:val="0"/>
      <w:autoSpaceDE w:val="0"/>
      <w:autoSpaceDN w:val="0"/>
      <w:adjustRightInd w:val="0"/>
      <w:spacing w:before="240" w:line="600" w:lineRule="exact"/>
      <w:jc w:val="right"/>
    </w:pPr>
    <w:rPr>
      <w:rFonts w:cs="Arial"/>
      <w:color w:val="001C4D"/>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rsid w:val="00BF2DF2"/>
    <w:pPr>
      <w:spacing w:after="0" w:line="240" w:lineRule="auto"/>
    </w:pPr>
    <w:rPr>
      <w:sz w:val="16"/>
      <w:szCs w:val="22"/>
      <w:lang w:eastAsia="en-AU"/>
    </w:rPr>
  </w:style>
  <w:style w:type="paragraph" w:styleId="Subtitle">
    <w:name w:val="Subtitle"/>
    <w:basedOn w:val="Title"/>
    <w:next w:val="Normal"/>
    <w:link w:val="SubtitleChar"/>
    <w:qFormat/>
    <w:rsid w:val="007B435A"/>
    <w:pPr>
      <w:ind w:left="1735"/>
    </w:pPr>
  </w:style>
  <w:style w:type="character" w:customStyle="1" w:styleId="SubtitleChar">
    <w:name w:val="Subtitle Char"/>
    <w:basedOn w:val="DefaultParagraphFont"/>
    <w:link w:val="Subtitle"/>
    <w:rsid w:val="007B435A"/>
    <w:rPr>
      <w:rFonts w:ascii="Arial" w:hAnsi="Arial" w:cs="Arial"/>
      <w:color w:val="001C4D"/>
      <w:spacing w:val="40"/>
      <w:w w:val="90"/>
      <w:sz w:val="48"/>
      <w:szCs w:val="48"/>
      <w:lang w:val="en-GB" w:eastAsia="en-GB"/>
    </w:rPr>
  </w:style>
  <w:style w:type="paragraph" w:styleId="ListParagraph">
    <w:name w:val="List Paragraph"/>
    <w:basedOn w:val="Normal"/>
    <w:uiPriority w:val="34"/>
    <w:qFormat/>
    <w:rsid w:val="000545DC"/>
    <w:pPr>
      <w:spacing w:after="0" w:line="240" w:lineRule="auto"/>
      <w:ind w:left="720"/>
      <w:contextualSpacing/>
      <w:jc w:val="both"/>
    </w:pPr>
    <w:rPr>
      <w:lang w:val="en-NZ" w:eastAsia="en-US"/>
    </w:rPr>
  </w:style>
  <w:style w:type="paragraph" w:styleId="TOCHeading">
    <w:name w:val="TOC Heading"/>
    <w:basedOn w:val="Heading1"/>
    <w:next w:val="Normal"/>
    <w:uiPriority w:val="39"/>
    <w:qFormat/>
    <w:rsid w:val="00E940AC"/>
    <w:pPr>
      <w:keepNext/>
      <w:keepLines/>
      <w:spacing w:before="480" w:after="0" w:line="276" w:lineRule="auto"/>
      <w:outlineLvl w:val="9"/>
    </w:pPr>
    <w:rPr>
      <w:rFonts w:ascii="Cambria" w:hAnsi="Cambria"/>
      <w:bCs/>
      <w:color w:val="365F91"/>
      <w:spacing w:val="0"/>
      <w:w w:val="100"/>
      <w:sz w:val="28"/>
      <w:szCs w:val="28"/>
      <w:lang w:val="en-US" w:eastAsia="en-US"/>
    </w:rPr>
  </w:style>
  <w:style w:type="paragraph" w:styleId="NormalWeb">
    <w:name w:val="Normal (Web)"/>
    <w:basedOn w:val="Normal"/>
    <w:uiPriority w:val="99"/>
    <w:unhideWhenUsed/>
    <w:rsid w:val="000545DC"/>
    <w:pPr>
      <w:spacing w:before="100" w:beforeAutospacing="1" w:after="100" w:afterAutospacing="1" w:line="240" w:lineRule="auto"/>
    </w:pPr>
    <w:rPr>
      <w:rFonts w:ascii="Times New Roman" w:hAnsi="Times New Roman"/>
      <w:sz w:val="24"/>
      <w:szCs w:val="24"/>
      <w:lang w:val="en-NZ" w:eastAsia="en-NZ"/>
    </w:rPr>
  </w:style>
  <w:style w:type="paragraph" w:customStyle="1" w:styleId="Text">
    <w:name w:val="Text"/>
    <w:basedOn w:val="Normal"/>
    <w:link w:val="TextChar"/>
    <w:rsid w:val="000545DC"/>
    <w:pPr>
      <w:spacing w:before="120" w:after="120" w:line="300" w:lineRule="exact"/>
      <w:jc w:val="both"/>
    </w:pPr>
    <w:rPr>
      <w:lang w:eastAsia="en-US"/>
    </w:rPr>
  </w:style>
  <w:style w:type="character" w:customStyle="1" w:styleId="TextChar">
    <w:name w:val="Text Char"/>
    <w:basedOn w:val="DefaultParagraphFont"/>
    <w:link w:val="Text"/>
    <w:rsid w:val="000545DC"/>
    <w:rPr>
      <w:rFonts w:ascii="Arial" w:hAnsi="Arial"/>
      <w:sz w:val="22"/>
      <w:lang w:val="en-GB" w:eastAsia="en-US"/>
    </w:rPr>
  </w:style>
  <w:style w:type="paragraph" w:customStyle="1" w:styleId="CabStandard">
    <w:name w:val="CabStandard"/>
    <w:basedOn w:val="Normal"/>
    <w:rsid w:val="000545DC"/>
    <w:pPr>
      <w:numPr>
        <w:numId w:val="2"/>
      </w:numPr>
      <w:spacing w:line="240" w:lineRule="auto"/>
    </w:pPr>
    <w:rPr>
      <w:rFonts w:ascii="Times New Roman" w:hAnsi="Times New Roman"/>
      <w:sz w:val="24"/>
      <w:lang w:eastAsia="ja-JP"/>
    </w:rPr>
  </w:style>
  <w:style w:type="paragraph" w:customStyle="1" w:styleId="BulletPoints">
    <w:name w:val="Bullet Points"/>
    <w:basedOn w:val="Normal"/>
    <w:rsid w:val="000545DC"/>
    <w:pPr>
      <w:tabs>
        <w:tab w:val="num" w:pos="1440"/>
      </w:tabs>
      <w:overflowPunct w:val="0"/>
      <w:autoSpaceDE w:val="0"/>
      <w:autoSpaceDN w:val="0"/>
      <w:adjustRightInd w:val="0"/>
      <w:spacing w:line="240" w:lineRule="auto"/>
      <w:ind w:left="1440" w:hanging="720"/>
      <w:jc w:val="both"/>
      <w:textAlignment w:val="baseline"/>
    </w:pPr>
    <w:rPr>
      <w:sz w:val="24"/>
      <w:lang w:val="en-NZ" w:eastAsia="en-US" w:bidi="ar-DZ"/>
    </w:rPr>
  </w:style>
  <w:style w:type="character" w:customStyle="1" w:styleId="CommentTextChar">
    <w:name w:val="Comment Text Char"/>
    <w:basedOn w:val="DefaultParagraphFont"/>
    <w:link w:val="CommentText"/>
    <w:uiPriority w:val="99"/>
    <w:semiHidden/>
    <w:rsid w:val="00912FE6"/>
    <w:rPr>
      <w:rFonts w:ascii="Arial" w:hAnsi="Arial"/>
      <w:lang w:val="en-GB" w:eastAsia="en-GB"/>
    </w:rPr>
  </w:style>
  <w:style w:type="paragraph" w:customStyle="1" w:styleId="Boxheading2">
    <w:name w:val="Box heading 2"/>
    <w:basedOn w:val="Boxheading"/>
    <w:qFormat/>
    <w:rsid w:val="000F162C"/>
    <w:rPr>
      <w:rFonts w:ascii="Arial" w:hAnsi="Arial" w:cs="Arial"/>
      <w:b w:val="0"/>
      <w:sz w:val="20"/>
    </w:rPr>
  </w:style>
  <w:style w:type="character" w:styleId="PageNumber">
    <w:name w:val="page number"/>
    <w:basedOn w:val="DefaultParagraphFont"/>
    <w:rsid w:val="009F7B9A"/>
  </w:style>
  <w:style w:type="paragraph" w:customStyle="1" w:styleId="RISheading">
    <w:name w:val="RIS heading"/>
    <w:basedOn w:val="Heading3"/>
    <w:rsid w:val="00D943DD"/>
    <w:pPr>
      <w:spacing w:before="240"/>
      <w:ind w:left="0"/>
      <w:jc w:val="left"/>
    </w:pPr>
    <w:rPr>
      <w:szCs w:val="24"/>
    </w:rPr>
  </w:style>
  <w:style w:type="table" w:customStyle="1" w:styleId="TableGrid1">
    <w:name w:val="Table Grid1"/>
    <w:basedOn w:val="TableNormal"/>
    <w:next w:val="TableGrid"/>
    <w:rsid w:val="00594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nancialtableLHC">
    <w:name w:val="Financial table LHC"/>
    <w:basedOn w:val="Normal"/>
    <w:qFormat/>
    <w:rsid w:val="00D86AB1"/>
    <w:pPr>
      <w:keepLines/>
      <w:spacing w:after="0" w:line="240" w:lineRule="auto"/>
      <w:contextualSpacing/>
    </w:pPr>
    <w:rPr>
      <w:rFonts w:ascii="Calibri" w:eastAsiaTheme="minorHAnsi" w:hAnsi="Calibri"/>
      <w:szCs w:val="24"/>
      <w:lang w:val="en-NZ" w:eastAsia="en-US"/>
    </w:rPr>
  </w:style>
  <w:style w:type="paragraph" w:styleId="Revision">
    <w:name w:val="Revision"/>
    <w:hidden/>
    <w:uiPriority w:val="99"/>
    <w:semiHidden/>
    <w:rsid w:val="00D47807"/>
    <w:rPr>
      <w:rFonts w:ascii="Arial" w:hAnsi="Arial"/>
      <w:sz w:val="22"/>
      <w:lang w:val="en-GB" w:eastAsia="en-GB"/>
    </w:rPr>
  </w:style>
  <w:style w:type="paragraph" w:customStyle="1" w:styleId="Numberparagraph">
    <w:name w:val="Number paragraph"/>
    <w:basedOn w:val="Normal"/>
    <w:qFormat/>
    <w:rsid w:val="003C4AAE"/>
    <w:pPr>
      <w:numPr>
        <w:numId w:val="33"/>
      </w:numPr>
      <w:tabs>
        <w:tab w:val="left" w:pos="567"/>
      </w:tabs>
      <w:spacing w:after="0" w:line="240" w:lineRule="auto"/>
      <w:jc w:val="both"/>
    </w:pPr>
    <w:rPr>
      <w:rFonts w:ascii="Times New Roman" w:hAnsi="Times New Roman"/>
      <w:sz w:val="24"/>
      <w:szCs w:val="24"/>
      <w:lang w:val="en-NZ"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A52C5"/>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F72085"/>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8F7F16"/>
    <w:pPr>
      <w:keepNext/>
      <w:tabs>
        <w:tab w:val="left" w:pos="567"/>
      </w:tabs>
      <w:spacing w:before="120" w:after="180" w:line="300" w:lineRule="atLeast"/>
      <w:ind w:left="170" w:right="170"/>
      <w:jc w:val="center"/>
      <w:outlineLvl w:val="1"/>
    </w:pPr>
    <w:rPr>
      <w:rFonts w:ascii="Times New Roman" w:hAnsi="Times New Roman"/>
      <w:b/>
      <w:spacing w:val="20"/>
      <w:w w:val="90"/>
      <w:sz w:val="32"/>
      <w:szCs w:val="32"/>
    </w:rPr>
  </w:style>
  <w:style w:type="paragraph" w:styleId="Heading3">
    <w:name w:val="heading 3"/>
    <w:basedOn w:val="Heading2"/>
    <w:next w:val="Normal"/>
    <w:link w:val="Heading3Char"/>
    <w:qFormat/>
    <w:rsid w:val="00374E9A"/>
    <w:pPr>
      <w:spacing w:before="200"/>
      <w:outlineLvl w:val="2"/>
    </w:pPr>
    <w:rPr>
      <w:sz w:val="24"/>
      <w:szCs w:val="22"/>
    </w:rPr>
  </w:style>
  <w:style w:type="paragraph" w:styleId="Heading4">
    <w:name w:val="heading 4"/>
    <w:basedOn w:val="Normal"/>
    <w:next w:val="Normal"/>
    <w:link w:val="Heading4Char"/>
    <w:qFormat/>
    <w:rsid w:val="00961DC0"/>
    <w:pPr>
      <w:spacing w:before="120" w:after="200" w:line="240" w:lineRule="auto"/>
      <w:outlineLvl w:val="3"/>
    </w:pPr>
    <w:rPr>
      <w:b/>
      <w:bCs/>
      <w:color w:val="335087"/>
      <w:sz w:val="20"/>
    </w:rPr>
  </w:style>
  <w:style w:type="paragraph" w:styleId="Heading5">
    <w:name w:val="heading 5"/>
    <w:basedOn w:val="Normal"/>
    <w:next w:val="Normal"/>
    <w:qFormat/>
    <w:rsid w:val="00504E3C"/>
    <w:pPr>
      <w:keepNext/>
      <w:widowControl w:val="0"/>
      <w:spacing w:before="80" w:after="120"/>
      <w:outlineLvl w:val="4"/>
    </w:pPr>
    <w:rPr>
      <w:color w:val="000000"/>
      <w:szCs w:val="22"/>
    </w:rPr>
  </w:style>
  <w:style w:type="paragraph" w:styleId="Heading6">
    <w:name w:val="heading 6"/>
    <w:basedOn w:val="Normal"/>
    <w:next w:val="Normal"/>
    <w:qFormat/>
    <w:rsid w:val="00504E3C"/>
    <w:pPr>
      <w:spacing w:before="240"/>
      <w:outlineLvl w:val="5"/>
    </w:pPr>
    <w:rPr>
      <w:i/>
      <w:sz w:val="20"/>
    </w:rPr>
  </w:style>
  <w:style w:type="paragraph" w:styleId="Heading7">
    <w:name w:val="heading 7"/>
    <w:basedOn w:val="Normal"/>
    <w:next w:val="Normal"/>
    <w:qFormat/>
    <w:rsid w:val="00504E3C"/>
    <w:pPr>
      <w:spacing w:before="240"/>
      <w:outlineLvl w:val="6"/>
    </w:pPr>
    <w:rPr>
      <w:sz w:val="20"/>
    </w:rPr>
  </w:style>
  <w:style w:type="paragraph" w:styleId="Heading8">
    <w:name w:val="heading 8"/>
    <w:basedOn w:val="Normal"/>
    <w:next w:val="Normal"/>
    <w:qFormat/>
    <w:rsid w:val="00504E3C"/>
    <w:pPr>
      <w:spacing w:before="80" w:after="80"/>
      <w:outlineLvl w:val="7"/>
    </w:pPr>
    <w:rPr>
      <w:sz w:val="20"/>
    </w:rPr>
  </w:style>
  <w:style w:type="paragraph" w:styleId="Heading9">
    <w:name w:val="heading 9"/>
    <w:next w:val="Normal"/>
    <w:qFormat/>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085"/>
    <w:rPr>
      <w:rFonts w:ascii="Arial" w:hAnsi="Arial"/>
      <w:b/>
      <w:color w:val="002469"/>
      <w:spacing w:val="20"/>
      <w:w w:val="90"/>
      <w:sz w:val="44"/>
      <w:szCs w:val="44"/>
      <w:lang w:val="en-GB" w:eastAsia="en-GB"/>
    </w:rPr>
  </w:style>
  <w:style w:type="character" w:customStyle="1" w:styleId="Heading2Char">
    <w:name w:val="Heading 2 Char"/>
    <w:basedOn w:val="DefaultParagraphFont"/>
    <w:link w:val="Heading2"/>
    <w:rsid w:val="008F7F16"/>
    <w:rPr>
      <w:b/>
      <w:spacing w:val="20"/>
      <w:w w:val="90"/>
      <w:sz w:val="32"/>
      <w:szCs w:val="32"/>
      <w:lang w:val="en-GB" w:eastAsia="en-GB" w:bidi="ar-SA"/>
    </w:rPr>
  </w:style>
  <w:style w:type="character" w:customStyle="1" w:styleId="Heading3Char">
    <w:name w:val="Heading 3 Char"/>
    <w:basedOn w:val="DefaultParagraphFont"/>
    <w:link w:val="Heading3"/>
    <w:rsid w:val="000545DC"/>
    <w:rPr>
      <w:rFonts w:ascii="Arial" w:hAnsi="Arial"/>
      <w:b/>
      <w:color w:val="335087"/>
      <w:spacing w:val="20"/>
      <w:w w:val="90"/>
      <w:sz w:val="24"/>
      <w:szCs w:val="22"/>
      <w:lang w:val="en-GB" w:eastAsia="en-GB"/>
    </w:rPr>
  </w:style>
  <w:style w:type="character" w:customStyle="1" w:styleId="Heading4Char">
    <w:name w:val="Heading 4 Char"/>
    <w:basedOn w:val="DefaultParagraphFont"/>
    <w:link w:val="Heading4"/>
    <w:rsid w:val="000545DC"/>
    <w:rPr>
      <w:rFonts w:ascii="Arial" w:hAnsi="Arial"/>
      <w:b/>
      <w:bCs/>
      <w:color w:val="335087"/>
      <w:lang w:val="en-GB" w:eastAsia="en-GB"/>
    </w:rPr>
  </w:style>
  <w:style w:type="paragraph" w:styleId="Header">
    <w:name w:val="header"/>
    <w:basedOn w:val="Normal"/>
    <w:link w:val="HeaderChar"/>
    <w:rsid w:val="004C2B29"/>
    <w:pPr>
      <w:tabs>
        <w:tab w:val="center" w:pos="4153"/>
        <w:tab w:val="right" w:pos="8306"/>
      </w:tabs>
    </w:pPr>
  </w:style>
  <w:style w:type="character" w:customStyle="1" w:styleId="HeaderChar">
    <w:name w:val="Header Char"/>
    <w:basedOn w:val="DefaultParagraphFont"/>
    <w:link w:val="Header"/>
    <w:rsid w:val="000545DC"/>
    <w:rPr>
      <w:rFonts w:ascii="Arial" w:hAnsi="Arial"/>
      <w:sz w:val="22"/>
      <w:lang w:val="en-GB" w:eastAsia="en-GB"/>
    </w:rPr>
  </w:style>
  <w:style w:type="paragraph" w:styleId="Footer">
    <w:name w:val="footer"/>
    <w:basedOn w:val="Normal"/>
    <w:link w:val="FooterChar"/>
    <w:autoRedefine/>
    <w:uiPriority w:val="99"/>
    <w:rsid w:val="00594805"/>
    <w:pPr>
      <w:spacing w:after="0" w:line="240" w:lineRule="auto"/>
      <w:jc w:val="center"/>
    </w:pPr>
    <w:rPr>
      <w:noProof/>
      <w:color w:val="002469"/>
      <w:spacing w:val="6"/>
      <w:sz w:val="16"/>
      <w:szCs w:val="16"/>
    </w:rPr>
  </w:style>
  <w:style w:type="character" w:customStyle="1" w:styleId="FooterChar">
    <w:name w:val="Footer Char"/>
    <w:basedOn w:val="DefaultParagraphFont"/>
    <w:link w:val="Footer"/>
    <w:uiPriority w:val="99"/>
    <w:rsid w:val="00594805"/>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link w:val="BalloonTextChar"/>
    <w:uiPriority w:val="99"/>
    <w:semiHidden/>
    <w:rsid w:val="00504E3C"/>
    <w:rPr>
      <w:rFonts w:ascii="Tahoma" w:hAnsi="Tahoma" w:cs="Tahoma"/>
      <w:sz w:val="16"/>
      <w:szCs w:val="16"/>
    </w:rPr>
  </w:style>
  <w:style w:type="character" w:customStyle="1" w:styleId="BalloonTextChar">
    <w:name w:val="Balloon Text Char"/>
    <w:basedOn w:val="DefaultParagraphFont"/>
    <w:link w:val="BalloonText"/>
    <w:uiPriority w:val="99"/>
    <w:semiHidden/>
    <w:rsid w:val="000545DC"/>
    <w:rPr>
      <w:rFonts w:ascii="Tahoma" w:hAnsi="Tahoma" w:cs="Tahoma"/>
      <w:sz w:val="16"/>
      <w:szCs w:val="16"/>
      <w:lang w:val="en-GB" w:eastAsia="en-GB"/>
    </w:rPr>
  </w:style>
  <w:style w:type="paragraph" w:styleId="Caption">
    <w:name w:val="caption"/>
    <w:basedOn w:val="Normal"/>
    <w:next w:val="Normal"/>
    <w:qFormat/>
    <w:rsid w:val="006A3F76"/>
    <w:rPr>
      <w:b/>
      <w:bCs/>
      <w:sz w:val="20"/>
    </w:rPr>
  </w:style>
  <w:style w:type="paragraph" w:styleId="FootnoteText">
    <w:name w:val="footnote text"/>
    <w:basedOn w:val="Normal"/>
    <w:link w:val="FootnoteTextChar"/>
    <w:semiHidden/>
    <w:rsid w:val="00504E3C"/>
    <w:pPr>
      <w:tabs>
        <w:tab w:val="left" w:pos="425"/>
      </w:tabs>
      <w:spacing w:after="60" w:line="240" w:lineRule="auto"/>
      <w:ind w:left="425" w:hanging="425"/>
    </w:pPr>
    <w:rPr>
      <w:sz w:val="18"/>
    </w:rPr>
  </w:style>
  <w:style w:type="character" w:customStyle="1" w:styleId="FootnoteTextChar">
    <w:name w:val="Footnote Text Char"/>
    <w:basedOn w:val="DefaultParagraphFont"/>
    <w:link w:val="FootnoteText"/>
    <w:semiHidden/>
    <w:rsid w:val="000545DC"/>
    <w:rPr>
      <w:rFonts w:ascii="Arial" w:hAnsi="Arial"/>
      <w:sz w:val="18"/>
      <w:lang w:val="en-GB" w:eastAsia="en-GB"/>
    </w:rPr>
  </w:style>
  <w:style w:type="character" w:styleId="FootnoteReference">
    <w:name w:val="footnote reference"/>
    <w:basedOn w:val="DefaultParagraphFont"/>
    <w:semiHidden/>
    <w:rsid w:val="00504E3C"/>
    <w:rPr>
      <w:rFonts w:ascii="Arial" w:hAnsi="Arial"/>
      <w:color w:val="auto"/>
      <w:position w:val="8"/>
      <w:sz w:val="16"/>
    </w:rPr>
  </w:style>
  <w:style w:type="paragraph" w:styleId="TOC1">
    <w:name w:val="toc 1"/>
    <w:basedOn w:val="Normal"/>
    <w:next w:val="Normal"/>
    <w:uiPriority w:val="39"/>
    <w:rsid w:val="00504E3C"/>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D56336"/>
    <w:pPr>
      <w:tabs>
        <w:tab w:val="right" w:leader="dot" w:pos="9214"/>
      </w:tabs>
      <w:spacing w:before="100" w:after="100"/>
      <w:ind w:left="709" w:right="284"/>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tabs>
        <w:tab w:val="num" w:pos="426"/>
      </w:tabs>
      <w:spacing w:before="80"/>
      <w:ind w:left="426" w:hanging="284"/>
    </w:pPr>
  </w:style>
  <w:style w:type="paragraph" w:customStyle="1" w:styleId="Boxheading">
    <w:name w:val="Box heading"/>
    <w:basedOn w:val="Boxtext"/>
    <w:next w:val="Boxtext"/>
    <w:autoRedefine/>
    <w:rsid w:val="00E73BE0"/>
    <w:pPr>
      <w:spacing w:before="80"/>
    </w:pPr>
    <w:rPr>
      <w:rFonts w:ascii="Arial Narrow" w:hAnsi="Arial Narrow"/>
      <w:b/>
      <w:color w:val="336699"/>
      <w:spacing w:val="10"/>
      <w:sz w:val="22"/>
    </w:rPr>
  </w:style>
  <w:style w:type="paragraph" w:customStyle="1" w:styleId="Bullet-list">
    <w:name w:val="Bullet-list"/>
    <w:qFormat/>
    <w:rsid w:val="00CA5DA4"/>
    <w:pPr>
      <w:spacing w:after="180" w:line="280" w:lineRule="exact"/>
      <w:ind w:left="284" w:hanging="284"/>
    </w:pPr>
    <w:rPr>
      <w:rFonts w:ascii="Arial" w:hAnsi="Arial"/>
      <w:sz w:val="22"/>
      <w:lang w:val="en-AU" w:eastAsia="en-US"/>
    </w:rPr>
  </w:style>
  <w:style w:type="paragraph" w:customStyle="1" w:styleId="EvenFooter">
    <w:name w:val="Even Footer"/>
    <w:basedOn w:val="Footer"/>
    <w:rsid w:val="0054782B"/>
    <w:pPr>
      <w:jc w:val="left"/>
    </w:pPr>
  </w:style>
  <w:style w:type="table" w:styleId="TableGrid">
    <w:name w:val="Table Grid"/>
    <w:basedOn w:val="TableNormal"/>
    <w:uiPriority w:val="59"/>
    <w:rsid w:val="00504E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qFormat/>
    <w:rsid w:val="00504E3C"/>
    <w:pPr>
      <w:autoSpaceDE w:val="0"/>
      <w:autoSpaceDN w:val="0"/>
      <w:adjustRightInd w:val="0"/>
      <w:spacing w:before="60" w:after="60" w:line="240" w:lineRule="atLeast"/>
    </w:pPr>
    <w:rPr>
      <w:rFonts w:cs="GillSans"/>
      <w:sz w:val="20"/>
      <w:szCs w:val="22"/>
      <w:lang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uiPriority w:val="99"/>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qFormat/>
    <w:rsid w:val="00DF4E1F"/>
    <w:pPr>
      <w:widowControl w:val="0"/>
      <w:autoSpaceDE w:val="0"/>
      <w:autoSpaceDN w:val="0"/>
      <w:adjustRightInd w:val="0"/>
      <w:spacing w:before="240" w:line="600" w:lineRule="exact"/>
      <w:jc w:val="right"/>
    </w:pPr>
    <w:rPr>
      <w:rFonts w:cs="Arial"/>
      <w:color w:val="001C4D"/>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rsid w:val="00BF2DF2"/>
    <w:pPr>
      <w:spacing w:after="0" w:line="240" w:lineRule="auto"/>
    </w:pPr>
    <w:rPr>
      <w:sz w:val="16"/>
      <w:szCs w:val="22"/>
      <w:lang w:eastAsia="en-AU"/>
    </w:rPr>
  </w:style>
  <w:style w:type="paragraph" w:styleId="Subtitle">
    <w:name w:val="Subtitle"/>
    <w:basedOn w:val="Title"/>
    <w:next w:val="Normal"/>
    <w:link w:val="SubtitleChar"/>
    <w:qFormat/>
    <w:rsid w:val="007B435A"/>
    <w:pPr>
      <w:ind w:left="1735"/>
    </w:pPr>
  </w:style>
  <w:style w:type="character" w:customStyle="1" w:styleId="SubtitleChar">
    <w:name w:val="Subtitle Char"/>
    <w:basedOn w:val="DefaultParagraphFont"/>
    <w:link w:val="Subtitle"/>
    <w:rsid w:val="007B435A"/>
    <w:rPr>
      <w:rFonts w:ascii="Arial" w:hAnsi="Arial" w:cs="Arial"/>
      <w:color w:val="001C4D"/>
      <w:spacing w:val="40"/>
      <w:w w:val="90"/>
      <w:sz w:val="48"/>
      <w:szCs w:val="48"/>
      <w:lang w:val="en-GB" w:eastAsia="en-GB"/>
    </w:rPr>
  </w:style>
  <w:style w:type="paragraph" w:styleId="ListParagraph">
    <w:name w:val="List Paragraph"/>
    <w:basedOn w:val="Normal"/>
    <w:uiPriority w:val="34"/>
    <w:qFormat/>
    <w:rsid w:val="000545DC"/>
    <w:pPr>
      <w:spacing w:after="0" w:line="240" w:lineRule="auto"/>
      <w:ind w:left="720"/>
      <w:contextualSpacing/>
      <w:jc w:val="both"/>
    </w:pPr>
    <w:rPr>
      <w:lang w:val="en-NZ" w:eastAsia="en-US"/>
    </w:rPr>
  </w:style>
  <w:style w:type="paragraph" w:styleId="TOCHeading">
    <w:name w:val="TOC Heading"/>
    <w:basedOn w:val="Heading1"/>
    <w:next w:val="Normal"/>
    <w:uiPriority w:val="39"/>
    <w:qFormat/>
    <w:rsid w:val="00E940AC"/>
    <w:pPr>
      <w:keepNext/>
      <w:keepLines/>
      <w:spacing w:before="480" w:after="0" w:line="276" w:lineRule="auto"/>
      <w:outlineLvl w:val="9"/>
    </w:pPr>
    <w:rPr>
      <w:rFonts w:ascii="Cambria" w:hAnsi="Cambria"/>
      <w:bCs/>
      <w:color w:val="365F91"/>
      <w:spacing w:val="0"/>
      <w:w w:val="100"/>
      <w:sz w:val="28"/>
      <w:szCs w:val="28"/>
      <w:lang w:val="en-US" w:eastAsia="en-US"/>
    </w:rPr>
  </w:style>
  <w:style w:type="paragraph" w:styleId="NormalWeb">
    <w:name w:val="Normal (Web)"/>
    <w:basedOn w:val="Normal"/>
    <w:uiPriority w:val="99"/>
    <w:unhideWhenUsed/>
    <w:rsid w:val="000545DC"/>
    <w:pPr>
      <w:spacing w:before="100" w:beforeAutospacing="1" w:after="100" w:afterAutospacing="1" w:line="240" w:lineRule="auto"/>
    </w:pPr>
    <w:rPr>
      <w:rFonts w:ascii="Times New Roman" w:hAnsi="Times New Roman"/>
      <w:sz w:val="24"/>
      <w:szCs w:val="24"/>
      <w:lang w:val="en-NZ" w:eastAsia="en-NZ"/>
    </w:rPr>
  </w:style>
  <w:style w:type="paragraph" w:customStyle="1" w:styleId="Text">
    <w:name w:val="Text"/>
    <w:basedOn w:val="Normal"/>
    <w:link w:val="TextChar"/>
    <w:rsid w:val="000545DC"/>
    <w:pPr>
      <w:spacing w:before="120" w:after="120" w:line="300" w:lineRule="exact"/>
      <w:jc w:val="both"/>
    </w:pPr>
    <w:rPr>
      <w:lang w:eastAsia="en-US"/>
    </w:rPr>
  </w:style>
  <w:style w:type="character" w:customStyle="1" w:styleId="TextChar">
    <w:name w:val="Text Char"/>
    <w:basedOn w:val="DefaultParagraphFont"/>
    <w:link w:val="Text"/>
    <w:rsid w:val="000545DC"/>
    <w:rPr>
      <w:rFonts w:ascii="Arial" w:hAnsi="Arial"/>
      <w:sz w:val="22"/>
      <w:lang w:val="en-GB" w:eastAsia="en-US"/>
    </w:rPr>
  </w:style>
  <w:style w:type="paragraph" w:customStyle="1" w:styleId="CabStandard">
    <w:name w:val="CabStandard"/>
    <w:basedOn w:val="Normal"/>
    <w:rsid w:val="000545DC"/>
    <w:pPr>
      <w:numPr>
        <w:numId w:val="2"/>
      </w:numPr>
      <w:spacing w:line="240" w:lineRule="auto"/>
    </w:pPr>
    <w:rPr>
      <w:rFonts w:ascii="Times New Roman" w:hAnsi="Times New Roman"/>
      <w:sz w:val="24"/>
      <w:lang w:eastAsia="ja-JP"/>
    </w:rPr>
  </w:style>
  <w:style w:type="paragraph" w:customStyle="1" w:styleId="BulletPoints">
    <w:name w:val="Bullet Points"/>
    <w:basedOn w:val="Normal"/>
    <w:rsid w:val="000545DC"/>
    <w:pPr>
      <w:tabs>
        <w:tab w:val="num" w:pos="1440"/>
      </w:tabs>
      <w:overflowPunct w:val="0"/>
      <w:autoSpaceDE w:val="0"/>
      <w:autoSpaceDN w:val="0"/>
      <w:adjustRightInd w:val="0"/>
      <w:spacing w:line="240" w:lineRule="auto"/>
      <w:ind w:left="1440" w:hanging="720"/>
      <w:jc w:val="both"/>
      <w:textAlignment w:val="baseline"/>
    </w:pPr>
    <w:rPr>
      <w:sz w:val="24"/>
      <w:lang w:val="en-NZ" w:eastAsia="en-US" w:bidi="ar-DZ"/>
    </w:rPr>
  </w:style>
  <w:style w:type="character" w:customStyle="1" w:styleId="CommentTextChar">
    <w:name w:val="Comment Text Char"/>
    <w:basedOn w:val="DefaultParagraphFont"/>
    <w:link w:val="CommentText"/>
    <w:uiPriority w:val="99"/>
    <w:semiHidden/>
    <w:rsid w:val="00912FE6"/>
    <w:rPr>
      <w:rFonts w:ascii="Arial" w:hAnsi="Arial"/>
      <w:lang w:val="en-GB" w:eastAsia="en-GB"/>
    </w:rPr>
  </w:style>
  <w:style w:type="paragraph" w:customStyle="1" w:styleId="Boxheading2">
    <w:name w:val="Box heading 2"/>
    <w:basedOn w:val="Boxheading"/>
    <w:qFormat/>
    <w:rsid w:val="000F162C"/>
    <w:rPr>
      <w:rFonts w:ascii="Arial" w:hAnsi="Arial" w:cs="Arial"/>
      <w:b w:val="0"/>
      <w:sz w:val="20"/>
    </w:rPr>
  </w:style>
  <w:style w:type="character" w:styleId="PageNumber">
    <w:name w:val="page number"/>
    <w:basedOn w:val="DefaultParagraphFont"/>
    <w:rsid w:val="009F7B9A"/>
  </w:style>
  <w:style w:type="paragraph" w:customStyle="1" w:styleId="RISheading">
    <w:name w:val="RIS heading"/>
    <w:basedOn w:val="Heading3"/>
    <w:rsid w:val="00D943DD"/>
    <w:pPr>
      <w:spacing w:before="240"/>
      <w:ind w:left="0"/>
      <w:jc w:val="left"/>
    </w:pPr>
    <w:rPr>
      <w:szCs w:val="24"/>
    </w:rPr>
  </w:style>
  <w:style w:type="table" w:customStyle="1" w:styleId="TableGrid1">
    <w:name w:val="Table Grid1"/>
    <w:basedOn w:val="TableNormal"/>
    <w:next w:val="TableGrid"/>
    <w:rsid w:val="00594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nancialtableLHC">
    <w:name w:val="Financial table LHC"/>
    <w:basedOn w:val="Normal"/>
    <w:qFormat/>
    <w:rsid w:val="00D86AB1"/>
    <w:pPr>
      <w:keepLines/>
      <w:spacing w:after="0" w:line="240" w:lineRule="auto"/>
      <w:contextualSpacing/>
    </w:pPr>
    <w:rPr>
      <w:rFonts w:ascii="Calibri" w:eastAsiaTheme="minorHAnsi" w:hAnsi="Calibri"/>
      <w:szCs w:val="24"/>
      <w:lang w:val="en-NZ" w:eastAsia="en-US"/>
    </w:rPr>
  </w:style>
  <w:style w:type="paragraph" w:styleId="Revision">
    <w:name w:val="Revision"/>
    <w:hidden/>
    <w:uiPriority w:val="99"/>
    <w:semiHidden/>
    <w:rsid w:val="00D47807"/>
    <w:rPr>
      <w:rFonts w:ascii="Arial" w:hAnsi="Arial"/>
      <w:sz w:val="22"/>
      <w:lang w:val="en-GB" w:eastAsia="en-GB"/>
    </w:rPr>
  </w:style>
  <w:style w:type="paragraph" w:customStyle="1" w:styleId="Numberparagraph">
    <w:name w:val="Number paragraph"/>
    <w:basedOn w:val="Normal"/>
    <w:qFormat/>
    <w:rsid w:val="003C4AAE"/>
    <w:pPr>
      <w:numPr>
        <w:numId w:val="33"/>
      </w:numPr>
      <w:tabs>
        <w:tab w:val="left" w:pos="567"/>
      </w:tabs>
      <w:spacing w:after="0" w:line="240" w:lineRule="auto"/>
      <w:jc w:val="both"/>
    </w:pPr>
    <w:rPr>
      <w:rFonts w:ascii="Times New Roman" w:hAnsi="Times New Roman"/>
      <w:sz w:val="24"/>
      <w:szCs w:val="24"/>
      <w:lang w:val="en-NZ"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01946111">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47597">
      <w:bodyDiv w:val="1"/>
      <w:marLeft w:val="0"/>
      <w:marRight w:val="0"/>
      <w:marTop w:val="0"/>
      <w:marBottom w:val="480"/>
      <w:divBdr>
        <w:top w:val="none" w:sz="0" w:space="0" w:color="auto"/>
        <w:left w:val="none" w:sz="0" w:space="0" w:color="auto"/>
        <w:bottom w:val="none" w:sz="0" w:space="0" w:color="auto"/>
        <w:right w:val="none" w:sz="0" w:space="0" w:color="auto"/>
      </w:divBdr>
      <w:divsChild>
        <w:div w:id="288898340">
          <w:marLeft w:val="0"/>
          <w:marRight w:val="0"/>
          <w:marTop w:val="0"/>
          <w:marBottom w:val="0"/>
          <w:divBdr>
            <w:top w:val="none" w:sz="0" w:space="0" w:color="auto"/>
            <w:left w:val="none" w:sz="0" w:space="0" w:color="auto"/>
            <w:bottom w:val="none" w:sz="0" w:space="0" w:color="auto"/>
            <w:right w:val="none" w:sz="0" w:space="0" w:color="auto"/>
          </w:divBdr>
          <w:divsChild>
            <w:div w:id="2025205327">
              <w:marLeft w:val="0"/>
              <w:marRight w:val="0"/>
              <w:marTop w:val="0"/>
              <w:marBottom w:val="0"/>
              <w:divBdr>
                <w:top w:val="none" w:sz="0" w:space="0" w:color="auto"/>
                <w:left w:val="none" w:sz="0" w:space="0" w:color="auto"/>
                <w:bottom w:val="none" w:sz="0" w:space="0" w:color="auto"/>
                <w:right w:val="none" w:sz="0" w:space="0" w:color="auto"/>
              </w:divBdr>
              <w:divsChild>
                <w:div w:id="1561594280">
                  <w:marLeft w:val="0"/>
                  <w:marRight w:val="0"/>
                  <w:marTop w:val="0"/>
                  <w:marBottom w:val="0"/>
                  <w:divBdr>
                    <w:top w:val="none" w:sz="0" w:space="0" w:color="auto"/>
                    <w:left w:val="none" w:sz="0" w:space="0" w:color="auto"/>
                    <w:bottom w:val="none" w:sz="0" w:space="0" w:color="auto"/>
                    <w:right w:val="none" w:sz="0" w:space="0" w:color="auto"/>
                  </w:divBdr>
                  <w:divsChild>
                    <w:div w:id="1436904771">
                      <w:marLeft w:val="0"/>
                      <w:marRight w:val="0"/>
                      <w:marTop w:val="0"/>
                      <w:marBottom w:val="0"/>
                      <w:divBdr>
                        <w:top w:val="none" w:sz="0" w:space="0" w:color="auto"/>
                        <w:left w:val="none" w:sz="0" w:space="0" w:color="auto"/>
                        <w:bottom w:val="none" w:sz="0" w:space="0" w:color="auto"/>
                        <w:right w:val="none" w:sz="0" w:space="0" w:color="auto"/>
                      </w:divBdr>
                      <w:divsChild>
                        <w:div w:id="622544630">
                          <w:marLeft w:val="0"/>
                          <w:marRight w:val="0"/>
                          <w:marTop w:val="0"/>
                          <w:marBottom w:val="0"/>
                          <w:divBdr>
                            <w:top w:val="none" w:sz="0" w:space="0" w:color="auto"/>
                            <w:left w:val="none" w:sz="0" w:space="0" w:color="auto"/>
                            <w:bottom w:val="none" w:sz="0" w:space="0" w:color="auto"/>
                            <w:right w:val="none" w:sz="0" w:space="0" w:color="auto"/>
                          </w:divBdr>
                          <w:divsChild>
                            <w:div w:id="429400080">
                              <w:marLeft w:val="0"/>
                              <w:marRight w:val="0"/>
                              <w:marTop w:val="0"/>
                              <w:marBottom w:val="0"/>
                              <w:divBdr>
                                <w:top w:val="none" w:sz="0" w:space="0" w:color="auto"/>
                                <w:left w:val="none" w:sz="0" w:space="0" w:color="auto"/>
                                <w:bottom w:val="none" w:sz="0" w:space="0" w:color="auto"/>
                                <w:right w:val="none" w:sz="0" w:space="0" w:color="auto"/>
                              </w:divBdr>
                              <w:divsChild>
                                <w:div w:id="900486197">
                                  <w:marLeft w:val="-390"/>
                                  <w:marRight w:val="-390"/>
                                  <w:marTop w:val="0"/>
                                  <w:marBottom w:val="360"/>
                                  <w:divBdr>
                                    <w:top w:val="none" w:sz="0" w:space="0" w:color="auto"/>
                                    <w:left w:val="none" w:sz="0" w:space="0" w:color="auto"/>
                                    <w:bottom w:val="none" w:sz="0" w:space="0" w:color="auto"/>
                                    <w:right w:val="none" w:sz="0" w:space="0" w:color="auto"/>
                                  </w:divBdr>
                                  <w:divsChild>
                                    <w:div w:id="115240241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238390">
      <w:bodyDiv w:val="1"/>
      <w:marLeft w:val="0"/>
      <w:marRight w:val="0"/>
      <w:marTop w:val="0"/>
      <w:marBottom w:val="0"/>
      <w:divBdr>
        <w:top w:val="none" w:sz="0" w:space="0" w:color="auto"/>
        <w:left w:val="none" w:sz="0" w:space="0" w:color="auto"/>
        <w:bottom w:val="none" w:sz="0" w:space="0" w:color="auto"/>
        <w:right w:val="none" w:sz="0" w:space="0" w:color="auto"/>
      </w:divBdr>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76871877">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4587</Words>
  <Characters>24391</Characters>
  <Application>Microsoft Office Word</Application>
  <DocSecurity>0</DocSecurity>
  <Lines>813</Lines>
  <Paragraphs>221</Paragraphs>
  <ScaleCrop>false</ScaleCrop>
  <HeadingPairs>
    <vt:vector size="2" baseType="variant">
      <vt:variant>
        <vt:lpstr>Title</vt:lpstr>
      </vt:variant>
      <vt:variant>
        <vt:i4>1</vt:i4>
      </vt:variant>
    </vt:vector>
  </HeadingPairs>
  <TitlesOfParts>
    <vt:vector size="1" baseType="lpstr">
      <vt:lpstr>Regulatory impact statement - Sellers and purchasers of real property required to supply their IRD numbers and tax information numbers</vt:lpstr>
    </vt:vector>
  </TitlesOfParts>
  <Company>Inland Revenue</Company>
  <LinksUpToDate>false</LinksUpToDate>
  <CharactersWithSpaces>28757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Sellers and purchasers of real property required to supply their IRD numbers and tax information numbers</dc:title>
  <dc:creator>Policy and Strategy</dc:creator>
  <dc:description>Published on 22 June 2015</dc:description>
  <cp:lastModifiedBy>David Nind</cp:lastModifiedBy>
  <cp:revision>2</cp:revision>
  <dcterms:created xsi:type="dcterms:W3CDTF">2015-06-21T22:20:00Z</dcterms:created>
  <dcterms:modified xsi:type="dcterms:W3CDTF">2015-06-21T22:20:00Z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