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8056B6" w:rsidRDefault="007C737B" w:rsidP="00B9510D">
      <w:pPr>
        <w:tabs>
          <w:tab w:val="left" w:pos="567"/>
        </w:tabs>
        <w:spacing w:after="0"/>
        <w:jc w:val="both"/>
        <w:rPr>
          <w:rFonts w:ascii="Times New Roman" w:hAnsi="Times New Roman"/>
          <w:b/>
          <w:sz w:val="24"/>
          <w:szCs w:val="24"/>
        </w:rPr>
      </w:pPr>
      <w:bookmarkStart w:id="0" w:name="_Toc244580362"/>
      <w:bookmarkStart w:id="1" w:name="_Toc244587038"/>
      <w:bookmarkStart w:id="2" w:name="_Toc244857272"/>
      <w:bookmarkStart w:id="3" w:name="_Toc244912537"/>
      <w:bookmarkStart w:id="4" w:name="_Toc244916994"/>
      <w:r w:rsidRPr="008056B6">
        <w:rPr>
          <w:rFonts w:ascii="Times New Roman" w:hAnsi="Times New Roman"/>
          <w:b/>
          <w:sz w:val="24"/>
          <w:szCs w:val="24"/>
        </w:rPr>
        <w:t>Regulatory Impact Statement</w:t>
      </w:r>
      <w:bookmarkEnd w:id="0"/>
      <w:bookmarkEnd w:id="1"/>
      <w:bookmarkEnd w:id="2"/>
      <w:bookmarkEnd w:id="3"/>
      <w:bookmarkEnd w:id="4"/>
    </w:p>
    <w:p w:rsidR="008E4CDF" w:rsidRPr="008056B6" w:rsidRDefault="008E4CDF" w:rsidP="00B9510D">
      <w:pPr>
        <w:tabs>
          <w:tab w:val="left" w:pos="567"/>
        </w:tabs>
        <w:spacing w:after="0"/>
        <w:jc w:val="both"/>
        <w:rPr>
          <w:rFonts w:ascii="Times New Roman" w:hAnsi="Times New Roman"/>
          <w:b/>
          <w:sz w:val="24"/>
          <w:szCs w:val="24"/>
        </w:rPr>
      </w:pPr>
    </w:p>
    <w:p w:rsidR="000545DC" w:rsidRPr="008056B6" w:rsidRDefault="000B43A5" w:rsidP="00B9510D">
      <w:pPr>
        <w:tabs>
          <w:tab w:val="left" w:pos="567"/>
        </w:tabs>
        <w:spacing w:after="0"/>
        <w:jc w:val="both"/>
        <w:rPr>
          <w:rFonts w:ascii="Times New Roman" w:hAnsi="Times New Roman"/>
          <w:b/>
          <w:sz w:val="24"/>
          <w:szCs w:val="24"/>
        </w:rPr>
      </w:pPr>
      <w:bookmarkStart w:id="5" w:name="_GoBack"/>
      <w:r w:rsidRPr="008056B6">
        <w:rPr>
          <w:rFonts w:ascii="Times New Roman" w:hAnsi="Times New Roman"/>
          <w:b/>
          <w:sz w:val="24"/>
          <w:szCs w:val="24"/>
        </w:rPr>
        <w:t>I</w:t>
      </w:r>
      <w:r w:rsidR="005F7B81" w:rsidRPr="008056B6">
        <w:rPr>
          <w:rFonts w:ascii="Times New Roman" w:hAnsi="Times New Roman"/>
          <w:b/>
          <w:sz w:val="24"/>
          <w:szCs w:val="24"/>
        </w:rPr>
        <w:t>nformation sharing between Inland Revenue and the Accident Compensation Corporation</w:t>
      </w:r>
      <w:bookmarkEnd w:id="5"/>
    </w:p>
    <w:p w:rsidR="008E4CDF" w:rsidRPr="008056B6" w:rsidRDefault="008E4CDF" w:rsidP="00B9510D">
      <w:pPr>
        <w:tabs>
          <w:tab w:val="left" w:pos="567"/>
        </w:tabs>
        <w:spacing w:after="0"/>
        <w:jc w:val="both"/>
        <w:rPr>
          <w:rFonts w:ascii="Times New Roman" w:hAnsi="Times New Roman"/>
          <w:b/>
          <w:sz w:val="24"/>
          <w:szCs w:val="24"/>
        </w:rPr>
      </w:pPr>
    </w:p>
    <w:p w:rsidR="000545DC" w:rsidRPr="008056B6" w:rsidRDefault="001C6912" w:rsidP="00B9510D">
      <w:pPr>
        <w:tabs>
          <w:tab w:val="left" w:pos="567"/>
        </w:tabs>
        <w:spacing w:after="0"/>
        <w:jc w:val="both"/>
        <w:rPr>
          <w:rFonts w:ascii="Times New Roman" w:hAnsi="Times New Roman"/>
          <w:b/>
          <w:sz w:val="24"/>
          <w:szCs w:val="24"/>
        </w:rPr>
      </w:pPr>
      <w:r w:rsidRPr="008056B6">
        <w:rPr>
          <w:rFonts w:ascii="Times New Roman" w:hAnsi="Times New Roman"/>
          <w:b/>
          <w:sz w:val="24"/>
          <w:szCs w:val="24"/>
        </w:rPr>
        <w:t xml:space="preserve">Agency </w:t>
      </w:r>
      <w:r w:rsidR="000545DC" w:rsidRPr="008056B6">
        <w:rPr>
          <w:rFonts w:ascii="Times New Roman" w:hAnsi="Times New Roman"/>
          <w:b/>
          <w:sz w:val="24"/>
          <w:szCs w:val="24"/>
        </w:rPr>
        <w:t xml:space="preserve">Disclosure Statement </w:t>
      </w:r>
    </w:p>
    <w:p w:rsidR="008E4CDF" w:rsidRDefault="008E4CDF" w:rsidP="00B9510D">
      <w:pPr>
        <w:tabs>
          <w:tab w:val="left" w:pos="567"/>
        </w:tabs>
        <w:spacing w:after="0"/>
        <w:jc w:val="both"/>
        <w:rPr>
          <w:rFonts w:ascii="Times New Roman" w:hAnsi="Times New Roman"/>
          <w:sz w:val="24"/>
          <w:szCs w:val="24"/>
        </w:rPr>
      </w:pPr>
    </w:p>
    <w:p w:rsidR="000545DC" w:rsidRPr="004342F0" w:rsidRDefault="000545DC" w:rsidP="00B9510D">
      <w:pPr>
        <w:tabs>
          <w:tab w:val="left" w:pos="567"/>
        </w:tabs>
        <w:spacing w:after="0"/>
        <w:jc w:val="both"/>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B9510D">
      <w:pPr>
        <w:tabs>
          <w:tab w:val="left" w:pos="567"/>
        </w:tabs>
        <w:spacing w:after="0"/>
        <w:jc w:val="both"/>
        <w:rPr>
          <w:rFonts w:ascii="Times New Roman" w:hAnsi="Times New Roman"/>
          <w:sz w:val="24"/>
          <w:szCs w:val="24"/>
        </w:rPr>
      </w:pPr>
    </w:p>
    <w:p w:rsidR="001C46F2" w:rsidRDefault="000545DC" w:rsidP="00B9510D">
      <w:pPr>
        <w:tabs>
          <w:tab w:val="left" w:pos="567"/>
        </w:tabs>
        <w:spacing w:after="0"/>
        <w:jc w:val="both"/>
        <w:rPr>
          <w:rFonts w:ascii="Times New Roman" w:hAnsi="Times New Roman"/>
          <w:sz w:val="24"/>
          <w:szCs w:val="24"/>
        </w:rPr>
      </w:pPr>
      <w:r w:rsidRPr="004342F0">
        <w:rPr>
          <w:rFonts w:ascii="Times New Roman" w:hAnsi="Times New Roman"/>
          <w:sz w:val="24"/>
          <w:szCs w:val="24"/>
        </w:rPr>
        <w:t xml:space="preserve">It provides an analysis of options </w:t>
      </w:r>
      <w:r w:rsidR="005F7B81">
        <w:rPr>
          <w:rFonts w:ascii="Times New Roman" w:hAnsi="Times New Roman"/>
          <w:sz w:val="24"/>
          <w:szCs w:val="24"/>
        </w:rPr>
        <w:t>that would enable Inland Revenue</w:t>
      </w:r>
      <w:r w:rsidR="001C46F2">
        <w:rPr>
          <w:rFonts w:ascii="Times New Roman" w:hAnsi="Times New Roman"/>
          <w:sz w:val="24"/>
          <w:szCs w:val="24"/>
        </w:rPr>
        <w:t xml:space="preserve"> to share </w:t>
      </w:r>
      <w:r w:rsidR="0089063B">
        <w:rPr>
          <w:rFonts w:ascii="Times New Roman" w:hAnsi="Times New Roman"/>
          <w:sz w:val="24"/>
          <w:szCs w:val="24"/>
        </w:rPr>
        <w:t>additional</w:t>
      </w:r>
      <w:r w:rsidR="00294960">
        <w:rPr>
          <w:rFonts w:ascii="Times New Roman" w:hAnsi="Times New Roman"/>
          <w:sz w:val="24"/>
          <w:szCs w:val="24"/>
        </w:rPr>
        <w:t xml:space="preserve"> </w:t>
      </w:r>
      <w:r w:rsidR="001C46F2">
        <w:rPr>
          <w:rFonts w:ascii="Times New Roman" w:hAnsi="Times New Roman"/>
          <w:sz w:val="24"/>
          <w:szCs w:val="24"/>
        </w:rPr>
        <w:t>information with the</w:t>
      </w:r>
      <w:r w:rsidR="005F7B81">
        <w:rPr>
          <w:rFonts w:ascii="Times New Roman" w:hAnsi="Times New Roman"/>
          <w:sz w:val="24"/>
          <w:szCs w:val="24"/>
        </w:rPr>
        <w:t xml:space="preserve"> Accident Compensation Corporation</w:t>
      </w:r>
      <w:r w:rsidR="00660473">
        <w:rPr>
          <w:rFonts w:ascii="Times New Roman" w:hAnsi="Times New Roman"/>
          <w:sz w:val="24"/>
          <w:szCs w:val="24"/>
        </w:rPr>
        <w:t xml:space="preserve"> (ACC)</w:t>
      </w:r>
      <w:r w:rsidR="009A23EE">
        <w:rPr>
          <w:rFonts w:ascii="Times New Roman" w:hAnsi="Times New Roman"/>
          <w:sz w:val="24"/>
          <w:szCs w:val="24"/>
        </w:rPr>
        <w:t>.</w:t>
      </w:r>
      <w:r w:rsidR="001C46F2">
        <w:rPr>
          <w:rFonts w:ascii="Times New Roman" w:hAnsi="Times New Roman"/>
          <w:sz w:val="24"/>
          <w:szCs w:val="24"/>
        </w:rPr>
        <w:t xml:space="preserve">  The i</w:t>
      </w:r>
      <w:r w:rsidR="001C46F2" w:rsidRPr="001C46F2">
        <w:rPr>
          <w:rFonts w:ascii="Times New Roman" w:hAnsi="Times New Roman"/>
          <w:sz w:val="24"/>
          <w:szCs w:val="24"/>
        </w:rPr>
        <w:t xml:space="preserve">nformation is required to enable </w:t>
      </w:r>
      <w:r w:rsidR="00660473">
        <w:rPr>
          <w:rFonts w:ascii="Times New Roman" w:hAnsi="Times New Roman"/>
          <w:sz w:val="24"/>
          <w:szCs w:val="24"/>
        </w:rPr>
        <w:t>ACC</w:t>
      </w:r>
      <w:r w:rsidR="00294960">
        <w:rPr>
          <w:rFonts w:ascii="Times New Roman" w:hAnsi="Times New Roman"/>
          <w:sz w:val="24"/>
          <w:szCs w:val="24"/>
        </w:rPr>
        <w:t xml:space="preserve"> </w:t>
      </w:r>
      <w:r w:rsidR="001C46F2" w:rsidRPr="001C46F2">
        <w:rPr>
          <w:rFonts w:ascii="Times New Roman" w:hAnsi="Times New Roman"/>
          <w:sz w:val="24"/>
          <w:szCs w:val="24"/>
        </w:rPr>
        <w:t>to fulfil its legislative obligations</w:t>
      </w:r>
      <w:r w:rsidR="005079DD">
        <w:rPr>
          <w:rFonts w:ascii="Times New Roman" w:hAnsi="Times New Roman"/>
          <w:sz w:val="24"/>
          <w:szCs w:val="24"/>
        </w:rPr>
        <w:t xml:space="preserve"> in relation to</w:t>
      </w:r>
      <w:r w:rsidR="00660473">
        <w:rPr>
          <w:rFonts w:ascii="Times New Roman" w:hAnsi="Times New Roman"/>
          <w:sz w:val="24"/>
          <w:szCs w:val="24"/>
        </w:rPr>
        <w:t xml:space="preserve"> the</w:t>
      </w:r>
      <w:r w:rsidR="005079DD">
        <w:rPr>
          <w:rFonts w:ascii="Times New Roman" w:hAnsi="Times New Roman"/>
          <w:sz w:val="24"/>
          <w:szCs w:val="24"/>
        </w:rPr>
        <w:t xml:space="preserve"> </w:t>
      </w:r>
      <w:r w:rsidR="00660473">
        <w:rPr>
          <w:rFonts w:ascii="Times New Roman" w:hAnsi="Times New Roman"/>
          <w:sz w:val="24"/>
          <w:szCs w:val="24"/>
        </w:rPr>
        <w:t>ACC</w:t>
      </w:r>
      <w:r w:rsidR="005079DD">
        <w:rPr>
          <w:rFonts w:ascii="Times New Roman" w:hAnsi="Times New Roman"/>
          <w:sz w:val="24"/>
          <w:szCs w:val="24"/>
        </w:rPr>
        <w:t xml:space="preserve"> </w:t>
      </w:r>
      <w:r w:rsidR="00EE1C05">
        <w:rPr>
          <w:rFonts w:ascii="Times New Roman" w:hAnsi="Times New Roman"/>
          <w:sz w:val="24"/>
          <w:szCs w:val="24"/>
        </w:rPr>
        <w:t>S</w:t>
      </w:r>
      <w:r w:rsidR="005079DD">
        <w:rPr>
          <w:rFonts w:ascii="Times New Roman" w:hAnsi="Times New Roman"/>
          <w:sz w:val="24"/>
          <w:szCs w:val="24"/>
        </w:rPr>
        <w:t>cheme</w:t>
      </w:r>
      <w:r w:rsidR="001C46F2" w:rsidRPr="001C46F2">
        <w:rPr>
          <w:rFonts w:ascii="Times New Roman" w:hAnsi="Times New Roman"/>
          <w:sz w:val="24"/>
          <w:szCs w:val="24"/>
        </w:rPr>
        <w:t>.</w:t>
      </w:r>
      <w:r w:rsidR="001C46F2">
        <w:rPr>
          <w:rFonts w:ascii="Times New Roman" w:hAnsi="Times New Roman"/>
          <w:sz w:val="24"/>
          <w:szCs w:val="24"/>
        </w:rPr>
        <w:t xml:space="preserve">  </w:t>
      </w:r>
    </w:p>
    <w:p w:rsidR="001C46F2" w:rsidRDefault="001C46F2" w:rsidP="00B9510D">
      <w:pPr>
        <w:tabs>
          <w:tab w:val="left" w:pos="567"/>
        </w:tabs>
        <w:spacing w:after="0"/>
        <w:jc w:val="both"/>
        <w:rPr>
          <w:rFonts w:ascii="Times New Roman" w:hAnsi="Times New Roman"/>
          <w:sz w:val="24"/>
          <w:szCs w:val="24"/>
        </w:rPr>
      </w:pPr>
    </w:p>
    <w:p w:rsidR="000B43A5" w:rsidRDefault="000B43A5" w:rsidP="00B9510D">
      <w:pPr>
        <w:tabs>
          <w:tab w:val="left" w:pos="567"/>
        </w:tabs>
        <w:spacing w:after="0"/>
        <w:jc w:val="both"/>
        <w:rPr>
          <w:rFonts w:ascii="Times New Roman" w:hAnsi="Times New Roman"/>
          <w:sz w:val="24"/>
          <w:szCs w:val="24"/>
        </w:rPr>
      </w:pPr>
      <w:r>
        <w:rPr>
          <w:rFonts w:ascii="Times New Roman" w:hAnsi="Times New Roman"/>
          <w:sz w:val="24"/>
          <w:szCs w:val="24"/>
        </w:rPr>
        <w:t xml:space="preserve">Inland Revenue has legal authority to share specific information with </w:t>
      </w:r>
      <w:r w:rsidR="00660473">
        <w:rPr>
          <w:rFonts w:ascii="Times New Roman" w:hAnsi="Times New Roman"/>
          <w:sz w:val="24"/>
          <w:szCs w:val="24"/>
        </w:rPr>
        <w:t>ACC</w:t>
      </w:r>
      <w:r w:rsidR="005B71B3">
        <w:rPr>
          <w:rFonts w:ascii="Times New Roman" w:hAnsi="Times New Roman"/>
          <w:sz w:val="24"/>
          <w:szCs w:val="24"/>
        </w:rPr>
        <w:t>.</w:t>
      </w:r>
      <w:r>
        <w:rPr>
          <w:rFonts w:ascii="Times New Roman" w:hAnsi="Times New Roman"/>
          <w:sz w:val="24"/>
          <w:szCs w:val="24"/>
        </w:rPr>
        <w:t xml:space="preserve">  This has been a long standing authorised process under the Tax Administration Act 1994.</w:t>
      </w:r>
    </w:p>
    <w:p w:rsidR="000B43A5" w:rsidRDefault="000B43A5" w:rsidP="00B9510D">
      <w:pPr>
        <w:tabs>
          <w:tab w:val="left" w:pos="567"/>
        </w:tabs>
        <w:spacing w:after="0"/>
        <w:jc w:val="both"/>
        <w:rPr>
          <w:rFonts w:ascii="Times New Roman" w:hAnsi="Times New Roman"/>
          <w:sz w:val="24"/>
          <w:szCs w:val="24"/>
        </w:rPr>
      </w:pPr>
    </w:p>
    <w:p w:rsidR="004342F0" w:rsidRDefault="001C46F2" w:rsidP="00B9510D">
      <w:pPr>
        <w:tabs>
          <w:tab w:val="left" w:pos="567"/>
        </w:tabs>
        <w:spacing w:after="0"/>
        <w:jc w:val="both"/>
        <w:rPr>
          <w:rFonts w:ascii="Times New Roman" w:hAnsi="Times New Roman"/>
          <w:sz w:val="24"/>
          <w:szCs w:val="24"/>
        </w:rPr>
      </w:pPr>
      <w:r w:rsidRPr="001C46F2">
        <w:rPr>
          <w:rFonts w:ascii="Times New Roman" w:hAnsi="Times New Roman"/>
          <w:sz w:val="24"/>
          <w:szCs w:val="24"/>
        </w:rPr>
        <w:t xml:space="preserve">Inland Revenue has identified </w:t>
      </w:r>
      <w:r w:rsidR="00944748">
        <w:rPr>
          <w:rFonts w:ascii="Times New Roman" w:hAnsi="Times New Roman"/>
          <w:sz w:val="24"/>
          <w:szCs w:val="24"/>
        </w:rPr>
        <w:t xml:space="preserve">that some of the </w:t>
      </w:r>
      <w:r w:rsidRPr="001C46F2">
        <w:rPr>
          <w:rFonts w:ascii="Times New Roman" w:hAnsi="Times New Roman"/>
          <w:sz w:val="24"/>
          <w:szCs w:val="24"/>
        </w:rPr>
        <w:t xml:space="preserve">sharing of information with </w:t>
      </w:r>
      <w:r w:rsidR="00660473">
        <w:rPr>
          <w:rFonts w:ascii="Times New Roman" w:hAnsi="Times New Roman"/>
          <w:sz w:val="24"/>
          <w:szCs w:val="24"/>
        </w:rPr>
        <w:t>ACC</w:t>
      </w:r>
      <w:r w:rsidRPr="001C46F2">
        <w:rPr>
          <w:rFonts w:ascii="Times New Roman" w:hAnsi="Times New Roman"/>
          <w:sz w:val="24"/>
          <w:szCs w:val="24"/>
        </w:rPr>
        <w:t xml:space="preserve"> which is taking place under the provisions of a Memorandum of Understanding currently falls outside the remit of the Tax Administration Act 1994.  This information is necessary to enable the calculation of levies, provision of invoices to for payment, the determination of the level of entitlements/compensation that an injured individual is entitled to receive</w:t>
      </w:r>
      <w:r w:rsidR="002A60DC">
        <w:rPr>
          <w:rFonts w:ascii="Times New Roman" w:hAnsi="Times New Roman"/>
          <w:sz w:val="24"/>
          <w:szCs w:val="24"/>
        </w:rPr>
        <w:t>.</w:t>
      </w:r>
    </w:p>
    <w:p w:rsidR="008E4CDF" w:rsidRPr="008E4CDF" w:rsidRDefault="008E4CDF" w:rsidP="00B9510D">
      <w:pPr>
        <w:tabs>
          <w:tab w:val="left" w:pos="567"/>
        </w:tabs>
        <w:spacing w:after="0"/>
        <w:jc w:val="both"/>
        <w:rPr>
          <w:rFonts w:ascii="Times New Roman" w:hAnsi="Times New Roman"/>
          <w:sz w:val="24"/>
          <w:szCs w:val="24"/>
        </w:rPr>
      </w:pPr>
    </w:p>
    <w:p w:rsidR="0091199C" w:rsidRPr="00B9510D" w:rsidRDefault="0091199C" w:rsidP="00B9510D">
      <w:pPr>
        <w:tabs>
          <w:tab w:val="left" w:pos="567"/>
        </w:tabs>
        <w:spacing w:after="0"/>
        <w:jc w:val="both"/>
        <w:rPr>
          <w:rFonts w:ascii="Times New Roman" w:hAnsi="Times New Roman"/>
          <w:sz w:val="24"/>
          <w:szCs w:val="24"/>
        </w:rPr>
      </w:pPr>
      <w:r w:rsidRPr="00B9510D">
        <w:rPr>
          <w:rFonts w:ascii="Times New Roman" w:hAnsi="Times New Roman"/>
          <w:sz w:val="24"/>
          <w:szCs w:val="24"/>
        </w:rPr>
        <w:t xml:space="preserve">In sharing information in this way, there is a trade-off between the privacy rights of individuals and the need for government agencies to provide efficient, high quality services.  However, the recommended design of the approach would provide considerable efficiencies for the government, whilst having a minimal effect on an individual’s right to privacy.  This is because </w:t>
      </w:r>
      <w:r w:rsidR="00660473">
        <w:rPr>
          <w:rFonts w:ascii="Times New Roman" w:hAnsi="Times New Roman"/>
          <w:sz w:val="24"/>
          <w:szCs w:val="24"/>
        </w:rPr>
        <w:t>ACC</w:t>
      </w:r>
      <w:r w:rsidRPr="00B9510D">
        <w:rPr>
          <w:rFonts w:ascii="Times New Roman" w:hAnsi="Times New Roman"/>
          <w:sz w:val="24"/>
          <w:szCs w:val="24"/>
        </w:rPr>
        <w:t xml:space="preserve"> would only receive information that it is lawfully entitled to collect in its own right and Inland Revenue would not collect additional information on behalf of </w:t>
      </w:r>
      <w:r w:rsidR="00355657">
        <w:rPr>
          <w:rFonts w:ascii="Times New Roman" w:hAnsi="Times New Roman"/>
          <w:sz w:val="24"/>
          <w:szCs w:val="24"/>
        </w:rPr>
        <w:t>ACC</w:t>
      </w:r>
      <w:r w:rsidRPr="00B9510D">
        <w:rPr>
          <w:rFonts w:ascii="Times New Roman" w:hAnsi="Times New Roman"/>
          <w:sz w:val="24"/>
          <w:szCs w:val="24"/>
        </w:rPr>
        <w:t>.</w:t>
      </w:r>
      <w:r w:rsidR="002A60DC" w:rsidRPr="00B9510D">
        <w:rPr>
          <w:rFonts w:ascii="Times New Roman" w:hAnsi="Times New Roman"/>
          <w:sz w:val="24"/>
          <w:szCs w:val="24"/>
        </w:rPr>
        <w:t xml:space="preserve">  For the customer this would mean only providing their details to government once.</w:t>
      </w:r>
    </w:p>
    <w:p w:rsidR="001C46F2" w:rsidRDefault="001C46F2" w:rsidP="00B9510D">
      <w:pPr>
        <w:tabs>
          <w:tab w:val="left" w:pos="567"/>
        </w:tabs>
        <w:spacing w:after="0"/>
        <w:jc w:val="both"/>
        <w:rPr>
          <w:rFonts w:ascii="Times New Roman" w:hAnsi="Times New Roman"/>
          <w:sz w:val="24"/>
          <w:szCs w:val="24"/>
        </w:rPr>
      </w:pPr>
    </w:p>
    <w:p w:rsidR="001C46F2" w:rsidRDefault="001C46F2" w:rsidP="00B9510D">
      <w:pPr>
        <w:tabs>
          <w:tab w:val="left" w:pos="567"/>
        </w:tabs>
        <w:spacing w:after="0"/>
        <w:jc w:val="both"/>
        <w:rPr>
          <w:rFonts w:ascii="Times New Roman" w:hAnsi="Times New Roman"/>
          <w:sz w:val="24"/>
          <w:szCs w:val="24"/>
        </w:rPr>
      </w:pPr>
      <w:r w:rsidRPr="00310669">
        <w:rPr>
          <w:rFonts w:ascii="Times New Roman" w:hAnsi="Times New Roman"/>
          <w:sz w:val="24"/>
          <w:szCs w:val="24"/>
        </w:rPr>
        <w:t xml:space="preserve">The Office of the Privacy Commissioner has been consulted and is supportive of </w:t>
      </w:r>
      <w:r w:rsidR="00294960">
        <w:rPr>
          <w:rFonts w:ascii="Times New Roman" w:hAnsi="Times New Roman"/>
          <w:sz w:val="24"/>
          <w:szCs w:val="24"/>
        </w:rPr>
        <w:t>the</w:t>
      </w:r>
      <w:r w:rsidR="00294960" w:rsidRPr="00310669">
        <w:rPr>
          <w:rFonts w:ascii="Times New Roman" w:hAnsi="Times New Roman"/>
          <w:sz w:val="24"/>
          <w:szCs w:val="24"/>
        </w:rPr>
        <w:t xml:space="preserve"> </w:t>
      </w:r>
      <w:r w:rsidRPr="00310669">
        <w:rPr>
          <w:rFonts w:ascii="Times New Roman" w:hAnsi="Times New Roman"/>
          <w:sz w:val="24"/>
          <w:szCs w:val="24"/>
        </w:rPr>
        <w:t xml:space="preserve">proposal.  It does not see any significant privacy risk with the current sharing, given the information is provided to </w:t>
      </w:r>
      <w:r w:rsidR="00660473">
        <w:rPr>
          <w:rFonts w:ascii="Times New Roman" w:hAnsi="Times New Roman"/>
          <w:sz w:val="24"/>
          <w:szCs w:val="24"/>
        </w:rPr>
        <w:t>ACC</w:t>
      </w:r>
      <w:r w:rsidRPr="00310669">
        <w:rPr>
          <w:rFonts w:ascii="Times New Roman" w:hAnsi="Times New Roman"/>
          <w:sz w:val="24"/>
          <w:szCs w:val="24"/>
        </w:rPr>
        <w:t xml:space="preserve"> for a legitimate purpose.</w:t>
      </w:r>
    </w:p>
    <w:p w:rsidR="001C46F2" w:rsidRDefault="001C46F2" w:rsidP="00B9510D">
      <w:pPr>
        <w:tabs>
          <w:tab w:val="left" w:pos="567"/>
        </w:tabs>
        <w:spacing w:after="0"/>
        <w:jc w:val="both"/>
        <w:rPr>
          <w:rFonts w:ascii="Times New Roman" w:hAnsi="Times New Roman"/>
          <w:sz w:val="24"/>
          <w:szCs w:val="24"/>
        </w:rPr>
      </w:pPr>
    </w:p>
    <w:p w:rsidR="0091199C" w:rsidRPr="00B9510D" w:rsidRDefault="0091199C" w:rsidP="00B9510D">
      <w:pPr>
        <w:tabs>
          <w:tab w:val="left" w:pos="567"/>
        </w:tabs>
        <w:spacing w:after="0"/>
        <w:jc w:val="both"/>
        <w:rPr>
          <w:rFonts w:ascii="Times New Roman" w:hAnsi="Times New Roman"/>
          <w:sz w:val="24"/>
          <w:szCs w:val="24"/>
        </w:rPr>
      </w:pPr>
      <w:r w:rsidRPr="00B9510D">
        <w:rPr>
          <w:rFonts w:ascii="Times New Roman" w:hAnsi="Times New Roman"/>
          <w:sz w:val="24"/>
          <w:szCs w:val="24"/>
        </w:rPr>
        <w:t xml:space="preserve">We have not identified any other significant gaps, assumptions, dependencies, constraints, caveats or uncertainties.  The preferred option in this statement does not impose additional costs on businesses, impair private property rights, restrict market competition, or reduce the incentives on businesses to innovate and invest or override fundamental common law principles.  </w:t>
      </w:r>
    </w:p>
    <w:p w:rsidR="0091199C" w:rsidRDefault="0091199C" w:rsidP="00B9510D">
      <w:pPr>
        <w:tabs>
          <w:tab w:val="left" w:pos="567"/>
        </w:tabs>
        <w:spacing w:after="0"/>
        <w:jc w:val="both"/>
        <w:rPr>
          <w:rFonts w:ascii="Times New Roman" w:hAnsi="Times New Roman"/>
          <w:sz w:val="24"/>
          <w:szCs w:val="24"/>
        </w:rPr>
      </w:pPr>
    </w:p>
    <w:p w:rsidR="00085660" w:rsidRDefault="00310669" w:rsidP="00B9510D">
      <w:pPr>
        <w:tabs>
          <w:tab w:val="left" w:pos="567"/>
        </w:tabs>
        <w:spacing w:after="0"/>
        <w:jc w:val="both"/>
        <w:rPr>
          <w:rFonts w:ascii="Times New Roman" w:hAnsi="Times New Roman"/>
          <w:sz w:val="24"/>
          <w:szCs w:val="24"/>
        </w:rPr>
      </w:pPr>
      <w:r w:rsidRPr="00310669">
        <w:rPr>
          <w:rFonts w:ascii="Times New Roman" w:hAnsi="Times New Roman"/>
          <w:sz w:val="24"/>
          <w:szCs w:val="24"/>
        </w:rPr>
        <w:t>The preferred option in this statement has a</w:t>
      </w:r>
      <w:r w:rsidR="00551664">
        <w:rPr>
          <w:rFonts w:ascii="Times New Roman" w:hAnsi="Times New Roman"/>
          <w:sz w:val="24"/>
          <w:szCs w:val="24"/>
        </w:rPr>
        <w:t>n</w:t>
      </w:r>
      <w:r w:rsidRPr="00310669">
        <w:rPr>
          <w:rFonts w:ascii="Times New Roman" w:hAnsi="Times New Roman"/>
          <w:sz w:val="24"/>
          <w:szCs w:val="24"/>
        </w:rPr>
        <w:t xml:space="preserve"> </w:t>
      </w:r>
      <w:r w:rsidR="00551664">
        <w:rPr>
          <w:rFonts w:ascii="Times New Roman" w:hAnsi="Times New Roman"/>
          <w:sz w:val="24"/>
          <w:szCs w:val="24"/>
        </w:rPr>
        <w:t xml:space="preserve">administrative </w:t>
      </w:r>
      <w:r w:rsidR="001C46F2" w:rsidRPr="00310669">
        <w:rPr>
          <w:rFonts w:ascii="Times New Roman" w:hAnsi="Times New Roman"/>
          <w:sz w:val="24"/>
          <w:szCs w:val="24"/>
        </w:rPr>
        <w:t xml:space="preserve">impact </w:t>
      </w:r>
      <w:r w:rsidRPr="00310669">
        <w:rPr>
          <w:rFonts w:ascii="Times New Roman" w:hAnsi="Times New Roman"/>
          <w:sz w:val="24"/>
          <w:szCs w:val="24"/>
        </w:rPr>
        <w:t xml:space="preserve">that </w:t>
      </w:r>
      <w:r w:rsidR="001C46F2" w:rsidRPr="00310669">
        <w:rPr>
          <w:rFonts w:ascii="Times New Roman" w:hAnsi="Times New Roman"/>
          <w:sz w:val="24"/>
          <w:szCs w:val="24"/>
        </w:rPr>
        <w:t>will be neutral as it will be undertaken on an agreed fee for service basis.</w:t>
      </w:r>
    </w:p>
    <w:p w:rsidR="0091199C" w:rsidRPr="00B9510D" w:rsidRDefault="0091199C" w:rsidP="00B9510D">
      <w:pPr>
        <w:tabs>
          <w:tab w:val="left" w:pos="567"/>
        </w:tabs>
        <w:spacing w:after="0"/>
        <w:jc w:val="both"/>
        <w:rPr>
          <w:rFonts w:ascii="Times New Roman" w:hAnsi="Times New Roman"/>
          <w:sz w:val="24"/>
          <w:szCs w:val="24"/>
        </w:rPr>
      </w:pPr>
    </w:p>
    <w:p w:rsidR="005079DD" w:rsidRPr="00B9510D" w:rsidRDefault="005079DD" w:rsidP="00B9510D">
      <w:pPr>
        <w:tabs>
          <w:tab w:val="left" w:pos="567"/>
        </w:tabs>
        <w:spacing w:after="0"/>
        <w:jc w:val="both"/>
        <w:rPr>
          <w:rFonts w:ascii="Times New Roman" w:hAnsi="Times New Roman"/>
          <w:sz w:val="24"/>
          <w:szCs w:val="24"/>
        </w:rPr>
      </w:pPr>
    </w:p>
    <w:p w:rsidR="00085660" w:rsidRPr="00B9510D" w:rsidRDefault="001C46F2" w:rsidP="00B9510D">
      <w:pPr>
        <w:tabs>
          <w:tab w:val="left" w:pos="567"/>
        </w:tabs>
        <w:spacing w:after="0"/>
        <w:jc w:val="both"/>
        <w:rPr>
          <w:rFonts w:ascii="Times New Roman" w:hAnsi="Times New Roman"/>
          <w:sz w:val="24"/>
          <w:szCs w:val="24"/>
        </w:rPr>
      </w:pPr>
      <w:r w:rsidRPr="00B9510D">
        <w:rPr>
          <w:rFonts w:ascii="Times New Roman" w:hAnsi="Times New Roman"/>
          <w:sz w:val="24"/>
          <w:szCs w:val="24"/>
        </w:rPr>
        <w:t>Keith Taylor</w:t>
      </w:r>
    </w:p>
    <w:p w:rsidR="009F7B9A" w:rsidRPr="00B9510D" w:rsidRDefault="001C46F2" w:rsidP="00B9510D">
      <w:pPr>
        <w:tabs>
          <w:tab w:val="left" w:pos="567"/>
        </w:tabs>
        <w:spacing w:after="0"/>
        <w:jc w:val="both"/>
        <w:rPr>
          <w:rFonts w:ascii="Times New Roman" w:hAnsi="Times New Roman"/>
          <w:sz w:val="24"/>
          <w:szCs w:val="24"/>
        </w:rPr>
      </w:pPr>
      <w:r w:rsidRPr="00B9510D">
        <w:rPr>
          <w:rFonts w:ascii="Times New Roman" w:hAnsi="Times New Roman"/>
          <w:sz w:val="24"/>
          <w:szCs w:val="24"/>
        </w:rPr>
        <w:t>Policy Manager,</w:t>
      </w:r>
      <w:r w:rsidR="005A62E6" w:rsidRPr="00B9510D">
        <w:rPr>
          <w:rFonts w:ascii="Times New Roman" w:hAnsi="Times New Roman"/>
          <w:sz w:val="24"/>
          <w:szCs w:val="24"/>
        </w:rPr>
        <w:t xml:space="preserve"> Policy and Strategy</w:t>
      </w:r>
    </w:p>
    <w:p w:rsidR="000545DC" w:rsidRPr="00B9510D" w:rsidRDefault="001C6912" w:rsidP="00B9510D">
      <w:pPr>
        <w:tabs>
          <w:tab w:val="left" w:pos="567"/>
        </w:tabs>
        <w:spacing w:after="0"/>
        <w:jc w:val="both"/>
        <w:rPr>
          <w:rFonts w:ascii="Times New Roman" w:hAnsi="Times New Roman"/>
          <w:sz w:val="24"/>
          <w:szCs w:val="24"/>
        </w:rPr>
      </w:pPr>
      <w:r w:rsidRPr="00B9510D">
        <w:rPr>
          <w:rFonts w:ascii="Times New Roman" w:hAnsi="Times New Roman"/>
          <w:sz w:val="24"/>
          <w:szCs w:val="24"/>
        </w:rPr>
        <w:t>Inland Revenue</w:t>
      </w:r>
    </w:p>
    <w:p w:rsidR="000545DC" w:rsidRPr="00B9510D" w:rsidRDefault="001C46F2" w:rsidP="00B9510D">
      <w:pPr>
        <w:tabs>
          <w:tab w:val="left" w:pos="567"/>
        </w:tabs>
        <w:spacing w:after="0"/>
        <w:jc w:val="both"/>
        <w:rPr>
          <w:rFonts w:ascii="Times New Roman" w:hAnsi="Times New Roman"/>
          <w:sz w:val="24"/>
          <w:szCs w:val="24"/>
        </w:rPr>
      </w:pPr>
      <w:r w:rsidRPr="00B9510D">
        <w:rPr>
          <w:rFonts w:ascii="Times New Roman" w:hAnsi="Times New Roman"/>
          <w:sz w:val="24"/>
          <w:szCs w:val="24"/>
        </w:rPr>
        <w:t>27 October 2015</w:t>
      </w:r>
    </w:p>
    <w:p w:rsidR="000545DC" w:rsidRPr="000462BA" w:rsidRDefault="001C6912" w:rsidP="00B9510D">
      <w:pPr>
        <w:tabs>
          <w:tab w:val="left" w:pos="567"/>
        </w:tabs>
        <w:spacing w:after="0"/>
        <w:jc w:val="both"/>
        <w:rPr>
          <w:rFonts w:ascii="Times New Roman" w:hAnsi="Times New Roman"/>
          <w:b/>
          <w:sz w:val="24"/>
          <w:szCs w:val="24"/>
        </w:rPr>
      </w:pPr>
      <w:bookmarkStart w:id="6" w:name="_Toc244580363"/>
      <w:bookmarkStart w:id="7" w:name="_Toc244587039"/>
      <w:bookmarkStart w:id="8" w:name="_Toc244857273"/>
      <w:bookmarkStart w:id="9" w:name="_Toc244912538"/>
      <w:bookmarkStart w:id="10" w:name="_Toc244916995"/>
      <w:r w:rsidRPr="00B9510D">
        <w:rPr>
          <w:rFonts w:ascii="Times New Roman" w:hAnsi="Times New Roman"/>
          <w:sz w:val="24"/>
          <w:szCs w:val="24"/>
        </w:rPr>
        <w:br w:type="page"/>
      </w:r>
      <w:r w:rsidRPr="000462BA">
        <w:rPr>
          <w:rFonts w:ascii="Times New Roman" w:hAnsi="Times New Roman"/>
          <w:b/>
          <w:sz w:val="24"/>
          <w:szCs w:val="24"/>
        </w:rPr>
        <w:lastRenderedPageBreak/>
        <w:t>STATUS QUO AND PROBLEM DEFINITION</w:t>
      </w:r>
      <w:bookmarkEnd w:id="6"/>
      <w:bookmarkEnd w:id="7"/>
      <w:bookmarkEnd w:id="8"/>
      <w:bookmarkEnd w:id="9"/>
      <w:bookmarkEnd w:id="10"/>
    </w:p>
    <w:p w:rsidR="008E4CDF" w:rsidRDefault="008E4CDF" w:rsidP="00B9510D">
      <w:pPr>
        <w:tabs>
          <w:tab w:val="left" w:pos="567"/>
        </w:tabs>
        <w:spacing w:after="0"/>
        <w:jc w:val="both"/>
        <w:rPr>
          <w:rFonts w:ascii="Times New Roman" w:hAnsi="Times New Roman"/>
          <w:sz w:val="24"/>
          <w:szCs w:val="24"/>
        </w:rPr>
      </w:pPr>
    </w:p>
    <w:p w:rsidR="002710B0"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5B71B3">
        <w:rPr>
          <w:rFonts w:ascii="Times New Roman" w:hAnsi="Times New Roman"/>
          <w:sz w:val="24"/>
          <w:szCs w:val="24"/>
        </w:rPr>
        <w:t>Section 81 of the Tax Administration Act 1994</w:t>
      </w:r>
      <w:r w:rsidR="00EE1C05">
        <w:rPr>
          <w:rFonts w:ascii="Times New Roman" w:hAnsi="Times New Roman"/>
          <w:sz w:val="24"/>
          <w:szCs w:val="24"/>
        </w:rPr>
        <w:t xml:space="preserve"> (the TAA)</w:t>
      </w:r>
      <w:r w:rsidR="005B71B3">
        <w:rPr>
          <w:rFonts w:ascii="Times New Roman" w:hAnsi="Times New Roman"/>
          <w:sz w:val="24"/>
          <w:szCs w:val="24"/>
        </w:rPr>
        <w:t xml:space="preserve"> creates an obligation of secrecy for officers of Inland Revenue.  </w:t>
      </w:r>
      <w:r w:rsidR="00246852">
        <w:rPr>
          <w:rFonts w:ascii="Times New Roman" w:hAnsi="Times New Roman"/>
          <w:sz w:val="24"/>
          <w:szCs w:val="24"/>
        </w:rPr>
        <w:t xml:space="preserve">This obligation is </w:t>
      </w:r>
      <w:r w:rsidR="002710B0">
        <w:rPr>
          <w:rFonts w:ascii="Times New Roman" w:hAnsi="Times New Roman"/>
          <w:sz w:val="24"/>
          <w:szCs w:val="24"/>
        </w:rPr>
        <w:t xml:space="preserve">necessary to protect the integrity of the tax system, </w:t>
      </w:r>
      <w:r w:rsidR="00246852">
        <w:rPr>
          <w:rFonts w:ascii="Times New Roman" w:hAnsi="Times New Roman"/>
          <w:sz w:val="24"/>
          <w:szCs w:val="24"/>
        </w:rPr>
        <w:t xml:space="preserve">which includes </w:t>
      </w:r>
      <w:r w:rsidR="002710B0">
        <w:rPr>
          <w:rFonts w:ascii="Times New Roman" w:hAnsi="Times New Roman"/>
          <w:sz w:val="24"/>
          <w:szCs w:val="24"/>
        </w:rPr>
        <w:t>taxpaye</w:t>
      </w:r>
      <w:r w:rsidR="00246852">
        <w:rPr>
          <w:rFonts w:ascii="Times New Roman" w:hAnsi="Times New Roman"/>
          <w:sz w:val="24"/>
          <w:szCs w:val="24"/>
        </w:rPr>
        <w:t>r perceptions of that integrity, and the responsibilities of those administering the law to maintain the confident</w:t>
      </w:r>
      <w:r w:rsidR="005D1CAF">
        <w:rPr>
          <w:rFonts w:ascii="Times New Roman" w:hAnsi="Times New Roman"/>
          <w:sz w:val="24"/>
          <w:szCs w:val="24"/>
        </w:rPr>
        <w:t>iality of affairs of taxpayers.</w:t>
      </w:r>
    </w:p>
    <w:p w:rsidR="002710B0" w:rsidRDefault="002710B0" w:rsidP="00B9510D">
      <w:pPr>
        <w:tabs>
          <w:tab w:val="left" w:pos="567"/>
        </w:tabs>
        <w:spacing w:after="0"/>
        <w:jc w:val="both"/>
        <w:rPr>
          <w:rFonts w:ascii="Times New Roman" w:hAnsi="Times New Roman"/>
          <w:sz w:val="24"/>
          <w:szCs w:val="24"/>
        </w:rPr>
      </w:pPr>
    </w:p>
    <w:p w:rsidR="005B71B3" w:rsidRDefault="002710B0" w:rsidP="00B9510D">
      <w:pPr>
        <w:tabs>
          <w:tab w:val="left" w:pos="567"/>
        </w:tabs>
        <w:spacing w:after="0"/>
        <w:jc w:val="both"/>
        <w:rPr>
          <w:rFonts w:ascii="Times New Roman" w:hAnsi="Times New Roman"/>
          <w:sz w:val="24"/>
          <w:szCs w:val="24"/>
        </w:rPr>
      </w:pPr>
      <w:r w:rsidRPr="002710B0">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2710B0">
        <w:rPr>
          <w:rFonts w:ascii="Times New Roman" w:hAnsi="Times New Roman"/>
          <w:sz w:val="24"/>
          <w:szCs w:val="24"/>
        </w:rPr>
        <w:fldChar w:fldCharType="end"/>
      </w:r>
      <w:r w:rsidRPr="00B9510D">
        <w:rPr>
          <w:rFonts w:ascii="Times New Roman" w:hAnsi="Times New Roman"/>
          <w:sz w:val="24"/>
          <w:szCs w:val="24"/>
        </w:rPr>
        <w:tab/>
      </w:r>
      <w:r w:rsidR="00246852" w:rsidRPr="00B9510D">
        <w:rPr>
          <w:rFonts w:ascii="Times New Roman" w:hAnsi="Times New Roman"/>
          <w:sz w:val="24"/>
          <w:szCs w:val="24"/>
        </w:rPr>
        <w:t xml:space="preserve">However, </w:t>
      </w:r>
      <w:r w:rsidR="00246852">
        <w:rPr>
          <w:rFonts w:ascii="Times New Roman" w:hAnsi="Times New Roman"/>
          <w:sz w:val="24"/>
          <w:szCs w:val="24"/>
        </w:rPr>
        <w:t>u</w:t>
      </w:r>
      <w:r w:rsidR="005B71B3">
        <w:rPr>
          <w:rFonts w:ascii="Times New Roman" w:hAnsi="Times New Roman"/>
          <w:sz w:val="24"/>
          <w:szCs w:val="24"/>
        </w:rPr>
        <w:t>nder section 81(4)</w:t>
      </w:r>
      <w:r w:rsidR="000462BA">
        <w:rPr>
          <w:rFonts w:ascii="Times New Roman" w:hAnsi="Times New Roman"/>
          <w:sz w:val="24"/>
          <w:szCs w:val="24"/>
        </w:rPr>
        <w:t xml:space="preserve"> </w:t>
      </w:r>
      <w:r w:rsidR="005D1CAF">
        <w:rPr>
          <w:rFonts w:ascii="Times New Roman" w:hAnsi="Times New Roman"/>
          <w:sz w:val="24"/>
          <w:szCs w:val="24"/>
        </w:rPr>
        <w:t>of the T</w:t>
      </w:r>
      <w:r w:rsidR="00EE1C05">
        <w:rPr>
          <w:rFonts w:ascii="Times New Roman" w:hAnsi="Times New Roman"/>
          <w:sz w:val="24"/>
          <w:szCs w:val="24"/>
        </w:rPr>
        <w:t>A</w:t>
      </w:r>
      <w:r w:rsidR="005D1CAF">
        <w:rPr>
          <w:rFonts w:ascii="Times New Roman" w:hAnsi="Times New Roman"/>
          <w:sz w:val="24"/>
          <w:szCs w:val="24"/>
        </w:rPr>
        <w:t>A</w:t>
      </w:r>
      <w:r w:rsidR="005B71B3">
        <w:rPr>
          <w:rFonts w:ascii="Times New Roman" w:hAnsi="Times New Roman"/>
          <w:sz w:val="24"/>
          <w:szCs w:val="24"/>
        </w:rPr>
        <w:t xml:space="preserve">, there is a list of circumstances in which this obligation has been removed.  One such instance refers to the ability of Inland Revenue to legally </w:t>
      </w:r>
      <w:r w:rsidR="00925FD2">
        <w:rPr>
          <w:rFonts w:ascii="Times New Roman" w:hAnsi="Times New Roman"/>
          <w:sz w:val="24"/>
          <w:szCs w:val="24"/>
        </w:rPr>
        <w:t xml:space="preserve">provide </w:t>
      </w:r>
      <w:r w:rsidR="006C2927">
        <w:rPr>
          <w:rFonts w:ascii="Times New Roman" w:hAnsi="Times New Roman"/>
          <w:sz w:val="24"/>
          <w:szCs w:val="24"/>
        </w:rPr>
        <w:t xml:space="preserve">certain </w:t>
      </w:r>
      <w:r w:rsidR="005B71B3">
        <w:rPr>
          <w:rFonts w:ascii="Times New Roman" w:hAnsi="Times New Roman"/>
          <w:sz w:val="24"/>
          <w:szCs w:val="24"/>
        </w:rPr>
        <w:t xml:space="preserve">information to </w:t>
      </w:r>
      <w:r w:rsidR="00660473">
        <w:rPr>
          <w:rFonts w:ascii="Times New Roman" w:hAnsi="Times New Roman"/>
          <w:sz w:val="24"/>
          <w:szCs w:val="24"/>
        </w:rPr>
        <w:t>ACC</w:t>
      </w:r>
      <w:r w:rsidR="006C2927">
        <w:rPr>
          <w:rFonts w:ascii="Times New Roman" w:hAnsi="Times New Roman"/>
          <w:sz w:val="24"/>
          <w:szCs w:val="24"/>
        </w:rPr>
        <w:t xml:space="preserve"> to enable it to carry out its legislative functions</w:t>
      </w:r>
      <w:r w:rsidR="005B71B3">
        <w:rPr>
          <w:rFonts w:ascii="Times New Roman" w:hAnsi="Times New Roman"/>
          <w:sz w:val="24"/>
          <w:szCs w:val="24"/>
        </w:rPr>
        <w:t>.  The scope of the information able to be provided is set out in section</w:t>
      </w:r>
      <w:r w:rsidR="00B670C4">
        <w:rPr>
          <w:rFonts w:ascii="Times New Roman" w:hAnsi="Times New Roman"/>
          <w:sz w:val="24"/>
          <w:szCs w:val="24"/>
        </w:rPr>
        <w:t>s</w:t>
      </w:r>
      <w:r w:rsidR="005B71B3">
        <w:rPr>
          <w:rFonts w:ascii="Times New Roman" w:hAnsi="Times New Roman"/>
          <w:sz w:val="24"/>
          <w:szCs w:val="24"/>
        </w:rPr>
        <w:t xml:space="preserve"> 82</w:t>
      </w:r>
      <w:r w:rsidR="00B670C4">
        <w:rPr>
          <w:rFonts w:ascii="Times New Roman" w:hAnsi="Times New Roman"/>
          <w:sz w:val="24"/>
          <w:szCs w:val="24"/>
        </w:rPr>
        <w:t xml:space="preserve"> and 85E</w:t>
      </w:r>
      <w:r w:rsidR="005D1CAF">
        <w:rPr>
          <w:rFonts w:ascii="Times New Roman" w:hAnsi="Times New Roman"/>
          <w:sz w:val="24"/>
          <w:szCs w:val="24"/>
        </w:rPr>
        <w:t xml:space="preserve"> of the T</w:t>
      </w:r>
      <w:r w:rsidR="00EE1C05">
        <w:rPr>
          <w:rFonts w:ascii="Times New Roman" w:hAnsi="Times New Roman"/>
          <w:sz w:val="24"/>
          <w:szCs w:val="24"/>
        </w:rPr>
        <w:t>A</w:t>
      </w:r>
      <w:r w:rsidR="005D1CAF">
        <w:rPr>
          <w:rFonts w:ascii="Times New Roman" w:hAnsi="Times New Roman"/>
          <w:sz w:val="24"/>
          <w:szCs w:val="24"/>
        </w:rPr>
        <w:t>A</w:t>
      </w:r>
      <w:r w:rsidR="005B71B3">
        <w:rPr>
          <w:rFonts w:ascii="Times New Roman" w:hAnsi="Times New Roman"/>
          <w:sz w:val="24"/>
          <w:szCs w:val="24"/>
        </w:rPr>
        <w:t>.  The operational transfer of this information, safeguards and governance are set out in a Memorandum of Understanding (the Memorandum) between the two parties.</w:t>
      </w:r>
    </w:p>
    <w:p w:rsidR="005D1CAF" w:rsidRDefault="005D1CAF" w:rsidP="00B9510D">
      <w:pPr>
        <w:tabs>
          <w:tab w:val="left" w:pos="567"/>
        </w:tabs>
        <w:spacing w:after="0"/>
        <w:jc w:val="both"/>
        <w:rPr>
          <w:rFonts w:ascii="Times New Roman" w:hAnsi="Times New Roman"/>
          <w:sz w:val="24"/>
          <w:szCs w:val="24"/>
        </w:rPr>
      </w:pPr>
    </w:p>
    <w:p w:rsidR="005D1CAF" w:rsidRDefault="005D1CAF" w:rsidP="00B9510D">
      <w:pPr>
        <w:tabs>
          <w:tab w:val="left" w:pos="567"/>
        </w:tabs>
        <w:spacing w:after="0"/>
        <w:jc w:val="both"/>
        <w:rPr>
          <w:rFonts w:ascii="Times New Roman" w:hAnsi="Times New Roman"/>
          <w:sz w:val="24"/>
          <w:szCs w:val="24"/>
        </w:rPr>
      </w:pPr>
      <w:r w:rsidRPr="005D1CA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5D1CAF">
        <w:rPr>
          <w:rFonts w:ascii="Times New Roman" w:hAnsi="Times New Roman"/>
          <w:sz w:val="24"/>
          <w:szCs w:val="24"/>
        </w:rPr>
        <w:fldChar w:fldCharType="end"/>
      </w:r>
      <w:r w:rsidRPr="00B9510D">
        <w:rPr>
          <w:rFonts w:ascii="Times New Roman" w:hAnsi="Times New Roman"/>
          <w:sz w:val="24"/>
          <w:szCs w:val="24"/>
        </w:rPr>
        <w:tab/>
      </w:r>
      <w:r>
        <w:rPr>
          <w:rFonts w:ascii="Times New Roman" w:hAnsi="Times New Roman"/>
          <w:sz w:val="24"/>
          <w:szCs w:val="24"/>
        </w:rPr>
        <w:t xml:space="preserve">The secrecy obligation and the exception </w:t>
      </w:r>
      <w:r w:rsidR="006E2B33">
        <w:rPr>
          <w:rFonts w:ascii="Times New Roman" w:hAnsi="Times New Roman"/>
          <w:sz w:val="24"/>
          <w:szCs w:val="24"/>
        </w:rPr>
        <w:t>highlight</w:t>
      </w:r>
      <w:r>
        <w:rPr>
          <w:rFonts w:ascii="Times New Roman" w:hAnsi="Times New Roman"/>
          <w:sz w:val="24"/>
          <w:szCs w:val="24"/>
        </w:rPr>
        <w:t xml:space="preserve"> the </w:t>
      </w:r>
      <w:r w:rsidR="006E2B33">
        <w:rPr>
          <w:rFonts w:ascii="Times New Roman" w:hAnsi="Times New Roman"/>
          <w:sz w:val="24"/>
          <w:szCs w:val="24"/>
        </w:rPr>
        <w:t xml:space="preserve">policy </w:t>
      </w:r>
      <w:r>
        <w:rPr>
          <w:rFonts w:ascii="Times New Roman" w:hAnsi="Times New Roman"/>
          <w:sz w:val="24"/>
          <w:szCs w:val="24"/>
        </w:rPr>
        <w:t>trade-off between ensuring the confidentiality of taxpayer information with the desire for efficient administration of the tax system and government services.</w:t>
      </w:r>
    </w:p>
    <w:p w:rsidR="005B71B3" w:rsidRDefault="005B71B3" w:rsidP="00B9510D">
      <w:pPr>
        <w:tabs>
          <w:tab w:val="left" w:pos="567"/>
        </w:tabs>
        <w:spacing w:after="0"/>
        <w:jc w:val="both"/>
        <w:rPr>
          <w:rFonts w:ascii="Times New Roman" w:hAnsi="Times New Roman"/>
          <w:sz w:val="24"/>
          <w:szCs w:val="24"/>
        </w:rPr>
      </w:pPr>
    </w:p>
    <w:p w:rsidR="00F560DF" w:rsidRPr="00310669"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310669" w:rsidRPr="00310669">
        <w:rPr>
          <w:rFonts w:ascii="Times New Roman" w:hAnsi="Times New Roman"/>
          <w:sz w:val="24"/>
          <w:szCs w:val="24"/>
        </w:rPr>
        <w:t xml:space="preserve">Inland Revenue has identified </w:t>
      </w:r>
      <w:r w:rsidR="00944748">
        <w:rPr>
          <w:rFonts w:ascii="Times New Roman" w:hAnsi="Times New Roman"/>
          <w:sz w:val="24"/>
          <w:szCs w:val="24"/>
        </w:rPr>
        <w:t xml:space="preserve">that some of the </w:t>
      </w:r>
      <w:r w:rsidR="00310669" w:rsidRPr="00310669">
        <w:rPr>
          <w:rFonts w:ascii="Times New Roman" w:hAnsi="Times New Roman"/>
          <w:sz w:val="24"/>
          <w:szCs w:val="24"/>
        </w:rPr>
        <w:t xml:space="preserve">sharing of information which has taken place in accordance with </w:t>
      </w:r>
      <w:r w:rsidR="005B71B3">
        <w:rPr>
          <w:rFonts w:ascii="Times New Roman" w:hAnsi="Times New Roman"/>
          <w:sz w:val="24"/>
          <w:szCs w:val="24"/>
        </w:rPr>
        <w:t xml:space="preserve">the </w:t>
      </w:r>
      <w:r w:rsidR="00310669" w:rsidRPr="00310669">
        <w:rPr>
          <w:rFonts w:ascii="Times New Roman" w:hAnsi="Times New Roman"/>
          <w:sz w:val="24"/>
          <w:szCs w:val="24"/>
        </w:rPr>
        <w:t xml:space="preserve">Memorandum that </w:t>
      </w:r>
      <w:r w:rsidR="00310669" w:rsidRPr="006C2927">
        <w:rPr>
          <w:rFonts w:ascii="Times New Roman" w:hAnsi="Times New Roman"/>
          <w:sz w:val="24"/>
          <w:szCs w:val="24"/>
        </w:rPr>
        <w:t xml:space="preserve">is not permissible under the </w:t>
      </w:r>
      <w:r w:rsidR="005D1CAF">
        <w:rPr>
          <w:rFonts w:ascii="Times New Roman" w:hAnsi="Times New Roman"/>
          <w:sz w:val="24"/>
          <w:szCs w:val="24"/>
        </w:rPr>
        <w:t>TAA</w:t>
      </w:r>
      <w:r w:rsidR="00310669" w:rsidRPr="00310669">
        <w:rPr>
          <w:rFonts w:ascii="Times New Roman" w:hAnsi="Times New Roman"/>
          <w:sz w:val="24"/>
          <w:szCs w:val="24"/>
        </w:rPr>
        <w:t xml:space="preserve">. </w:t>
      </w:r>
      <w:r w:rsidR="00310669">
        <w:rPr>
          <w:rFonts w:ascii="Times New Roman" w:hAnsi="Times New Roman"/>
          <w:sz w:val="24"/>
          <w:szCs w:val="24"/>
        </w:rPr>
        <w:t xml:space="preserve"> </w:t>
      </w:r>
      <w:r w:rsidR="00310669" w:rsidRPr="00310669">
        <w:rPr>
          <w:rFonts w:ascii="Times New Roman" w:hAnsi="Times New Roman"/>
          <w:sz w:val="24"/>
          <w:szCs w:val="24"/>
        </w:rPr>
        <w:t xml:space="preserve">The </w:t>
      </w:r>
      <w:r w:rsidR="005B71B3">
        <w:rPr>
          <w:rFonts w:ascii="Times New Roman" w:hAnsi="Times New Roman"/>
          <w:sz w:val="24"/>
          <w:szCs w:val="24"/>
        </w:rPr>
        <w:t xml:space="preserve">additional identified </w:t>
      </w:r>
      <w:r w:rsidR="00310669" w:rsidRPr="00310669">
        <w:rPr>
          <w:rFonts w:ascii="Times New Roman" w:hAnsi="Times New Roman"/>
          <w:sz w:val="24"/>
          <w:szCs w:val="24"/>
        </w:rPr>
        <w:t>information</w:t>
      </w:r>
      <w:r w:rsidR="00F560DF">
        <w:rPr>
          <w:rFonts w:ascii="Times New Roman" w:hAnsi="Times New Roman"/>
          <w:sz w:val="24"/>
          <w:szCs w:val="24"/>
        </w:rPr>
        <w:t>,</w:t>
      </w:r>
      <w:r w:rsidR="00310669" w:rsidRPr="00310669">
        <w:rPr>
          <w:rFonts w:ascii="Times New Roman" w:hAnsi="Times New Roman"/>
          <w:sz w:val="24"/>
          <w:szCs w:val="24"/>
        </w:rPr>
        <w:t xml:space="preserve"> </w:t>
      </w:r>
      <w:r w:rsidR="00F560DF">
        <w:rPr>
          <w:rFonts w:ascii="Times New Roman" w:hAnsi="Times New Roman"/>
          <w:sz w:val="24"/>
          <w:szCs w:val="24"/>
        </w:rPr>
        <w:t xml:space="preserve">and the permissible information, </w:t>
      </w:r>
      <w:r w:rsidR="00310669" w:rsidRPr="00310669">
        <w:rPr>
          <w:rFonts w:ascii="Times New Roman" w:hAnsi="Times New Roman"/>
          <w:sz w:val="24"/>
          <w:szCs w:val="24"/>
        </w:rPr>
        <w:t xml:space="preserve">is required by </w:t>
      </w:r>
      <w:r w:rsidR="00660473">
        <w:rPr>
          <w:rFonts w:ascii="Times New Roman" w:hAnsi="Times New Roman"/>
          <w:sz w:val="24"/>
          <w:szCs w:val="24"/>
        </w:rPr>
        <w:t>ACC</w:t>
      </w:r>
      <w:r w:rsidR="00310669" w:rsidRPr="00310669">
        <w:rPr>
          <w:rFonts w:ascii="Times New Roman" w:hAnsi="Times New Roman"/>
          <w:sz w:val="24"/>
          <w:szCs w:val="24"/>
        </w:rPr>
        <w:t xml:space="preserve"> to calculate employer levies and produce invoices to employers for payment.  The information is also used to determine the level of compensation that an injured individual is entitled to receive. </w:t>
      </w:r>
    </w:p>
    <w:p w:rsidR="008E4CDF" w:rsidRDefault="008E4CDF" w:rsidP="00B9510D">
      <w:pPr>
        <w:tabs>
          <w:tab w:val="left" w:pos="567"/>
        </w:tabs>
        <w:spacing w:after="0"/>
        <w:jc w:val="both"/>
        <w:rPr>
          <w:rFonts w:ascii="Times New Roman" w:hAnsi="Times New Roman"/>
          <w:sz w:val="24"/>
          <w:szCs w:val="24"/>
        </w:rPr>
      </w:pPr>
    </w:p>
    <w:p w:rsidR="00F560DF" w:rsidRPr="00F560DF"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F560DF" w:rsidRPr="00F560DF">
        <w:rPr>
          <w:rFonts w:ascii="Times New Roman" w:hAnsi="Times New Roman"/>
          <w:sz w:val="24"/>
          <w:szCs w:val="24"/>
        </w:rPr>
        <w:t xml:space="preserve">The sharing of the additional information is a breach of </w:t>
      </w:r>
      <w:r w:rsidR="00C70E2C">
        <w:rPr>
          <w:rFonts w:ascii="Times New Roman" w:hAnsi="Times New Roman"/>
          <w:sz w:val="24"/>
          <w:szCs w:val="24"/>
        </w:rPr>
        <w:t xml:space="preserve">the </w:t>
      </w:r>
      <w:r w:rsidR="00F560DF" w:rsidRPr="00F560DF">
        <w:rPr>
          <w:rFonts w:ascii="Times New Roman" w:hAnsi="Times New Roman"/>
          <w:sz w:val="24"/>
          <w:szCs w:val="24"/>
        </w:rPr>
        <w:t>secrecy</w:t>
      </w:r>
      <w:r w:rsidR="00C70E2C">
        <w:rPr>
          <w:rFonts w:ascii="Times New Roman" w:hAnsi="Times New Roman"/>
          <w:sz w:val="24"/>
          <w:szCs w:val="24"/>
        </w:rPr>
        <w:t xml:space="preserve"> provisions</w:t>
      </w:r>
      <w:r w:rsidR="00F560DF" w:rsidRPr="00F560DF">
        <w:rPr>
          <w:rFonts w:ascii="Times New Roman" w:hAnsi="Times New Roman"/>
          <w:sz w:val="24"/>
          <w:szCs w:val="24"/>
        </w:rPr>
        <w:t xml:space="preserve"> by Inland Revenue.  It is also a </w:t>
      </w:r>
      <w:r w:rsidR="00F560DF">
        <w:rPr>
          <w:rFonts w:ascii="Times New Roman" w:hAnsi="Times New Roman"/>
          <w:sz w:val="24"/>
          <w:szCs w:val="24"/>
        </w:rPr>
        <w:t xml:space="preserve">possible </w:t>
      </w:r>
      <w:r w:rsidR="00F560DF" w:rsidRPr="00F560DF">
        <w:rPr>
          <w:rFonts w:ascii="Times New Roman" w:hAnsi="Times New Roman"/>
          <w:sz w:val="24"/>
          <w:szCs w:val="24"/>
        </w:rPr>
        <w:t>breach of privacy under the Privacy Act</w:t>
      </w:r>
      <w:r w:rsidR="005D1CAF">
        <w:rPr>
          <w:rFonts w:ascii="Times New Roman" w:hAnsi="Times New Roman"/>
          <w:sz w:val="24"/>
          <w:szCs w:val="24"/>
        </w:rPr>
        <w:t xml:space="preserve"> 1993</w:t>
      </w:r>
      <w:r w:rsidR="00F560DF" w:rsidRPr="00F560DF">
        <w:rPr>
          <w:rFonts w:ascii="Times New Roman" w:hAnsi="Times New Roman"/>
          <w:sz w:val="24"/>
          <w:szCs w:val="24"/>
        </w:rPr>
        <w:t xml:space="preserve">. </w:t>
      </w:r>
      <w:r w:rsidR="00F560DF">
        <w:rPr>
          <w:rFonts w:ascii="Times New Roman" w:hAnsi="Times New Roman"/>
          <w:sz w:val="24"/>
          <w:szCs w:val="24"/>
        </w:rPr>
        <w:t xml:space="preserve"> </w:t>
      </w:r>
    </w:p>
    <w:p w:rsidR="00F560DF" w:rsidRPr="00310669" w:rsidRDefault="00F560DF" w:rsidP="00B9510D">
      <w:pPr>
        <w:tabs>
          <w:tab w:val="left" w:pos="567"/>
        </w:tabs>
        <w:spacing w:after="0"/>
        <w:jc w:val="both"/>
        <w:rPr>
          <w:rFonts w:ascii="Times New Roman" w:hAnsi="Times New Roman"/>
          <w:sz w:val="24"/>
          <w:szCs w:val="24"/>
        </w:rPr>
      </w:pPr>
    </w:p>
    <w:p w:rsidR="00310669"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310669" w:rsidRPr="00310669">
        <w:rPr>
          <w:rFonts w:ascii="Times New Roman" w:hAnsi="Times New Roman"/>
          <w:sz w:val="24"/>
          <w:szCs w:val="24"/>
        </w:rPr>
        <w:t xml:space="preserve">Inland Revenue subsequently held discussions with </w:t>
      </w:r>
      <w:r w:rsidR="00660473">
        <w:rPr>
          <w:rFonts w:ascii="Times New Roman" w:hAnsi="Times New Roman"/>
          <w:sz w:val="24"/>
          <w:szCs w:val="24"/>
        </w:rPr>
        <w:t>ACC</w:t>
      </w:r>
      <w:r w:rsidR="00310669" w:rsidRPr="00310669">
        <w:rPr>
          <w:rFonts w:ascii="Times New Roman" w:hAnsi="Times New Roman"/>
          <w:sz w:val="24"/>
          <w:szCs w:val="24"/>
        </w:rPr>
        <w:t xml:space="preserve"> to determine the key information required by </w:t>
      </w:r>
      <w:r w:rsidR="00355657">
        <w:rPr>
          <w:rFonts w:ascii="Times New Roman" w:hAnsi="Times New Roman"/>
          <w:sz w:val="24"/>
          <w:szCs w:val="24"/>
        </w:rPr>
        <w:t>ACC</w:t>
      </w:r>
      <w:r w:rsidR="00310669" w:rsidRPr="00310669">
        <w:rPr>
          <w:rFonts w:ascii="Times New Roman" w:hAnsi="Times New Roman"/>
          <w:sz w:val="24"/>
          <w:szCs w:val="24"/>
        </w:rPr>
        <w:t xml:space="preserve"> to fulfil its functions and obligations under its legislation.  There would be a significant customer impact if the current arrangement was discontinued.</w:t>
      </w:r>
      <w:r w:rsidR="008A1578">
        <w:rPr>
          <w:rFonts w:ascii="Times New Roman" w:hAnsi="Times New Roman"/>
          <w:sz w:val="24"/>
          <w:szCs w:val="24"/>
        </w:rPr>
        <w:t xml:space="preserve">  For example, the calculation of employer levies would not be able to be done and invoices would not be able to be issued for </w:t>
      </w:r>
      <w:r w:rsidR="00944748">
        <w:rPr>
          <w:rFonts w:ascii="Times New Roman" w:hAnsi="Times New Roman"/>
          <w:sz w:val="24"/>
          <w:szCs w:val="24"/>
        </w:rPr>
        <w:t>many</w:t>
      </w:r>
      <w:r w:rsidR="008A1578">
        <w:rPr>
          <w:rFonts w:ascii="Times New Roman" w:hAnsi="Times New Roman"/>
          <w:sz w:val="24"/>
          <w:szCs w:val="24"/>
        </w:rPr>
        <w:t xml:space="preserve"> employers.  For customers who receive compensation, the level of </w:t>
      </w:r>
      <w:r w:rsidR="004B6A2E">
        <w:rPr>
          <w:rFonts w:ascii="Times New Roman" w:hAnsi="Times New Roman"/>
          <w:sz w:val="24"/>
          <w:szCs w:val="24"/>
        </w:rPr>
        <w:t>entitlement/compensation would not be able to be accurately determined.</w:t>
      </w:r>
    </w:p>
    <w:p w:rsidR="00F560DF" w:rsidRDefault="00F560DF" w:rsidP="00B9510D">
      <w:pPr>
        <w:tabs>
          <w:tab w:val="left" w:pos="567"/>
        </w:tabs>
        <w:spacing w:after="0"/>
        <w:jc w:val="both"/>
        <w:rPr>
          <w:rFonts w:ascii="Times New Roman" w:hAnsi="Times New Roman"/>
          <w:sz w:val="24"/>
          <w:szCs w:val="24"/>
        </w:rPr>
      </w:pPr>
    </w:p>
    <w:p w:rsidR="00F560DF" w:rsidRPr="00310669"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F560DF">
        <w:rPr>
          <w:rFonts w:ascii="Times New Roman" w:hAnsi="Times New Roman"/>
          <w:sz w:val="24"/>
          <w:szCs w:val="24"/>
        </w:rPr>
        <w:t xml:space="preserve">Inland Revenue and </w:t>
      </w:r>
      <w:r w:rsidR="00660473">
        <w:rPr>
          <w:rFonts w:ascii="Times New Roman" w:hAnsi="Times New Roman"/>
          <w:sz w:val="24"/>
          <w:szCs w:val="24"/>
        </w:rPr>
        <w:t>ACC</w:t>
      </w:r>
      <w:r w:rsidR="00F560DF">
        <w:rPr>
          <w:rFonts w:ascii="Times New Roman" w:hAnsi="Times New Roman"/>
          <w:sz w:val="24"/>
          <w:szCs w:val="24"/>
        </w:rPr>
        <w:t xml:space="preserve"> held discussions with the Office of the Privacy Commissioner concerning the </w:t>
      </w:r>
      <w:r w:rsidR="00B670C4">
        <w:rPr>
          <w:rFonts w:ascii="Times New Roman" w:hAnsi="Times New Roman"/>
          <w:sz w:val="24"/>
          <w:szCs w:val="24"/>
        </w:rPr>
        <w:t xml:space="preserve">possible </w:t>
      </w:r>
      <w:r w:rsidR="00F560DF">
        <w:rPr>
          <w:rFonts w:ascii="Times New Roman" w:hAnsi="Times New Roman"/>
          <w:sz w:val="24"/>
          <w:szCs w:val="24"/>
        </w:rPr>
        <w:t>breach</w:t>
      </w:r>
      <w:r w:rsidR="005D1CAF">
        <w:rPr>
          <w:rFonts w:ascii="Times New Roman" w:hAnsi="Times New Roman"/>
          <w:sz w:val="24"/>
          <w:szCs w:val="24"/>
        </w:rPr>
        <w:t xml:space="preserve"> of privacy</w:t>
      </w:r>
      <w:r w:rsidR="00F560DF">
        <w:rPr>
          <w:rFonts w:ascii="Times New Roman" w:hAnsi="Times New Roman"/>
          <w:sz w:val="24"/>
          <w:szCs w:val="24"/>
        </w:rPr>
        <w:t xml:space="preserve">.  The Office of the Privacy Commissioner does </w:t>
      </w:r>
      <w:r w:rsidR="00B670C4">
        <w:rPr>
          <w:rFonts w:ascii="Times New Roman" w:hAnsi="Times New Roman"/>
          <w:sz w:val="24"/>
          <w:szCs w:val="24"/>
        </w:rPr>
        <w:t>n</w:t>
      </w:r>
      <w:r w:rsidR="00F560DF">
        <w:rPr>
          <w:rFonts w:ascii="Times New Roman" w:hAnsi="Times New Roman"/>
          <w:sz w:val="24"/>
          <w:szCs w:val="24"/>
        </w:rPr>
        <w:t xml:space="preserve">ot see any significant privacy risk with the current sharing </w:t>
      </w:r>
      <w:r w:rsidR="00B670C4">
        <w:rPr>
          <w:rFonts w:ascii="Times New Roman" w:hAnsi="Times New Roman"/>
          <w:sz w:val="24"/>
          <w:szCs w:val="24"/>
        </w:rPr>
        <w:t>given the inform</w:t>
      </w:r>
      <w:r w:rsidR="00F560DF">
        <w:rPr>
          <w:rFonts w:ascii="Times New Roman" w:hAnsi="Times New Roman"/>
          <w:sz w:val="24"/>
          <w:szCs w:val="24"/>
        </w:rPr>
        <w:t xml:space="preserve">ation is provided to </w:t>
      </w:r>
      <w:r w:rsidR="00660473">
        <w:rPr>
          <w:rFonts w:ascii="Times New Roman" w:hAnsi="Times New Roman"/>
          <w:sz w:val="24"/>
          <w:szCs w:val="24"/>
        </w:rPr>
        <w:t>ACC</w:t>
      </w:r>
      <w:r w:rsidR="00F560DF">
        <w:rPr>
          <w:rFonts w:ascii="Times New Roman" w:hAnsi="Times New Roman"/>
          <w:sz w:val="24"/>
          <w:szCs w:val="24"/>
        </w:rPr>
        <w:t xml:space="preserve"> for a legitimate purpose.</w:t>
      </w:r>
    </w:p>
    <w:p w:rsidR="00310669" w:rsidRPr="00310669" w:rsidRDefault="00310669" w:rsidP="00B9510D">
      <w:pPr>
        <w:tabs>
          <w:tab w:val="left" w:pos="567"/>
        </w:tabs>
        <w:spacing w:after="0"/>
        <w:jc w:val="both"/>
        <w:rPr>
          <w:rFonts w:ascii="Times New Roman" w:hAnsi="Times New Roman"/>
          <w:sz w:val="24"/>
          <w:szCs w:val="24"/>
        </w:rPr>
      </w:pPr>
    </w:p>
    <w:p w:rsidR="00160000"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310669" w:rsidRPr="00310669">
        <w:rPr>
          <w:rFonts w:ascii="Times New Roman" w:hAnsi="Times New Roman"/>
          <w:sz w:val="24"/>
          <w:szCs w:val="24"/>
        </w:rPr>
        <w:t xml:space="preserve">If Inland Revenue and </w:t>
      </w:r>
      <w:r w:rsidR="00660473">
        <w:rPr>
          <w:rFonts w:ascii="Times New Roman" w:hAnsi="Times New Roman"/>
          <w:sz w:val="24"/>
          <w:szCs w:val="24"/>
        </w:rPr>
        <w:t>ACC</w:t>
      </w:r>
      <w:r w:rsidR="00310669" w:rsidRPr="00310669">
        <w:rPr>
          <w:rFonts w:ascii="Times New Roman" w:hAnsi="Times New Roman"/>
          <w:sz w:val="24"/>
          <w:szCs w:val="24"/>
        </w:rPr>
        <w:t xml:space="preserve"> were to continue to share this information without legislative change or other legal authorisation </w:t>
      </w:r>
      <w:r w:rsidR="00310669" w:rsidRPr="005D1CAF">
        <w:rPr>
          <w:rFonts w:ascii="Times New Roman" w:hAnsi="Times New Roman"/>
          <w:sz w:val="24"/>
          <w:szCs w:val="24"/>
        </w:rPr>
        <w:t xml:space="preserve">there is a risk of breaching the Privacy Act 1993 and the secrecy provisions of the </w:t>
      </w:r>
      <w:r w:rsidR="005D1CAF">
        <w:rPr>
          <w:rFonts w:ascii="Times New Roman" w:hAnsi="Times New Roman"/>
          <w:sz w:val="24"/>
          <w:szCs w:val="24"/>
        </w:rPr>
        <w:t>TAA</w:t>
      </w:r>
      <w:r w:rsidR="00310669" w:rsidRPr="005D1CAF">
        <w:rPr>
          <w:rFonts w:ascii="Times New Roman" w:hAnsi="Times New Roman"/>
          <w:sz w:val="24"/>
          <w:szCs w:val="24"/>
        </w:rPr>
        <w:t>.</w:t>
      </w:r>
      <w:r w:rsidR="00160000">
        <w:rPr>
          <w:rFonts w:ascii="Times New Roman" w:hAnsi="Times New Roman"/>
          <w:sz w:val="24"/>
          <w:szCs w:val="24"/>
        </w:rPr>
        <w:t xml:space="preserve">  </w:t>
      </w:r>
    </w:p>
    <w:p w:rsidR="00160000" w:rsidRPr="00160000" w:rsidRDefault="00160000" w:rsidP="00B9510D">
      <w:pPr>
        <w:tabs>
          <w:tab w:val="left" w:pos="567"/>
        </w:tabs>
        <w:spacing w:after="0"/>
        <w:jc w:val="both"/>
        <w:rPr>
          <w:rFonts w:ascii="Times New Roman" w:hAnsi="Times New Roman"/>
          <w:sz w:val="24"/>
          <w:szCs w:val="24"/>
        </w:rPr>
      </w:pPr>
    </w:p>
    <w:p w:rsidR="00675D3E"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675D3E" w:rsidRPr="00160000">
        <w:rPr>
          <w:rFonts w:ascii="Times New Roman" w:hAnsi="Times New Roman"/>
          <w:sz w:val="24"/>
          <w:szCs w:val="24"/>
        </w:rPr>
        <w:t>Inland Revenue has determined that the info</w:t>
      </w:r>
      <w:r w:rsidR="00160000" w:rsidRPr="00160000">
        <w:rPr>
          <w:rFonts w:ascii="Times New Roman" w:hAnsi="Times New Roman"/>
          <w:sz w:val="24"/>
          <w:szCs w:val="24"/>
        </w:rPr>
        <w:t>rmation</w:t>
      </w:r>
      <w:r w:rsidR="00675D3E" w:rsidRPr="00160000">
        <w:rPr>
          <w:rFonts w:ascii="Times New Roman" w:hAnsi="Times New Roman"/>
          <w:sz w:val="24"/>
          <w:szCs w:val="24"/>
        </w:rPr>
        <w:t xml:space="preserve"> is reasonable and nec</w:t>
      </w:r>
      <w:r w:rsidR="00160000" w:rsidRPr="00160000">
        <w:rPr>
          <w:rFonts w:ascii="Times New Roman" w:hAnsi="Times New Roman"/>
          <w:sz w:val="24"/>
          <w:szCs w:val="24"/>
        </w:rPr>
        <w:t>essary</w:t>
      </w:r>
      <w:r w:rsidR="00675D3E" w:rsidRPr="00160000">
        <w:rPr>
          <w:rFonts w:ascii="Times New Roman" w:hAnsi="Times New Roman"/>
          <w:sz w:val="24"/>
          <w:szCs w:val="24"/>
        </w:rPr>
        <w:t xml:space="preserve"> for </w:t>
      </w:r>
      <w:r w:rsidR="00660473">
        <w:rPr>
          <w:rFonts w:ascii="Times New Roman" w:hAnsi="Times New Roman"/>
          <w:sz w:val="24"/>
          <w:szCs w:val="24"/>
        </w:rPr>
        <w:t>ACC</w:t>
      </w:r>
      <w:r w:rsidR="00675D3E" w:rsidRPr="00160000">
        <w:rPr>
          <w:rFonts w:ascii="Times New Roman" w:hAnsi="Times New Roman"/>
          <w:sz w:val="24"/>
          <w:szCs w:val="24"/>
        </w:rPr>
        <w:t xml:space="preserve"> to receive in order to admin</w:t>
      </w:r>
      <w:r w:rsidR="001D5120">
        <w:rPr>
          <w:rFonts w:ascii="Times New Roman" w:hAnsi="Times New Roman"/>
          <w:sz w:val="24"/>
          <w:szCs w:val="24"/>
        </w:rPr>
        <w:t>ister</w:t>
      </w:r>
      <w:r w:rsidR="00675D3E" w:rsidRPr="00160000">
        <w:rPr>
          <w:rFonts w:ascii="Times New Roman" w:hAnsi="Times New Roman"/>
          <w:sz w:val="24"/>
          <w:szCs w:val="24"/>
        </w:rPr>
        <w:t xml:space="preserve"> </w:t>
      </w:r>
      <w:r w:rsidR="00660473">
        <w:rPr>
          <w:rFonts w:ascii="Times New Roman" w:hAnsi="Times New Roman"/>
          <w:sz w:val="24"/>
          <w:szCs w:val="24"/>
        </w:rPr>
        <w:t>the ACC</w:t>
      </w:r>
      <w:r w:rsidR="005D1CAF">
        <w:rPr>
          <w:rFonts w:ascii="Times New Roman" w:hAnsi="Times New Roman"/>
          <w:sz w:val="24"/>
          <w:szCs w:val="24"/>
        </w:rPr>
        <w:t xml:space="preserve"> </w:t>
      </w:r>
      <w:r w:rsidR="004B6A2E">
        <w:rPr>
          <w:rFonts w:ascii="Times New Roman" w:hAnsi="Times New Roman"/>
          <w:sz w:val="24"/>
          <w:szCs w:val="24"/>
        </w:rPr>
        <w:t>S</w:t>
      </w:r>
      <w:r w:rsidR="00675D3E" w:rsidRPr="00160000">
        <w:rPr>
          <w:rFonts w:ascii="Times New Roman" w:hAnsi="Times New Roman"/>
          <w:sz w:val="24"/>
          <w:szCs w:val="24"/>
        </w:rPr>
        <w:t>cheme.  Given this, I</w:t>
      </w:r>
      <w:r w:rsidR="00160000" w:rsidRPr="00160000">
        <w:rPr>
          <w:rFonts w:ascii="Times New Roman" w:hAnsi="Times New Roman"/>
          <w:sz w:val="24"/>
          <w:szCs w:val="24"/>
        </w:rPr>
        <w:t xml:space="preserve">nland </w:t>
      </w:r>
      <w:r w:rsidR="00675D3E" w:rsidRPr="00160000">
        <w:rPr>
          <w:rFonts w:ascii="Times New Roman" w:hAnsi="Times New Roman"/>
          <w:sz w:val="24"/>
          <w:szCs w:val="24"/>
        </w:rPr>
        <w:t>R</w:t>
      </w:r>
      <w:r w:rsidR="00160000" w:rsidRPr="00160000">
        <w:rPr>
          <w:rFonts w:ascii="Times New Roman" w:hAnsi="Times New Roman"/>
          <w:sz w:val="24"/>
          <w:szCs w:val="24"/>
        </w:rPr>
        <w:t>evenue</w:t>
      </w:r>
      <w:r w:rsidR="00675D3E" w:rsidRPr="00160000">
        <w:rPr>
          <w:rFonts w:ascii="Times New Roman" w:hAnsi="Times New Roman"/>
          <w:sz w:val="24"/>
          <w:szCs w:val="24"/>
        </w:rPr>
        <w:t xml:space="preserve"> has continued to share the required </w:t>
      </w:r>
      <w:r w:rsidR="002710B0">
        <w:rPr>
          <w:rFonts w:ascii="Times New Roman" w:hAnsi="Times New Roman"/>
          <w:sz w:val="24"/>
          <w:szCs w:val="24"/>
        </w:rPr>
        <w:t xml:space="preserve">information </w:t>
      </w:r>
      <w:r w:rsidR="00675D3E" w:rsidRPr="00160000">
        <w:rPr>
          <w:rFonts w:ascii="Times New Roman" w:hAnsi="Times New Roman"/>
          <w:sz w:val="24"/>
          <w:szCs w:val="24"/>
        </w:rPr>
        <w:t xml:space="preserve">with </w:t>
      </w:r>
      <w:r w:rsidR="00355657">
        <w:rPr>
          <w:rFonts w:ascii="Times New Roman" w:hAnsi="Times New Roman"/>
          <w:sz w:val="24"/>
          <w:szCs w:val="24"/>
        </w:rPr>
        <w:t>ACC</w:t>
      </w:r>
      <w:r w:rsidR="00675D3E" w:rsidRPr="00160000">
        <w:rPr>
          <w:rFonts w:ascii="Times New Roman" w:hAnsi="Times New Roman"/>
          <w:sz w:val="24"/>
          <w:szCs w:val="24"/>
        </w:rPr>
        <w:t>.</w:t>
      </w:r>
    </w:p>
    <w:p w:rsidR="004B6A2E" w:rsidRDefault="004B6A2E" w:rsidP="00B9510D">
      <w:pPr>
        <w:tabs>
          <w:tab w:val="left" w:pos="567"/>
        </w:tabs>
        <w:spacing w:after="0"/>
        <w:jc w:val="both"/>
        <w:rPr>
          <w:rFonts w:ascii="Times New Roman" w:hAnsi="Times New Roman"/>
          <w:sz w:val="24"/>
          <w:szCs w:val="24"/>
        </w:rPr>
      </w:pPr>
    </w:p>
    <w:p w:rsidR="004B6A2E" w:rsidRPr="004B6A2E" w:rsidRDefault="004B6A2E" w:rsidP="00B9510D">
      <w:pPr>
        <w:tabs>
          <w:tab w:val="left" w:pos="567"/>
        </w:tabs>
        <w:spacing w:after="0"/>
        <w:jc w:val="both"/>
        <w:rPr>
          <w:rFonts w:ascii="Times New Roman" w:hAnsi="Times New Roman"/>
          <w:sz w:val="24"/>
          <w:szCs w:val="24"/>
        </w:rPr>
      </w:pPr>
      <w:r w:rsidRPr="00B5745F">
        <w:rPr>
          <w:rFonts w:ascii="Times New Roman" w:hAnsi="Times New Roman"/>
          <w:sz w:val="24"/>
          <w:szCs w:val="24"/>
        </w:rPr>
        <w:lastRenderedPageBreak/>
        <w:fldChar w:fldCharType="begin"/>
      </w:r>
      <w:r w:rsidRPr="00B5745F">
        <w:rPr>
          <w:rFonts w:ascii="Times New Roman" w:hAnsi="Times New Roman"/>
          <w:sz w:val="24"/>
          <w:szCs w:val="24"/>
        </w:rPr>
        <w:instrText xml:space="preserve"> AUTONUM  </w:instrText>
      </w:r>
      <w:r w:rsidRPr="00B5745F">
        <w:rPr>
          <w:rFonts w:ascii="Times New Roman" w:hAnsi="Times New Roman"/>
          <w:sz w:val="24"/>
          <w:szCs w:val="24"/>
        </w:rPr>
        <w:fldChar w:fldCharType="end"/>
      </w:r>
      <w:r w:rsidRPr="00B9510D">
        <w:rPr>
          <w:rFonts w:ascii="Times New Roman" w:hAnsi="Times New Roman"/>
          <w:sz w:val="24"/>
          <w:szCs w:val="24"/>
        </w:rPr>
        <w:tab/>
      </w:r>
      <w:r w:rsidR="00660473">
        <w:rPr>
          <w:rFonts w:ascii="Times New Roman" w:hAnsi="Times New Roman"/>
          <w:sz w:val="24"/>
          <w:szCs w:val="24"/>
        </w:rPr>
        <w:t>ACC</w:t>
      </w:r>
      <w:r w:rsidRPr="00D62A05">
        <w:rPr>
          <w:rFonts w:ascii="Times New Roman" w:hAnsi="Times New Roman"/>
          <w:sz w:val="24"/>
          <w:szCs w:val="24"/>
        </w:rPr>
        <w:t xml:space="preserve"> is authorised to collect the information to be shared in its own right.</w:t>
      </w:r>
      <w:r w:rsidRPr="00B24997">
        <w:rPr>
          <w:rFonts w:ascii="Times New Roman" w:hAnsi="Times New Roman"/>
          <w:sz w:val="20"/>
          <w:vertAlign w:val="superscript"/>
        </w:rPr>
        <w:footnoteReference w:id="1"/>
      </w:r>
      <w:r w:rsidRPr="00D62A05">
        <w:rPr>
          <w:rFonts w:ascii="Times New Roman" w:hAnsi="Times New Roman"/>
          <w:sz w:val="24"/>
          <w:szCs w:val="24"/>
        </w:rPr>
        <w:t xml:space="preserve">  However, </w:t>
      </w:r>
      <w:r w:rsidR="00660473">
        <w:rPr>
          <w:rFonts w:ascii="Times New Roman" w:hAnsi="Times New Roman"/>
          <w:sz w:val="24"/>
          <w:szCs w:val="24"/>
        </w:rPr>
        <w:t>ACC</w:t>
      </w:r>
      <w:r w:rsidRPr="00D62A05">
        <w:rPr>
          <w:rFonts w:ascii="Times New Roman" w:hAnsi="Times New Roman"/>
          <w:sz w:val="24"/>
          <w:szCs w:val="24"/>
        </w:rPr>
        <w:t xml:space="preserve"> cannot always rely on customers to communicate their current circumstances or any change in those circumstances, for example, a change in business status or earnings.  This situation can lead to inaccurate calculation of levies and compensation payments which can lead to insufficient payment of levies or overpayments for compensation, fraud and even prosecution action.  Sharing this information will enable timely, efficient and accurate calculation of levies and compensation to be made.</w:t>
      </w:r>
    </w:p>
    <w:p w:rsidR="00310669" w:rsidRDefault="00310669" w:rsidP="00B9510D">
      <w:pPr>
        <w:tabs>
          <w:tab w:val="left" w:pos="567"/>
        </w:tabs>
        <w:spacing w:after="0"/>
        <w:jc w:val="both"/>
        <w:rPr>
          <w:rFonts w:ascii="Times New Roman" w:hAnsi="Times New Roman"/>
          <w:sz w:val="24"/>
          <w:szCs w:val="24"/>
        </w:rPr>
      </w:pPr>
    </w:p>
    <w:p w:rsidR="00310669"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5D1CAF">
        <w:rPr>
          <w:rFonts w:ascii="Times New Roman" w:hAnsi="Times New Roman"/>
          <w:sz w:val="24"/>
          <w:szCs w:val="24"/>
        </w:rPr>
        <w:t>S</w:t>
      </w:r>
      <w:r w:rsidR="00310669" w:rsidRPr="00310669">
        <w:rPr>
          <w:rFonts w:ascii="Times New Roman" w:hAnsi="Times New Roman"/>
          <w:sz w:val="24"/>
          <w:szCs w:val="24"/>
        </w:rPr>
        <w:t xml:space="preserve">ection 81BA </w:t>
      </w:r>
      <w:r w:rsidR="005D1CAF">
        <w:rPr>
          <w:rFonts w:ascii="Times New Roman" w:hAnsi="Times New Roman"/>
          <w:sz w:val="24"/>
          <w:szCs w:val="24"/>
        </w:rPr>
        <w:t xml:space="preserve">of the TAA </w:t>
      </w:r>
      <w:r w:rsidR="00310669" w:rsidRPr="00310669">
        <w:rPr>
          <w:rFonts w:ascii="Times New Roman" w:hAnsi="Times New Roman"/>
          <w:sz w:val="24"/>
          <w:szCs w:val="24"/>
        </w:rPr>
        <w:t>provides a framework for Inland Revenue to share the information it holds with other Government agencies.  Any sharing of information under these provisions requires legislative approval through an Order in Council.</w:t>
      </w:r>
    </w:p>
    <w:p w:rsidR="00310669" w:rsidRDefault="00310669" w:rsidP="00B9510D">
      <w:pPr>
        <w:tabs>
          <w:tab w:val="left" w:pos="567"/>
        </w:tabs>
        <w:spacing w:after="0"/>
        <w:jc w:val="both"/>
        <w:rPr>
          <w:rFonts w:ascii="Times New Roman" w:hAnsi="Times New Roman"/>
          <w:sz w:val="24"/>
          <w:szCs w:val="24"/>
        </w:rPr>
      </w:pPr>
    </w:p>
    <w:p w:rsidR="005E6886" w:rsidRDefault="008E4CDF" w:rsidP="00B9510D">
      <w:pPr>
        <w:tabs>
          <w:tab w:val="left" w:pos="567"/>
        </w:tabs>
        <w:spacing w:after="0"/>
        <w:jc w:val="both"/>
        <w:rPr>
          <w:rFonts w:ascii="Times New Roman" w:hAnsi="Times New Roman"/>
          <w:sz w:val="24"/>
          <w:szCs w:val="24"/>
        </w:rPr>
      </w:pPr>
      <w:r w:rsidRPr="008E4CDF">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8E4CDF">
        <w:rPr>
          <w:rFonts w:ascii="Times New Roman" w:hAnsi="Times New Roman"/>
          <w:sz w:val="24"/>
          <w:szCs w:val="24"/>
        </w:rPr>
        <w:fldChar w:fldCharType="end"/>
      </w:r>
      <w:r w:rsidRPr="00B9510D">
        <w:rPr>
          <w:rFonts w:ascii="Times New Roman" w:hAnsi="Times New Roman"/>
          <w:sz w:val="24"/>
          <w:szCs w:val="24"/>
        </w:rPr>
        <w:tab/>
      </w:r>
      <w:r w:rsidR="00310669">
        <w:rPr>
          <w:rFonts w:ascii="Times New Roman" w:hAnsi="Times New Roman"/>
          <w:sz w:val="24"/>
          <w:szCs w:val="24"/>
        </w:rPr>
        <w:t xml:space="preserve">This </w:t>
      </w:r>
      <w:r w:rsidR="00C36E7D">
        <w:rPr>
          <w:rFonts w:ascii="Times New Roman" w:hAnsi="Times New Roman"/>
          <w:sz w:val="24"/>
          <w:szCs w:val="24"/>
        </w:rPr>
        <w:t>regulatory impact statement</w:t>
      </w:r>
      <w:r w:rsidR="00310669">
        <w:rPr>
          <w:rFonts w:ascii="Times New Roman" w:hAnsi="Times New Roman"/>
          <w:sz w:val="24"/>
          <w:szCs w:val="24"/>
        </w:rPr>
        <w:t xml:space="preserve"> addresses the problem of how I</w:t>
      </w:r>
      <w:r w:rsidR="005E6886">
        <w:rPr>
          <w:rFonts w:ascii="Times New Roman" w:hAnsi="Times New Roman"/>
          <w:sz w:val="24"/>
          <w:szCs w:val="24"/>
        </w:rPr>
        <w:t xml:space="preserve">nland </w:t>
      </w:r>
      <w:r w:rsidR="00310669">
        <w:rPr>
          <w:rFonts w:ascii="Times New Roman" w:hAnsi="Times New Roman"/>
          <w:sz w:val="24"/>
          <w:szCs w:val="24"/>
        </w:rPr>
        <w:t>R</w:t>
      </w:r>
      <w:r w:rsidR="005E6886">
        <w:rPr>
          <w:rFonts w:ascii="Times New Roman" w:hAnsi="Times New Roman"/>
          <w:sz w:val="24"/>
          <w:szCs w:val="24"/>
        </w:rPr>
        <w:t>evenue</w:t>
      </w:r>
      <w:r w:rsidR="00310669">
        <w:rPr>
          <w:rFonts w:ascii="Times New Roman" w:hAnsi="Times New Roman"/>
          <w:sz w:val="24"/>
          <w:szCs w:val="24"/>
        </w:rPr>
        <w:t xml:space="preserve"> may share </w:t>
      </w:r>
      <w:r w:rsidR="001D5120">
        <w:rPr>
          <w:rFonts w:ascii="Times New Roman" w:hAnsi="Times New Roman"/>
          <w:sz w:val="24"/>
          <w:szCs w:val="24"/>
        </w:rPr>
        <w:t xml:space="preserve">additional </w:t>
      </w:r>
      <w:r w:rsidR="00310669">
        <w:rPr>
          <w:rFonts w:ascii="Times New Roman" w:hAnsi="Times New Roman"/>
          <w:sz w:val="24"/>
          <w:szCs w:val="24"/>
        </w:rPr>
        <w:t>info</w:t>
      </w:r>
      <w:r w:rsidR="001D5120">
        <w:rPr>
          <w:rFonts w:ascii="Times New Roman" w:hAnsi="Times New Roman"/>
          <w:sz w:val="24"/>
          <w:szCs w:val="24"/>
        </w:rPr>
        <w:t>rmation</w:t>
      </w:r>
      <w:r w:rsidR="00310669">
        <w:rPr>
          <w:rFonts w:ascii="Times New Roman" w:hAnsi="Times New Roman"/>
          <w:sz w:val="24"/>
          <w:szCs w:val="24"/>
        </w:rPr>
        <w:t xml:space="preserve"> with </w:t>
      </w:r>
      <w:r w:rsidR="00660473">
        <w:rPr>
          <w:rFonts w:ascii="Times New Roman" w:hAnsi="Times New Roman"/>
          <w:sz w:val="24"/>
          <w:szCs w:val="24"/>
        </w:rPr>
        <w:t>ACC</w:t>
      </w:r>
      <w:r w:rsidR="00310669">
        <w:rPr>
          <w:rFonts w:ascii="Times New Roman" w:hAnsi="Times New Roman"/>
          <w:sz w:val="24"/>
          <w:szCs w:val="24"/>
        </w:rPr>
        <w:t xml:space="preserve"> in order for </w:t>
      </w:r>
      <w:r w:rsidR="00355657">
        <w:rPr>
          <w:rFonts w:ascii="Times New Roman" w:hAnsi="Times New Roman"/>
          <w:sz w:val="24"/>
          <w:szCs w:val="24"/>
        </w:rPr>
        <w:t>ACC</w:t>
      </w:r>
      <w:r w:rsidR="00310669">
        <w:rPr>
          <w:rFonts w:ascii="Times New Roman" w:hAnsi="Times New Roman"/>
          <w:sz w:val="24"/>
          <w:szCs w:val="24"/>
        </w:rPr>
        <w:t xml:space="preserve"> to fulfi</w:t>
      </w:r>
      <w:r>
        <w:rPr>
          <w:rFonts w:ascii="Times New Roman" w:hAnsi="Times New Roman"/>
          <w:sz w:val="24"/>
          <w:szCs w:val="24"/>
        </w:rPr>
        <w:t>l its legislative obligations.</w:t>
      </w:r>
    </w:p>
    <w:p w:rsidR="005E6886" w:rsidRDefault="005E6886" w:rsidP="00B9510D">
      <w:pPr>
        <w:tabs>
          <w:tab w:val="left" w:pos="567"/>
        </w:tabs>
        <w:spacing w:after="0"/>
        <w:jc w:val="both"/>
        <w:rPr>
          <w:rFonts w:ascii="Times New Roman" w:hAnsi="Times New Roman"/>
          <w:sz w:val="24"/>
          <w:szCs w:val="24"/>
        </w:rPr>
      </w:pPr>
    </w:p>
    <w:p w:rsidR="00310669" w:rsidRPr="005E6886" w:rsidRDefault="00783380" w:rsidP="00B9510D">
      <w:pPr>
        <w:tabs>
          <w:tab w:val="left" w:pos="567"/>
        </w:tabs>
        <w:spacing w:after="0"/>
        <w:jc w:val="both"/>
        <w:rPr>
          <w:rFonts w:ascii="Times New Roman" w:hAnsi="Times New Roman"/>
          <w:sz w:val="24"/>
          <w:szCs w:val="24"/>
        </w:rPr>
      </w:pPr>
      <w:r w:rsidRPr="00783380">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783380">
        <w:rPr>
          <w:rFonts w:ascii="Times New Roman" w:hAnsi="Times New Roman"/>
          <w:sz w:val="24"/>
          <w:szCs w:val="24"/>
        </w:rPr>
        <w:fldChar w:fldCharType="end"/>
      </w:r>
      <w:r w:rsidRPr="00B9510D">
        <w:rPr>
          <w:rFonts w:ascii="Times New Roman" w:hAnsi="Times New Roman"/>
          <w:sz w:val="24"/>
          <w:szCs w:val="24"/>
        </w:rPr>
        <w:tab/>
      </w:r>
      <w:r w:rsidR="00310669" w:rsidRPr="005E6886">
        <w:rPr>
          <w:rFonts w:ascii="Times New Roman" w:hAnsi="Times New Roman"/>
          <w:sz w:val="24"/>
          <w:szCs w:val="24"/>
        </w:rPr>
        <w:t xml:space="preserve">The </w:t>
      </w:r>
      <w:r w:rsidR="001D5120">
        <w:rPr>
          <w:rFonts w:ascii="Times New Roman" w:hAnsi="Times New Roman"/>
          <w:sz w:val="24"/>
          <w:szCs w:val="24"/>
        </w:rPr>
        <w:t xml:space="preserve">new </w:t>
      </w:r>
      <w:r w:rsidR="00310669" w:rsidRPr="005E6886">
        <w:rPr>
          <w:rFonts w:ascii="Times New Roman" w:hAnsi="Times New Roman"/>
          <w:sz w:val="24"/>
          <w:szCs w:val="24"/>
        </w:rPr>
        <w:t>information to be shared, in addition to that currently permitted, will be limited to:</w:t>
      </w:r>
    </w:p>
    <w:p w:rsidR="00310669" w:rsidRPr="00C36E7D" w:rsidRDefault="00310669" w:rsidP="00B9510D">
      <w:pPr>
        <w:tabs>
          <w:tab w:val="left" w:pos="567"/>
        </w:tabs>
        <w:spacing w:after="0"/>
        <w:jc w:val="both"/>
        <w:rPr>
          <w:rFonts w:ascii="Times New Roman" w:hAnsi="Times New Roman"/>
          <w:sz w:val="24"/>
          <w:szCs w:val="24"/>
        </w:rPr>
      </w:pPr>
    </w:p>
    <w:p w:rsidR="00310669" w:rsidRDefault="00310669" w:rsidP="00B9510D">
      <w:pPr>
        <w:tabs>
          <w:tab w:val="left" w:pos="567"/>
        </w:tabs>
        <w:spacing w:after="0"/>
        <w:rPr>
          <w:rFonts w:ascii="Times New Roman" w:hAnsi="Times New Roman"/>
          <w:i/>
          <w:sz w:val="24"/>
          <w:szCs w:val="24"/>
        </w:rPr>
      </w:pPr>
      <w:r w:rsidRPr="00B9510D">
        <w:rPr>
          <w:rFonts w:ascii="Times New Roman" w:hAnsi="Times New Roman"/>
          <w:i/>
          <w:sz w:val="24"/>
          <w:szCs w:val="24"/>
        </w:rPr>
        <w:t>Information for the purposes of assessing levies</w:t>
      </w:r>
    </w:p>
    <w:p w:rsidR="00B9510D" w:rsidRPr="00B9510D" w:rsidRDefault="00B9510D" w:rsidP="00B9510D">
      <w:pPr>
        <w:tabs>
          <w:tab w:val="left" w:pos="567"/>
        </w:tabs>
        <w:spacing w:after="0"/>
        <w:rPr>
          <w:rFonts w:ascii="Times New Roman" w:hAnsi="Times New Roman"/>
          <w:i/>
          <w:sz w:val="24"/>
          <w:szCs w:val="24"/>
        </w:rPr>
      </w:pP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If an income tax return has been filed;</w:t>
      </w: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Name of employer who paid schedular payments;</w:t>
      </w: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Customer identifiers – that is, name, address, date of birth, IRD number, New Zealand</w:t>
      </w:r>
      <w:r w:rsidR="003C692C">
        <w:rPr>
          <w:rFonts w:ascii="Times New Roman" w:hAnsi="Times New Roman"/>
          <w:sz w:val="24"/>
          <w:szCs w:val="24"/>
        </w:rPr>
        <w:t xml:space="preserve"> </w:t>
      </w:r>
      <w:r w:rsidRPr="00B9510D">
        <w:rPr>
          <w:rFonts w:ascii="Times New Roman" w:hAnsi="Times New Roman"/>
          <w:sz w:val="24"/>
          <w:szCs w:val="24"/>
        </w:rPr>
        <w:t>Business Number;</w:t>
      </w: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Customer contact details – that is, phone number and email address;</w:t>
      </w: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The date a customer’s address was updated;</w:t>
      </w: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If a partner in a partnership;</w:t>
      </w:r>
    </w:p>
    <w:p w:rsidR="00310669"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Income as a beneficiary of a trust; and</w:t>
      </w:r>
    </w:p>
    <w:p w:rsidR="0091199C" w:rsidRPr="00B9510D" w:rsidRDefault="00310669" w:rsidP="003C692C">
      <w:pPr>
        <w:pStyle w:val="ListParagraph"/>
        <w:numPr>
          <w:ilvl w:val="0"/>
          <w:numId w:val="13"/>
        </w:numPr>
        <w:tabs>
          <w:tab w:val="left" w:pos="567"/>
        </w:tabs>
        <w:jc w:val="left"/>
        <w:rPr>
          <w:rFonts w:ascii="Times New Roman" w:hAnsi="Times New Roman"/>
          <w:sz w:val="24"/>
          <w:szCs w:val="24"/>
        </w:rPr>
      </w:pPr>
      <w:r w:rsidRPr="00B9510D">
        <w:rPr>
          <w:rFonts w:ascii="Times New Roman" w:hAnsi="Times New Roman"/>
          <w:sz w:val="24"/>
          <w:szCs w:val="24"/>
        </w:rPr>
        <w:t>Start date of salary or wage employment.</w:t>
      </w:r>
    </w:p>
    <w:p w:rsidR="001D5120" w:rsidRPr="00B9510D" w:rsidRDefault="001D5120" w:rsidP="00B9510D">
      <w:pPr>
        <w:tabs>
          <w:tab w:val="left" w:pos="567"/>
        </w:tabs>
        <w:spacing w:after="0"/>
        <w:jc w:val="both"/>
        <w:rPr>
          <w:rFonts w:ascii="Times New Roman" w:hAnsi="Times New Roman"/>
          <w:sz w:val="24"/>
          <w:szCs w:val="24"/>
        </w:rPr>
      </w:pPr>
    </w:p>
    <w:p w:rsidR="00310669" w:rsidRPr="00B9510D" w:rsidRDefault="00310669" w:rsidP="00B9510D">
      <w:pPr>
        <w:tabs>
          <w:tab w:val="left" w:pos="567"/>
        </w:tabs>
        <w:spacing w:after="0"/>
        <w:jc w:val="both"/>
        <w:rPr>
          <w:rFonts w:ascii="Times New Roman" w:hAnsi="Times New Roman"/>
          <w:i/>
          <w:sz w:val="24"/>
          <w:szCs w:val="24"/>
        </w:rPr>
      </w:pPr>
      <w:r w:rsidRPr="00B9510D">
        <w:rPr>
          <w:rFonts w:ascii="Times New Roman" w:hAnsi="Times New Roman"/>
          <w:i/>
          <w:sz w:val="24"/>
          <w:szCs w:val="24"/>
        </w:rPr>
        <w:t>Information for eligibility of earnings related compensation</w:t>
      </w:r>
    </w:p>
    <w:p w:rsidR="00B9510D" w:rsidRDefault="00B9510D" w:rsidP="00B9510D">
      <w:pPr>
        <w:tabs>
          <w:tab w:val="left" w:pos="567"/>
        </w:tabs>
        <w:spacing w:after="0"/>
        <w:jc w:val="both"/>
        <w:rPr>
          <w:rFonts w:ascii="Times New Roman" w:hAnsi="Times New Roman"/>
          <w:sz w:val="24"/>
          <w:szCs w:val="24"/>
        </w:rPr>
      </w:pP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Customer identifiers – that is, name, address, date of birth, IRD number, New Zealand Business Number;</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Customer contact details – that is, phone number and email address;</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Balance date;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If an income tax return has been filed;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If a partner in a partnership;</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The partners of a partnership;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Income as a beneficiary of a trust;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Trustees of a trust;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Start date of being a private domestic worker;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 xml:space="preserve">Cease date of being an employer; and </w:t>
      </w:r>
    </w:p>
    <w:p w:rsidR="00310669" w:rsidRPr="00B9510D" w:rsidRDefault="00310669" w:rsidP="00B9510D">
      <w:pPr>
        <w:pStyle w:val="ListParagraph"/>
        <w:numPr>
          <w:ilvl w:val="0"/>
          <w:numId w:val="14"/>
        </w:numPr>
        <w:tabs>
          <w:tab w:val="left" w:pos="567"/>
        </w:tabs>
        <w:rPr>
          <w:rFonts w:ascii="Times New Roman" w:hAnsi="Times New Roman"/>
          <w:sz w:val="24"/>
          <w:szCs w:val="24"/>
        </w:rPr>
      </w:pPr>
      <w:r w:rsidRPr="00B9510D">
        <w:rPr>
          <w:rFonts w:ascii="Times New Roman" w:hAnsi="Times New Roman"/>
          <w:sz w:val="24"/>
          <w:szCs w:val="24"/>
        </w:rPr>
        <w:t>Cease date of being a private domestic worker.</w:t>
      </w:r>
    </w:p>
    <w:p w:rsidR="008E4CDF" w:rsidRDefault="008E4CDF" w:rsidP="00B9510D">
      <w:pPr>
        <w:tabs>
          <w:tab w:val="left" w:pos="567"/>
        </w:tabs>
        <w:spacing w:after="0"/>
        <w:jc w:val="both"/>
        <w:rPr>
          <w:rFonts w:ascii="Times New Roman" w:hAnsi="Times New Roman"/>
          <w:sz w:val="24"/>
          <w:szCs w:val="24"/>
        </w:rPr>
      </w:pPr>
    </w:p>
    <w:p w:rsidR="00D62A05" w:rsidRPr="00B9510D" w:rsidRDefault="00D62A05" w:rsidP="00B9510D">
      <w:pPr>
        <w:tabs>
          <w:tab w:val="left" w:pos="567"/>
        </w:tabs>
        <w:spacing w:after="0"/>
        <w:jc w:val="both"/>
        <w:rPr>
          <w:rFonts w:ascii="Times New Roman" w:hAnsi="Times New Roman"/>
          <w:i/>
          <w:sz w:val="24"/>
          <w:szCs w:val="24"/>
        </w:rPr>
      </w:pPr>
      <w:r w:rsidRPr="00B9510D">
        <w:rPr>
          <w:rFonts w:ascii="Times New Roman" w:hAnsi="Times New Roman"/>
          <w:i/>
          <w:sz w:val="24"/>
          <w:szCs w:val="24"/>
        </w:rPr>
        <w:t>Benefits of the information sharing</w:t>
      </w:r>
    </w:p>
    <w:p w:rsidR="00D62A05" w:rsidRPr="00D62A05" w:rsidRDefault="00D62A05" w:rsidP="00CF7FC2">
      <w:pPr>
        <w:tabs>
          <w:tab w:val="left" w:pos="567"/>
        </w:tabs>
        <w:spacing w:after="0"/>
        <w:jc w:val="both"/>
        <w:rPr>
          <w:rFonts w:ascii="Times New Roman" w:hAnsi="Times New Roman"/>
          <w:sz w:val="24"/>
          <w:szCs w:val="24"/>
        </w:rPr>
      </w:pPr>
    </w:p>
    <w:p w:rsidR="00D62A05" w:rsidRPr="00D62A05" w:rsidRDefault="00D62A05" w:rsidP="00CF7FC2">
      <w:pPr>
        <w:tabs>
          <w:tab w:val="left" w:pos="567"/>
        </w:tabs>
        <w:spacing w:after="0"/>
        <w:jc w:val="both"/>
        <w:rPr>
          <w:rFonts w:ascii="Times New Roman" w:hAnsi="Times New Roman"/>
          <w:sz w:val="24"/>
          <w:szCs w:val="24"/>
        </w:rPr>
      </w:pPr>
      <w:r w:rsidRPr="00D62A05">
        <w:rPr>
          <w:rFonts w:ascii="Times New Roman" w:hAnsi="Times New Roman"/>
          <w:sz w:val="24"/>
          <w:szCs w:val="24"/>
        </w:rPr>
        <w:fldChar w:fldCharType="begin"/>
      </w:r>
      <w:r w:rsidRPr="00D62A05">
        <w:rPr>
          <w:rFonts w:ascii="Times New Roman" w:hAnsi="Times New Roman"/>
          <w:sz w:val="24"/>
          <w:szCs w:val="24"/>
        </w:rPr>
        <w:instrText xml:space="preserve"> AUTONUM  </w:instrText>
      </w:r>
      <w:r w:rsidRPr="00D62A05">
        <w:rPr>
          <w:rFonts w:ascii="Times New Roman" w:hAnsi="Times New Roman"/>
          <w:sz w:val="24"/>
          <w:szCs w:val="24"/>
        </w:rPr>
        <w:fldChar w:fldCharType="end"/>
      </w:r>
      <w:r w:rsidRPr="00D62A05">
        <w:rPr>
          <w:rFonts w:ascii="Times New Roman" w:hAnsi="Times New Roman"/>
          <w:sz w:val="24"/>
          <w:szCs w:val="24"/>
        </w:rPr>
        <w:tab/>
        <w:t xml:space="preserve">Sharing information between Inland Revenue and </w:t>
      </w:r>
      <w:r w:rsidR="00660473">
        <w:rPr>
          <w:rFonts w:ascii="Times New Roman" w:hAnsi="Times New Roman"/>
          <w:sz w:val="24"/>
          <w:szCs w:val="24"/>
        </w:rPr>
        <w:t>ACC</w:t>
      </w:r>
      <w:r w:rsidRPr="00D62A05">
        <w:rPr>
          <w:rFonts w:ascii="Times New Roman" w:hAnsi="Times New Roman"/>
          <w:sz w:val="24"/>
          <w:szCs w:val="24"/>
        </w:rPr>
        <w:t xml:space="preserve"> will improve the accuracy and timeliness of the calculation of employer levies and compensatio</w:t>
      </w:r>
      <w:r w:rsidR="00B9510D">
        <w:rPr>
          <w:rFonts w:ascii="Times New Roman" w:hAnsi="Times New Roman"/>
          <w:sz w:val="24"/>
          <w:szCs w:val="24"/>
        </w:rPr>
        <w:t xml:space="preserve">n payments. </w:t>
      </w:r>
    </w:p>
    <w:p w:rsidR="005079DD" w:rsidRDefault="005079DD" w:rsidP="00B9510D">
      <w:pPr>
        <w:tabs>
          <w:tab w:val="left" w:pos="567"/>
        </w:tabs>
        <w:spacing w:after="0"/>
        <w:jc w:val="both"/>
        <w:rPr>
          <w:rFonts w:ascii="Times New Roman" w:hAnsi="Times New Roman"/>
          <w:sz w:val="24"/>
          <w:szCs w:val="24"/>
        </w:rPr>
      </w:pPr>
    </w:p>
    <w:p w:rsidR="00B9510D" w:rsidRPr="00B9510D" w:rsidRDefault="00B9510D" w:rsidP="00B9510D">
      <w:pPr>
        <w:tabs>
          <w:tab w:val="left" w:pos="567"/>
        </w:tabs>
        <w:spacing w:after="0"/>
        <w:jc w:val="both"/>
        <w:rPr>
          <w:rFonts w:ascii="Times New Roman" w:hAnsi="Times New Roman"/>
          <w:sz w:val="24"/>
          <w:szCs w:val="24"/>
          <w:lang w:eastAsia="en-AU"/>
        </w:rPr>
      </w:pPr>
      <w:r w:rsidRPr="00B9510D">
        <w:rPr>
          <w:rFonts w:ascii="Times New Roman" w:hAnsi="Times New Roman"/>
          <w:sz w:val="24"/>
          <w:szCs w:val="24"/>
        </w:rPr>
        <w:fldChar w:fldCharType="begin"/>
      </w:r>
      <w:r w:rsidRPr="00B9510D">
        <w:rPr>
          <w:rFonts w:ascii="Times New Roman" w:hAnsi="Times New Roman"/>
          <w:sz w:val="24"/>
          <w:szCs w:val="24"/>
        </w:rPr>
        <w:instrText xml:space="preserve"> AUTONUM  </w:instrText>
      </w:r>
      <w:r w:rsidRPr="00B9510D">
        <w:rPr>
          <w:rFonts w:ascii="Times New Roman" w:hAnsi="Times New Roman"/>
          <w:sz w:val="24"/>
          <w:szCs w:val="24"/>
        </w:rPr>
        <w:fldChar w:fldCharType="end"/>
      </w:r>
      <w:r w:rsidRPr="00B9510D">
        <w:rPr>
          <w:rFonts w:ascii="Times New Roman" w:hAnsi="Times New Roman"/>
          <w:sz w:val="24"/>
          <w:szCs w:val="24"/>
        </w:rPr>
        <w:tab/>
        <w:t xml:space="preserve">Inland Revenue and </w:t>
      </w:r>
      <w:r w:rsidR="00660473">
        <w:rPr>
          <w:rFonts w:ascii="Times New Roman" w:hAnsi="Times New Roman"/>
          <w:sz w:val="24"/>
          <w:szCs w:val="24"/>
        </w:rPr>
        <w:t>ACC</w:t>
      </w:r>
      <w:r w:rsidRPr="00B9510D">
        <w:rPr>
          <w:rFonts w:ascii="Times New Roman" w:hAnsi="Times New Roman"/>
          <w:sz w:val="24"/>
          <w:szCs w:val="24"/>
        </w:rPr>
        <w:t xml:space="preserve"> have already</w:t>
      </w:r>
      <w:r w:rsidRPr="00B9510D">
        <w:rPr>
          <w:rFonts w:ascii="Times New Roman" w:hAnsi="Times New Roman"/>
          <w:sz w:val="24"/>
          <w:szCs w:val="24"/>
          <w:lang w:eastAsia="en-AU"/>
        </w:rPr>
        <w:t xml:space="preserve"> started developing this memorandum</w:t>
      </w:r>
      <w:r w:rsidR="00782524">
        <w:rPr>
          <w:rFonts w:ascii="Times New Roman" w:hAnsi="Times New Roman"/>
          <w:sz w:val="24"/>
          <w:szCs w:val="24"/>
          <w:lang w:eastAsia="en-AU"/>
        </w:rPr>
        <w:t xml:space="preserve"> for the sharing of information that </w:t>
      </w:r>
      <w:r w:rsidR="00355657">
        <w:rPr>
          <w:rFonts w:ascii="Times New Roman" w:hAnsi="Times New Roman"/>
          <w:sz w:val="24"/>
          <w:szCs w:val="24"/>
          <w:lang w:eastAsia="en-AU"/>
        </w:rPr>
        <w:t>ACC</w:t>
      </w:r>
      <w:r w:rsidR="00782524">
        <w:rPr>
          <w:rFonts w:ascii="Times New Roman" w:hAnsi="Times New Roman"/>
          <w:sz w:val="24"/>
          <w:szCs w:val="24"/>
          <w:lang w:eastAsia="en-AU"/>
        </w:rPr>
        <w:t xml:space="preserve"> is legally able to collect as stated above in paragraph 10.  The agencies have also detailed how they </w:t>
      </w:r>
      <w:r w:rsidRPr="00B9510D">
        <w:rPr>
          <w:rFonts w:ascii="Times New Roman" w:hAnsi="Times New Roman"/>
          <w:sz w:val="24"/>
          <w:szCs w:val="24"/>
          <w:lang w:eastAsia="en-AU"/>
        </w:rPr>
        <w:t>will follow established process to determine the mechanisms to transfer, store and dispose of data.  In addition, the memorandum of understanding will include processes to ensure data integrity and manage the reversal of incorrect data.  It will also include provisions for monitoring the success of the information sharing, as well as provisions on controls and the use of the data by third parties.  Prior to completing the memorandum the two agencies will undertake more detailed work determining privacy risks.</w:t>
      </w:r>
      <w:r w:rsidR="00782524">
        <w:rPr>
          <w:rFonts w:ascii="Times New Roman" w:hAnsi="Times New Roman"/>
          <w:sz w:val="24"/>
          <w:szCs w:val="24"/>
          <w:lang w:eastAsia="en-AU"/>
        </w:rPr>
        <w:t xml:space="preserve">  </w:t>
      </w:r>
    </w:p>
    <w:p w:rsidR="00B9510D" w:rsidRPr="00B9510D" w:rsidRDefault="00B9510D" w:rsidP="00B9510D">
      <w:pPr>
        <w:tabs>
          <w:tab w:val="left" w:pos="567"/>
        </w:tabs>
        <w:spacing w:after="0"/>
        <w:jc w:val="both"/>
        <w:rPr>
          <w:rFonts w:ascii="Times New Roman" w:hAnsi="Times New Roman"/>
          <w:sz w:val="24"/>
          <w:szCs w:val="24"/>
          <w:lang w:eastAsia="en-AU"/>
        </w:rPr>
      </w:pPr>
    </w:p>
    <w:p w:rsidR="008E4CDF" w:rsidRPr="00B9510D" w:rsidRDefault="008E4CDF" w:rsidP="00B9510D">
      <w:pPr>
        <w:spacing w:after="0" w:line="240" w:lineRule="auto"/>
        <w:contextualSpacing/>
        <w:jc w:val="both"/>
        <w:rPr>
          <w:rFonts w:ascii="Times New Roman" w:hAnsi="Times New Roman"/>
          <w:sz w:val="24"/>
          <w:szCs w:val="24"/>
        </w:rPr>
      </w:pPr>
    </w:p>
    <w:p w:rsidR="000545DC" w:rsidRPr="008E4CDF" w:rsidRDefault="00D943DD" w:rsidP="008E4CDF">
      <w:pPr>
        <w:spacing w:line="240" w:lineRule="auto"/>
        <w:contextualSpacing/>
        <w:jc w:val="both"/>
        <w:rPr>
          <w:rFonts w:ascii="Times New Roman" w:hAnsi="Times New Roman"/>
          <w:b/>
        </w:rPr>
      </w:pPr>
      <w:bookmarkStart w:id="11" w:name="_Toc244580364"/>
      <w:bookmarkStart w:id="12" w:name="_Toc244587040"/>
      <w:bookmarkStart w:id="13" w:name="_Toc244857274"/>
      <w:bookmarkStart w:id="14" w:name="_Toc244912539"/>
      <w:bookmarkStart w:id="15" w:name="_Toc244916996"/>
      <w:r w:rsidRPr="008E4CDF">
        <w:rPr>
          <w:rFonts w:ascii="Times New Roman" w:hAnsi="Times New Roman"/>
          <w:b/>
        </w:rPr>
        <w:t>OBJECTIVES</w:t>
      </w:r>
      <w:bookmarkEnd w:id="11"/>
      <w:bookmarkEnd w:id="12"/>
      <w:bookmarkEnd w:id="13"/>
      <w:bookmarkEnd w:id="14"/>
      <w:bookmarkEnd w:id="15"/>
    </w:p>
    <w:p w:rsidR="008E4CDF" w:rsidRDefault="008E4CDF" w:rsidP="008E4CDF">
      <w:pPr>
        <w:spacing w:line="240" w:lineRule="auto"/>
        <w:contextualSpacing/>
        <w:jc w:val="both"/>
        <w:rPr>
          <w:rFonts w:ascii="Times New Roman" w:hAnsi="Times New Roman"/>
          <w:sz w:val="24"/>
          <w:szCs w:val="24"/>
        </w:rPr>
      </w:pPr>
    </w:p>
    <w:p w:rsidR="00783380" w:rsidRDefault="00783380" w:rsidP="008E4CDF">
      <w:pPr>
        <w:spacing w:line="240" w:lineRule="auto"/>
        <w:contextualSpacing/>
        <w:jc w:val="both"/>
        <w:rPr>
          <w:rFonts w:ascii="Times New Roman" w:hAnsi="Times New Roman"/>
          <w:sz w:val="24"/>
          <w:szCs w:val="24"/>
        </w:rPr>
      </w:pPr>
      <w:r w:rsidRPr="00783380">
        <w:rPr>
          <w:rFonts w:ascii="Times New Roman" w:hAnsi="Times New Roman"/>
          <w:sz w:val="24"/>
          <w:szCs w:val="24"/>
          <w:lang w:val="en-NZ"/>
        </w:rPr>
        <w:fldChar w:fldCharType="begin"/>
      </w:r>
      <w:r w:rsidRPr="00783380">
        <w:rPr>
          <w:rFonts w:ascii="Times New Roman" w:hAnsi="Times New Roman"/>
          <w:sz w:val="24"/>
          <w:szCs w:val="24"/>
          <w:lang w:val="en-NZ"/>
        </w:rPr>
        <w:instrText xml:space="preserve"> AUTONUM  </w:instrText>
      </w:r>
      <w:r w:rsidRPr="00783380">
        <w:rPr>
          <w:rFonts w:ascii="Times New Roman" w:hAnsi="Times New Roman"/>
          <w:sz w:val="24"/>
          <w:szCs w:val="24"/>
        </w:rPr>
        <w:fldChar w:fldCharType="end"/>
      </w:r>
      <w:r w:rsidRPr="00783380">
        <w:rPr>
          <w:rFonts w:ascii="Times New Roman" w:hAnsi="Times New Roman"/>
          <w:sz w:val="24"/>
          <w:szCs w:val="24"/>
          <w:lang w:val="en-NZ"/>
        </w:rPr>
        <w:tab/>
      </w:r>
      <w:r>
        <w:rPr>
          <w:rFonts w:ascii="Times New Roman" w:hAnsi="Times New Roman"/>
          <w:sz w:val="24"/>
          <w:szCs w:val="24"/>
        </w:rPr>
        <w:t>The objectives of this review are to:</w:t>
      </w:r>
    </w:p>
    <w:p w:rsidR="00783380" w:rsidRDefault="00783380" w:rsidP="00783380">
      <w:pPr>
        <w:pStyle w:val="ListParagraph"/>
        <w:numPr>
          <w:ilvl w:val="0"/>
          <w:numId w:val="12"/>
        </w:numPr>
        <w:rPr>
          <w:rFonts w:ascii="Times New Roman" w:hAnsi="Times New Roman"/>
          <w:sz w:val="24"/>
          <w:szCs w:val="24"/>
        </w:rPr>
      </w:pPr>
      <w:r w:rsidRPr="00783380">
        <w:rPr>
          <w:rFonts w:ascii="Times New Roman" w:hAnsi="Times New Roman"/>
          <w:sz w:val="24"/>
          <w:szCs w:val="24"/>
        </w:rPr>
        <w:t xml:space="preserve">implement an information sharing mechanism between Inland Revenue and </w:t>
      </w:r>
      <w:r w:rsidR="00660473">
        <w:rPr>
          <w:rFonts w:ascii="Times New Roman" w:hAnsi="Times New Roman"/>
          <w:sz w:val="24"/>
          <w:szCs w:val="24"/>
        </w:rPr>
        <w:t>ACC</w:t>
      </w:r>
      <w:r w:rsidRPr="00783380">
        <w:rPr>
          <w:rFonts w:ascii="Times New Roman" w:hAnsi="Times New Roman"/>
          <w:sz w:val="24"/>
          <w:szCs w:val="24"/>
        </w:rPr>
        <w:t xml:space="preserve"> to enable Inland Revenue to legally share </w:t>
      </w:r>
      <w:r w:rsidR="00D62A05">
        <w:rPr>
          <w:rFonts w:ascii="Times New Roman" w:hAnsi="Times New Roman"/>
          <w:sz w:val="24"/>
          <w:szCs w:val="24"/>
        </w:rPr>
        <w:t xml:space="preserve">additional </w:t>
      </w:r>
      <w:r w:rsidRPr="00783380">
        <w:rPr>
          <w:rFonts w:ascii="Times New Roman" w:hAnsi="Times New Roman"/>
          <w:sz w:val="24"/>
          <w:szCs w:val="24"/>
        </w:rPr>
        <w:t xml:space="preserve">information under the </w:t>
      </w:r>
      <w:r w:rsidR="00D62A05">
        <w:rPr>
          <w:rFonts w:ascii="Times New Roman" w:hAnsi="Times New Roman"/>
          <w:sz w:val="24"/>
          <w:szCs w:val="24"/>
        </w:rPr>
        <w:t>TAA;</w:t>
      </w:r>
    </w:p>
    <w:p w:rsidR="00783380" w:rsidRPr="00783380" w:rsidRDefault="00783380" w:rsidP="00783380">
      <w:pPr>
        <w:pStyle w:val="ListParagraph"/>
        <w:rPr>
          <w:rFonts w:ascii="Times New Roman" w:hAnsi="Times New Roman"/>
          <w:sz w:val="24"/>
          <w:szCs w:val="24"/>
        </w:rPr>
      </w:pPr>
    </w:p>
    <w:p w:rsidR="00D62A05" w:rsidRDefault="00783380" w:rsidP="00783380">
      <w:pPr>
        <w:pStyle w:val="ListParagraph"/>
        <w:numPr>
          <w:ilvl w:val="0"/>
          <w:numId w:val="12"/>
        </w:numPr>
        <w:rPr>
          <w:rFonts w:ascii="Times New Roman" w:hAnsi="Times New Roman"/>
          <w:sz w:val="24"/>
          <w:szCs w:val="24"/>
        </w:rPr>
      </w:pPr>
      <w:r w:rsidRPr="00783380">
        <w:rPr>
          <w:rFonts w:ascii="Times New Roman" w:hAnsi="Times New Roman"/>
          <w:sz w:val="24"/>
          <w:szCs w:val="24"/>
        </w:rPr>
        <w:t xml:space="preserve">enable </w:t>
      </w:r>
      <w:r w:rsidR="00660473">
        <w:rPr>
          <w:rFonts w:ascii="Times New Roman" w:hAnsi="Times New Roman"/>
          <w:sz w:val="24"/>
          <w:szCs w:val="24"/>
        </w:rPr>
        <w:t>ACC</w:t>
      </w:r>
      <w:r w:rsidRPr="00783380">
        <w:rPr>
          <w:rFonts w:ascii="Times New Roman" w:hAnsi="Times New Roman"/>
          <w:sz w:val="24"/>
          <w:szCs w:val="24"/>
        </w:rPr>
        <w:t xml:space="preserve"> to carry out its legislative functions which include the calculation of employer levies, provision of invoices for employers for payment, the determination of the level of entitlement or compensation that an injured individual is entitled to receive</w:t>
      </w:r>
      <w:r w:rsidR="00D62A05">
        <w:rPr>
          <w:rFonts w:ascii="Times New Roman" w:hAnsi="Times New Roman"/>
          <w:sz w:val="24"/>
          <w:szCs w:val="24"/>
        </w:rPr>
        <w:t xml:space="preserve">; and </w:t>
      </w:r>
    </w:p>
    <w:p w:rsidR="00D62A05" w:rsidRPr="00D62A05" w:rsidRDefault="00D62A05" w:rsidP="00D62A05">
      <w:pPr>
        <w:pStyle w:val="ListParagraph"/>
        <w:rPr>
          <w:rFonts w:ascii="Times New Roman" w:hAnsi="Times New Roman"/>
          <w:sz w:val="24"/>
          <w:szCs w:val="24"/>
        </w:rPr>
      </w:pPr>
    </w:p>
    <w:p w:rsidR="00783380" w:rsidRDefault="00D62A05" w:rsidP="00783380">
      <w:pPr>
        <w:pStyle w:val="ListParagraph"/>
        <w:numPr>
          <w:ilvl w:val="0"/>
          <w:numId w:val="12"/>
        </w:numPr>
        <w:rPr>
          <w:rFonts w:ascii="Times New Roman" w:hAnsi="Times New Roman"/>
          <w:sz w:val="24"/>
          <w:szCs w:val="24"/>
        </w:rPr>
      </w:pPr>
      <w:proofErr w:type="gramStart"/>
      <w:r>
        <w:rPr>
          <w:rFonts w:ascii="Times New Roman" w:hAnsi="Times New Roman"/>
          <w:sz w:val="24"/>
          <w:szCs w:val="24"/>
        </w:rPr>
        <w:t>provide</w:t>
      </w:r>
      <w:proofErr w:type="gramEnd"/>
      <w:r>
        <w:rPr>
          <w:rFonts w:ascii="Times New Roman" w:hAnsi="Times New Roman"/>
          <w:sz w:val="24"/>
          <w:szCs w:val="24"/>
        </w:rPr>
        <w:t xml:space="preserve"> safeguards to the privacy rights of individuals</w:t>
      </w:r>
      <w:r w:rsidR="00B52C35">
        <w:rPr>
          <w:rFonts w:ascii="Times New Roman" w:hAnsi="Times New Roman"/>
          <w:sz w:val="24"/>
          <w:szCs w:val="24"/>
        </w:rPr>
        <w:t>.</w:t>
      </w:r>
    </w:p>
    <w:p w:rsidR="00783380" w:rsidRDefault="00783380" w:rsidP="008E4CDF">
      <w:pPr>
        <w:spacing w:line="240" w:lineRule="auto"/>
        <w:contextualSpacing/>
        <w:jc w:val="both"/>
        <w:rPr>
          <w:rFonts w:ascii="Times New Roman" w:hAnsi="Times New Roman"/>
          <w:sz w:val="24"/>
          <w:szCs w:val="24"/>
        </w:rPr>
      </w:pPr>
    </w:p>
    <w:p w:rsidR="00D66273" w:rsidRDefault="00D66273" w:rsidP="008E4CDF">
      <w:pPr>
        <w:spacing w:line="240" w:lineRule="auto"/>
        <w:contextualSpacing/>
        <w:jc w:val="both"/>
        <w:rPr>
          <w:rFonts w:ascii="Times New Roman" w:hAnsi="Times New Roman"/>
          <w:sz w:val="24"/>
          <w:szCs w:val="24"/>
        </w:rPr>
      </w:pPr>
      <w:r w:rsidRPr="00D66273">
        <w:rPr>
          <w:rFonts w:ascii="Times New Roman" w:hAnsi="Times New Roman"/>
          <w:sz w:val="24"/>
          <w:szCs w:val="24"/>
          <w:lang w:val="en-NZ"/>
        </w:rPr>
        <w:fldChar w:fldCharType="begin"/>
      </w:r>
      <w:r w:rsidRPr="00D66273">
        <w:rPr>
          <w:rFonts w:ascii="Times New Roman" w:hAnsi="Times New Roman"/>
          <w:sz w:val="24"/>
          <w:szCs w:val="24"/>
          <w:lang w:val="en-NZ"/>
        </w:rPr>
        <w:instrText xml:space="preserve"> AUTONUM  </w:instrText>
      </w:r>
      <w:r w:rsidRPr="00D66273">
        <w:rPr>
          <w:rFonts w:ascii="Times New Roman" w:hAnsi="Times New Roman"/>
          <w:sz w:val="24"/>
          <w:szCs w:val="24"/>
        </w:rPr>
        <w:fldChar w:fldCharType="end"/>
      </w:r>
      <w:r w:rsidRPr="00D66273">
        <w:rPr>
          <w:rFonts w:ascii="Times New Roman" w:hAnsi="Times New Roman"/>
          <w:sz w:val="24"/>
          <w:szCs w:val="24"/>
          <w:lang w:val="en-NZ"/>
        </w:rPr>
        <w:tab/>
      </w:r>
      <w:r>
        <w:rPr>
          <w:rFonts w:ascii="Times New Roman" w:hAnsi="Times New Roman"/>
          <w:sz w:val="24"/>
          <w:szCs w:val="24"/>
        </w:rPr>
        <w:t>One of the aims of the Government’s Better Public Services reforms is to ensure the public sector undertakes a more collaborative, cross agency approach to supporting citizens and gaining efficiencies.  Making better use of information and information sharing between Government agencies is one method of gaining greater efficiency and improving outcomes for the public.</w:t>
      </w:r>
      <w:r w:rsidR="00A80F0B">
        <w:rPr>
          <w:rFonts w:ascii="Times New Roman" w:hAnsi="Times New Roman"/>
          <w:sz w:val="24"/>
          <w:szCs w:val="24"/>
        </w:rPr>
        <w:t xml:space="preserve">  </w:t>
      </w:r>
      <w:r w:rsidR="00A80F0B" w:rsidRPr="00A80F0B">
        <w:rPr>
          <w:rFonts w:ascii="Times New Roman" w:hAnsi="Times New Roman"/>
          <w:sz w:val="24"/>
          <w:szCs w:val="24"/>
          <w:lang w:val="en-AU"/>
        </w:rPr>
        <w:t xml:space="preserve">For the customer this would mean only providing their details to government once.  </w:t>
      </w:r>
    </w:p>
    <w:p w:rsidR="00D66273" w:rsidRDefault="00D66273" w:rsidP="008E4CDF">
      <w:pPr>
        <w:spacing w:line="240" w:lineRule="auto"/>
        <w:contextualSpacing/>
        <w:jc w:val="both"/>
        <w:rPr>
          <w:rFonts w:ascii="Times New Roman" w:hAnsi="Times New Roman"/>
          <w:sz w:val="24"/>
          <w:szCs w:val="24"/>
        </w:rPr>
      </w:pPr>
    </w:p>
    <w:p w:rsidR="008E4CDF" w:rsidRPr="003B24C7" w:rsidRDefault="008E4CDF" w:rsidP="008E4CDF">
      <w:pPr>
        <w:spacing w:line="240" w:lineRule="auto"/>
        <w:contextualSpacing/>
        <w:jc w:val="both"/>
        <w:rPr>
          <w:rFonts w:ascii="Times New Roman" w:hAnsi="Times New Roman"/>
          <w:sz w:val="24"/>
          <w:szCs w:val="24"/>
          <w:lang w:eastAsia="en-AU"/>
        </w:rPr>
      </w:pPr>
    </w:p>
    <w:p w:rsidR="00320A3C" w:rsidRPr="008E4CDF" w:rsidRDefault="00D943DD" w:rsidP="008E4CDF">
      <w:pPr>
        <w:spacing w:line="240" w:lineRule="auto"/>
        <w:contextualSpacing/>
        <w:jc w:val="both"/>
        <w:rPr>
          <w:rFonts w:ascii="Times New Roman" w:hAnsi="Times New Roman"/>
          <w:b/>
        </w:rPr>
      </w:pPr>
      <w:bookmarkStart w:id="16" w:name="_Toc244580365"/>
      <w:bookmarkStart w:id="17" w:name="_Toc244587041"/>
      <w:bookmarkStart w:id="18" w:name="_Toc244857275"/>
      <w:bookmarkStart w:id="19" w:name="_Toc244912540"/>
      <w:bookmarkStart w:id="20" w:name="_Toc244916997"/>
      <w:r w:rsidRPr="008E4CDF">
        <w:rPr>
          <w:rFonts w:ascii="Times New Roman" w:hAnsi="Times New Roman"/>
          <w:b/>
        </w:rPr>
        <w:t>REGULATORY IMPACT ANALYSIS</w:t>
      </w:r>
      <w:bookmarkEnd w:id="16"/>
      <w:bookmarkEnd w:id="17"/>
      <w:bookmarkEnd w:id="18"/>
      <w:bookmarkEnd w:id="19"/>
      <w:bookmarkEnd w:id="20"/>
      <w:r w:rsidRPr="008E4CDF">
        <w:rPr>
          <w:rFonts w:ascii="Times New Roman" w:hAnsi="Times New Roman"/>
          <w:b/>
        </w:rPr>
        <w:t xml:space="preserve"> </w:t>
      </w:r>
    </w:p>
    <w:p w:rsidR="008E4CDF" w:rsidRDefault="008E4CDF" w:rsidP="008E4CDF">
      <w:pPr>
        <w:spacing w:line="240" w:lineRule="auto"/>
        <w:contextualSpacing/>
        <w:jc w:val="both"/>
        <w:rPr>
          <w:rFonts w:ascii="Times New Roman" w:hAnsi="Times New Roman"/>
          <w:sz w:val="24"/>
          <w:szCs w:val="24"/>
        </w:rPr>
      </w:pPr>
    </w:p>
    <w:p w:rsidR="006D7437" w:rsidRDefault="008E4CDF" w:rsidP="008E4CDF">
      <w:pPr>
        <w:spacing w:line="240" w:lineRule="auto"/>
        <w:contextualSpacing/>
        <w:jc w:val="both"/>
        <w:rPr>
          <w:rFonts w:ascii="Times New Roman" w:hAnsi="Times New Roman"/>
          <w:sz w:val="24"/>
          <w:szCs w:val="24"/>
        </w:rPr>
      </w:pPr>
      <w:r w:rsidRPr="008E4CDF">
        <w:rPr>
          <w:rFonts w:ascii="Times New Roman" w:hAnsi="Times New Roman"/>
          <w:sz w:val="24"/>
          <w:szCs w:val="24"/>
          <w:lang w:val="en-NZ"/>
        </w:rPr>
        <w:fldChar w:fldCharType="begin"/>
      </w:r>
      <w:r w:rsidRPr="008E4CDF">
        <w:rPr>
          <w:rFonts w:ascii="Times New Roman" w:hAnsi="Times New Roman"/>
          <w:sz w:val="24"/>
          <w:szCs w:val="24"/>
          <w:lang w:val="en-NZ"/>
        </w:rPr>
        <w:instrText xml:space="preserve"> AUTONUM  </w:instrText>
      </w:r>
      <w:r w:rsidRPr="008E4CDF">
        <w:rPr>
          <w:rFonts w:ascii="Times New Roman" w:hAnsi="Times New Roman"/>
          <w:sz w:val="24"/>
          <w:szCs w:val="24"/>
        </w:rPr>
        <w:fldChar w:fldCharType="end"/>
      </w:r>
      <w:r w:rsidRPr="008E4CDF">
        <w:rPr>
          <w:rFonts w:ascii="Times New Roman" w:hAnsi="Times New Roman"/>
          <w:sz w:val="24"/>
          <w:szCs w:val="24"/>
          <w:lang w:val="en-NZ"/>
        </w:rPr>
        <w:tab/>
      </w:r>
      <w:r w:rsidR="00D95775">
        <w:rPr>
          <w:rFonts w:ascii="Times New Roman" w:hAnsi="Times New Roman"/>
          <w:sz w:val="24"/>
          <w:szCs w:val="24"/>
          <w:lang w:val="en-NZ"/>
        </w:rPr>
        <w:t xml:space="preserve">While </w:t>
      </w:r>
      <w:r w:rsidR="006D7437">
        <w:rPr>
          <w:rFonts w:ascii="Times New Roman" w:hAnsi="Times New Roman"/>
          <w:sz w:val="24"/>
          <w:szCs w:val="24"/>
        </w:rPr>
        <w:t xml:space="preserve">Inland Revenue has identified </w:t>
      </w:r>
      <w:r w:rsidR="00210DB7">
        <w:rPr>
          <w:rFonts w:ascii="Times New Roman" w:hAnsi="Times New Roman"/>
          <w:sz w:val="24"/>
          <w:szCs w:val="24"/>
        </w:rPr>
        <w:t xml:space="preserve">five </w:t>
      </w:r>
      <w:r w:rsidR="006D7437">
        <w:rPr>
          <w:rFonts w:ascii="Times New Roman" w:hAnsi="Times New Roman"/>
          <w:sz w:val="24"/>
          <w:szCs w:val="24"/>
        </w:rPr>
        <w:t>possible options to meet the objectives</w:t>
      </w:r>
      <w:r w:rsidR="00D95775">
        <w:rPr>
          <w:rFonts w:ascii="Times New Roman" w:hAnsi="Times New Roman"/>
          <w:sz w:val="24"/>
          <w:szCs w:val="24"/>
        </w:rPr>
        <w:t xml:space="preserve"> these have not as yet been </w:t>
      </w:r>
      <w:proofErr w:type="spellStart"/>
      <w:r w:rsidR="00D95775">
        <w:rPr>
          <w:rFonts w:ascii="Times New Roman" w:hAnsi="Times New Roman"/>
          <w:sz w:val="24"/>
          <w:szCs w:val="24"/>
        </w:rPr>
        <w:t>costed</w:t>
      </w:r>
      <w:proofErr w:type="spellEnd"/>
      <w:r w:rsidR="006D7437">
        <w:rPr>
          <w:rFonts w:ascii="Times New Roman" w:hAnsi="Times New Roman"/>
          <w:sz w:val="24"/>
          <w:szCs w:val="24"/>
        </w:rPr>
        <w:t>:</w:t>
      </w:r>
    </w:p>
    <w:p w:rsidR="006D7437" w:rsidRDefault="006D7437" w:rsidP="00D66273">
      <w:pPr>
        <w:pStyle w:val="ListParagraph"/>
        <w:numPr>
          <w:ilvl w:val="0"/>
          <w:numId w:val="11"/>
        </w:numPr>
        <w:ind w:left="927"/>
        <w:rPr>
          <w:rFonts w:ascii="Times New Roman" w:hAnsi="Times New Roman"/>
          <w:sz w:val="24"/>
          <w:szCs w:val="24"/>
        </w:rPr>
      </w:pPr>
      <w:r w:rsidRPr="008E4CDF">
        <w:rPr>
          <w:rFonts w:ascii="Times New Roman" w:hAnsi="Times New Roman"/>
          <w:b/>
          <w:i/>
          <w:sz w:val="24"/>
          <w:szCs w:val="24"/>
        </w:rPr>
        <w:t>Option 1:</w:t>
      </w:r>
      <w:r w:rsidRPr="008E4CDF">
        <w:rPr>
          <w:rFonts w:ascii="Times New Roman" w:hAnsi="Times New Roman"/>
          <w:sz w:val="24"/>
          <w:szCs w:val="24"/>
        </w:rPr>
        <w:t xml:space="preserve"> </w:t>
      </w:r>
      <w:r w:rsidR="0091199C" w:rsidRPr="008E4CDF">
        <w:rPr>
          <w:rFonts w:ascii="Times New Roman" w:hAnsi="Times New Roman"/>
          <w:sz w:val="24"/>
          <w:szCs w:val="24"/>
        </w:rPr>
        <w:t>T</w:t>
      </w:r>
      <w:r w:rsidR="00675D3E" w:rsidRPr="008E4CDF">
        <w:rPr>
          <w:rFonts w:ascii="Times New Roman" w:hAnsi="Times New Roman"/>
          <w:sz w:val="24"/>
          <w:szCs w:val="24"/>
        </w:rPr>
        <w:t>he status quo is maintained in the interim until an Order in Council under the information sharing framework in section 81BA of the</w:t>
      </w:r>
      <w:r w:rsidR="00C12BCC">
        <w:rPr>
          <w:rFonts w:ascii="Times New Roman" w:hAnsi="Times New Roman"/>
          <w:sz w:val="24"/>
          <w:szCs w:val="24"/>
        </w:rPr>
        <w:t xml:space="preserve"> TAA</w:t>
      </w:r>
      <w:r w:rsidR="00675D3E" w:rsidRPr="008E4CDF">
        <w:rPr>
          <w:rFonts w:ascii="Times New Roman" w:hAnsi="Times New Roman"/>
          <w:sz w:val="24"/>
          <w:szCs w:val="24"/>
        </w:rPr>
        <w:t xml:space="preserve"> is made.</w:t>
      </w:r>
    </w:p>
    <w:p w:rsidR="008E4CDF" w:rsidRPr="008E4CDF" w:rsidRDefault="008E4CDF" w:rsidP="00D66273">
      <w:pPr>
        <w:pStyle w:val="ListParagraph"/>
        <w:ind w:left="927"/>
        <w:rPr>
          <w:rFonts w:ascii="Times New Roman" w:hAnsi="Times New Roman"/>
          <w:sz w:val="24"/>
          <w:szCs w:val="24"/>
        </w:rPr>
      </w:pPr>
    </w:p>
    <w:p w:rsidR="006D7437" w:rsidRDefault="006D7437" w:rsidP="00D66273">
      <w:pPr>
        <w:pStyle w:val="ListParagraph"/>
        <w:numPr>
          <w:ilvl w:val="0"/>
          <w:numId w:val="11"/>
        </w:numPr>
        <w:ind w:left="927"/>
        <w:rPr>
          <w:rFonts w:ascii="Times New Roman" w:hAnsi="Times New Roman"/>
          <w:sz w:val="24"/>
          <w:szCs w:val="24"/>
        </w:rPr>
      </w:pPr>
      <w:r w:rsidRPr="008E4CDF">
        <w:rPr>
          <w:rFonts w:ascii="Times New Roman" w:hAnsi="Times New Roman"/>
          <w:b/>
          <w:i/>
          <w:sz w:val="24"/>
          <w:szCs w:val="24"/>
        </w:rPr>
        <w:t>Option 2:</w:t>
      </w:r>
      <w:r w:rsidR="0091199C" w:rsidRPr="008E4CDF">
        <w:rPr>
          <w:rFonts w:ascii="Times New Roman" w:hAnsi="Times New Roman"/>
          <w:sz w:val="24"/>
          <w:szCs w:val="24"/>
        </w:rPr>
        <w:t xml:space="preserve"> T</w:t>
      </w:r>
      <w:r w:rsidRPr="008E4CDF">
        <w:rPr>
          <w:rFonts w:ascii="Times New Roman" w:hAnsi="Times New Roman"/>
          <w:sz w:val="24"/>
          <w:szCs w:val="24"/>
        </w:rPr>
        <w:t xml:space="preserve">he status quo is maintained </w:t>
      </w:r>
      <w:r w:rsidR="008E4CDF">
        <w:rPr>
          <w:rFonts w:ascii="Times New Roman" w:hAnsi="Times New Roman"/>
          <w:sz w:val="24"/>
          <w:szCs w:val="24"/>
        </w:rPr>
        <w:t>indefinitely.</w:t>
      </w:r>
    </w:p>
    <w:p w:rsidR="008E4CDF" w:rsidRPr="008E4CDF" w:rsidRDefault="008E4CDF" w:rsidP="00D66273">
      <w:pPr>
        <w:pStyle w:val="ListParagraph"/>
        <w:ind w:left="927"/>
        <w:rPr>
          <w:rFonts w:ascii="Times New Roman" w:hAnsi="Times New Roman"/>
          <w:sz w:val="24"/>
          <w:szCs w:val="24"/>
        </w:rPr>
      </w:pPr>
    </w:p>
    <w:p w:rsidR="006D7437" w:rsidRDefault="006D7437" w:rsidP="00D66273">
      <w:pPr>
        <w:pStyle w:val="ListParagraph"/>
        <w:numPr>
          <w:ilvl w:val="0"/>
          <w:numId w:val="11"/>
        </w:numPr>
        <w:ind w:left="927"/>
        <w:rPr>
          <w:rFonts w:ascii="Times New Roman" w:hAnsi="Times New Roman"/>
          <w:sz w:val="24"/>
          <w:szCs w:val="24"/>
        </w:rPr>
      </w:pPr>
      <w:r w:rsidRPr="008E4CDF">
        <w:rPr>
          <w:rFonts w:ascii="Times New Roman" w:hAnsi="Times New Roman"/>
          <w:b/>
          <w:i/>
          <w:sz w:val="24"/>
          <w:szCs w:val="24"/>
        </w:rPr>
        <w:t xml:space="preserve">Option </w:t>
      </w:r>
      <w:r w:rsidR="00675D3E" w:rsidRPr="008E4CDF">
        <w:rPr>
          <w:rFonts w:ascii="Times New Roman" w:hAnsi="Times New Roman"/>
          <w:b/>
          <w:i/>
          <w:sz w:val="24"/>
          <w:szCs w:val="24"/>
        </w:rPr>
        <w:t>3</w:t>
      </w:r>
      <w:r w:rsidRPr="008E4CDF">
        <w:rPr>
          <w:rFonts w:ascii="Times New Roman" w:hAnsi="Times New Roman"/>
          <w:b/>
          <w:i/>
          <w:sz w:val="24"/>
          <w:szCs w:val="24"/>
        </w:rPr>
        <w:t>:</w:t>
      </w:r>
      <w:r w:rsidR="0091199C" w:rsidRPr="008E4CDF">
        <w:rPr>
          <w:rFonts w:ascii="Times New Roman" w:hAnsi="Times New Roman"/>
          <w:sz w:val="24"/>
          <w:szCs w:val="24"/>
        </w:rPr>
        <w:t xml:space="preserve"> T</w:t>
      </w:r>
      <w:r w:rsidRPr="008E4CDF">
        <w:rPr>
          <w:rFonts w:ascii="Times New Roman" w:hAnsi="Times New Roman"/>
          <w:sz w:val="24"/>
          <w:szCs w:val="24"/>
        </w:rPr>
        <w:t>he info</w:t>
      </w:r>
      <w:r w:rsidR="00A81AA6" w:rsidRPr="008E4CDF">
        <w:rPr>
          <w:rFonts w:ascii="Times New Roman" w:hAnsi="Times New Roman"/>
          <w:sz w:val="24"/>
          <w:szCs w:val="24"/>
        </w:rPr>
        <w:t>rmation</w:t>
      </w:r>
      <w:r w:rsidRPr="008E4CDF">
        <w:rPr>
          <w:rFonts w:ascii="Times New Roman" w:hAnsi="Times New Roman"/>
          <w:sz w:val="24"/>
          <w:szCs w:val="24"/>
        </w:rPr>
        <w:t xml:space="preserve"> sharing ceases. </w:t>
      </w:r>
    </w:p>
    <w:p w:rsidR="00481754" w:rsidRPr="00937674" w:rsidRDefault="00481754" w:rsidP="00937674">
      <w:pPr>
        <w:pStyle w:val="ListParagraph"/>
        <w:rPr>
          <w:rFonts w:ascii="Times New Roman" w:hAnsi="Times New Roman"/>
          <w:sz w:val="24"/>
          <w:szCs w:val="24"/>
        </w:rPr>
      </w:pPr>
    </w:p>
    <w:p w:rsidR="00481754" w:rsidRPr="00937674" w:rsidRDefault="00481754" w:rsidP="00937674">
      <w:pPr>
        <w:pStyle w:val="ListParagraph"/>
        <w:numPr>
          <w:ilvl w:val="0"/>
          <w:numId w:val="11"/>
        </w:numPr>
        <w:ind w:left="993" w:hanging="426"/>
        <w:rPr>
          <w:rFonts w:ascii="Times New Roman" w:hAnsi="Times New Roman"/>
          <w:sz w:val="24"/>
          <w:szCs w:val="24"/>
        </w:rPr>
      </w:pPr>
      <w:r w:rsidRPr="00937674">
        <w:rPr>
          <w:rFonts w:ascii="Times New Roman" w:hAnsi="Times New Roman"/>
          <w:b/>
          <w:i/>
          <w:sz w:val="24"/>
          <w:szCs w:val="24"/>
        </w:rPr>
        <w:t>Option 4:</w:t>
      </w:r>
      <w:r w:rsidRPr="00937674">
        <w:rPr>
          <w:rFonts w:ascii="Times New Roman" w:hAnsi="Times New Roman"/>
          <w:sz w:val="24"/>
          <w:szCs w:val="24"/>
        </w:rPr>
        <w:t xml:space="preserve"> The information is collected by </w:t>
      </w:r>
      <w:r w:rsidR="00355657">
        <w:rPr>
          <w:rFonts w:ascii="Times New Roman" w:hAnsi="Times New Roman"/>
          <w:sz w:val="24"/>
          <w:szCs w:val="24"/>
        </w:rPr>
        <w:t>ACC</w:t>
      </w:r>
      <w:r w:rsidRPr="00937674">
        <w:rPr>
          <w:rFonts w:ascii="Times New Roman" w:hAnsi="Times New Roman"/>
          <w:sz w:val="24"/>
          <w:szCs w:val="24"/>
        </w:rPr>
        <w:t>.</w:t>
      </w:r>
    </w:p>
    <w:p w:rsidR="00481754" w:rsidRDefault="00481754" w:rsidP="00B24997">
      <w:pPr>
        <w:spacing w:after="0"/>
        <w:rPr>
          <w:rFonts w:ascii="Times New Roman" w:hAnsi="Times New Roman"/>
          <w:sz w:val="24"/>
          <w:szCs w:val="24"/>
        </w:rPr>
      </w:pPr>
    </w:p>
    <w:p w:rsidR="00481754" w:rsidRPr="00937674" w:rsidRDefault="00937674" w:rsidP="00937674">
      <w:pPr>
        <w:pStyle w:val="ListParagraph"/>
        <w:numPr>
          <w:ilvl w:val="0"/>
          <w:numId w:val="11"/>
        </w:numPr>
        <w:ind w:left="993" w:hanging="426"/>
        <w:rPr>
          <w:rFonts w:ascii="Times New Roman" w:hAnsi="Times New Roman"/>
          <w:sz w:val="24"/>
          <w:szCs w:val="24"/>
        </w:rPr>
      </w:pPr>
      <w:r w:rsidRPr="00937674">
        <w:rPr>
          <w:rFonts w:ascii="Times New Roman" w:hAnsi="Times New Roman"/>
          <w:b/>
          <w:i/>
          <w:sz w:val="24"/>
          <w:szCs w:val="24"/>
        </w:rPr>
        <w:t>Option 5:</w:t>
      </w:r>
      <w:r w:rsidRPr="00937674">
        <w:rPr>
          <w:rFonts w:ascii="Times New Roman" w:hAnsi="Times New Roman"/>
          <w:sz w:val="24"/>
          <w:szCs w:val="24"/>
        </w:rPr>
        <w:t xml:space="preserve"> An information matching </w:t>
      </w:r>
      <w:r>
        <w:rPr>
          <w:rFonts w:ascii="Times New Roman" w:hAnsi="Times New Roman"/>
          <w:sz w:val="24"/>
          <w:szCs w:val="24"/>
        </w:rPr>
        <w:t>under the Privacy Act 1993.</w:t>
      </w:r>
    </w:p>
    <w:p w:rsidR="006D7437" w:rsidRDefault="006D7437" w:rsidP="008E4CDF">
      <w:pPr>
        <w:spacing w:line="240" w:lineRule="auto"/>
        <w:contextualSpacing/>
        <w:jc w:val="both"/>
        <w:rPr>
          <w:rFonts w:ascii="Times New Roman" w:hAnsi="Times New Roman"/>
          <w:sz w:val="24"/>
          <w:szCs w:val="24"/>
        </w:rPr>
      </w:pPr>
    </w:p>
    <w:p w:rsidR="00D66273" w:rsidRDefault="00D66273" w:rsidP="008E4CDF">
      <w:pPr>
        <w:spacing w:line="240" w:lineRule="auto"/>
        <w:contextualSpacing/>
        <w:jc w:val="both"/>
        <w:rPr>
          <w:rFonts w:ascii="Times New Roman" w:hAnsi="Times New Roman"/>
          <w:sz w:val="24"/>
          <w:szCs w:val="24"/>
        </w:rPr>
      </w:pPr>
    </w:p>
    <w:p w:rsidR="002B7F51" w:rsidRPr="0091199C" w:rsidRDefault="002B7F51" w:rsidP="008E4CDF">
      <w:pPr>
        <w:spacing w:line="240" w:lineRule="auto"/>
        <w:contextualSpacing/>
        <w:jc w:val="both"/>
        <w:rPr>
          <w:rFonts w:ascii="Times New Roman" w:hAnsi="Times New Roman"/>
          <w:b/>
          <w:sz w:val="24"/>
          <w:szCs w:val="24"/>
        </w:rPr>
      </w:pPr>
      <w:r w:rsidRPr="0091199C">
        <w:rPr>
          <w:rFonts w:ascii="Times New Roman" w:hAnsi="Times New Roman"/>
          <w:b/>
          <w:sz w:val="24"/>
          <w:szCs w:val="24"/>
        </w:rPr>
        <w:t xml:space="preserve">Option 1: </w:t>
      </w:r>
      <w:r w:rsidR="0091199C">
        <w:rPr>
          <w:rFonts w:ascii="Times New Roman" w:hAnsi="Times New Roman"/>
          <w:b/>
          <w:sz w:val="24"/>
          <w:szCs w:val="24"/>
        </w:rPr>
        <w:t>T</w:t>
      </w:r>
      <w:r w:rsidR="0091199C" w:rsidRPr="0091199C">
        <w:rPr>
          <w:rFonts w:ascii="Times New Roman" w:hAnsi="Times New Roman"/>
          <w:b/>
          <w:sz w:val="24"/>
          <w:szCs w:val="24"/>
        </w:rPr>
        <w:t>he status quo is maintained in the interim until an Order in Council under the information sharing framework in section 81BA of the Tax Administration Act 1994 is made</w:t>
      </w:r>
    </w:p>
    <w:p w:rsidR="006D7437" w:rsidRDefault="006D7437" w:rsidP="00C12BCC">
      <w:pPr>
        <w:spacing w:after="0" w:line="240" w:lineRule="auto"/>
        <w:contextualSpacing/>
        <w:jc w:val="both"/>
        <w:rPr>
          <w:rFonts w:ascii="Times New Roman" w:hAnsi="Times New Roman"/>
          <w:sz w:val="24"/>
          <w:szCs w:val="24"/>
        </w:rPr>
      </w:pPr>
    </w:p>
    <w:p w:rsidR="00C12BCC" w:rsidRDefault="001A6496" w:rsidP="00CF7FC2">
      <w:pPr>
        <w:pStyle w:val="CommentText"/>
        <w:spacing w:after="0"/>
        <w:jc w:val="both"/>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91199C">
        <w:rPr>
          <w:rFonts w:ascii="Times New Roman" w:hAnsi="Times New Roman"/>
          <w:sz w:val="24"/>
          <w:szCs w:val="24"/>
        </w:rPr>
        <w:t>Under Option 1, an Order in C</w:t>
      </w:r>
      <w:r w:rsidR="0091199C" w:rsidRPr="0059410C">
        <w:rPr>
          <w:rFonts w:ascii="Times New Roman" w:hAnsi="Times New Roman"/>
          <w:sz w:val="24"/>
          <w:szCs w:val="24"/>
        </w:rPr>
        <w:t xml:space="preserve">ouncil </w:t>
      </w:r>
      <w:r w:rsidR="0091199C">
        <w:rPr>
          <w:rFonts w:ascii="Times New Roman" w:hAnsi="Times New Roman"/>
          <w:sz w:val="24"/>
          <w:szCs w:val="24"/>
        </w:rPr>
        <w:t>under s</w:t>
      </w:r>
      <w:r w:rsidR="0091199C" w:rsidRPr="0059410C">
        <w:rPr>
          <w:rFonts w:ascii="Times New Roman" w:hAnsi="Times New Roman"/>
          <w:sz w:val="24"/>
          <w:szCs w:val="24"/>
        </w:rPr>
        <w:t xml:space="preserve">ection 81BA </w:t>
      </w:r>
      <w:r w:rsidR="0091199C">
        <w:rPr>
          <w:rFonts w:ascii="Times New Roman" w:hAnsi="Times New Roman"/>
          <w:sz w:val="24"/>
          <w:szCs w:val="24"/>
        </w:rPr>
        <w:t xml:space="preserve">of the </w:t>
      </w:r>
      <w:r w:rsidR="00A80F0B">
        <w:rPr>
          <w:rFonts w:ascii="Times New Roman" w:hAnsi="Times New Roman"/>
          <w:sz w:val="24"/>
          <w:szCs w:val="24"/>
        </w:rPr>
        <w:t xml:space="preserve">TAA </w:t>
      </w:r>
      <w:r w:rsidR="0091199C" w:rsidRPr="0059410C">
        <w:rPr>
          <w:rFonts w:ascii="Times New Roman" w:hAnsi="Times New Roman"/>
          <w:sz w:val="24"/>
          <w:szCs w:val="24"/>
        </w:rPr>
        <w:t xml:space="preserve">would be </w:t>
      </w:r>
      <w:r w:rsidR="0091199C">
        <w:rPr>
          <w:rFonts w:ascii="Times New Roman" w:hAnsi="Times New Roman"/>
          <w:sz w:val="24"/>
          <w:szCs w:val="24"/>
        </w:rPr>
        <w:t xml:space="preserve">made to </w:t>
      </w:r>
      <w:r w:rsidR="0091199C" w:rsidRPr="0059410C">
        <w:rPr>
          <w:rFonts w:ascii="Times New Roman" w:hAnsi="Times New Roman"/>
          <w:sz w:val="24"/>
          <w:szCs w:val="24"/>
        </w:rPr>
        <w:t xml:space="preserve">enable Inland Revenue to </w:t>
      </w:r>
      <w:r w:rsidR="00A80F0B">
        <w:rPr>
          <w:rFonts w:ascii="Times New Roman" w:hAnsi="Times New Roman"/>
          <w:sz w:val="24"/>
          <w:szCs w:val="24"/>
        </w:rPr>
        <w:t xml:space="preserve">legally </w:t>
      </w:r>
      <w:r w:rsidR="0091199C">
        <w:rPr>
          <w:rFonts w:ascii="Times New Roman" w:hAnsi="Times New Roman"/>
          <w:sz w:val="24"/>
          <w:szCs w:val="24"/>
        </w:rPr>
        <w:t xml:space="preserve">share </w:t>
      </w:r>
      <w:r w:rsidR="00C12BCC">
        <w:rPr>
          <w:rFonts w:ascii="Times New Roman" w:hAnsi="Times New Roman"/>
          <w:sz w:val="24"/>
          <w:szCs w:val="24"/>
        </w:rPr>
        <w:t xml:space="preserve">additional </w:t>
      </w:r>
      <w:r w:rsidR="0091199C">
        <w:rPr>
          <w:rFonts w:ascii="Times New Roman" w:hAnsi="Times New Roman"/>
          <w:sz w:val="24"/>
          <w:szCs w:val="24"/>
        </w:rPr>
        <w:t>information with</w:t>
      </w:r>
      <w:r w:rsidR="0091199C" w:rsidRPr="0059410C">
        <w:rPr>
          <w:rFonts w:ascii="Times New Roman" w:hAnsi="Times New Roman"/>
          <w:sz w:val="24"/>
          <w:szCs w:val="24"/>
        </w:rPr>
        <w:t xml:space="preserve"> </w:t>
      </w:r>
      <w:r w:rsidR="00660473">
        <w:rPr>
          <w:rFonts w:ascii="Times New Roman" w:hAnsi="Times New Roman"/>
          <w:sz w:val="24"/>
          <w:szCs w:val="24"/>
        </w:rPr>
        <w:t>ACC</w:t>
      </w:r>
      <w:r w:rsidR="0091199C">
        <w:rPr>
          <w:rFonts w:ascii="Times New Roman" w:hAnsi="Times New Roman"/>
          <w:sz w:val="24"/>
          <w:szCs w:val="24"/>
        </w:rPr>
        <w:t>.</w:t>
      </w:r>
    </w:p>
    <w:p w:rsidR="00C12BCC" w:rsidRPr="00C12BCC" w:rsidRDefault="00C12BCC" w:rsidP="00CF7FC2">
      <w:pPr>
        <w:pStyle w:val="CommentText"/>
        <w:spacing w:after="0"/>
        <w:jc w:val="both"/>
        <w:rPr>
          <w:rFonts w:ascii="Times New Roman" w:hAnsi="Times New Roman"/>
          <w:sz w:val="24"/>
          <w:szCs w:val="24"/>
        </w:rPr>
      </w:pPr>
    </w:p>
    <w:p w:rsidR="00C12BCC" w:rsidRPr="00C12BCC" w:rsidRDefault="00C12BCC" w:rsidP="00CF7FC2">
      <w:pPr>
        <w:pStyle w:val="CommentText"/>
        <w:spacing w:after="0"/>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Pr="00C12BCC">
        <w:rPr>
          <w:rFonts w:ascii="Times New Roman" w:hAnsi="Times New Roman"/>
          <w:sz w:val="24"/>
          <w:szCs w:val="24"/>
        </w:rPr>
        <w:t>In the interim period before the</w:t>
      </w:r>
      <w:r>
        <w:rPr>
          <w:rFonts w:ascii="Times New Roman" w:hAnsi="Times New Roman"/>
          <w:sz w:val="24"/>
          <w:szCs w:val="24"/>
        </w:rPr>
        <w:t xml:space="preserve"> Order in Council</w:t>
      </w:r>
      <w:r w:rsidRPr="00C12BCC">
        <w:rPr>
          <w:rFonts w:ascii="Times New Roman" w:hAnsi="Times New Roman"/>
          <w:sz w:val="24"/>
          <w:szCs w:val="24"/>
        </w:rPr>
        <w:t xml:space="preserve"> the objectives are not met.  However, once the</w:t>
      </w:r>
      <w:r>
        <w:rPr>
          <w:rFonts w:ascii="Times New Roman" w:hAnsi="Times New Roman"/>
          <w:sz w:val="24"/>
          <w:szCs w:val="24"/>
        </w:rPr>
        <w:t xml:space="preserve"> Order in Council</w:t>
      </w:r>
      <w:r w:rsidRPr="00C12BCC">
        <w:rPr>
          <w:rFonts w:ascii="Times New Roman" w:hAnsi="Times New Roman"/>
          <w:sz w:val="24"/>
          <w:szCs w:val="24"/>
        </w:rPr>
        <w:t xml:space="preserve"> is in place all objectives will be met.</w:t>
      </w:r>
    </w:p>
    <w:p w:rsidR="00C12BCC" w:rsidRPr="00C12BCC" w:rsidRDefault="00C12BCC" w:rsidP="00CF7FC2">
      <w:pPr>
        <w:pStyle w:val="CommentText"/>
        <w:spacing w:after="0"/>
        <w:jc w:val="both"/>
        <w:rPr>
          <w:rFonts w:ascii="Times New Roman" w:hAnsi="Times New Roman"/>
          <w:sz w:val="24"/>
          <w:szCs w:val="24"/>
        </w:rPr>
      </w:pPr>
    </w:p>
    <w:p w:rsidR="0091199C" w:rsidRDefault="00C12BCC" w:rsidP="00CF7FC2">
      <w:pPr>
        <w:pStyle w:val="CommentText"/>
        <w:spacing w:after="0"/>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Pr="00C12BCC">
        <w:rPr>
          <w:rFonts w:ascii="Times New Roman" w:hAnsi="Times New Roman"/>
          <w:sz w:val="24"/>
          <w:szCs w:val="24"/>
        </w:rPr>
        <w:t xml:space="preserve">Inland Revenue considers that it is acceptable to maintain the status quo in the interim period to ensure the integrity of </w:t>
      </w:r>
      <w:r w:rsidR="00660473">
        <w:rPr>
          <w:rFonts w:ascii="Times New Roman" w:hAnsi="Times New Roman"/>
          <w:sz w:val="24"/>
          <w:szCs w:val="24"/>
        </w:rPr>
        <w:t>the ACC</w:t>
      </w:r>
      <w:r w:rsidRPr="00C12BCC">
        <w:rPr>
          <w:rFonts w:ascii="Times New Roman" w:hAnsi="Times New Roman"/>
          <w:sz w:val="24"/>
          <w:szCs w:val="24"/>
        </w:rPr>
        <w:t xml:space="preserve"> </w:t>
      </w:r>
      <w:r>
        <w:rPr>
          <w:rFonts w:ascii="Times New Roman" w:hAnsi="Times New Roman"/>
          <w:sz w:val="24"/>
          <w:szCs w:val="24"/>
        </w:rPr>
        <w:t>S</w:t>
      </w:r>
      <w:r w:rsidRPr="00C12BCC">
        <w:rPr>
          <w:rFonts w:ascii="Times New Roman" w:hAnsi="Times New Roman"/>
          <w:sz w:val="24"/>
          <w:szCs w:val="24"/>
        </w:rPr>
        <w:t xml:space="preserve">cheme and the provision of efficient government services.  In addition, as noted earlier, </w:t>
      </w:r>
      <w:r>
        <w:rPr>
          <w:rFonts w:ascii="Times New Roman" w:hAnsi="Times New Roman"/>
          <w:sz w:val="24"/>
          <w:szCs w:val="24"/>
        </w:rPr>
        <w:t>the Office of the Privacy Commissioner</w:t>
      </w:r>
      <w:r w:rsidRPr="00C12BCC">
        <w:rPr>
          <w:rFonts w:ascii="Times New Roman" w:hAnsi="Times New Roman"/>
          <w:sz w:val="24"/>
          <w:szCs w:val="24"/>
        </w:rPr>
        <w:t xml:space="preserve"> does not see any significant privacy risk with the current sharing given the information is provided to </w:t>
      </w:r>
      <w:r w:rsidR="00660473">
        <w:rPr>
          <w:rFonts w:ascii="Times New Roman" w:hAnsi="Times New Roman"/>
          <w:sz w:val="24"/>
          <w:szCs w:val="24"/>
        </w:rPr>
        <w:t>ACC</w:t>
      </w:r>
      <w:r w:rsidRPr="00C12BCC">
        <w:rPr>
          <w:rFonts w:ascii="Times New Roman" w:hAnsi="Times New Roman"/>
          <w:sz w:val="24"/>
          <w:szCs w:val="24"/>
        </w:rPr>
        <w:t xml:space="preserve"> for a legitimate purpose</w:t>
      </w:r>
      <w:r>
        <w:rPr>
          <w:rFonts w:ascii="Times New Roman" w:hAnsi="Times New Roman"/>
          <w:sz w:val="24"/>
          <w:szCs w:val="24"/>
        </w:rPr>
        <w:t>.</w:t>
      </w:r>
    </w:p>
    <w:p w:rsidR="00D66273" w:rsidRDefault="00D66273" w:rsidP="008E4CDF">
      <w:pPr>
        <w:spacing w:line="240" w:lineRule="auto"/>
        <w:contextualSpacing/>
        <w:jc w:val="both"/>
        <w:rPr>
          <w:rFonts w:ascii="Times New Roman" w:hAnsi="Times New Roman"/>
          <w:sz w:val="24"/>
          <w:szCs w:val="24"/>
        </w:rPr>
      </w:pPr>
    </w:p>
    <w:p w:rsidR="00CF7FC2" w:rsidRDefault="00CF7FC2" w:rsidP="008E4CDF">
      <w:pPr>
        <w:spacing w:line="240" w:lineRule="auto"/>
        <w:contextualSpacing/>
        <w:jc w:val="both"/>
        <w:rPr>
          <w:rFonts w:ascii="Times New Roman" w:hAnsi="Times New Roman"/>
          <w:sz w:val="24"/>
          <w:szCs w:val="24"/>
        </w:rPr>
      </w:pPr>
    </w:p>
    <w:p w:rsidR="002B7F51" w:rsidRPr="002B7F51" w:rsidRDefault="0091199C" w:rsidP="008E4CDF">
      <w:pPr>
        <w:spacing w:line="240" w:lineRule="auto"/>
        <w:contextualSpacing/>
        <w:jc w:val="both"/>
        <w:rPr>
          <w:rFonts w:ascii="Times New Roman" w:hAnsi="Times New Roman"/>
          <w:b/>
          <w:sz w:val="24"/>
          <w:szCs w:val="24"/>
        </w:rPr>
      </w:pPr>
      <w:r>
        <w:rPr>
          <w:rFonts w:ascii="Times New Roman" w:hAnsi="Times New Roman"/>
          <w:b/>
          <w:sz w:val="24"/>
          <w:szCs w:val="24"/>
        </w:rPr>
        <w:t>Option 2: T</w:t>
      </w:r>
      <w:r w:rsidR="002B7F51" w:rsidRPr="002B7F51">
        <w:rPr>
          <w:rFonts w:ascii="Times New Roman" w:hAnsi="Times New Roman"/>
          <w:b/>
          <w:sz w:val="24"/>
          <w:szCs w:val="24"/>
        </w:rPr>
        <w:t>he status</w:t>
      </w:r>
      <w:r w:rsidR="0089063B">
        <w:rPr>
          <w:rFonts w:ascii="Times New Roman" w:hAnsi="Times New Roman"/>
          <w:b/>
          <w:sz w:val="24"/>
          <w:szCs w:val="24"/>
        </w:rPr>
        <w:t xml:space="preserve"> quo is maintained indefinitely</w:t>
      </w:r>
    </w:p>
    <w:p w:rsidR="002B7F51" w:rsidRDefault="002B7F51" w:rsidP="008E4CDF">
      <w:pPr>
        <w:spacing w:line="240" w:lineRule="auto"/>
        <w:contextualSpacing/>
        <w:jc w:val="both"/>
        <w:rPr>
          <w:rFonts w:ascii="Times New Roman" w:hAnsi="Times New Roman"/>
          <w:sz w:val="24"/>
          <w:szCs w:val="24"/>
        </w:rPr>
      </w:pPr>
    </w:p>
    <w:p w:rsidR="002B7F51"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2B7F51" w:rsidRPr="005E6886">
        <w:rPr>
          <w:rFonts w:ascii="Times New Roman" w:hAnsi="Times New Roman"/>
          <w:sz w:val="24"/>
          <w:szCs w:val="24"/>
        </w:rPr>
        <w:t xml:space="preserve">If Inland Revenue and </w:t>
      </w:r>
      <w:r w:rsidR="00660473">
        <w:rPr>
          <w:rFonts w:ascii="Times New Roman" w:hAnsi="Times New Roman"/>
          <w:sz w:val="24"/>
          <w:szCs w:val="24"/>
        </w:rPr>
        <w:t>ACC</w:t>
      </w:r>
      <w:r w:rsidR="002B7F51" w:rsidRPr="005E6886">
        <w:rPr>
          <w:rFonts w:ascii="Times New Roman" w:hAnsi="Times New Roman"/>
          <w:sz w:val="24"/>
          <w:szCs w:val="24"/>
        </w:rPr>
        <w:t xml:space="preserve"> were to continue to share information without legislative change or other legal authorisation, there is a risk of breaching the Privacy Act 1993 and the secrecy provisions of the </w:t>
      </w:r>
      <w:r w:rsidR="00C12BCC">
        <w:rPr>
          <w:rFonts w:ascii="Times New Roman" w:hAnsi="Times New Roman"/>
          <w:sz w:val="24"/>
          <w:szCs w:val="24"/>
        </w:rPr>
        <w:t>TAA.</w:t>
      </w:r>
    </w:p>
    <w:p w:rsidR="005E6886" w:rsidRPr="005E6886" w:rsidRDefault="005E6886" w:rsidP="008E4CDF">
      <w:pPr>
        <w:spacing w:line="240" w:lineRule="auto"/>
        <w:contextualSpacing/>
        <w:jc w:val="both"/>
        <w:rPr>
          <w:rFonts w:ascii="Times New Roman" w:hAnsi="Times New Roman"/>
          <w:sz w:val="24"/>
          <w:szCs w:val="24"/>
        </w:rPr>
      </w:pPr>
    </w:p>
    <w:p w:rsidR="002B7F51" w:rsidRPr="005E6886"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84656C">
        <w:rPr>
          <w:rFonts w:ascii="Times New Roman" w:hAnsi="Times New Roman"/>
          <w:sz w:val="24"/>
          <w:szCs w:val="24"/>
        </w:rPr>
        <w:t>Inland Revenue’s view is that it would not be acceptable to maintain the status quo indefinitely</w:t>
      </w:r>
      <w:r w:rsidR="003F2561">
        <w:rPr>
          <w:rFonts w:ascii="Times New Roman" w:hAnsi="Times New Roman"/>
          <w:sz w:val="24"/>
          <w:szCs w:val="24"/>
        </w:rPr>
        <w:t xml:space="preserve"> because </w:t>
      </w:r>
      <w:r w:rsidR="00131A98">
        <w:rPr>
          <w:rFonts w:ascii="Times New Roman" w:hAnsi="Times New Roman"/>
          <w:sz w:val="24"/>
          <w:szCs w:val="24"/>
        </w:rPr>
        <w:t>this would mean a perpetual breach of secrecy</w:t>
      </w:r>
      <w:r w:rsidR="0084656C">
        <w:rPr>
          <w:rFonts w:ascii="Times New Roman" w:hAnsi="Times New Roman"/>
          <w:sz w:val="24"/>
          <w:szCs w:val="24"/>
        </w:rPr>
        <w:t xml:space="preserve">. </w:t>
      </w:r>
      <w:r w:rsidR="0084656C" w:rsidRPr="005E6886">
        <w:rPr>
          <w:rFonts w:ascii="Times New Roman" w:hAnsi="Times New Roman"/>
          <w:sz w:val="24"/>
          <w:szCs w:val="24"/>
        </w:rPr>
        <w:t xml:space="preserve"> </w:t>
      </w:r>
      <w:r w:rsidR="002B7F51" w:rsidRPr="005E6886">
        <w:rPr>
          <w:rFonts w:ascii="Times New Roman" w:hAnsi="Times New Roman"/>
          <w:sz w:val="24"/>
          <w:szCs w:val="24"/>
        </w:rPr>
        <w:t>As a result option 2 is not recommended.</w:t>
      </w:r>
    </w:p>
    <w:p w:rsidR="005E6886" w:rsidRDefault="005E6886" w:rsidP="008E4CDF">
      <w:pPr>
        <w:spacing w:line="240" w:lineRule="auto"/>
        <w:contextualSpacing/>
        <w:jc w:val="both"/>
        <w:rPr>
          <w:rFonts w:ascii="Times New Roman" w:hAnsi="Times New Roman"/>
          <w:b/>
          <w:sz w:val="24"/>
          <w:szCs w:val="24"/>
        </w:rPr>
      </w:pPr>
    </w:p>
    <w:p w:rsidR="001A6496" w:rsidRDefault="001A6496" w:rsidP="008E4CDF">
      <w:pPr>
        <w:spacing w:line="240" w:lineRule="auto"/>
        <w:contextualSpacing/>
        <w:jc w:val="both"/>
        <w:rPr>
          <w:rFonts w:ascii="Times New Roman" w:hAnsi="Times New Roman"/>
          <w:b/>
          <w:sz w:val="24"/>
          <w:szCs w:val="24"/>
        </w:rPr>
      </w:pPr>
    </w:p>
    <w:p w:rsidR="002B7F51" w:rsidRPr="002B7F51" w:rsidRDefault="002B7F51" w:rsidP="008E4CDF">
      <w:pPr>
        <w:spacing w:line="240" w:lineRule="auto"/>
        <w:contextualSpacing/>
        <w:jc w:val="both"/>
        <w:rPr>
          <w:rFonts w:ascii="Times New Roman" w:hAnsi="Times New Roman"/>
          <w:b/>
          <w:sz w:val="24"/>
          <w:szCs w:val="24"/>
        </w:rPr>
      </w:pPr>
      <w:r w:rsidRPr="002B7F51">
        <w:rPr>
          <w:rFonts w:ascii="Times New Roman" w:hAnsi="Times New Roman"/>
          <w:b/>
          <w:sz w:val="24"/>
          <w:szCs w:val="24"/>
        </w:rPr>
        <w:t xml:space="preserve">Option </w:t>
      </w:r>
      <w:r w:rsidR="00675D3E">
        <w:rPr>
          <w:rFonts w:ascii="Times New Roman" w:hAnsi="Times New Roman"/>
          <w:b/>
          <w:sz w:val="24"/>
          <w:szCs w:val="24"/>
        </w:rPr>
        <w:t>3</w:t>
      </w:r>
      <w:r w:rsidR="0091199C">
        <w:rPr>
          <w:rFonts w:ascii="Times New Roman" w:hAnsi="Times New Roman"/>
          <w:b/>
          <w:sz w:val="24"/>
          <w:szCs w:val="24"/>
        </w:rPr>
        <w:t>: T</w:t>
      </w:r>
      <w:r w:rsidRPr="002B7F51">
        <w:rPr>
          <w:rFonts w:ascii="Times New Roman" w:hAnsi="Times New Roman"/>
          <w:b/>
          <w:sz w:val="24"/>
          <w:szCs w:val="24"/>
        </w:rPr>
        <w:t>he info</w:t>
      </w:r>
      <w:r w:rsidR="00A81AA6">
        <w:rPr>
          <w:rFonts w:ascii="Times New Roman" w:hAnsi="Times New Roman"/>
          <w:b/>
          <w:sz w:val="24"/>
          <w:szCs w:val="24"/>
        </w:rPr>
        <w:t>rmation</w:t>
      </w:r>
      <w:r w:rsidR="0089063B">
        <w:rPr>
          <w:rFonts w:ascii="Times New Roman" w:hAnsi="Times New Roman"/>
          <w:b/>
          <w:sz w:val="24"/>
          <w:szCs w:val="24"/>
        </w:rPr>
        <w:t xml:space="preserve"> sharing ceases</w:t>
      </w:r>
      <w:r w:rsidRPr="002B7F51">
        <w:rPr>
          <w:rFonts w:ascii="Times New Roman" w:hAnsi="Times New Roman"/>
          <w:b/>
          <w:sz w:val="24"/>
          <w:szCs w:val="24"/>
        </w:rPr>
        <w:t xml:space="preserve"> </w:t>
      </w:r>
    </w:p>
    <w:p w:rsidR="002B7F51" w:rsidRDefault="002B7F51" w:rsidP="008E4CDF">
      <w:pPr>
        <w:spacing w:line="240" w:lineRule="auto"/>
        <w:contextualSpacing/>
        <w:jc w:val="both"/>
        <w:rPr>
          <w:rFonts w:ascii="Times New Roman" w:hAnsi="Times New Roman"/>
          <w:sz w:val="24"/>
          <w:szCs w:val="24"/>
        </w:rPr>
      </w:pPr>
    </w:p>
    <w:p w:rsidR="002B7F51"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2B7F51" w:rsidRPr="005E6886">
        <w:rPr>
          <w:rFonts w:ascii="Times New Roman" w:hAnsi="Times New Roman"/>
          <w:sz w:val="24"/>
          <w:szCs w:val="24"/>
        </w:rPr>
        <w:t xml:space="preserve">The information is required by </w:t>
      </w:r>
      <w:r w:rsidR="00660473">
        <w:rPr>
          <w:rFonts w:ascii="Times New Roman" w:hAnsi="Times New Roman"/>
          <w:sz w:val="24"/>
          <w:szCs w:val="24"/>
        </w:rPr>
        <w:t>ACC</w:t>
      </w:r>
      <w:r w:rsidR="002B7F51" w:rsidRPr="005E6886">
        <w:rPr>
          <w:rFonts w:ascii="Times New Roman" w:hAnsi="Times New Roman"/>
          <w:sz w:val="24"/>
          <w:szCs w:val="24"/>
        </w:rPr>
        <w:t xml:space="preserve"> to calculate employer levies and produce invoices to employers for payment.  The information is also used to determine the level of compensation that an injured individual is entitled to receive.  There would be a significant customer impact if the current arrangement was discontinued.</w:t>
      </w:r>
      <w:r w:rsidR="00CF7FC2">
        <w:rPr>
          <w:rFonts w:ascii="Times New Roman" w:hAnsi="Times New Roman"/>
          <w:sz w:val="24"/>
          <w:szCs w:val="24"/>
        </w:rPr>
        <w:t xml:space="preserve">  For example, the calculation of employer levies would not be able to be done and invoices would not be able to be issued for the majority of employers.  For customers who receive compensation, the level of entitlement/compensation would not be able to be accurately determined.</w:t>
      </w:r>
    </w:p>
    <w:p w:rsidR="005E6886" w:rsidRPr="005E6886" w:rsidRDefault="005E6886" w:rsidP="008E4CDF">
      <w:pPr>
        <w:spacing w:line="240" w:lineRule="auto"/>
        <w:contextualSpacing/>
        <w:jc w:val="both"/>
        <w:rPr>
          <w:rFonts w:ascii="Times New Roman" w:hAnsi="Times New Roman"/>
          <w:sz w:val="24"/>
          <w:szCs w:val="24"/>
        </w:rPr>
      </w:pPr>
    </w:p>
    <w:p w:rsidR="002B7F51"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53076B" w:rsidRPr="005E6886">
        <w:rPr>
          <w:rFonts w:ascii="Times New Roman" w:hAnsi="Times New Roman"/>
          <w:sz w:val="24"/>
          <w:szCs w:val="24"/>
        </w:rPr>
        <w:t>As a result option 3</w:t>
      </w:r>
      <w:r w:rsidR="002B7F51" w:rsidRPr="005E6886">
        <w:rPr>
          <w:rFonts w:ascii="Times New Roman" w:hAnsi="Times New Roman"/>
          <w:sz w:val="24"/>
          <w:szCs w:val="24"/>
        </w:rPr>
        <w:t xml:space="preserve"> is not recommended.</w:t>
      </w:r>
    </w:p>
    <w:p w:rsidR="008B4434" w:rsidRDefault="008B4434" w:rsidP="008E4CDF">
      <w:pPr>
        <w:spacing w:line="240" w:lineRule="auto"/>
        <w:contextualSpacing/>
        <w:jc w:val="both"/>
        <w:rPr>
          <w:rFonts w:ascii="Times New Roman" w:hAnsi="Times New Roman"/>
          <w:sz w:val="24"/>
          <w:szCs w:val="24"/>
        </w:rPr>
      </w:pPr>
    </w:p>
    <w:p w:rsidR="008B4434" w:rsidRDefault="008B4434" w:rsidP="008E4CDF">
      <w:pPr>
        <w:spacing w:line="240" w:lineRule="auto"/>
        <w:contextualSpacing/>
        <w:jc w:val="both"/>
        <w:rPr>
          <w:rFonts w:ascii="Times New Roman" w:hAnsi="Times New Roman"/>
          <w:sz w:val="24"/>
          <w:szCs w:val="24"/>
        </w:rPr>
      </w:pPr>
    </w:p>
    <w:p w:rsidR="008B4434" w:rsidRPr="00481754" w:rsidRDefault="008B4434" w:rsidP="008E4CDF">
      <w:pPr>
        <w:spacing w:line="240" w:lineRule="auto"/>
        <w:contextualSpacing/>
        <w:jc w:val="both"/>
        <w:rPr>
          <w:rFonts w:ascii="Times New Roman" w:hAnsi="Times New Roman"/>
          <w:b/>
          <w:sz w:val="24"/>
          <w:szCs w:val="24"/>
        </w:rPr>
      </w:pPr>
      <w:r w:rsidRPr="00481754">
        <w:rPr>
          <w:rFonts w:ascii="Times New Roman" w:hAnsi="Times New Roman"/>
          <w:b/>
          <w:sz w:val="24"/>
          <w:szCs w:val="24"/>
        </w:rPr>
        <w:t xml:space="preserve">Option 4: The information is collected by </w:t>
      </w:r>
      <w:r w:rsidR="00355657">
        <w:rPr>
          <w:rFonts w:ascii="Times New Roman" w:hAnsi="Times New Roman"/>
          <w:b/>
          <w:sz w:val="24"/>
          <w:szCs w:val="24"/>
        </w:rPr>
        <w:t>ACC</w:t>
      </w:r>
    </w:p>
    <w:p w:rsidR="00ED2139" w:rsidRDefault="00ED2139" w:rsidP="008E4CDF">
      <w:pPr>
        <w:spacing w:line="240" w:lineRule="auto"/>
        <w:contextualSpacing/>
        <w:jc w:val="both"/>
        <w:rPr>
          <w:rFonts w:ascii="Times New Roman" w:hAnsi="Times New Roman"/>
          <w:sz w:val="24"/>
          <w:szCs w:val="24"/>
        </w:rPr>
      </w:pPr>
    </w:p>
    <w:p w:rsidR="008B4434" w:rsidRDefault="008B4434"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Pr>
          <w:rFonts w:ascii="Times New Roman" w:hAnsi="Times New Roman"/>
          <w:sz w:val="24"/>
          <w:szCs w:val="24"/>
          <w:lang w:val="en-NZ"/>
        </w:rPr>
        <w:t xml:space="preserve">The information required is currently held by Inland Revenue.  Should </w:t>
      </w:r>
      <w:r w:rsidR="00355657">
        <w:rPr>
          <w:rFonts w:ascii="Times New Roman" w:hAnsi="Times New Roman"/>
          <w:sz w:val="24"/>
          <w:szCs w:val="24"/>
          <w:lang w:val="en-NZ"/>
        </w:rPr>
        <w:t>ACC</w:t>
      </w:r>
      <w:r>
        <w:rPr>
          <w:rFonts w:ascii="Times New Roman" w:hAnsi="Times New Roman"/>
          <w:sz w:val="24"/>
          <w:szCs w:val="24"/>
          <w:lang w:val="en-NZ"/>
        </w:rPr>
        <w:t xml:space="preserve"> seek this information directly from its customers it would require them to tell government the same information on numerous occasions.  This is administratively inefficient and not in line with Better Public Services.</w:t>
      </w:r>
    </w:p>
    <w:p w:rsidR="008B4434" w:rsidRDefault="008B4434" w:rsidP="008E4CDF">
      <w:pPr>
        <w:spacing w:line="240" w:lineRule="auto"/>
        <w:contextualSpacing/>
        <w:jc w:val="both"/>
        <w:rPr>
          <w:rFonts w:ascii="Times New Roman" w:hAnsi="Times New Roman"/>
          <w:sz w:val="24"/>
          <w:szCs w:val="24"/>
        </w:rPr>
      </w:pPr>
    </w:p>
    <w:p w:rsidR="008B4434" w:rsidRDefault="008B4434" w:rsidP="008B4434">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Pr>
          <w:rFonts w:ascii="Times New Roman" w:hAnsi="Times New Roman"/>
          <w:sz w:val="24"/>
          <w:szCs w:val="24"/>
        </w:rPr>
        <w:t>As a result option 4</w:t>
      </w:r>
      <w:r w:rsidRPr="005E6886">
        <w:rPr>
          <w:rFonts w:ascii="Times New Roman" w:hAnsi="Times New Roman"/>
          <w:sz w:val="24"/>
          <w:szCs w:val="24"/>
        </w:rPr>
        <w:t xml:space="preserve"> is not recommended.</w:t>
      </w:r>
    </w:p>
    <w:p w:rsidR="001A6496" w:rsidRDefault="001A6496" w:rsidP="008E4CDF">
      <w:pPr>
        <w:spacing w:line="240" w:lineRule="auto"/>
        <w:contextualSpacing/>
        <w:jc w:val="both"/>
        <w:rPr>
          <w:rFonts w:ascii="Times New Roman" w:hAnsi="Times New Roman"/>
          <w:sz w:val="24"/>
          <w:szCs w:val="24"/>
        </w:rPr>
      </w:pPr>
    </w:p>
    <w:p w:rsidR="008F7BCB" w:rsidRDefault="008F7BCB">
      <w:pPr>
        <w:spacing w:after="0" w:line="240" w:lineRule="auto"/>
        <w:rPr>
          <w:rFonts w:ascii="Times New Roman" w:hAnsi="Times New Roman"/>
          <w:b/>
          <w:sz w:val="24"/>
          <w:szCs w:val="24"/>
        </w:rPr>
      </w:pPr>
      <w:r>
        <w:rPr>
          <w:rFonts w:ascii="Times New Roman" w:hAnsi="Times New Roman"/>
          <w:b/>
          <w:sz w:val="24"/>
          <w:szCs w:val="24"/>
        </w:rPr>
        <w:br w:type="page"/>
      </w:r>
    </w:p>
    <w:p w:rsidR="008B4434" w:rsidRPr="00481754" w:rsidRDefault="008B4434" w:rsidP="008E4CDF">
      <w:pPr>
        <w:spacing w:line="240" w:lineRule="auto"/>
        <w:contextualSpacing/>
        <w:jc w:val="both"/>
        <w:rPr>
          <w:rFonts w:ascii="Times New Roman" w:hAnsi="Times New Roman"/>
          <w:b/>
          <w:sz w:val="24"/>
          <w:szCs w:val="24"/>
        </w:rPr>
      </w:pPr>
      <w:r w:rsidRPr="00481754">
        <w:rPr>
          <w:rFonts w:ascii="Times New Roman" w:hAnsi="Times New Roman"/>
          <w:b/>
          <w:sz w:val="24"/>
          <w:szCs w:val="24"/>
        </w:rPr>
        <w:t xml:space="preserve">Option 5: </w:t>
      </w:r>
      <w:r w:rsidR="00937674">
        <w:rPr>
          <w:rFonts w:ascii="Times New Roman" w:hAnsi="Times New Roman"/>
          <w:b/>
          <w:sz w:val="24"/>
          <w:szCs w:val="24"/>
        </w:rPr>
        <w:t>An i</w:t>
      </w:r>
      <w:r w:rsidRPr="00481754">
        <w:rPr>
          <w:rFonts w:ascii="Times New Roman" w:hAnsi="Times New Roman"/>
          <w:b/>
          <w:sz w:val="24"/>
          <w:szCs w:val="24"/>
        </w:rPr>
        <w:t>nformation matching</w:t>
      </w:r>
      <w:r w:rsidR="00481754">
        <w:rPr>
          <w:rFonts w:ascii="Times New Roman" w:hAnsi="Times New Roman"/>
          <w:b/>
          <w:sz w:val="24"/>
          <w:szCs w:val="24"/>
        </w:rPr>
        <w:t xml:space="preserve"> under the Privacy Act 1993</w:t>
      </w:r>
    </w:p>
    <w:p w:rsidR="008B4434" w:rsidRDefault="008B4434" w:rsidP="008E4CDF">
      <w:pPr>
        <w:spacing w:line="240" w:lineRule="auto"/>
        <w:contextualSpacing/>
        <w:jc w:val="both"/>
        <w:rPr>
          <w:rFonts w:ascii="Times New Roman" w:hAnsi="Times New Roman"/>
          <w:sz w:val="24"/>
          <w:szCs w:val="24"/>
        </w:rPr>
      </w:pPr>
    </w:p>
    <w:p w:rsidR="008B4434" w:rsidRDefault="00481754" w:rsidP="00481754">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Pr>
          <w:rFonts w:ascii="Times New Roman" w:hAnsi="Times New Roman"/>
          <w:sz w:val="24"/>
          <w:szCs w:val="24"/>
        </w:rPr>
        <w:t xml:space="preserve">Inland Revenue could </w:t>
      </w:r>
      <w:r w:rsidR="008B4434" w:rsidRPr="00481754">
        <w:rPr>
          <w:rFonts w:ascii="Times New Roman" w:hAnsi="Times New Roman"/>
          <w:sz w:val="24"/>
          <w:szCs w:val="24"/>
        </w:rPr>
        <w:t xml:space="preserve">provide data to </w:t>
      </w:r>
      <w:r w:rsidR="00355657">
        <w:rPr>
          <w:rFonts w:ascii="Times New Roman" w:hAnsi="Times New Roman"/>
          <w:sz w:val="24"/>
          <w:szCs w:val="24"/>
        </w:rPr>
        <w:t>ACC</w:t>
      </w:r>
      <w:r>
        <w:rPr>
          <w:rFonts w:ascii="Times New Roman" w:hAnsi="Times New Roman"/>
          <w:sz w:val="24"/>
          <w:szCs w:val="24"/>
        </w:rPr>
        <w:t xml:space="preserve"> </w:t>
      </w:r>
      <w:r w:rsidR="008B4434" w:rsidRPr="00481754">
        <w:rPr>
          <w:rFonts w:ascii="Times New Roman" w:hAnsi="Times New Roman"/>
          <w:sz w:val="24"/>
          <w:szCs w:val="24"/>
        </w:rPr>
        <w:t>through information matc</w:t>
      </w:r>
      <w:r>
        <w:rPr>
          <w:rFonts w:ascii="Times New Roman" w:hAnsi="Times New Roman"/>
          <w:sz w:val="24"/>
          <w:szCs w:val="24"/>
        </w:rPr>
        <w:t>hing under the Privacy Act 1993.  H</w:t>
      </w:r>
      <w:r w:rsidR="008B4434" w:rsidRPr="00481754">
        <w:rPr>
          <w:rFonts w:ascii="Times New Roman" w:hAnsi="Times New Roman"/>
          <w:sz w:val="24"/>
          <w:szCs w:val="24"/>
        </w:rPr>
        <w:t>owever</w:t>
      </w:r>
      <w:r>
        <w:rPr>
          <w:rFonts w:ascii="Times New Roman" w:hAnsi="Times New Roman"/>
          <w:sz w:val="24"/>
          <w:szCs w:val="24"/>
        </w:rPr>
        <w:t>,</w:t>
      </w:r>
      <w:r w:rsidR="008B4434" w:rsidRPr="00481754">
        <w:rPr>
          <w:rFonts w:ascii="Times New Roman" w:hAnsi="Times New Roman"/>
          <w:sz w:val="24"/>
          <w:szCs w:val="24"/>
        </w:rPr>
        <w:t xml:space="preserve"> this would not capture the </w:t>
      </w:r>
      <w:r w:rsidR="00F60E1A">
        <w:rPr>
          <w:rFonts w:ascii="Times New Roman" w:hAnsi="Times New Roman"/>
          <w:sz w:val="24"/>
          <w:szCs w:val="24"/>
        </w:rPr>
        <w:t xml:space="preserve">additional required </w:t>
      </w:r>
      <w:r w:rsidR="008B4434" w:rsidRPr="00481754">
        <w:rPr>
          <w:rFonts w:ascii="Times New Roman" w:hAnsi="Times New Roman"/>
          <w:sz w:val="24"/>
          <w:szCs w:val="24"/>
        </w:rPr>
        <w:t xml:space="preserve">information as the information </w:t>
      </w:r>
      <w:r w:rsidR="00F60E1A">
        <w:rPr>
          <w:rFonts w:ascii="Times New Roman" w:hAnsi="Times New Roman"/>
          <w:sz w:val="24"/>
          <w:szCs w:val="24"/>
        </w:rPr>
        <w:t xml:space="preserve">needed </w:t>
      </w:r>
      <w:r>
        <w:rPr>
          <w:rFonts w:ascii="Times New Roman" w:hAnsi="Times New Roman"/>
          <w:sz w:val="24"/>
          <w:szCs w:val="24"/>
        </w:rPr>
        <w:t xml:space="preserve">by </w:t>
      </w:r>
      <w:r w:rsidR="00355657">
        <w:rPr>
          <w:rFonts w:ascii="Times New Roman" w:hAnsi="Times New Roman"/>
          <w:sz w:val="24"/>
          <w:szCs w:val="24"/>
        </w:rPr>
        <w:t>ACC</w:t>
      </w:r>
      <w:r>
        <w:rPr>
          <w:rFonts w:ascii="Times New Roman" w:hAnsi="Times New Roman"/>
          <w:sz w:val="24"/>
          <w:szCs w:val="24"/>
        </w:rPr>
        <w:t xml:space="preserve"> </w:t>
      </w:r>
      <w:r w:rsidR="008B4434" w:rsidRPr="00481754">
        <w:rPr>
          <w:rFonts w:ascii="Times New Roman" w:hAnsi="Times New Roman"/>
          <w:sz w:val="24"/>
          <w:szCs w:val="24"/>
        </w:rPr>
        <w:t xml:space="preserve">is not limited to specific data points.  </w:t>
      </w:r>
    </w:p>
    <w:p w:rsidR="00481754" w:rsidRDefault="00481754" w:rsidP="00481754">
      <w:pPr>
        <w:spacing w:line="240" w:lineRule="auto"/>
        <w:contextualSpacing/>
        <w:jc w:val="both"/>
        <w:rPr>
          <w:rFonts w:ascii="Times New Roman" w:hAnsi="Times New Roman"/>
          <w:sz w:val="24"/>
          <w:szCs w:val="24"/>
        </w:rPr>
      </w:pPr>
    </w:p>
    <w:p w:rsidR="00481754" w:rsidRDefault="00481754" w:rsidP="00481754">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Pr>
          <w:rFonts w:ascii="Times New Roman" w:hAnsi="Times New Roman"/>
          <w:sz w:val="24"/>
          <w:szCs w:val="24"/>
        </w:rPr>
        <w:t>As a result option 5</w:t>
      </w:r>
      <w:r w:rsidRPr="005E6886">
        <w:rPr>
          <w:rFonts w:ascii="Times New Roman" w:hAnsi="Times New Roman"/>
          <w:sz w:val="24"/>
          <w:szCs w:val="24"/>
        </w:rPr>
        <w:t xml:space="preserve"> is not recommended.</w:t>
      </w:r>
    </w:p>
    <w:p w:rsidR="008B4434" w:rsidRDefault="008B4434" w:rsidP="008E4CDF">
      <w:pPr>
        <w:spacing w:line="240" w:lineRule="auto"/>
        <w:contextualSpacing/>
        <w:jc w:val="both"/>
        <w:rPr>
          <w:rFonts w:ascii="Times New Roman" w:hAnsi="Times New Roman"/>
          <w:sz w:val="24"/>
          <w:szCs w:val="24"/>
        </w:rPr>
      </w:pPr>
    </w:p>
    <w:p w:rsidR="008B4434" w:rsidRDefault="008B4434" w:rsidP="008E4CDF">
      <w:pPr>
        <w:spacing w:line="240" w:lineRule="auto"/>
        <w:contextualSpacing/>
        <w:jc w:val="both"/>
        <w:rPr>
          <w:rFonts w:ascii="Times New Roman" w:hAnsi="Times New Roman"/>
          <w:sz w:val="24"/>
          <w:szCs w:val="24"/>
        </w:rPr>
      </w:pPr>
    </w:p>
    <w:p w:rsidR="001A6496" w:rsidRPr="001A6496" w:rsidRDefault="001A6496" w:rsidP="008E4CDF">
      <w:pPr>
        <w:spacing w:line="240" w:lineRule="auto"/>
        <w:contextualSpacing/>
        <w:jc w:val="both"/>
        <w:rPr>
          <w:rFonts w:ascii="Times New Roman" w:hAnsi="Times New Roman"/>
          <w:b/>
          <w:i/>
          <w:sz w:val="24"/>
          <w:szCs w:val="24"/>
        </w:rPr>
      </w:pPr>
      <w:r w:rsidRPr="001A6496">
        <w:rPr>
          <w:rFonts w:ascii="Times New Roman" w:hAnsi="Times New Roman"/>
          <w:b/>
          <w:i/>
          <w:sz w:val="24"/>
          <w:szCs w:val="24"/>
        </w:rPr>
        <w:t>Summary of impacts of options</w:t>
      </w:r>
    </w:p>
    <w:p w:rsidR="001A6496" w:rsidRDefault="001A6496" w:rsidP="008E4CDF">
      <w:pPr>
        <w:spacing w:line="240" w:lineRule="auto"/>
        <w:contextualSpacing/>
        <w:jc w:val="both"/>
        <w:rPr>
          <w:rFonts w:ascii="Times New Roman" w:hAnsi="Times New Roman"/>
          <w:sz w:val="24"/>
          <w:szCs w:val="24"/>
        </w:rPr>
      </w:pPr>
    </w:p>
    <w:tbl>
      <w:tblPr>
        <w:tblStyle w:val="TableGrid"/>
        <w:tblW w:w="0" w:type="auto"/>
        <w:tblInd w:w="284" w:type="dxa"/>
        <w:tblLayout w:type="fixed"/>
        <w:tblLook w:val="04A0" w:firstRow="1" w:lastRow="0" w:firstColumn="1" w:lastColumn="0" w:noHBand="0" w:noVBand="1"/>
      </w:tblPr>
      <w:tblGrid>
        <w:gridCol w:w="1525"/>
        <w:gridCol w:w="1134"/>
        <w:gridCol w:w="1134"/>
        <w:gridCol w:w="1940"/>
        <w:gridCol w:w="2029"/>
        <w:gridCol w:w="1241"/>
      </w:tblGrid>
      <w:tr w:rsidR="0005334A" w:rsidRPr="0084656C" w:rsidTr="003B6BE2">
        <w:tc>
          <w:tcPr>
            <w:tcW w:w="1525" w:type="dxa"/>
          </w:tcPr>
          <w:p w:rsidR="0005334A" w:rsidRPr="0084656C" w:rsidRDefault="0005334A" w:rsidP="001A6496">
            <w:pPr>
              <w:spacing w:line="240" w:lineRule="auto"/>
              <w:contextualSpacing/>
              <w:jc w:val="center"/>
              <w:rPr>
                <w:rFonts w:ascii="Times New Roman" w:hAnsi="Times New Roman"/>
                <w:b/>
                <w:sz w:val="20"/>
                <w:szCs w:val="24"/>
              </w:rPr>
            </w:pPr>
          </w:p>
        </w:tc>
        <w:tc>
          <w:tcPr>
            <w:tcW w:w="1134" w:type="dxa"/>
          </w:tcPr>
          <w:p w:rsidR="0005334A" w:rsidRPr="0084656C" w:rsidRDefault="0005334A" w:rsidP="001A6496">
            <w:pPr>
              <w:spacing w:line="240" w:lineRule="auto"/>
              <w:contextualSpacing/>
              <w:jc w:val="center"/>
              <w:rPr>
                <w:rFonts w:ascii="Times New Roman" w:hAnsi="Times New Roman"/>
                <w:b/>
                <w:sz w:val="20"/>
                <w:szCs w:val="24"/>
              </w:rPr>
            </w:pPr>
            <w:r w:rsidRPr="0084656C">
              <w:rPr>
                <w:rFonts w:ascii="Times New Roman" w:hAnsi="Times New Roman"/>
                <w:b/>
                <w:sz w:val="20"/>
                <w:szCs w:val="24"/>
              </w:rPr>
              <w:t>Option 1</w:t>
            </w:r>
          </w:p>
        </w:tc>
        <w:tc>
          <w:tcPr>
            <w:tcW w:w="1134" w:type="dxa"/>
          </w:tcPr>
          <w:p w:rsidR="0005334A" w:rsidRPr="0084656C" w:rsidRDefault="0005334A" w:rsidP="001A6496">
            <w:pPr>
              <w:spacing w:line="240" w:lineRule="auto"/>
              <w:contextualSpacing/>
              <w:jc w:val="center"/>
              <w:rPr>
                <w:rFonts w:ascii="Times New Roman" w:hAnsi="Times New Roman"/>
                <w:b/>
                <w:sz w:val="20"/>
                <w:szCs w:val="24"/>
              </w:rPr>
            </w:pPr>
            <w:r w:rsidRPr="0084656C">
              <w:rPr>
                <w:rFonts w:ascii="Times New Roman" w:hAnsi="Times New Roman"/>
                <w:b/>
                <w:sz w:val="20"/>
                <w:szCs w:val="24"/>
              </w:rPr>
              <w:t>Option 2</w:t>
            </w:r>
          </w:p>
        </w:tc>
        <w:tc>
          <w:tcPr>
            <w:tcW w:w="1940" w:type="dxa"/>
          </w:tcPr>
          <w:p w:rsidR="0005334A" w:rsidRPr="0084656C" w:rsidRDefault="0005334A" w:rsidP="001A6496">
            <w:pPr>
              <w:spacing w:line="240" w:lineRule="auto"/>
              <w:contextualSpacing/>
              <w:jc w:val="center"/>
              <w:rPr>
                <w:rFonts w:ascii="Times New Roman" w:hAnsi="Times New Roman"/>
                <w:b/>
                <w:sz w:val="20"/>
                <w:szCs w:val="24"/>
              </w:rPr>
            </w:pPr>
            <w:r w:rsidRPr="0084656C">
              <w:rPr>
                <w:rFonts w:ascii="Times New Roman" w:hAnsi="Times New Roman"/>
                <w:b/>
                <w:sz w:val="20"/>
                <w:szCs w:val="24"/>
              </w:rPr>
              <w:t>Option 3</w:t>
            </w:r>
          </w:p>
        </w:tc>
        <w:tc>
          <w:tcPr>
            <w:tcW w:w="2029" w:type="dxa"/>
          </w:tcPr>
          <w:p w:rsidR="0005334A" w:rsidRPr="0084656C" w:rsidRDefault="0005334A" w:rsidP="001A6496">
            <w:pPr>
              <w:spacing w:line="240" w:lineRule="auto"/>
              <w:contextualSpacing/>
              <w:jc w:val="center"/>
              <w:rPr>
                <w:rFonts w:ascii="Times New Roman" w:hAnsi="Times New Roman"/>
                <w:b/>
                <w:sz w:val="20"/>
                <w:szCs w:val="24"/>
              </w:rPr>
            </w:pPr>
            <w:r>
              <w:rPr>
                <w:rFonts w:ascii="Times New Roman" w:hAnsi="Times New Roman"/>
                <w:b/>
                <w:sz w:val="20"/>
                <w:szCs w:val="24"/>
              </w:rPr>
              <w:t>Option 4</w:t>
            </w:r>
          </w:p>
        </w:tc>
        <w:tc>
          <w:tcPr>
            <w:tcW w:w="1241" w:type="dxa"/>
          </w:tcPr>
          <w:p w:rsidR="0005334A" w:rsidRPr="0084656C" w:rsidRDefault="0005334A" w:rsidP="001A6496">
            <w:pPr>
              <w:spacing w:line="240" w:lineRule="auto"/>
              <w:contextualSpacing/>
              <w:jc w:val="center"/>
              <w:rPr>
                <w:rFonts w:ascii="Times New Roman" w:hAnsi="Times New Roman"/>
                <w:b/>
                <w:sz w:val="20"/>
                <w:szCs w:val="24"/>
              </w:rPr>
            </w:pPr>
            <w:r>
              <w:rPr>
                <w:rFonts w:ascii="Times New Roman" w:hAnsi="Times New Roman"/>
                <w:b/>
                <w:sz w:val="20"/>
                <w:szCs w:val="24"/>
              </w:rPr>
              <w:t>Option 5</w:t>
            </w:r>
          </w:p>
        </w:tc>
      </w:tr>
      <w:tr w:rsidR="0005334A" w:rsidTr="003B6BE2">
        <w:tc>
          <w:tcPr>
            <w:tcW w:w="1525" w:type="dxa"/>
          </w:tcPr>
          <w:p w:rsidR="0005334A" w:rsidRPr="001A6496" w:rsidRDefault="0005334A" w:rsidP="003F2561">
            <w:pPr>
              <w:spacing w:line="240" w:lineRule="auto"/>
              <w:contextualSpacing/>
              <w:jc w:val="left"/>
              <w:rPr>
                <w:rFonts w:ascii="Times New Roman" w:hAnsi="Times New Roman"/>
                <w:sz w:val="20"/>
                <w:szCs w:val="24"/>
              </w:rPr>
            </w:pPr>
            <w:r w:rsidRPr="001A6496">
              <w:rPr>
                <w:rFonts w:ascii="Times New Roman" w:hAnsi="Times New Roman"/>
                <w:sz w:val="20"/>
                <w:szCs w:val="24"/>
              </w:rPr>
              <w:t>Fiscal</w:t>
            </w:r>
            <w:r>
              <w:rPr>
                <w:rFonts w:ascii="Times New Roman" w:hAnsi="Times New Roman"/>
                <w:sz w:val="20"/>
                <w:szCs w:val="24"/>
              </w:rPr>
              <w:t xml:space="preserve"> implications for the Government</w:t>
            </w:r>
          </w:p>
        </w:tc>
        <w:tc>
          <w:tcPr>
            <w:tcW w:w="1134" w:type="dxa"/>
          </w:tcPr>
          <w:p w:rsidR="0005334A" w:rsidRPr="001A6496" w:rsidRDefault="0005334A" w:rsidP="001A6496">
            <w:pPr>
              <w:spacing w:line="240" w:lineRule="auto"/>
              <w:contextualSpacing/>
              <w:jc w:val="left"/>
              <w:rPr>
                <w:rFonts w:ascii="Times New Roman" w:hAnsi="Times New Roman"/>
                <w:sz w:val="20"/>
                <w:szCs w:val="24"/>
              </w:rPr>
            </w:pPr>
            <w:r>
              <w:rPr>
                <w:rFonts w:ascii="Times New Roman" w:hAnsi="Times New Roman"/>
                <w:sz w:val="20"/>
                <w:szCs w:val="24"/>
              </w:rPr>
              <w:t xml:space="preserve">None. </w:t>
            </w:r>
          </w:p>
        </w:tc>
        <w:tc>
          <w:tcPr>
            <w:tcW w:w="1134" w:type="dxa"/>
          </w:tcPr>
          <w:p w:rsidR="0005334A" w:rsidRPr="001A6496" w:rsidRDefault="0005334A" w:rsidP="001A6496">
            <w:pPr>
              <w:spacing w:line="240" w:lineRule="auto"/>
              <w:contextualSpacing/>
              <w:jc w:val="left"/>
              <w:rPr>
                <w:rFonts w:ascii="Times New Roman" w:hAnsi="Times New Roman"/>
                <w:sz w:val="20"/>
                <w:szCs w:val="24"/>
              </w:rPr>
            </w:pPr>
            <w:r>
              <w:rPr>
                <w:rFonts w:ascii="Times New Roman" w:hAnsi="Times New Roman"/>
                <w:sz w:val="20"/>
                <w:szCs w:val="24"/>
              </w:rPr>
              <w:t>None.</w:t>
            </w:r>
          </w:p>
        </w:tc>
        <w:tc>
          <w:tcPr>
            <w:tcW w:w="1940" w:type="dxa"/>
          </w:tcPr>
          <w:p w:rsidR="0005334A" w:rsidRPr="001A6496" w:rsidRDefault="00210DB7" w:rsidP="001A6496">
            <w:pPr>
              <w:spacing w:line="240" w:lineRule="auto"/>
              <w:contextualSpacing/>
              <w:jc w:val="left"/>
              <w:rPr>
                <w:rFonts w:ascii="Times New Roman" w:hAnsi="Times New Roman"/>
                <w:sz w:val="20"/>
                <w:szCs w:val="24"/>
              </w:rPr>
            </w:pPr>
            <w:r>
              <w:rPr>
                <w:rFonts w:ascii="Times New Roman" w:hAnsi="Times New Roman"/>
                <w:sz w:val="20"/>
                <w:szCs w:val="24"/>
              </w:rPr>
              <w:t>Possible l</w:t>
            </w:r>
            <w:r w:rsidR="0005334A" w:rsidRPr="001A6496">
              <w:rPr>
                <w:rFonts w:ascii="Times New Roman" w:hAnsi="Times New Roman"/>
                <w:sz w:val="20"/>
                <w:szCs w:val="24"/>
              </w:rPr>
              <w:t>oss of revenue and loss of productivity given an inoperative and non-funded scheme</w:t>
            </w:r>
            <w:r w:rsidR="0005334A">
              <w:rPr>
                <w:rFonts w:ascii="Times New Roman" w:hAnsi="Times New Roman"/>
                <w:sz w:val="20"/>
                <w:szCs w:val="24"/>
              </w:rPr>
              <w:t>.</w:t>
            </w:r>
          </w:p>
        </w:tc>
        <w:tc>
          <w:tcPr>
            <w:tcW w:w="2029" w:type="dxa"/>
          </w:tcPr>
          <w:p w:rsidR="0005334A" w:rsidRPr="001A6496" w:rsidRDefault="0005334A" w:rsidP="001A6496">
            <w:pPr>
              <w:spacing w:line="240" w:lineRule="auto"/>
              <w:contextualSpacing/>
              <w:rPr>
                <w:rFonts w:ascii="Times New Roman" w:hAnsi="Times New Roman"/>
                <w:sz w:val="20"/>
                <w:szCs w:val="24"/>
              </w:rPr>
            </w:pPr>
            <w:r w:rsidRPr="001A6496">
              <w:rPr>
                <w:rFonts w:ascii="Times New Roman" w:hAnsi="Times New Roman"/>
                <w:sz w:val="20"/>
                <w:szCs w:val="24"/>
              </w:rPr>
              <w:t>Loss of revenue and loss of productivity given an inoperative and non-funded scheme</w:t>
            </w:r>
            <w:r>
              <w:rPr>
                <w:rFonts w:ascii="Times New Roman" w:hAnsi="Times New Roman"/>
                <w:sz w:val="20"/>
                <w:szCs w:val="24"/>
              </w:rPr>
              <w:t>.</w:t>
            </w:r>
          </w:p>
        </w:tc>
        <w:tc>
          <w:tcPr>
            <w:tcW w:w="1241" w:type="dxa"/>
          </w:tcPr>
          <w:p w:rsidR="0005334A" w:rsidRPr="001A6496" w:rsidRDefault="0005334A" w:rsidP="001A6496">
            <w:pPr>
              <w:spacing w:line="240" w:lineRule="auto"/>
              <w:contextualSpacing/>
              <w:rPr>
                <w:rFonts w:ascii="Times New Roman" w:hAnsi="Times New Roman"/>
                <w:sz w:val="20"/>
                <w:szCs w:val="24"/>
              </w:rPr>
            </w:pPr>
            <w:r w:rsidRPr="001A6496">
              <w:rPr>
                <w:rFonts w:ascii="Times New Roman" w:hAnsi="Times New Roman"/>
                <w:sz w:val="20"/>
                <w:szCs w:val="24"/>
              </w:rPr>
              <w:t>Loss of revenue and loss of productivity given an inoperative and non-funded scheme</w:t>
            </w:r>
            <w:r>
              <w:rPr>
                <w:rFonts w:ascii="Times New Roman" w:hAnsi="Times New Roman"/>
                <w:sz w:val="20"/>
                <w:szCs w:val="24"/>
              </w:rPr>
              <w:t>.</w:t>
            </w:r>
          </w:p>
        </w:tc>
      </w:tr>
      <w:tr w:rsidR="0005334A" w:rsidTr="003B6BE2">
        <w:tc>
          <w:tcPr>
            <w:tcW w:w="1525" w:type="dxa"/>
          </w:tcPr>
          <w:p w:rsidR="0005334A" w:rsidRPr="0084656C" w:rsidRDefault="0005334A" w:rsidP="003F2561">
            <w:pPr>
              <w:spacing w:line="240" w:lineRule="auto"/>
              <w:contextualSpacing/>
              <w:jc w:val="left"/>
              <w:rPr>
                <w:rFonts w:ascii="Times New Roman" w:hAnsi="Times New Roman"/>
                <w:sz w:val="20"/>
                <w:szCs w:val="24"/>
              </w:rPr>
            </w:pPr>
            <w:r w:rsidRPr="001A6496">
              <w:rPr>
                <w:rFonts w:ascii="Times New Roman" w:hAnsi="Times New Roman"/>
                <w:sz w:val="20"/>
                <w:szCs w:val="24"/>
              </w:rPr>
              <w:t>Administrative</w:t>
            </w:r>
            <w:r>
              <w:rPr>
                <w:rFonts w:ascii="Times New Roman" w:hAnsi="Times New Roman"/>
                <w:sz w:val="20"/>
                <w:szCs w:val="24"/>
              </w:rPr>
              <w:t xml:space="preserve"> implications for Inland Revenue and </w:t>
            </w:r>
            <w:r w:rsidR="00355657">
              <w:rPr>
                <w:rFonts w:ascii="Times New Roman" w:hAnsi="Times New Roman"/>
                <w:sz w:val="20"/>
                <w:szCs w:val="24"/>
              </w:rPr>
              <w:t>ACC</w:t>
            </w:r>
          </w:p>
        </w:tc>
        <w:tc>
          <w:tcPr>
            <w:tcW w:w="1134" w:type="dxa"/>
          </w:tcPr>
          <w:p w:rsidR="00CD6AAE" w:rsidRPr="003B6BE2" w:rsidRDefault="00CD6AAE" w:rsidP="003B6BE2">
            <w:pPr>
              <w:spacing w:line="240" w:lineRule="auto"/>
              <w:contextualSpacing/>
              <w:jc w:val="left"/>
              <w:rPr>
                <w:rFonts w:ascii="Times New Roman" w:hAnsi="Times New Roman"/>
                <w:sz w:val="20"/>
                <w:szCs w:val="24"/>
              </w:rPr>
            </w:pPr>
            <w:r w:rsidRPr="003B6BE2">
              <w:rPr>
                <w:rFonts w:ascii="Times New Roman" w:hAnsi="Times New Roman"/>
                <w:sz w:val="20"/>
                <w:szCs w:val="24"/>
              </w:rPr>
              <w:t>Inland Revenue would be in breach of its secrecy provisions in the TAA in the interim.</w:t>
            </w:r>
          </w:p>
          <w:p w:rsidR="00CD6AAE" w:rsidRPr="003B6BE2" w:rsidRDefault="00CD6AAE" w:rsidP="003B6BE2">
            <w:pPr>
              <w:spacing w:line="240" w:lineRule="auto"/>
              <w:contextualSpacing/>
              <w:jc w:val="left"/>
              <w:rPr>
                <w:rFonts w:ascii="Times New Roman" w:hAnsi="Times New Roman"/>
                <w:sz w:val="20"/>
                <w:szCs w:val="24"/>
              </w:rPr>
            </w:pPr>
          </w:p>
          <w:p w:rsidR="0005334A" w:rsidRPr="001A6496" w:rsidRDefault="00CD6AAE" w:rsidP="00CD6AAE">
            <w:pPr>
              <w:spacing w:line="240" w:lineRule="auto"/>
              <w:contextualSpacing/>
              <w:jc w:val="left"/>
              <w:rPr>
                <w:rFonts w:ascii="Times New Roman" w:hAnsi="Times New Roman"/>
                <w:sz w:val="20"/>
                <w:szCs w:val="24"/>
              </w:rPr>
            </w:pPr>
            <w:r w:rsidRPr="003B6BE2">
              <w:rPr>
                <w:rFonts w:ascii="Times New Roman" w:hAnsi="Times New Roman"/>
                <w:sz w:val="20"/>
                <w:szCs w:val="24"/>
              </w:rPr>
              <w:t>Inland Revenue may also breach privacy provisions of the Privacy Act in the interim</w:t>
            </w:r>
            <w:r w:rsidR="0005334A">
              <w:rPr>
                <w:rFonts w:ascii="Times New Roman" w:hAnsi="Times New Roman"/>
                <w:sz w:val="20"/>
                <w:szCs w:val="24"/>
              </w:rPr>
              <w:t>.</w:t>
            </w:r>
          </w:p>
        </w:tc>
        <w:tc>
          <w:tcPr>
            <w:tcW w:w="1134" w:type="dxa"/>
          </w:tcPr>
          <w:p w:rsidR="0005334A" w:rsidRPr="0084656C" w:rsidRDefault="0005334A" w:rsidP="0084656C">
            <w:pPr>
              <w:spacing w:line="240" w:lineRule="auto"/>
              <w:contextualSpacing/>
              <w:jc w:val="left"/>
              <w:rPr>
                <w:rFonts w:ascii="Times New Roman" w:hAnsi="Times New Roman"/>
                <w:sz w:val="20"/>
                <w:szCs w:val="24"/>
              </w:rPr>
            </w:pPr>
            <w:r w:rsidRPr="0084656C">
              <w:rPr>
                <w:rFonts w:ascii="Times New Roman" w:hAnsi="Times New Roman"/>
                <w:sz w:val="20"/>
                <w:szCs w:val="24"/>
              </w:rPr>
              <w:t>Inland Revenue would be in breach of its secrecy provisions in the TAA</w:t>
            </w:r>
            <w:r>
              <w:rPr>
                <w:rFonts w:ascii="Times New Roman" w:hAnsi="Times New Roman"/>
                <w:sz w:val="20"/>
                <w:szCs w:val="24"/>
              </w:rPr>
              <w:t>.</w:t>
            </w:r>
          </w:p>
          <w:p w:rsidR="0005334A" w:rsidRPr="0084656C" w:rsidRDefault="0005334A" w:rsidP="0084656C">
            <w:pPr>
              <w:spacing w:line="240" w:lineRule="auto"/>
              <w:contextualSpacing/>
              <w:jc w:val="left"/>
              <w:rPr>
                <w:rFonts w:ascii="Times New Roman" w:hAnsi="Times New Roman"/>
                <w:sz w:val="20"/>
                <w:szCs w:val="24"/>
              </w:rPr>
            </w:pPr>
          </w:p>
          <w:p w:rsidR="0005334A" w:rsidRPr="0084656C" w:rsidRDefault="0005334A" w:rsidP="0084656C">
            <w:pPr>
              <w:spacing w:line="240" w:lineRule="auto"/>
              <w:contextualSpacing/>
              <w:jc w:val="left"/>
              <w:rPr>
                <w:rFonts w:ascii="Times New Roman" w:hAnsi="Times New Roman"/>
                <w:sz w:val="20"/>
                <w:szCs w:val="24"/>
              </w:rPr>
            </w:pPr>
            <w:r w:rsidRPr="0084656C">
              <w:rPr>
                <w:rFonts w:ascii="Times New Roman" w:hAnsi="Times New Roman"/>
                <w:sz w:val="20"/>
                <w:szCs w:val="24"/>
              </w:rPr>
              <w:t>Inland Rev</w:t>
            </w:r>
            <w:r>
              <w:rPr>
                <w:rFonts w:ascii="Times New Roman" w:hAnsi="Times New Roman"/>
                <w:sz w:val="20"/>
                <w:szCs w:val="24"/>
              </w:rPr>
              <w:t>e</w:t>
            </w:r>
            <w:r w:rsidRPr="0084656C">
              <w:rPr>
                <w:rFonts w:ascii="Times New Roman" w:hAnsi="Times New Roman"/>
                <w:sz w:val="20"/>
                <w:szCs w:val="24"/>
              </w:rPr>
              <w:t xml:space="preserve">nue </w:t>
            </w:r>
            <w:r>
              <w:rPr>
                <w:rFonts w:ascii="Times New Roman" w:hAnsi="Times New Roman"/>
                <w:sz w:val="20"/>
                <w:szCs w:val="24"/>
              </w:rPr>
              <w:t>may</w:t>
            </w:r>
            <w:r w:rsidRPr="0084656C">
              <w:rPr>
                <w:rFonts w:ascii="Times New Roman" w:hAnsi="Times New Roman"/>
                <w:sz w:val="20"/>
                <w:szCs w:val="24"/>
              </w:rPr>
              <w:t xml:space="preserve"> also breach privacy</w:t>
            </w:r>
            <w:r>
              <w:rPr>
                <w:rFonts w:ascii="Times New Roman" w:hAnsi="Times New Roman"/>
                <w:sz w:val="20"/>
                <w:szCs w:val="24"/>
              </w:rPr>
              <w:t xml:space="preserve"> provisions of the Privacy Act.</w:t>
            </w:r>
            <w:r w:rsidRPr="0084656C">
              <w:rPr>
                <w:rFonts w:ascii="Times New Roman" w:hAnsi="Times New Roman"/>
                <w:sz w:val="20"/>
                <w:szCs w:val="24"/>
              </w:rPr>
              <w:t xml:space="preserve"> </w:t>
            </w:r>
          </w:p>
          <w:p w:rsidR="0005334A" w:rsidRPr="001A6496" w:rsidRDefault="0005334A" w:rsidP="0084656C">
            <w:pPr>
              <w:spacing w:line="240" w:lineRule="auto"/>
              <w:contextualSpacing/>
              <w:rPr>
                <w:rFonts w:ascii="Times New Roman" w:hAnsi="Times New Roman"/>
                <w:sz w:val="20"/>
                <w:szCs w:val="24"/>
              </w:rPr>
            </w:pPr>
          </w:p>
        </w:tc>
        <w:tc>
          <w:tcPr>
            <w:tcW w:w="1940" w:type="dxa"/>
          </w:tcPr>
          <w:p w:rsidR="0005334A" w:rsidRPr="001A6496" w:rsidRDefault="00BF1953" w:rsidP="003C692C">
            <w:pPr>
              <w:spacing w:line="240" w:lineRule="auto"/>
              <w:contextualSpacing/>
              <w:jc w:val="left"/>
              <w:rPr>
                <w:rFonts w:ascii="Times New Roman" w:hAnsi="Times New Roman"/>
                <w:sz w:val="20"/>
                <w:szCs w:val="24"/>
              </w:rPr>
            </w:pPr>
            <w:r>
              <w:rPr>
                <w:rFonts w:ascii="Times New Roman" w:hAnsi="Times New Roman"/>
                <w:sz w:val="20"/>
                <w:szCs w:val="24"/>
              </w:rPr>
              <w:t xml:space="preserve">Considerable </w:t>
            </w:r>
            <w:r w:rsidR="0005334A" w:rsidRPr="001A6496">
              <w:rPr>
                <w:rFonts w:ascii="Times New Roman" w:hAnsi="Times New Roman"/>
                <w:sz w:val="20"/>
                <w:szCs w:val="24"/>
              </w:rPr>
              <w:t xml:space="preserve">impact on Inland Revenue in determining what information to stop sharing.  Significant impact on </w:t>
            </w:r>
            <w:r w:rsidR="00355657">
              <w:rPr>
                <w:rFonts w:ascii="Times New Roman" w:hAnsi="Times New Roman"/>
                <w:sz w:val="20"/>
                <w:szCs w:val="24"/>
              </w:rPr>
              <w:t>ACC</w:t>
            </w:r>
            <w:r w:rsidR="0005334A" w:rsidRPr="001A6496">
              <w:rPr>
                <w:rFonts w:ascii="Times New Roman" w:hAnsi="Times New Roman"/>
                <w:sz w:val="20"/>
                <w:szCs w:val="24"/>
              </w:rPr>
              <w:t>’s ability to accurately calculate and collect levies payable</w:t>
            </w:r>
            <w:proofErr w:type="gramStart"/>
            <w:r w:rsidR="003C692C">
              <w:rPr>
                <w:rFonts w:ascii="Times New Roman" w:hAnsi="Times New Roman"/>
                <w:sz w:val="20"/>
                <w:szCs w:val="24"/>
              </w:rPr>
              <w:t xml:space="preserve">, </w:t>
            </w:r>
            <w:r w:rsidR="0005334A" w:rsidRPr="001A6496">
              <w:rPr>
                <w:rFonts w:ascii="Times New Roman" w:hAnsi="Times New Roman"/>
                <w:sz w:val="20"/>
                <w:szCs w:val="24"/>
              </w:rPr>
              <w:t xml:space="preserve"> entitlements</w:t>
            </w:r>
            <w:proofErr w:type="gramEnd"/>
            <w:r w:rsidR="003C692C">
              <w:rPr>
                <w:rFonts w:ascii="Times New Roman" w:hAnsi="Times New Roman"/>
                <w:sz w:val="20"/>
                <w:szCs w:val="24"/>
              </w:rPr>
              <w:t xml:space="preserve"> and</w:t>
            </w:r>
            <w:r w:rsidR="00660473">
              <w:rPr>
                <w:rFonts w:ascii="Times New Roman" w:hAnsi="Times New Roman"/>
                <w:sz w:val="20"/>
                <w:szCs w:val="24"/>
              </w:rPr>
              <w:t xml:space="preserve"> </w:t>
            </w:r>
            <w:r w:rsidR="0005334A" w:rsidRPr="001A6496">
              <w:rPr>
                <w:rFonts w:ascii="Times New Roman" w:hAnsi="Times New Roman"/>
                <w:sz w:val="20"/>
                <w:szCs w:val="24"/>
              </w:rPr>
              <w:t xml:space="preserve">compensation. </w:t>
            </w:r>
          </w:p>
        </w:tc>
        <w:tc>
          <w:tcPr>
            <w:tcW w:w="2029" w:type="dxa"/>
          </w:tcPr>
          <w:p w:rsidR="0005334A" w:rsidRDefault="00BF1953" w:rsidP="001A6496">
            <w:pPr>
              <w:spacing w:line="240" w:lineRule="auto"/>
              <w:contextualSpacing/>
              <w:rPr>
                <w:rFonts w:ascii="Times New Roman" w:hAnsi="Times New Roman"/>
                <w:sz w:val="20"/>
                <w:szCs w:val="24"/>
              </w:rPr>
            </w:pPr>
            <w:r>
              <w:rPr>
                <w:rFonts w:ascii="Times New Roman" w:hAnsi="Times New Roman"/>
                <w:sz w:val="20"/>
                <w:szCs w:val="24"/>
              </w:rPr>
              <w:t>Will</w:t>
            </w:r>
            <w:r w:rsidR="0005334A" w:rsidRPr="001A6496">
              <w:rPr>
                <w:rFonts w:ascii="Times New Roman" w:hAnsi="Times New Roman"/>
                <w:sz w:val="20"/>
                <w:szCs w:val="24"/>
              </w:rPr>
              <w:t xml:space="preserve"> impact on </w:t>
            </w:r>
            <w:r w:rsidR="00355657">
              <w:rPr>
                <w:rFonts w:ascii="Times New Roman" w:hAnsi="Times New Roman"/>
                <w:sz w:val="20"/>
                <w:szCs w:val="24"/>
              </w:rPr>
              <w:t>ACC</w:t>
            </w:r>
            <w:r w:rsidR="0005334A" w:rsidRPr="001A6496">
              <w:rPr>
                <w:rFonts w:ascii="Times New Roman" w:hAnsi="Times New Roman"/>
                <w:sz w:val="20"/>
                <w:szCs w:val="24"/>
              </w:rPr>
              <w:t>’s ability to accurately calculate and collect levies payable</w:t>
            </w:r>
            <w:r w:rsidR="003C692C">
              <w:rPr>
                <w:rFonts w:ascii="Times New Roman" w:hAnsi="Times New Roman"/>
                <w:sz w:val="20"/>
                <w:szCs w:val="24"/>
              </w:rPr>
              <w:t>,</w:t>
            </w:r>
            <w:r w:rsidR="000266C5">
              <w:rPr>
                <w:rFonts w:ascii="Times New Roman" w:hAnsi="Times New Roman"/>
                <w:sz w:val="20"/>
                <w:szCs w:val="24"/>
              </w:rPr>
              <w:t xml:space="preserve"> </w:t>
            </w:r>
            <w:r w:rsidR="0005334A" w:rsidRPr="001A6496">
              <w:rPr>
                <w:rFonts w:ascii="Times New Roman" w:hAnsi="Times New Roman"/>
                <w:sz w:val="20"/>
                <w:szCs w:val="24"/>
              </w:rPr>
              <w:t>entitlements</w:t>
            </w:r>
            <w:r w:rsidR="00660473">
              <w:rPr>
                <w:rFonts w:ascii="Times New Roman" w:hAnsi="Times New Roman"/>
                <w:sz w:val="20"/>
                <w:szCs w:val="24"/>
              </w:rPr>
              <w:t xml:space="preserve"> </w:t>
            </w:r>
            <w:r w:rsidR="003C692C">
              <w:rPr>
                <w:rFonts w:ascii="Times New Roman" w:hAnsi="Times New Roman"/>
                <w:sz w:val="20"/>
                <w:szCs w:val="24"/>
              </w:rPr>
              <w:t xml:space="preserve">and </w:t>
            </w:r>
            <w:r w:rsidR="0005334A" w:rsidRPr="001A6496">
              <w:rPr>
                <w:rFonts w:ascii="Times New Roman" w:hAnsi="Times New Roman"/>
                <w:sz w:val="20"/>
                <w:szCs w:val="24"/>
              </w:rPr>
              <w:t>compensation.</w:t>
            </w:r>
          </w:p>
          <w:p w:rsidR="0005334A" w:rsidRPr="001A6496" w:rsidRDefault="0005334A" w:rsidP="003C692C">
            <w:pPr>
              <w:spacing w:line="240" w:lineRule="auto"/>
              <w:contextualSpacing/>
              <w:rPr>
                <w:rFonts w:ascii="Times New Roman" w:hAnsi="Times New Roman"/>
                <w:sz w:val="20"/>
                <w:szCs w:val="24"/>
              </w:rPr>
            </w:pPr>
            <w:r>
              <w:rPr>
                <w:rFonts w:ascii="Times New Roman" w:hAnsi="Times New Roman"/>
                <w:sz w:val="20"/>
                <w:szCs w:val="24"/>
              </w:rPr>
              <w:t xml:space="preserve">This would be administratively burdensome for the </w:t>
            </w:r>
            <w:r w:rsidR="003C692C">
              <w:rPr>
                <w:rFonts w:ascii="Times New Roman" w:hAnsi="Times New Roman"/>
                <w:sz w:val="20"/>
                <w:szCs w:val="24"/>
              </w:rPr>
              <w:t>ACC</w:t>
            </w:r>
            <w:r>
              <w:rPr>
                <w:rFonts w:ascii="Times New Roman" w:hAnsi="Times New Roman"/>
                <w:sz w:val="20"/>
                <w:szCs w:val="24"/>
              </w:rPr>
              <w:t>.</w:t>
            </w:r>
          </w:p>
        </w:tc>
        <w:tc>
          <w:tcPr>
            <w:tcW w:w="1241" w:type="dxa"/>
          </w:tcPr>
          <w:p w:rsidR="0005334A" w:rsidRPr="001A6496" w:rsidRDefault="003B6BE2" w:rsidP="001A6496">
            <w:pPr>
              <w:spacing w:line="240" w:lineRule="auto"/>
              <w:contextualSpacing/>
              <w:rPr>
                <w:rFonts w:ascii="Times New Roman" w:hAnsi="Times New Roman"/>
                <w:sz w:val="20"/>
                <w:szCs w:val="24"/>
              </w:rPr>
            </w:pPr>
            <w:r>
              <w:rPr>
                <w:rFonts w:ascii="Times New Roman" w:hAnsi="Times New Roman"/>
                <w:sz w:val="20"/>
                <w:szCs w:val="24"/>
              </w:rPr>
              <w:t>ACC would not be able to fulfil their legislative obligations.</w:t>
            </w:r>
            <w:r w:rsidR="0005334A">
              <w:rPr>
                <w:rFonts w:ascii="Times New Roman" w:hAnsi="Times New Roman"/>
                <w:sz w:val="20"/>
                <w:szCs w:val="24"/>
              </w:rPr>
              <w:t xml:space="preserve">  </w:t>
            </w:r>
          </w:p>
        </w:tc>
      </w:tr>
      <w:tr w:rsidR="0005334A" w:rsidTr="003B6BE2">
        <w:tc>
          <w:tcPr>
            <w:tcW w:w="1525" w:type="dxa"/>
          </w:tcPr>
          <w:p w:rsidR="0005334A" w:rsidRPr="001A6496" w:rsidRDefault="0005334A" w:rsidP="001A6496">
            <w:pPr>
              <w:spacing w:line="240" w:lineRule="auto"/>
              <w:contextualSpacing/>
              <w:jc w:val="left"/>
              <w:rPr>
                <w:rFonts w:ascii="Times New Roman" w:hAnsi="Times New Roman"/>
                <w:sz w:val="20"/>
                <w:szCs w:val="24"/>
              </w:rPr>
            </w:pPr>
            <w:r w:rsidRPr="001A6496">
              <w:rPr>
                <w:rFonts w:ascii="Times New Roman" w:hAnsi="Times New Roman"/>
                <w:sz w:val="20"/>
                <w:szCs w:val="24"/>
              </w:rPr>
              <w:t>Compliance</w:t>
            </w:r>
            <w:r>
              <w:rPr>
                <w:rFonts w:ascii="Times New Roman" w:hAnsi="Times New Roman"/>
                <w:sz w:val="20"/>
                <w:szCs w:val="24"/>
              </w:rPr>
              <w:t xml:space="preserve"> implications for customers</w:t>
            </w:r>
          </w:p>
        </w:tc>
        <w:tc>
          <w:tcPr>
            <w:tcW w:w="1134" w:type="dxa"/>
          </w:tcPr>
          <w:p w:rsidR="0005334A" w:rsidRPr="001A6496" w:rsidRDefault="0005334A" w:rsidP="001A6496">
            <w:pPr>
              <w:spacing w:line="240" w:lineRule="auto"/>
              <w:contextualSpacing/>
              <w:jc w:val="left"/>
              <w:rPr>
                <w:rFonts w:ascii="Times New Roman" w:hAnsi="Times New Roman"/>
                <w:sz w:val="20"/>
                <w:szCs w:val="24"/>
              </w:rPr>
            </w:pPr>
            <w:r>
              <w:rPr>
                <w:rFonts w:ascii="Times New Roman" w:hAnsi="Times New Roman"/>
                <w:sz w:val="20"/>
                <w:szCs w:val="24"/>
              </w:rPr>
              <w:t>None.</w:t>
            </w:r>
          </w:p>
        </w:tc>
        <w:tc>
          <w:tcPr>
            <w:tcW w:w="1134" w:type="dxa"/>
          </w:tcPr>
          <w:p w:rsidR="0005334A" w:rsidRPr="001A6496" w:rsidRDefault="0005334A" w:rsidP="001A6496">
            <w:pPr>
              <w:spacing w:line="240" w:lineRule="auto"/>
              <w:contextualSpacing/>
              <w:jc w:val="left"/>
              <w:rPr>
                <w:rFonts w:ascii="Times New Roman" w:hAnsi="Times New Roman"/>
                <w:sz w:val="20"/>
                <w:szCs w:val="24"/>
              </w:rPr>
            </w:pPr>
            <w:r>
              <w:rPr>
                <w:rFonts w:ascii="Times New Roman" w:hAnsi="Times New Roman"/>
                <w:sz w:val="20"/>
                <w:szCs w:val="24"/>
              </w:rPr>
              <w:t>None.</w:t>
            </w:r>
          </w:p>
        </w:tc>
        <w:tc>
          <w:tcPr>
            <w:tcW w:w="1940" w:type="dxa"/>
          </w:tcPr>
          <w:p w:rsidR="0005334A" w:rsidRPr="001A6496" w:rsidRDefault="0005334A" w:rsidP="001A6496">
            <w:pPr>
              <w:spacing w:line="240" w:lineRule="auto"/>
              <w:contextualSpacing/>
              <w:jc w:val="left"/>
              <w:rPr>
                <w:rFonts w:ascii="Times New Roman" w:hAnsi="Times New Roman"/>
                <w:sz w:val="20"/>
                <w:szCs w:val="24"/>
              </w:rPr>
            </w:pPr>
            <w:r w:rsidRPr="001A6496">
              <w:rPr>
                <w:rFonts w:ascii="Times New Roman" w:hAnsi="Times New Roman"/>
                <w:sz w:val="20"/>
                <w:szCs w:val="24"/>
              </w:rPr>
              <w:t xml:space="preserve">A decrease in the level of compliance with the </w:t>
            </w:r>
            <w:r w:rsidR="00660473">
              <w:rPr>
                <w:rFonts w:ascii="Times New Roman" w:hAnsi="Times New Roman"/>
                <w:sz w:val="20"/>
                <w:szCs w:val="24"/>
              </w:rPr>
              <w:t>ACC</w:t>
            </w:r>
            <w:r w:rsidRPr="001A6496">
              <w:rPr>
                <w:rFonts w:ascii="Times New Roman" w:hAnsi="Times New Roman"/>
                <w:sz w:val="20"/>
                <w:szCs w:val="24"/>
              </w:rPr>
              <w:t>’s scheme.</w:t>
            </w:r>
          </w:p>
        </w:tc>
        <w:tc>
          <w:tcPr>
            <w:tcW w:w="2029" w:type="dxa"/>
          </w:tcPr>
          <w:p w:rsidR="0005334A" w:rsidRPr="001A6496" w:rsidRDefault="00BF1953" w:rsidP="001A6496">
            <w:pPr>
              <w:spacing w:line="240" w:lineRule="auto"/>
              <w:contextualSpacing/>
              <w:rPr>
                <w:rFonts w:ascii="Times New Roman" w:hAnsi="Times New Roman"/>
                <w:sz w:val="20"/>
                <w:szCs w:val="24"/>
              </w:rPr>
            </w:pPr>
            <w:r>
              <w:rPr>
                <w:rFonts w:ascii="Times New Roman" w:hAnsi="Times New Roman"/>
                <w:sz w:val="20"/>
                <w:szCs w:val="24"/>
              </w:rPr>
              <w:t>I</w:t>
            </w:r>
            <w:r w:rsidR="0005334A">
              <w:rPr>
                <w:rFonts w:ascii="Times New Roman" w:hAnsi="Times New Roman"/>
                <w:sz w:val="20"/>
                <w:szCs w:val="24"/>
              </w:rPr>
              <w:t>ncrease in compliance costs for customers.</w:t>
            </w:r>
          </w:p>
        </w:tc>
        <w:tc>
          <w:tcPr>
            <w:tcW w:w="1241" w:type="dxa"/>
          </w:tcPr>
          <w:p w:rsidR="0005334A" w:rsidRPr="001A6496" w:rsidRDefault="0005334A" w:rsidP="003B6BE2">
            <w:pPr>
              <w:spacing w:line="240" w:lineRule="auto"/>
              <w:contextualSpacing/>
              <w:rPr>
                <w:rFonts w:ascii="Times New Roman" w:hAnsi="Times New Roman"/>
                <w:sz w:val="20"/>
                <w:szCs w:val="24"/>
              </w:rPr>
            </w:pPr>
            <w:r>
              <w:rPr>
                <w:rFonts w:ascii="Times New Roman" w:hAnsi="Times New Roman"/>
                <w:sz w:val="20"/>
                <w:szCs w:val="24"/>
              </w:rPr>
              <w:t>None.</w:t>
            </w:r>
          </w:p>
        </w:tc>
      </w:tr>
      <w:tr w:rsidR="0005334A" w:rsidTr="003B6BE2">
        <w:tc>
          <w:tcPr>
            <w:tcW w:w="1525" w:type="dxa"/>
          </w:tcPr>
          <w:p w:rsidR="0005334A" w:rsidRPr="001A6496" w:rsidRDefault="0005334A" w:rsidP="001A6496">
            <w:pPr>
              <w:spacing w:line="240" w:lineRule="auto"/>
              <w:contextualSpacing/>
              <w:jc w:val="left"/>
              <w:rPr>
                <w:rFonts w:ascii="Times New Roman" w:hAnsi="Times New Roman"/>
                <w:sz w:val="20"/>
                <w:szCs w:val="24"/>
              </w:rPr>
            </w:pPr>
            <w:r w:rsidRPr="001A6496">
              <w:rPr>
                <w:rFonts w:ascii="Times New Roman" w:hAnsi="Times New Roman"/>
                <w:sz w:val="20"/>
                <w:szCs w:val="24"/>
              </w:rPr>
              <w:t>Social, cultural and environmental</w:t>
            </w:r>
            <w:r>
              <w:rPr>
                <w:rFonts w:ascii="Times New Roman" w:hAnsi="Times New Roman"/>
                <w:sz w:val="20"/>
                <w:szCs w:val="24"/>
              </w:rPr>
              <w:t xml:space="preserve"> implications</w:t>
            </w:r>
          </w:p>
        </w:tc>
        <w:tc>
          <w:tcPr>
            <w:tcW w:w="1134" w:type="dxa"/>
          </w:tcPr>
          <w:p w:rsidR="0005334A" w:rsidRPr="001A6496" w:rsidRDefault="003B6BE2" w:rsidP="003B6BE2">
            <w:pPr>
              <w:spacing w:line="240" w:lineRule="auto"/>
              <w:contextualSpacing/>
              <w:jc w:val="left"/>
              <w:rPr>
                <w:rFonts w:ascii="Times New Roman" w:hAnsi="Times New Roman"/>
                <w:sz w:val="20"/>
                <w:szCs w:val="24"/>
              </w:rPr>
            </w:pPr>
            <w:r w:rsidRPr="001A6496">
              <w:rPr>
                <w:rFonts w:ascii="Times New Roman" w:hAnsi="Times New Roman"/>
                <w:sz w:val="20"/>
                <w:szCs w:val="24"/>
              </w:rPr>
              <w:t xml:space="preserve">Adversely impact on the reputation of and culture within Inland Revenue as staff will be knowingly breaching the secrecy obligation in the </w:t>
            </w:r>
            <w:r>
              <w:rPr>
                <w:rFonts w:ascii="Times New Roman" w:hAnsi="Times New Roman"/>
                <w:sz w:val="20"/>
                <w:szCs w:val="24"/>
              </w:rPr>
              <w:t>TAA in the interim</w:t>
            </w:r>
            <w:r w:rsidRPr="001A6496">
              <w:rPr>
                <w:rFonts w:ascii="Times New Roman" w:hAnsi="Times New Roman"/>
                <w:sz w:val="20"/>
                <w:szCs w:val="24"/>
              </w:rPr>
              <w:t>.</w:t>
            </w:r>
          </w:p>
        </w:tc>
        <w:tc>
          <w:tcPr>
            <w:tcW w:w="1134" w:type="dxa"/>
          </w:tcPr>
          <w:p w:rsidR="0005334A" w:rsidRPr="001A6496" w:rsidRDefault="0005334A" w:rsidP="003B6BE2">
            <w:pPr>
              <w:spacing w:line="240" w:lineRule="auto"/>
              <w:contextualSpacing/>
              <w:jc w:val="left"/>
              <w:rPr>
                <w:rFonts w:ascii="Times New Roman" w:hAnsi="Times New Roman"/>
                <w:sz w:val="20"/>
                <w:szCs w:val="24"/>
              </w:rPr>
            </w:pPr>
            <w:r w:rsidRPr="001A6496">
              <w:rPr>
                <w:rFonts w:ascii="Times New Roman" w:hAnsi="Times New Roman"/>
                <w:sz w:val="20"/>
                <w:szCs w:val="24"/>
              </w:rPr>
              <w:t xml:space="preserve">Adversely impact on the reputation of and culture within Inland Revenue as staff will be knowingly breaching the secrecy obligation in the </w:t>
            </w:r>
            <w:r w:rsidR="003B6BE2">
              <w:rPr>
                <w:rFonts w:ascii="Times New Roman" w:hAnsi="Times New Roman"/>
                <w:sz w:val="20"/>
                <w:szCs w:val="24"/>
              </w:rPr>
              <w:t>TAA.</w:t>
            </w:r>
          </w:p>
        </w:tc>
        <w:tc>
          <w:tcPr>
            <w:tcW w:w="1940" w:type="dxa"/>
          </w:tcPr>
          <w:p w:rsidR="0005334A" w:rsidRPr="001A6496" w:rsidRDefault="0005334A" w:rsidP="00660473">
            <w:pPr>
              <w:spacing w:line="240" w:lineRule="auto"/>
              <w:contextualSpacing/>
              <w:jc w:val="left"/>
              <w:rPr>
                <w:rFonts w:ascii="Times New Roman" w:hAnsi="Times New Roman"/>
                <w:sz w:val="20"/>
                <w:szCs w:val="24"/>
              </w:rPr>
            </w:pPr>
            <w:r w:rsidRPr="001A6496">
              <w:rPr>
                <w:rFonts w:ascii="Times New Roman" w:hAnsi="Times New Roman"/>
                <w:sz w:val="20"/>
                <w:szCs w:val="24"/>
              </w:rPr>
              <w:t xml:space="preserve">Adversely impact on the reputation of and culture within the </w:t>
            </w:r>
            <w:r w:rsidR="00660473">
              <w:rPr>
                <w:rFonts w:ascii="Times New Roman" w:hAnsi="Times New Roman"/>
                <w:sz w:val="20"/>
                <w:szCs w:val="24"/>
              </w:rPr>
              <w:t>ACC</w:t>
            </w:r>
            <w:r w:rsidRPr="001A6496">
              <w:rPr>
                <w:rFonts w:ascii="Times New Roman" w:hAnsi="Times New Roman"/>
                <w:sz w:val="20"/>
                <w:szCs w:val="24"/>
              </w:rPr>
              <w:t xml:space="preserve">.  There would be a breakdown in the relationship between Inland Revenue and the </w:t>
            </w:r>
            <w:r w:rsidR="00660473">
              <w:rPr>
                <w:rFonts w:ascii="Times New Roman" w:hAnsi="Times New Roman"/>
                <w:sz w:val="20"/>
                <w:szCs w:val="24"/>
              </w:rPr>
              <w:t>ACC</w:t>
            </w:r>
            <w:r w:rsidRPr="001A6496">
              <w:rPr>
                <w:rFonts w:ascii="Times New Roman" w:hAnsi="Times New Roman"/>
                <w:sz w:val="20"/>
                <w:szCs w:val="24"/>
              </w:rPr>
              <w:t xml:space="preserve">.  </w:t>
            </w:r>
          </w:p>
        </w:tc>
        <w:tc>
          <w:tcPr>
            <w:tcW w:w="2029" w:type="dxa"/>
          </w:tcPr>
          <w:p w:rsidR="0005334A" w:rsidRPr="001A6496" w:rsidRDefault="0005334A" w:rsidP="001A6496">
            <w:pPr>
              <w:spacing w:line="240" w:lineRule="auto"/>
              <w:contextualSpacing/>
              <w:rPr>
                <w:rFonts w:ascii="Times New Roman" w:hAnsi="Times New Roman"/>
                <w:sz w:val="20"/>
                <w:szCs w:val="24"/>
              </w:rPr>
            </w:pPr>
            <w:r w:rsidRPr="001A6496">
              <w:rPr>
                <w:rFonts w:ascii="Times New Roman" w:hAnsi="Times New Roman"/>
                <w:sz w:val="20"/>
                <w:szCs w:val="24"/>
              </w:rPr>
              <w:t xml:space="preserve">Adversely impact on the reputation of and culture within the </w:t>
            </w:r>
            <w:r w:rsidR="00660473">
              <w:rPr>
                <w:rFonts w:ascii="Times New Roman" w:hAnsi="Times New Roman"/>
                <w:sz w:val="20"/>
                <w:szCs w:val="24"/>
              </w:rPr>
              <w:t>ACC</w:t>
            </w:r>
            <w:r w:rsidRPr="001A6496">
              <w:rPr>
                <w:rFonts w:ascii="Times New Roman" w:hAnsi="Times New Roman"/>
                <w:sz w:val="20"/>
                <w:szCs w:val="24"/>
              </w:rPr>
              <w:t xml:space="preserve">.  </w:t>
            </w:r>
          </w:p>
        </w:tc>
        <w:tc>
          <w:tcPr>
            <w:tcW w:w="1241" w:type="dxa"/>
          </w:tcPr>
          <w:p w:rsidR="0005334A" w:rsidRPr="001A6496" w:rsidRDefault="0005334A" w:rsidP="003B6BE2">
            <w:pPr>
              <w:spacing w:line="240" w:lineRule="auto"/>
              <w:contextualSpacing/>
              <w:rPr>
                <w:rFonts w:ascii="Times New Roman" w:hAnsi="Times New Roman"/>
                <w:sz w:val="20"/>
                <w:szCs w:val="24"/>
              </w:rPr>
            </w:pPr>
            <w:r>
              <w:rPr>
                <w:rFonts w:ascii="Times New Roman" w:hAnsi="Times New Roman"/>
                <w:sz w:val="20"/>
                <w:szCs w:val="24"/>
              </w:rPr>
              <w:t>None</w:t>
            </w:r>
            <w:r w:rsidR="003B6BE2">
              <w:rPr>
                <w:rFonts w:ascii="Times New Roman" w:hAnsi="Times New Roman"/>
                <w:sz w:val="20"/>
                <w:szCs w:val="24"/>
              </w:rPr>
              <w:t>.</w:t>
            </w:r>
            <w:r>
              <w:rPr>
                <w:rFonts w:ascii="Times New Roman" w:hAnsi="Times New Roman"/>
                <w:sz w:val="20"/>
                <w:szCs w:val="24"/>
              </w:rPr>
              <w:t xml:space="preserve"> </w:t>
            </w:r>
          </w:p>
        </w:tc>
      </w:tr>
    </w:tbl>
    <w:p w:rsidR="00B670C4" w:rsidRDefault="00B670C4" w:rsidP="008E4CDF">
      <w:pPr>
        <w:spacing w:line="240" w:lineRule="auto"/>
        <w:contextualSpacing/>
        <w:jc w:val="both"/>
        <w:rPr>
          <w:rFonts w:ascii="Times New Roman" w:hAnsi="Times New Roman"/>
          <w:sz w:val="24"/>
          <w:szCs w:val="24"/>
        </w:rPr>
      </w:pPr>
    </w:p>
    <w:p w:rsidR="00B670C4" w:rsidRDefault="00B670C4" w:rsidP="008E4CDF">
      <w:pPr>
        <w:spacing w:line="240" w:lineRule="auto"/>
        <w:contextualSpacing/>
        <w:jc w:val="both"/>
        <w:rPr>
          <w:rFonts w:ascii="Times New Roman" w:hAnsi="Times New Roman"/>
          <w:sz w:val="24"/>
          <w:szCs w:val="24"/>
        </w:rPr>
      </w:pPr>
    </w:p>
    <w:p w:rsidR="000545DC" w:rsidRPr="001A6496" w:rsidRDefault="00D943DD" w:rsidP="008E4CDF">
      <w:pPr>
        <w:spacing w:line="240" w:lineRule="auto"/>
        <w:contextualSpacing/>
        <w:jc w:val="both"/>
        <w:rPr>
          <w:rFonts w:ascii="Times New Roman" w:hAnsi="Times New Roman"/>
          <w:b/>
        </w:rPr>
      </w:pPr>
      <w:bookmarkStart w:id="21" w:name="_Toc244580366"/>
      <w:bookmarkStart w:id="22" w:name="_Toc244587042"/>
      <w:bookmarkStart w:id="23" w:name="_Toc244857276"/>
      <w:bookmarkStart w:id="24" w:name="_Toc244912541"/>
      <w:bookmarkStart w:id="25" w:name="_Toc244916998"/>
      <w:r w:rsidRPr="001A6496">
        <w:rPr>
          <w:rFonts w:ascii="Times New Roman" w:hAnsi="Times New Roman"/>
          <w:b/>
        </w:rPr>
        <w:t>CONSULTATION</w:t>
      </w:r>
      <w:bookmarkEnd w:id="21"/>
      <w:bookmarkEnd w:id="22"/>
      <w:bookmarkEnd w:id="23"/>
      <w:bookmarkEnd w:id="24"/>
      <w:bookmarkEnd w:id="25"/>
    </w:p>
    <w:p w:rsidR="001A6496" w:rsidRDefault="001A6496" w:rsidP="008E4CDF">
      <w:pPr>
        <w:spacing w:line="240" w:lineRule="auto"/>
        <w:contextualSpacing/>
        <w:jc w:val="both"/>
        <w:rPr>
          <w:rFonts w:ascii="Times New Roman" w:hAnsi="Times New Roman"/>
          <w:sz w:val="24"/>
          <w:szCs w:val="24"/>
        </w:rPr>
      </w:pPr>
    </w:p>
    <w:p w:rsidR="000545DC"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2B7F51">
        <w:rPr>
          <w:rFonts w:ascii="Times New Roman" w:hAnsi="Times New Roman"/>
          <w:sz w:val="24"/>
          <w:szCs w:val="24"/>
        </w:rPr>
        <w:t xml:space="preserve">Inland Revenue has consulted with the </w:t>
      </w:r>
      <w:r w:rsidR="00660473">
        <w:rPr>
          <w:rFonts w:ascii="Times New Roman" w:hAnsi="Times New Roman"/>
          <w:sz w:val="24"/>
          <w:szCs w:val="24"/>
        </w:rPr>
        <w:t>ACC</w:t>
      </w:r>
      <w:r w:rsidR="0047101C">
        <w:rPr>
          <w:rFonts w:ascii="Times New Roman" w:hAnsi="Times New Roman"/>
          <w:sz w:val="24"/>
          <w:szCs w:val="24"/>
        </w:rPr>
        <w:t xml:space="preserve"> and</w:t>
      </w:r>
      <w:r w:rsidR="002B7F51">
        <w:rPr>
          <w:rFonts w:ascii="Times New Roman" w:hAnsi="Times New Roman"/>
          <w:sz w:val="24"/>
          <w:szCs w:val="24"/>
        </w:rPr>
        <w:t xml:space="preserve"> </w:t>
      </w:r>
      <w:r w:rsidR="0091199C">
        <w:rPr>
          <w:rFonts w:ascii="Times New Roman" w:hAnsi="Times New Roman"/>
          <w:sz w:val="24"/>
          <w:szCs w:val="24"/>
        </w:rPr>
        <w:t>the Office of the Privacy Commissioner</w:t>
      </w:r>
      <w:r w:rsidR="002B7F51">
        <w:rPr>
          <w:rFonts w:ascii="Times New Roman" w:hAnsi="Times New Roman"/>
          <w:sz w:val="24"/>
          <w:szCs w:val="24"/>
        </w:rPr>
        <w:t xml:space="preserve"> on this machinery of government amendment.</w:t>
      </w:r>
    </w:p>
    <w:p w:rsidR="002B7F51" w:rsidRDefault="002B7F51" w:rsidP="008E4CDF">
      <w:pPr>
        <w:spacing w:line="240" w:lineRule="auto"/>
        <w:contextualSpacing/>
        <w:jc w:val="both"/>
        <w:rPr>
          <w:rFonts w:ascii="Times New Roman" w:hAnsi="Times New Roman"/>
          <w:sz w:val="24"/>
          <w:szCs w:val="24"/>
        </w:rPr>
      </w:pPr>
    </w:p>
    <w:p w:rsidR="002B7F51"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2B7F51" w:rsidRPr="005E6886">
        <w:rPr>
          <w:rFonts w:ascii="Times New Roman" w:hAnsi="Times New Roman"/>
          <w:sz w:val="24"/>
          <w:szCs w:val="24"/>
        </w:rPr>
        <w:t xml:space="preserve">The Office of the Privacy Commissioner is supportive of our proposal.  It does not see any significant privacy risk with the current sharing given the information is provided to </w:t>
      </w:r>
      <w:r w:rsidR="00660473">
        <w:rPr>
          <w:rFonts w:ascii="Times New Roman" w:hAnsi="Times New Roman"/>
          <w:sz w:val="24"/>
          <w:szCs w:val="24"/>
        </w:rPr>
        <w:t>ACC</w:t>
      </w:r>
      <w:r w:rsidR="002B7F51" w:rsidRPr="005E6886">
        <w:rPr>
          <w:rFonts w:ascii="Times New Roman" w:hAnsi="Times New Roman"/>
          <w:sz w:val="24"/>
          <w:szCs w:val="24"/>
        </w:rPr>
        <w:t xml:space="preserve"> for a legitimate purpose.</w:t>
      </w:r>
      <w:r w:rsidR="00D16F5F">
        <w:rPr>
          <w:rFonts w:ascii="Times New Roman" w:hAnsi="Times New Roman"/>
          <w:sz w:val="24"/>
          <w:szCs w:val="24"/>
        </w:rPr>
        <w:t xml:space="preserve">  </w:t>
      </w:r>
    </w:p>
    <w:p w:rsidR="00D16F5F" w:rsidRDefault="00D16F5F" w:rsidP="008E4CDF">
      <w:pPr>
        <w:spacing w:line="240" w:lineRule="auto"/>
        <w:contextualSpacing/>
        <w:jc w:val="both"/>
        <w:rPr>
          <w:rFonts w:ascii="Times New Roman" w:hAnsi="Times New Roman"/>
          <w:sz w:val="24"/>
          <w:szCs w:val="24"/>
        </w:rPr>
      </w:pPr>
    </w:p>
    <w:p w:rsidR="00D16F5F"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660473">
        <w:rPr>
          <w:rFonts w:ascii="Times New Roman" w:hAnsi="Times New Roman"/>
          <w:sz w:val="24"/>
          <w:szCs w:val="24"/>
        </w:rPr>
        <w:t>ACC</w:t>
      </w:r>
      <w:r w:rsidR="00D16F5F">
        <w:rPr>
          <w:rFonts w:ascii="Times New Roman" w:hAnsi="Times New Roman"/>
          <w:sz w:val="24"/>
          <w:szCs w:val="24"/>
        </w:rPr>
        <w:t xml:space="preserve"> have been consulted on this proposal and are supportive given it will enable them to fulfil their legislative obligations and their administrative responsibilities for the scheme.</w:t>
      </w:r>
    </w:p>
    <w:p w:rsidR="001A6496" w:rsidRDefault="001A6496" w:rsidP="008E4CDF">
      <w:pPr>
        <w:spacing w:line="240" w:lineRule="auto"/>
        <w:contextualSpacing/>
        <w:jc w:val="both"/>
        <w:rPr>
          <w:rFonts w:ascii="Times New Roman" w:hAnsi="Times New Roman"/>
          <w:sz w:val="24"/>
          <w:szCs w:val="24"/>
        </w:rPr>
      </w:pPr>
    </w:p>
    <w:p w:rsidR="001A6496" w:rsidRPr="004342F0" w:rsidRDefault="001A6496" w:rsidP="008E4CDF">
      <w:pPr>
        <w:spacing w:line="240" w:lineRule="auto"/>
        <w:contextualSpacing/>
        <w:jc w:val="both"/>
        <w:rPr>
          <w:rFonts w:ascii="Times New Roman" w:hAnsi="Times New Roman"/>
          <w:sz w:val="24"/>
          <w:szCs w:val="24"/>
        </w:rPr>
      </w:pPr>
    </w:p>
    <w:p w:rsidR="000545DC" w:rsidRPr="001A6496" w:rsidRDefault="00D943DD" w:rsidP="008E4CDF">
      <w:pPr>
        <w:spacing w:line="240" w:lineRule="auto"/>
        <w:contextualSpacing/>
        <w:jc w:val="both"/>
        <w:rPr>
          <w:rFonts w:ascii="Times New Roman" w:hAnsi="Times New Roman"/>
          <w:b/>
        </w:rPr>
      </w:pPr>
      <w:bookmarkStart w:id="26" w:name="_Preferred_option_[optional]"/>
      <w:bookmarkStart w:id="27" w:name="_Toc244580367"/>
      <w:bookmarkStart w:id="28" w:name="_Toc244587043"/>
      <w:bookmarkStart w:id="29" w:name="_Toc244857277"/>
      <w:bookmarkStart w:id="30" w:name="_Toc244912542"/>
      <w:bookmarkStart w:id="31" w:name="_Toc244916999"/>
      <w:bookmarkEnd w:id="26"/>
      <w:r w:rsidRPr="001A6496">
        <w:rPr>
          <w:rFonts w:ascii="Times New Roman" w:hAnsi="Times New Roman"/>
          <w:b/>
        </w:rPr>
        <w:t>CONCLUSIONS AND RECOMMENDATIONS</w:t>
      </w:r>
      <w:bookmarkEnd w:id="27"/>
      <w:bookmarkEnd w:id="28"/>
      <w:bookmarkEnd w:id="29"/>
      <w:bookmarkEnd w:id="30"/>
      <w:bookmarkEnd w:id="31"/>
    </w:p>
    <w:p w:rsidR="001A6496" w:rsidRDefault="001A6496" w:rsidP="008E4CDF">
      <w:pPr>
        <w:spacing w:line="240" w:lineRule="auto"/>
        <w:contextualSpacing/>
        <w:jc w:val="both"/>
        <w:rPr>
          <w:rFonts w:ascii="Times New Roman" w:hAnsi="Times New Roman"/>
          <w:sz w:val="24"/>
          <w:szCs w:val="24"/>
        </w:rPr>
      </w:pPr>
      <w:bookmarkStart w:id="32" w:name="_Toc244580368"/>
      <w:bookmarkStart w:id="33" w:name="_Toc244587044"/>
      <w:bookmarkStart w:id="34" w:name="_Toc244857278"/>
      <w:bookmarkStart w:id="35" w:name="_Toc244912543"/>
      <w:bookmarkStart w:id="36" w:name="_Toc244917000"/>
    </w:p>
    <w:p w:rsidR="00675D3E"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91199C" w:rsidRPr="00D922D1">
        <w:rPr>
          <w:rFonts w:ascii="Times New Roman" w:hAnsi="Times New Roman"/>
          <w:sz w:val="24"/>
          <w:szCs w:val="24"/>
        </w:rPr>
        <w:t xml:space="preserve">Officials recommend making an Order in Council to support information sharing under Option 1. </w:t>
      </w:r>
      <w:r w:rsidR="0091199C">
        <w:rPr>
          <w:rFonts w:ascii="Times New Roman" w:hAnsi="Times New Roman"/>
          <w:sz w:val="24"/>
          <w:szCs w:val="24"/>
        </w:rPr>
        <w:t xml:space="preserve"> </w:t>
      </w:r>
      <w:r w:rsidR="00675D3E">
        <w:rPr>
          <w:rFonts w:ascii="Times New Roman" w:hAnsi="Times New Roman"/>
          <w:sz w:val="24"/>
          <w:szCs w:val="24"/>
        </w:rPr>
        <w:t xml:space="preserve">We consider that this option would enable </w:t>
      </w:r>
      <w:r w:rsidR="00660473">
        <w:rPr>
          <w:rFonts w:ascii="Times New Roman" w:hAnsi="Times New Roman"/>
          <w:sz w:val="24"/>
          <w:szCs w:val="24"/>
        </w:rPr>
        <w:t>ACC</w:t>
      </w:r>
      <w:r w:rsidR="00675D3E">
        <w:rPr>
          <w:rFonts w:ascii="Times New Roman" w:hAnsi="Times New Roman"/>
          <w:sz w:val="24"/>
          <w:szCs w:val="24"/>
        </w:rPr>
        <w:t xml:space="preserve"> to fulfil its leg</w:t>
      </w:r>
      <w:r w:rsidR="003F2561">
        <w:rPr>
          <w:rFonts w:ascii="Times New Roman" w:hAnsi="Times New Roman"/>
          <w:sz w:val="24"/>
          <w:szCs w:val="24"/>
        </w:rPr>
        <w:t>islative</w:t>
      </w:r>
      <w:r w:rsidR="00675D3E">
        <w:rPr>
          <w:rFonts w:ascii="Times New Roman" w:hAnsi="Times New Roman"/>
          <w:sz w:val="24"/>
          <w:szCs w:val="24"/>
        </w:rPr>
        <w:t xml:space="preserve"> obligatio</w:t>
      </w:r>
      <w:r>
        <w:rPr>
          <w:rFonts w:ascii="Times New Roman" w:hAnsi="Times New Roman"/>
          <w:sz w:val="24"/>
          <w:szCs w:val="24"/>
        </w:rPr>
        <w:t>ns in the admin</w:t>
      </w:r>
      <w:r w:rsidR="003F2561">
        <w:rPr>
          <w:rFonts w:ascii="Times New Roman" w:hAnsi="Times New Roman"/>
          <w:sz w:val="24"/>
          <w:szCs w:val="24"/>
        </w:rPr>
        <w:t>istration</w:t>
      </w:r>
      <w:r>
        <w:rPr>
          <w:rFonts w:ascii="Times New Roman" w:hAnsi="Times New Roman"/>
          <w:sz w:val="24"/>
          <w:szCs w:val="24"/>
        </w:rPr>
        <w:t xml:space="preserve"> of the </w:t>
      </w:r>
      <w:r w:rsidR="00660473">
        <w:rPr>
          <w:rFonts w:ascii="Times New Roman" w:hAnsi="Times New Roman"/>
          <w:sz w:val="24"/>
          <w:szCs w:val="24"/>
        </w:rPr>
        <w:t>ACC</w:t>
      </w:r>
      <w:r w:rsidR="003F2561">
        <w:rPr>
          <w:rFonts w:ascii="Times New Roman" w:hAnsi="Times New Roman"/>
          <w:sz w:val="24"/>
          <w:szCs w:val="24"/>
        </w:rPr>
        <w:t xml:space="preserve"> </w:t>
      </w:r>
      <w:r w:rsidR="0005334A">
        <w:rPr>
          <w:rFonts w:ascii="Times New Roman" w:hAnsi="Times New Roman"/>
          <w:sz w:val="24"/>
          <w:szCs w:val="24"/>
        </w:rPr>
        <w:t>S</w:t>
      </w:r>
      <w:r>
        <w:rPr>
          <w:rFonts w:ascii="Times New Roman" w:hAnsi="Times New Roman"/>
          <w:sz w:val="24"/>
          <w:szCs w:val="24"/>
        </w:rPr>
        <w:t>cheme.</w:t>
      </w:r>
    </w:p>
    <w:p w:rsidR="001A6496" w:rsidRDefault="001A6496" w:rsidP="008E4CDF">
      <w:pPr>
        <w:spacing w:line="240" w:lineRule="auto"/>
        <w:contextualSpacing/>
        <w:jc w:val="both"/>
        <w:rPr>
          <w:rFonts w:ascii="Times New Roman" w:hAnsi="Times New Roman"/>
          <w:sz w:val="24"/>
          <w:szCs w:val="24"/>
        </w:rPr>
      </w:pPr>
    </w:p>
    <w:p w:rsidR="001A6496" w:rsidRPr="004342F0" w:rsidRDefault="001A6496" w:rsidP="008E4CDF">
      <w:pPr>
        <w:spacing w:line="240" w:lineRule="auto"/>
        <w:contextualSpacing/>
        <w:jc w:val="both"/>
        <w:rPr>
          <w:rFonts w:ascii="Times New Roman" w:hAnsi="Times New Roman"/>
          <w:sz w:val="24"/>
          <w:szCs w:val="24"/>
        </w:rPr>
      </w:pPr>
    </w:p>
    <w:p w:rsidR="000545DC" w:rsidRPr="001A6496" w:rsidRDefault="00D943DD" w:rsidP="008E4CDF">
      <w:pPr>
        <w:spacing w:line="240" w:lineRule="auto"/>
        <w:contextualSpacing/>
        <w:jc w:val="both"/>
        <w:rPr>
          <w:rFonts w:ascii="Times New Roman" w:hAnsi="Times New Roman"/>
          <w:b/>
        </w:rPr>
      </w:pPr>
      <w:r w:rsidRPr="001A6496">
        <w:rPr>
          <w:rFonts w:ascii="Times New Roman" w:hAnsi="Times New Roman"/>
          <w:b/>
        </w:rPr>
        <w:t>IMPLEMENTATION</w:t>
      </w:r>
      <w:bookmarkEnd w:id="32"/>
      <w:bookmarkEnd w:id="33"/>
      <w:bookmarkEnd w:id="34"/>
      <w:bookmarkEnd w:id="35"/>
      <w:bookmarkEnd w:id="36"/>
      <w:r w:rsidRPr="001A6496">
        <w:rPr>
          <w:rFonts w:ascii="Times New Roman" w:hAnsi="Times New Roman"/>
          <w:b/>
        </w:rPr>
        <w:t xml:space="preserve"> </w:t>
      </w:r>
    </w:p>
    <w:p w:rsidR="001A6496" w:rsidRDefault="001A6496" w:rsidP="008E4CDF">
      <w:pPr>
        <w:spacing w:line="240" w:lineRule="auto"/>
        <w:contextualSpacing/>
        <w:jc w:val="both"/>
        <w:rPr>
          <w:rFonts w:ascii="Times New Roman" w:hAnsi="Times New Roman"/>
          <w:sz w:val="24"/>
          <w:szCs w:val="24"/>
        </w:rPr>
      </w:pPr>
    </w:p>
    <w:p w:rsidR="005F7B81"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5F7B81">
        <w:rPr>
          <w:rFonts w:ascii="Times New Roman" w:hAnsi="Times New Roman"/>
          <w:sz w:val="24"/>
          <w:szCs w:val="24"/>
        </w:rPr>
        <w:t xml:space="preserve">The preferred option (Option 1) does not require </w:t>
      </w:r>
      <w:r w:rsidR="005F7B81" w:rsidRPr="008B231A">
        <w:rPr>
          <w:rFonts w:ascii="Times New Roman" w:hAnsi="Times New Roman"/>
          <w:sz w:val="24"/>
          <w:szCs w:val="24"/>
        </w:rPr>
        <w:t xml:space="preserve">Inland Revenue </w:t>
      </w:r>
      <w:r w:rsidR="005F7B81">
        <w:rPr>
          <w:rFonts w:ascii="Times New Roman" w:hAnsi="Times New Roman"/>
          <w:sz w:val="24"/>
          <w:szCs w:val="24"/>
        </w:rPr>
        <w:t xml:space="preserve">to </w:t>
      </w:r>
      <w:r w:rsidR="005F7B81" w:rsidRPr="008B231A">
        <w:rPr>
          <w:rFonts w:ascii="Times New Roman" w:hAnsi="Times New Roman"/>
          <w:sz w:val="24"/>
          <w:szCs w:val="24"/>
        </w:rPr>
        <w:t xml:space="preserve">alter its current </w:t>
      </w:r>
      <w:r w:rsidR="005F7B81">
        <w:rPr>
          <w:rFonts w:ascii="Times New Roman" w:hAnsi="Times New Roman"/>
          <w:sz w:val="24"/>
          <w:szCs w:val="24"/>
        </w:rPr>
        <w:t xml:space="preserve">information collection </w:t>
      </w:r>
      <w:r w:rsidR="005F7B81" w:rsidRPr="008B231A">
        <w:rPr>
          <w:rFonts w:ascii="Times New Roman" w:hAnsi="Times New Roman"/>
          <w:sz w:val="24"/>
          <w:szCs w:val="24"/>
        </w:rPr>
        <w:t xml:space="preserve">practices.  </w:t>
      </w:r>
      <w:r w:rsidR="005F7B81">
        <w:rPr>
          <w:rFonts w:ascii="Times New Roman" w:hAnsi="Times New Roman"/>
          <w:sz w:val="24"/>
          <w:szCs w:val="24"/>
        </w:rPr>
        <w:t>As noted</w:t>
      </w:r>
      <w:r w:rsidR="003F2561">
        <w:rPr>
          <w:rFonts w:ascii="Times New Roman" w:hAnsi="Times New Roman"/>
          <w:sz w:val="24"/>
          <w:szCs w:val="24"/>
        </w:rPr>
        <w:t xml:space="preserve"> earlier</w:t>
      </w:r>
      <w:r w:rsidR="00782524">
        <w:rPr>
          <w:rFonts w:ascii="Times New Roman" w:hAnsi="Times New Roman"/>
          <w:sz w:val="24"/>
          <w:szCs w:val="24"/>
        </w:rPr>
        <w:t xml:space="preserve"> in paragraph 15</w:t>
      </w:r>
      <w:r w:rsidR="005F7B81">
        <w:rPr>
          <w:rFonts w:ascii="Times New Roman" w:hAnsi="Times New Roman"/>
          <w:sz w:val="24"/>
          <w:szCs w:val="24"/>
        </w:rPr>
        <w:t xml:space="preserve">, </w:t>
      </w:r>
      <w:r w:rsidR="005F7B81" w:rsidRPr="008B231A">
        <w:rPr>
          <w:rFonts w:ascii="Times New Roman" w:hAnsi="Times New Roman"/>
          <w:sz w:val="24"/>
          <w:szCs w:val="24"/>
        </w:rPr>
        <w:t xml:space="preserve">Inland Revenue </w:t>
      </w:r>
      <w:r w:rsidR="005F7B81">
        <w:rPr>
          <w:rFonts w:ascii="Times New Roman" w:hAnsi="Times New Roman"/>
          <w:sz w:val="24"/>
          <w:szCs w:val="24"/>
        </w:rPr>
        <w:t xml:space="preserve">would </w:t>
      </w:r>
      <w:r w:rsidR="005F7B81" w:rsidRPr="008B231A">
        <w:rPr>
          <w:rFonts w:ascii="Times New Roman" w:hAnsi="Times New Roman"/>
          <w:sz w:val="24"/>
          <w:szCs w:val="24"/>
        </w:rPr>
        <w:t xml:space="preserve">not collect </w:t>
      </w:r>
      <w:r w:rsidR="005F7B81" w:rsidRPr="00B5745F">
        <w:rPr>
          <w:rFonts w:ascii="Times New Roman" w:hAnsi="Times New Roman"/>
          <w:sz w:val="24"/>
          <w:szCs w:val="24"/>
        </w:rPr>
        <w:t>additional</w:t>
      </w:r>
      <w:r w:rsidR="005F7B81" w:rsidRPr="008B231A">
        <w:rPr>
          <w:rFonts w:ascii="Times New Roman" w:hAnsi="Times New Roman"/>
          <w:sz w:val="24"/>
          <w:szCs w:val="24"/>
        </w:rPr>
        <w:t xml:space="preserve"> information on behalf of </w:t>
      </w:r>
      <w:r w:rsidR="00660473">
        <w:rPr>
          <w:rFonts w:ascii="Times New Roman" w:hAnsi="Times New Roman"/>
          <w:sz w:val="24"/>
          <w:szCs w:val="24"/>
        </w:rPr>
        <w:t>ACC</w:t>
      </w:r>
      <w:r w:rsidR="005F7B81" w:rsidRPr="008B231A">
        <w:rPr>
          <w:rFonts w:ascii="Times New Roman" w:hAnsi="Times New Roman"/>
          <w:sz w:val="24"/>
          <w:szCs w:val="24"/>
        </w:rPr>
        <w:t xml:space="preserve">.  Inland Revenue </w:t>
      </w:r>
      <w:r w:rsidR="005F7B81">
        <w:rPr>
          <w:rFonts w:ascii="Times New Roman" w:hAnsi="Times New Roman"/>
          <w:sz w:val="24"/>
          <w:szCs w:val="24"/>
        </w:rPr>
        <w:t xml:space="preserve">would establish processes </w:t>
      </w:r>
      <w:r w:rsidR="005F7B81" w:rsidRPr="008B231A">
        <w:rPr>
          <w:rFonts w:ascii="Times New Roman" w:hAnsi="Times New Roman"/>
          <w:sz w:val="24"/>
          <w:szCs w:val="24"/>
        </w:rPr>
        <w:t xml:space="preserve">to monitor and audit the use of its data by </w:t>
      </w:r>
      <w:r w:rsidR="00660473">
        <w:rPr>
          <w:rFonts w:ascii="Times New Roman" w:hAnsi="Times New Roman"/>
          <w:sz w:val="24"/>
          <w:szCs w:val="24"/>
        </w:rPr>
        <w:t>ACC</w:t>
      </w:r>
      <w:r w:rsidR="005F7B81">
        <w:rPr>
          <w:rFonts w:ascii="Times New Roman" w:hAnsi="Times New Roman"/>
          <w:sz w:val="24"/>
          <w:szCs w:val="24"/>
        </w:rPr>
        <w:t xml:space="preserve">, and </w:t>
      </w:r>
      <w:r w:rsidR="005F7B81" w:rsidRPr="008B231A">
        <w:rPr>
          <w:rFonts w:ascii="Times New Roman" w:hAnsi="Times New Roman"/>
          <w:sz w:val="24"/>
          <w:szCs w:val="24"/>
        </w:rPr>
        <w:t>ensur</w:t>
      </w:r>
      <w:r w:rsidR="005F7B81">
        <w:rPr>
          <w:rFonts w:ascii="Times New Roman" w:hAnsi="Times New Roman"/>
          <w:sz w:val="24"/>
          <w:szCs w:val="24"/>
        </w:rPr>
        <w:t>e</w:t>
      </w:r>
      <w:r w:rsidR="005F7B81" w:rsidRPr="008B231A">
        <w:rPr>
          <w:rFonts w:ascii="Times New Roman" w:hAnsi="Times New Roman"/>
          <w:sz w:val="24"/>
          <w:szCs w:val="24"/>
        </w:rPr>
        <w:t xml:space="preserve"> that Inland Revenue’s tax secrecy obligations are maintained.</w:t>
      </w:r>
      <w:r w:rsidR="009A6D36">
        <w:rPr>
          <w:rFonts w:ascii="Times New Roman" w:hAnsi="Times New Roman"/>
          <w:sz w:val="24"/>
          <w:szCs w:val="24"/>
        </w:rPr>
        <w:t xml:space="preserve"> </w:t>
      </w:r>
    </w:p>
    <w:p w:rsidR="005F7B81" w:rsidRDefault="005F7B81" w:rsidP="008E4CDF">
      <w:pPr>
        <w:spacing w:line="240" w:lineRule="auto"/>
        <w:contextualSpacing/>
        <w:jc w:val="both"/>
        <w:rPr>
          <w:rFonts w:ascii="Times New Roman" w:hAnsi="Times New Roman"/>
          <w:sz w:val="24"/>
          <w:szCs w:val="24"/>
        </w:rPr>
      </w:pPr>
    </w:p>
    <w:p w:rsidR="005F7B81"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5F7B81">
        <w:rPr>
          <w:rFonts w:ascii="Times New Roman" w:hAnsi="Times New Roman"/>
          <w:sz w:val="24"/>
          <w:szCs w:val="24"/>
        </w:rPr>
        <w:t>Also, as noted</w:t>
      </w:r>
      <w:r w:rsidR="00782524">
        <w:rPr>
          <w:rFonts w:ascii="Times New Roman" w:hAnsi="Times New Roman"/>
          <w:sz w:val="24"/>
          <w:szCs w:val="24"/>
        </w:rPr>
        <w:t xml:space="preserve"> in paragraph 10</w:t>
      </w:r>
      <w:r w:rsidR="005F7B81">
        <w:rPr>
          <w:rFonts w:ascii="Times New Roman" w:hAnsi="Times New Roman"/>
          <w:sz w:val="24"/>
          <w:szCs w:val="24"/>
        </w:rPr>
        <w:t>, u</w:t>
      </w:r>
      <w:r w:rsidR="005F7B81" w:rsidRPr="008B231A">
        <w:rPr>
          <w:rFonts w:ascii="Times New Roman" w:hAnsi="Times New Roman"/>
          <w:sz w:val="24"/>
          <w:szCs w:val="24"/>
        </w:rPr>
        <w:t xml:space="preserve">nder the proposed arrangement </w:t>
      </w:r>
      <w:r w:rsidR="00660473">
        <w:rPr>
          <w:rFonts w:ascii="Times New Roman" w:hAnsi="Times New Roman"/>
          <w:sz w:val="24"/>
          <w:szCs w:val="24"/>
        </w:rPr>
        <w:t>ACC</w:t>
      </w:r>
      <w:r w:rsidR="005F7B81">
        <w:rPr>
          <w:rFonts w:ascii="Times New Roman" w:hAnsi="Times New Roman"/>
          <w:sz w:val="24"/>
          <w:szCs w:val="24"/>
        </w:rPr>
        <w:t xml:space="preserve"> would </w:t>
      </w:r>
      <w:r w:rsidR="005F7B81" w:rsidRPr="008B231A">
        <w:rPr>
          <w:rFonts w:ascii="Times New Roman" w:hAnsi="Times New Roman"/>
          <w:sz w:val="24"/>
          <w:szCs w:val="24"/>
        </w:rPr>
        <w:t>only receive information that it is lawfully entitle</w:t>
      </w:r>
      <w:r>
        <w:rPr>
          <w:rFonts w:ascii="Times New Roman" w:hAnsi="Times New Roman"/>
          <w:sz w:val="24"/>
          <w:szCs w:val="24"/>
        </w:rPr>
        <w:t>d to collect in its own right.</w:t>
      </w:r>
    </w:p>
    <w:p w:rsidR="001A6496" w:rsidRDefault="001A6496" w:rsidP="008E4CDF">
      <w:pPr>
        <w:spacing w:line="240" w:lineRule="auto"/>
        <w:contextualSpacing/>
        <w:jc w:val="both"/>
        <w:rPr>
          <w:rFonts w:ascii="Times New Roman" w:hAnsi="Times New Roman"/>
          <w:sz w:val="24"/>
          <w:szCs w:val="24"/>
        </w:rPr>
      </w:pPr>
    </w:p>
    <w:p w:rsidR="001A6496" w:rsidRDefault="001A6496" w:rsidP="008E4CDF">
      <w:pPr>
        <w:spacing w:line="240" w:lineRule="auto"/>
        <w:contextualSpacing/>
        <w:jc w:val="both"/>
        <w:rPr>
          <w:rFonts w:ascii="Times New Roman" w:hAnsi="Times New Roman"/>
          <w:sz w:val="24"/>
          <w:szCs w:val="24"/>
        </w:rPr>
      </w:pPr>
    </w:p>
    <w:p w:rsidR="000545DC" w:rsidRDefault="00D943DD" w:rsidP="008E4CDF">
      <w:pPr>
        <w:spacing w:line="240" w:lineRule="auto"/>
        <w:contextualSpacing/>
        <w:jc w:val="both"/>
        <w:rPr>
          <w:rFonts w:ascii="Times New Roman" w:hAnsi="Times New Roman"/>
          <w:b/>
        </w:rPr>
      </w:pPr>
      <w:bookmarkStart w:id="37" w:name="_Toc244580369"/>
      <w:bookmarkStart w:id="38" w:name="_Toc244587045"/>
      <w:bookmarkStart w:id="39" w:name="_Toc244857279"/>
      <w:bookmarkStart w:id="40" w:name="_Toc244912544"/>
      <w:bookmarkStart w:id="41" w:name="_Toc244917001"/>
      <w:r w:rsidRPr="001A6496">
        <w:rPr>
          <w:rFonts w:ascii="Times New Roman" w:hAnsi="Times New Roman"/>
          <w:b/>
        </w:rPr>
        <w:t>MONITORING, EVALUATION AND REVIEW</w:t>
      </w:r>
      <w:bookmarkEnd w:id="37"/>
      <w:bookmarkEnd w:id="38"/>
      <w:bookmarkEnd w:id="39"/>
      <w:bookmarkEnd w:id="40"/>
      <w:bookmarkEnd w:id="41"/>
    </w:p>
    <w:p w:rsidR="001A6496" w:rsidRDefault="001A6496" w:rsidP="008E4CDF">
      <w:pPr>
        <w:spacing w:line="240" w:lineRule="auto"/>
        <w:contextualSpacing/>
        <w:jc w:val="both"/>
        <w:rPr>
          <w:rFonts w:ascii="Times New Roman" w:hAnsi="Times New Roman"/>
          <w:sz w:val="24"/>
          <w:szCs w:val="24"/>
          <w:lang w:val="en-NZ"/>
        </w:rPr>
      </w:pPr>
    </w:p>
    <w:p w:rsidR="001A6496" w:rsidRDefault="001A6496" w:rsidP="008E4CDF">
      <w:pPr>
        <w:spacing w:line="240" w:lineRule="auto"/>
        <w:contextualSpacing/>
        <w:jc w:val="both"/>
        <w:rPr>
          <w:rFonts w:ascii="Times New Roman" w:hAnsi="Times New Roman"/>
          <w:sz w:val="24"/>
          <w:szCs w:val="24"/>
        </w:rPr>
      </w:pPr>
      <w:r w:rsidRPr="001A6496">
        <w:rPr>
          <w:rFonts w:ascii="Times New Roman" w:hAnsi="Times New Roman"/>
          <w:sz w:val="24"/>
          <w:szCs w:val="24"/>
          <w:lang w:val="en-NZ"/>
        </w:rPr>
        <w:fldChar w:fldCharType="begin"/>
      </w:r>
      <w:r w:rsidRPr="001A6496">
        <w:rPr>
          <w:rFonts w:ascii="Times New Roman" w:hAnsi="Times New Roman"/>
          <w:sz w:val="24"/>
          <w:szCs w:val="24"/>
          <w:lang w:val="en-NZ"/>
        </w:rPr>
        <w:instrText xml:space="preserve"> AUTONUM  </w:instrText>
      </w:r>
      <w:r w:rsidRPr="001A6496">
        <w:rPr>
          <w:rFonts w:ascii="Times New Roman" w:hAnsi="Times New Roman"/>
          <w:sz w:val="24"/>
          <w:szCs w:val="24"/>
        </w:rPr>
        <w:fldChar w:fldCharType="end"/>
      </w:r>
      <w:r w:rsidRPr="001A6496">
        <w:rPr>
          <w:rFonts w:ascii="Times New Roman" w:hAnsi="Times New Roman"/>
          <w:sz w:val="24"/>
          <w:szCs w:val="24"/>
          <w:lang w:val="en-NZ"/>
        </w:rPr>
        <w:tab/>
      </w:r>
      <w:r w:rsidR="005F7B81" w:rsidRPr="0089063B">
        <w:rPr>
          <w:rFonts w:ascii="Times New Roman" w:hAnsi="Times New Roman"/>
          <w:sz w:val="24"/>
          <w:szCs w:val="24"/>
        </w:rPr>
        <w:t>The Order in Council is subject to the review provision in the Tax Administration Act.  The proposed review would be carried out after the new framework has been in operation for five years, and would be tabled in the House of Representatives by the Minister of Revenue, after consultation with the Office of the Privacy Commissioner.  Such a review would allow for consideration of whether the objectives of the new framework have been achieved.  Since the review would be made public, it should be transparent as to how the n</w:t>
      </w:r>
      <w:r>
        <w:rPr>
          <w:rFonts w:ascii="Times New Roman" w:hAnsi="Times New Roman"/>
          <w:sz w:val="24"/>
          <w:szCs w:val="24"/>
        </w:rPr>
        <w:t>ew framework is being applied.</w:t>
      </w:r>
    </w:p>
    <w:p w:rsidR="001A6496" w:rsidRDefault="001A6496" w:rsidP="008E4CDF">
      <w:pPr>
        <w:spacing w:line="240" w:lineRule="auto"/>
        <w:contextualSpacing/>
        <w:jc w:val="both"/>
        <w:rPr>
          <w:rFonts w:ascii="Times New Roman" w:hAnsi="Times New Roman"/>
          <w:sz w:val="24"/>
          <w:szCs w:val="24"/>
        </w:rPr>
      </w:pPr>
    </w:p>
    <w:p w:rsidR="00594805" w:rsidRPr="0089063B" w:rsidRDefault="00594805" w:rsidP="008E4CDF">
      <w:pPr>
        <w:spacing w:line="240" w:lineRule="auto"/>
        <w:contextualSpacing/>
        <w:jc w:val="both"/>
        <w:rPr>
          <w:rFonts w:ascii="Times New Roman" w:hAnsi="Times New Roman"/>
          <w:sz w:val="24"/>
          <w:szCs w:val="24"/>
        </w:rPr>
      </w:pPr>
    </w:p>
    <w:sectPr w:rsidR="00594805" w:rsidRPr="0089063B" w:rsidSect="006474EE">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EA" w:rsidRDefault="00CF3FEA" w:rsidP="00F72085">
      <w:r>
        <w:separator/>
      </w:r>
    </w:p>
  </w:endnote>
  <w:endnote w:type="continuationSeparator" w:id="0">
    <w:p w:rsidR="00CF3FEA" w:rsidRDefault="00CF3FEA"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A" w:rsidRDefault="00CF3FEA"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F3FEA" w:rsidRPr="00281580" w:rsidRDefault="00CF3FEA"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A" w:rsidRPr="00594805" w:rsidRDefault="00CF3FEA"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1C001D">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A" w:rsidRDefault="00CF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EA" w:rsidRDefault="00CF3FEA" w:rsidP="00F72085">
      <w:r>
        <w:separator/>
      </w:r>
    </w:p>
  </w:footnote>
  <w:footnote w:type="continuationSeparator" w:id="0">
    <w:p w:rsidR="00CF3FEA" w:rsidRDefault="00CF3FEA" w:rsidP="00F72085">
      <w:r>
        <w:continuationSeparator/>
      </w:r>
    </w:p>
  </w:footnote>
  <w:footnote w:id="1">
    <w:p w:rsidR="00CF3FEA" w:rsidRPr="00D62A05" w:rsidRDefault="00CF3FEA" w:rsidP="004B6A2E">
      <w:pPr>
        <w:pStyle w:val="FootnoteText"/>
        <w:rPr>
          <w:rFonts w:ascii="Times New Roman" w:hAnsi="Times New Roman"/>
          <w:sz w:val="20"/>
        </w:rPr>
      </w:pPr>
      <w:r w:rsidRPr="00D62A05">
        <w:rPr>
          <w:rStyle w:val="FootnoteReference"/>
          <w:rFonts w:ascii="Times New Roman" w:hAnsi="Times New Roman"/>
          <w:sz w:val="20"/>
        </w:rPr>
        <w:footnoteRef/>
      </w:r>
      <w:r w:rsidRPr="00D62A05">
        <w:rPr>
          <w:rFonts w:ascii="Times New Roman" w:hAnsi="Times New Roman"/>
          <w:sz w:val="20"/>
        </w:rPr>
        <w:t xml:space="preserve"> </w:t>
      </w:r>
      <w:proofErr w:type="gramStart"/>
      <w:r w:rsidRPr="00D62A05">
        <w:rPr>
          <w:rFonts w:ascii="Times New Roman" w:hAnsi="Times New Roman"/>
          <w:sz w:val="20"/>
        </w:rPr>
        <w:t>Section 246 of the Accident Compensation Act 2001.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A" w:rsidRDefault="00CF3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A" w:rsidRDefault="00CF3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EA" w:rsidRDefault="00CF3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33C"/>
    <w:multiLevelType w:val="hybridMultilevel"/>
    <w:tmpl w:val="AE7C488C"/>
    <w:lvl w:ilvl="0" w:tplc="49302404">
      <w:start w:val="1"/>
      <w:numFmt w:val="decimal"/>
      <w:lvlText w:val="%1."/>
      <w:lvlJc w:val="left"/>
      <w:pPr>
        <w:tabs>
          <w:tab w:val="num" w:pos="502"/>
        </w:tabs>
        <w:ind w:left="502"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9E3583C"/>
    <w:multiLevelType w:val="multilevel"/>
    <w:tmpl w:val="76C26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9972FB"/>
    <w:multiLevelType w:val="hybridMultilevel"/>
    <w:tmpl w:val="B5227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F46E76"/>
    <w:multiLevelType w:val="hybridMultilevel"/>
    <w:tmpl w:val="C2605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3393475F"/>
    <w:multiLevelType w:val="hybridMultilevel"/>
    <w:tmpl w:val="8D44C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73247E"/>
    <w:multiLevelType w:val="hybridMultilevel"/>
    <w:tmpl w:val="40CEB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A17A5F"/>
    <w:multiLevelType w:val="hybridMultilevel"/>
    <w:tmpl w:val="DA1A9838"/>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A89788B"/>
    <w:multiLevelType w:val="hybridMultilevel"/>
    <w:tmpl w:val="125212E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6B252B6A"/>
    <w:multiLevelType w:val="hybridMultilevel"/>
    <w:tmpl w:val="F7EA6B18"/>
    <w:lvl w:ilvl="0" w:tplc="4A38BEF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F872D83"/>
    <w:multiLevelType w:val="hybridMultilevel"/>
    <w:tmpl w:val="8CB46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9"/>
  </w:num>
  <w:num w:numId="12">
    <w:abstractNumId w:val="2"/>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F2"/>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266C5"/>
    <w:rsid w:val="00030890"/>
    <w:rsid w:val="00030DEA"/>
    <w:rsid w:val="00033950"/>
    <w:rsid w:val="000343E7"/>
    <w:rsid w:val="00035185"/>
    <w:rsid w:val="00036A3D"/>
    <w:rsid w:val="00036EE4"/>
    <w:rsid w:val="00041469"/>
    <w:rsid w:val="00041CD1"/>
    <w:rsid w:val="0004221C"/>
    <w:rsid w:val="000431FE"/>
    <w:rsid w:val="000435AD"/>
    <w:rsid w:val="00045AFC"/>
    <w:rsid w:val="000462BA"/>
    <w:rsid w:val="00046F46"/>
    <w:rsid w:val="00047559"/>
    <w:rsid w:val="000523FC"/>
    <w:rsid w:val="000526E4"/>
    <w:rsid w:val="0005334A"/>
    <w:rsid w:val="0005434D"/>
    <w:rsid w:val="000545DC"/>
    <w:rsid w:val="0005503E"/>
    <w:rsid w:val="00055373"/>
    <w:rsid w:val="00055D70"/>
    <w:rsid w:val="00056263"/>
    <w:rsid w:val="00056E3D"/>
    <w:rsid w:val="00056F77"/>
    <w:rsid w:val="0005761E"/>
    <w:rsid w:val="00057AC4"/>
    <w:rsid w:val="00057AF8"/>
    <w:rsid w:val="000606D4"/>
    <w:rsid w:val="00060712"/>
    <w:rsid w:val="00060AAB"/>
    <w:rsid w:val="00060CD3"/>
    <w:rsid w:val="000655B2"/>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43A5"/>
    <w:rsid w:val="000B5B1E"/>
    <w:rsid w:val="000C0912"/>
    <w:rsid w:val="000C2669"/>
    <w:rsid w:val="000C26E9"/>
    <w:rsid w:val="000C3EB5"/>
    <w:rsid w:val="000C43B6"/>
    <w:rsid w:val="000C684B"/>
    <w:rsid w:val="000C6EED"/>
    <w:rsid w:val="000C79FD"/>
    <w:rsid w:val="000D012A"/>
    <w:rsid w:val="000D0FA0"/>
    <w:rsid w:val="000D2A6B"/>
    <w:rsid w:val="000D31FE"/>
    <w:rsid w:val="000D5E01"/>
    <w:rsid w:val="000D602B"/>
    <w:rsid w:val="000D6393"/>
    <w:rsid w:val="000D670A"/>
    <w:rsid w:val="000D77C0"/>
    <w:rsid w:val="000D7C12"/>
    <w:rsid w:val="000E0036"/>
    <w:rsid w:val="000E310A"/>
    <w:rsid w:val="000E3979"/>
    <w:rsid w:val="000E3CE1"/>
    <w:rsid w:val="000E73FF"/>
    <w:rsid w:val="000E7C1C"/>
    <w:rsid w:val="000F03B0"/>
    <w:rsid w:val="000F162C"/>
    <w:rsid w:val="000F3333"/>
    <w:rsid w:val="000F6F99"/>
    <w:rsid w:val="000F7020"/>
    <w:rsid w:val="00101A24"/>
    <w:rsid w:val="00113146"/>
    <w:rsid w:val="00114F56"/>
    <w:rsid w:val="001158BA"/>
    <w:rsid w:val="00116006"/>
    <w:rsid w:val="00116B51"/>
    <w:rsid w:val="0012410B"/>
    <w:rsid w:val="00125812"/>
    <w:rsid w:val="00125ADD"/>
    <w:rsid w:val="00126CD1"/>
    <w:rsid w:val="00127757"/>
    <w:rsid w:val="00130E8F"/>
    <w:rsid w:val="00131A98"/>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0000"/>
    <w:rsid w:val="00161022"/>
    <w:rsid w:val="00161358"/>
    <w:rsid w:val="001620EB"/>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5694"/>
    <w:rsid w:val="001A56AA"/>
    <w:rsid w:val="001A5BEE"/>
    <w:rsid w:val="001A6496"/>
    <w:rsid w:val="001B0726"/>
    <w:rsid w:val="001B0A7A"/>
    <w:rsid w:val="001B0DF0"/>
    <w:rsid w:val="001B1A87"/>
    <w:rsid w:val="001B1BDF"/>
    <w:rsid w:val="001B24D5"/>
    <w:rsid w:val="001B2869"/>
    <w:rsid w:val="001B3F6D"/>
    <w:rsid w:val="001B3F81"/>
    <w:rsid w:val="001B4E6C"/>
    <w:rsid w:val="001B54FC"/>
    <w:rsid w:val="001B7122"/>
    <w:rsid w:val="001C001D"/>
    <w:rsid w:val="001C0CF6"/>
    <w:rsid w:val="001C2214"/>
    <w:rsid w:val="001C2524"/>
    <w:rsid w:val="001C41C2"/>
    <w:rsid w:val="001C46F2"/>
    <w:rsid w:val="001C6912"/>
    <w:rsid w:val="001D0A46"/>
    <w:rsid w:val="001D22ED"/>
    <w:rsid w:val="001D3440"/>
    <w:rsid w:val="001D37FB"/>
    <w:rsid w:val="001D4D62"/>
    <w:rsid w:val="001D5120"/>
    <w:rsid w:val="001D53A8"/>
    <w:rsid w:val="001D7325"/>
    <w:rsid w:val="001E12C8"/>
    <w:rsid w:val="001E1A8F"/>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0DB7"/>
    <w:rsid w:val="00213B41"/>
    <w:rsid w:val="00216DB5"/>
    <w:rsid w:val="00216F08"/>
    <w:rsid w:val="00217A19"/>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6852"/>
    <w:rsid w:val="00247ADA"/>
    <w:rsid w:val="00251406"/>
    <w:rsid w:val="00257836"/>
    <w:rsid w:val="00264EEE"/>
    <w:rsid w:val="0026530E"/>
    <w:rsid w:val="00265DED"/>
    <w:rsid w:val="00265E6C"/>
    <w:rsid w:val="00266A30"/>
    <w:rsid w:val="0026794D"/>
    <w:rsid w:val="00267FAB"/>
    <w:rsid w:val="00270CAF"/>
    <w:rsid w:val="002710B0"/>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7942"/>
    <w:rsid w:val="00292783"/>
    <w:rsid w:val="0029399F"/>
    <w:rsid w:val="00293E21"/>
    <w:rsid w:val="00294960"/>
    <w:rsid w:val="00295264"/>
    <w:rsid w:val="00295DFA"/>
    <w:rsid w:val="00296404"/>
    <w:rsid w:val="0029649F"/>
    <w:rsid w:val="002A05D3"/>
    <w:rsid w:val="002A06C6"/>
    <w:rsid w:val="002A107A"/>
    <w:rsid w:val="002A535E"/>
    <w:rsid w:val="002A5881"/>
    <w:rsid w:val="002A5E7A"/>
    <w:rsid w:val="002A60DC"/>
    <w:rsid w:val="002B0025"/>
    <w:rsid w:val="002B0801"/>
    <w:rsid w:val="002B0A3F"/>
    <w:rsid w:val="002B5324"/>
    <w:rsid w:val="002B56E7"/>
    <w:rsid w:val="002B5823"/>
    <w:rsid w:val="002B733A"/>
    <w:rsid w:val="002B7F4A"/>
    <w:rsid w:val="002B7F51"/>
    <w:rsid w:val="002C0074"/>
    <w:rsid w:val="002C097E"/>
    <w:rsid w:val="002C2315"/>
    <w:rsid w:val="002C301D"/>
    <w:rsid w:val="002C4A38"/>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5726"/>
    <w:rsid w:val="00306E9B"/>
    <w:rsid w:val="003076FA"/>
    <w:rsid w:val="00310669"/>
    <w:rsid w:val="00310D70"/>
    <w:rsid w:val="0031214B"/>
    <w:rsid w:val="00313F3E"/>
    <w:rsid w:val="00314A19"/>
    <w:rsid w:val="00315307"/>
    <w:rsid w:val="00315D17"/>
    <w:rsid w:val="00316B54"/>
    <w:rsid w:val="003176BB"/>
    <w:rsid w:val="00317E1A"/>
    <w:rsid w:val="00320A3C"/>
    <w:rsid w:val="003232C2"/>
    <w:rsid w:val="003237B0"/>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657"/>
    <w:rsid w:val="00355DAA"/>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4360"/>
    <w:rsid w:val="003A68AA"/>
    <w:rsid w:val="003A7561"/>
    <w:rsid w:val="003A76E4"/>
    <w:rsid w:val="003B03A4"/>
    <w:rsid w:val="003B09F2"/>
    <w:rsid w:val="003B1384"/>
    <w:rsid w:val="003B24C7"/>
    <w:rsid w:val="003B35B8"/>
    <w:rsid w:val="003B4A9D"/>
    <w:rsid w:val="003B4B13"/>
    <w:rsid w:val="003B4D2C"/>
    <w:rsid w:val="003B53A6"/>
    <w:rsid w:val="003B6BE2"/>
    <w:rsid w:val="003C0785"/>
    <w:rsid w:val="003C1764"/>
    <w:rsid w:val="003C3AD0"/>
    <w:rsid w:val="003C692C"/>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8B5"/>
    <w:rsid w:val="003F14AC"/>
    <w:rsid w:val="003F2561"/>
    <w:rsid w:val="003F27A7"/>
    <w:rsid w:val="003F2D09"/>
    <w:rsid w:val="003F34BF"/>
    <w:rsid w:val="003F37EA"/>
    <w:rsid w:val="003F47F5"/>
    <w:rsid w:val="003F58A2"/>
    <w:rsid w:val="003F59CC"/>
    <w:rsid w:val="003F5E57"/>
    <w:rsid w:val="003F5F9D"/>
    <w:rsid w:val="003F7652"/>
    <w:rsid w:val="003F7EDA"/>
    <w:rsid w:val="00401D87"/>
    <w:rsid w:val="00402BF8"/>
    <w:rsid w:val="00403755"/>
    <w:rsid w:val="0040387F"/>
    <w:rsid w:val="00406227"/>
    <w:rsid w:val="00407D3B"/>
    <w:rsid w:val="0041363C"/>
    <w:rsid w:val="00414D69"/>
    <w:rsid w:val="00414E9A"/>
    <w:rsid w:val="00415CC4"/>
    <w:rsid w:val="00415FD6"/>
    <w:rsid w:val="0041696F"/>
    <w:rsid w:val="00420D4C"/>
    <w:rsid w:val="00423B79"/>
    <w:rsid w:val="004240D2"/>
    <w:rsid w:val="00424ADF"/>
    <w:rsid w:val="004303B8"/>
    <w:rsid w:val="00431677"/>
    <w:rsid w:val="00433183"/>
    <w:rsid w:val="00433AED"/>
    <w:rsid w:val="004342F0"/>
    <w:rsid w:val="004353DD"/>
    <w:rsid w:val="00435F4A"/>
    <w:rsid w:val="004368C4"/>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01C"/>
    <w:rsid w:val="00471759"/>
    <w:rsid w:val="0047175C"/>
    <w:rsid w:val="004721E0"/>
    <w:rsid w:val="00472F9C"/>
    <w:rsid w:val="00473803"/>
    <w:rsid w:val="004755FE"/>
    <w:rsid w:val="004759BF"/>
    <w:rsid w:val="00476857"/>
    <w:rsid w:val="00476B4E"/>
    <w:rsid w:val="0047782F"/>
    <w:rsid w:val="00481754"/>
    <w:rsid w:val="004828C6"/>
    <w:rsid w:val="0048336F"/>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4E7B"/>
    <w:rsid w:val="004B6A2E"/>
    <w:rsid w:val="004B7418"/>
    <w:rsid w:val="004B78FA"/>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B1C"/>
    <w:rsid w:val="00504E3C"/>
    <w:rsid w:val="00506456"/>
    <w:rsid w:val="00506825"/>
    <w:rsid w:val="00506FA2"/>
    <w:rsid w:val="00507196"/>
    <w:rsid w:val="005079DD"/>
    <w:rsid w:val="005103B1"/>
    <w:rsid w:val="00515680"/>
    <w:rsid w:val="005173F5"/>
    <w:rsid w:val="00517D7F"/>
    <w:rsid w:val="00517E7D"/>
    <w:rsid w:val="00520779"/>
    <w:rsid w:val="00521E8C"/>
    <w:rsid w:val="00523AAC"/>
    <w:rsid w:val="00523CF5"/>
    <w:rsid w:val="005246FD"/>
    <w:rsid w:val="00525A4C"/>
    <w:rsid w:val="00525C51"/>
    <w:rsid w:val="00530417"/>
    <w:rsid w:val="0053076B"/>
    <w:rsid w:val="00530B0F"/>
    <w:rsid w:val="00532095"/>
    <w:rsid w:val="005321B7"/>
    <w:rsid w:val="005328C3"/>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1664"/>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5FC"/>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3A90"/>
    <w:rsid w:val="00594805"/>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29AF"/>
    <w:rsid w:val="005B39D2"/>
    <w:rsid w:val="005B3B36"/>
    <w:rsid w:val="005B545C"/>
    <w:rsid w:val="005B55F8"/>
    <w:rsid w:val="005B5924"/>
    <w:rsid w:val="005B6561"/>
    <w:rsid w:val="005B71B3"/>
    <w:rsid w:val="005C0312"/>
    <w:rsid w:val="005C0453"/>
    <w:rsid w:val="005C21D1"/>
    <w:rsid w:val="005C24B6"/>
    <w:rsid w:val="005C29FA"/>
    <w:rsid w:val="005C363D"/>
    <w:rsid w:val="005C3E40"/>
    <w:rsid w:val="005C5F92"/>
    <w:rsid w:val="005C6EDB"/>
    <w:rsid w:val="005D0763"/>
    <w:rsid w:val="005D0FD8"/>
    <w:rsid w:val="005D1CAF"/>
    <w:rsid w:val="005D3DE0"/>
    <w:rsid w:val="005D4C84"/>
    <w:rsid w:val="005D57F3"/>
    <w:rsid w:val="005D67EA"/>
    <w:rsid w:val="005E0B96"/>
    <w:rsid w:val="005E4156"/>
    <w:rsid w:val="005E6886"/>
    <w:rsid w:val="005E6DB6"/>
    <w:rsid w:val="005E7559"/>
    <w:rsid w:val="005F0714"/>
    <w:rsid w:val="005F2C40"/>
    <w:rsid w:val="005F4DCE"/>
    <w:rsid w:val="005F5FC9"/>
    <w:rsid w:val="005F7B81"/>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7E9"/>
    <w:rsid w:val="00621E70"/>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473"/>
    <w:rsid w:val="00660B1F"/>
    <w:rsid w:val="00662194"/>
    <w:rsid w:val="006637FA"/>
    <w:rsid w:val="00663B17"/>
    <w:rsid w:val="00666A40"/>
    <w:rsid w:val="00671424"/>
    <w:rsid w:val="006755C1"/>
    <w:rsid w:val="00675A28"/>
    <w:rsid w:val="00675D3E"/>
    <w:rsid w:val="00676159"/>
    <w:rsid w:val="006772A7"/>
    <w:rsid w:val="006772CA"/>
    <w:rsid w:val="00677EE9"/>
    <w:rsid w:val="006804CF"/>
    <w:rsid w:val="006822DA"/>
    <w:rsid w:val="00682473"/>
    <w:rsid w:val="006829A8"/>
    <w:rsid w:val="00682FBC"/>
    <w:rsid w:val="00683A57"/>
    <w:rsid w:val="0068449E"/>
    <w:rsid w:val="00684A4C"/>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982"/>
    <w:rsid w:val="006B35BE"/>
    <w:rsid w:val="006C0A4C"/>
    <w:rsid w:val="006C1B43"/>
    <w:rsid w:val="006C1D7C"/>
    <w:rsid w:val="006C2927"/>
    <w:rsid w:val="006C3765"/>
    <w:rsid w:val="006C39BF"/>
    <w:rsid w:val="006C4775"/>
    <w:rsid w:val="006C6FA2"/>
    <w:rsid w:val="006C7000"/>
    <w:rsid w:val="006C7763"/>
    <w:rsid w:val="006D012B"/>
    <w:rsid w:val="006D12A7"/>
    <w:rsid w:val="006D2BD5"/>
    <w:rsid w:val="006D3ECE"/>
    <w:rsid w:val="006D4E45"/>
    <w:rsid w:val="006D5350"/>
    <w:rsid w:val="006D7437"/>
    <w:rsid w:val="006E0317"/>
    <w:rsid w:val="006E0511"/>
    <w:rsid w:val="006E12C1"/>
    <w:rsid w:val="006E2B33"/>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3508"/>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6097"/>
    <w:rsid w:val="00764F3A"/>
    <w:rsid w:val="00765CC1"/>
    <w:rsid w:val="007669BA"/>
    <w:rsid w:val="00770261"/>
    <w:rsid w:val="007712EA"/>
    <w:rsid w:val="00772439"/>
    <w:rsid w:val="00773ACD"/>
    <w:rsid w:val="007768C5"/>
    <w:rsid w:val="0077715B"/>
    <w:rsid w:val="007773BD"/>
    <w:rsid w:val="00777B72"/>
    <w:rsid w:val="00777EEE"/>
    <w:rsid w:val="007811C0"/>
    <w:rsid w:val="007819CF"/>
    <w:rsid w:val="00782524"/>
    <w:rsid w:val="0078263F"/>
    <w:rsid w:val="00783380"/>
    <w:rsid w:val="00783657"/>
    <w:rsid w:val="00786840"/>
    <w:rsid w:val="00790852"/>
    <w:rsid w:val="00790EEE"/>
    <w:rsid w:val="00791304"/>
    <w:rsid w:val="00791677"/>
    <w:rsid w:val="00791E8E"/>
    <w:rsid w:val="007931A9"/>
    <w:rsid w:val="00794E52"/>
    <w:rsid w:val="00794E6C"/>
    <w:rsid w:val="007952A7"/>
    <w:rsid w:val="00796982"/>
    <w:rsid w:val="007A02C7"/>
    <w:rsid w:val="007A05C6"/>
    <w:rsid w:val="007A101C"/>
    <w:rsid w:val="007A2C70"/>
    <w:rsid w:val="007A375D"/>
    <w:rsid w:val="007A5826"/>
    <w:rsid w:val="007A657A"/>
    <w:rsid w:val="007B249F"/>
    <w:rsid w:val="007B4330"/>
    <w:rsid w:val="007B435A"/>
    <w:rsid w:val="007B5D7E"/>
    <w:rsid w:val="007B788E"/>
    <w:rsid w:val="007C17B1"/>
    <w:rsid w:val="007C43BB"/>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56B6"/>
    <w:rsid w:val="00807058"/>
    <w:rsid w:val="0080739F"/>
    <w:rsid w:val="0080758E"/>
    <w:rsid w:val="0081025E"/>
    <w:rsid w:val="00812261"/>
    <w:rsid w:val="008124E6"/>
    <w:rsid w:val="00812B72"/>
    <w:rsid w:val="00813360"/>
    <w:rsid w:val="00813620"/>
    <w:rsid w:val="00816F3A"/>
    <w:rsid w:val="008171ED"/>
    <w:rsid w:val="00820729"/>
    <w:rsid w:val="00820A94"/>
    <w:rsid w:val="00822DB3"/>
    <w:rsid w:val="00823B52"/>
    <w:rsid w:val="00823B90"/>
    <w:rsid w:val="008304E8"/>
    <w:rsid w:val="00831ACA"/>
    <w:rsid w:val="00831AD5"/>
    <w:rsid w:val="00831BAA"/>
    <w:rsid w:val="00831E32"/>
    <w:rsid w:val="00834C7B"/>
    <w:rsid w:val="00836367"/>
    <w:rsid w:val="008375CF"/>
    <w:rsid w:val="008425D5"/>
    <w:rsid w:val="00843D20"/>
    <w:rsid w:val="00844454"/>
    <w:rsid w:val="0084656C"/>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844"/>
    <w:rsid w:val="00867E68"/>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063B"/>
    <w:rsid w:val="00891481"/>
    <w:rsid w:val="00893A34"/>
    <w:rsid w:val="00893F1F"/>
    <w:rsid w:val="00897964"/>
    <w:rsid w:val="008A1578"/>
    <w:rsid w:val="008A2903"/>
    <w:rsid w:val="008A2ECB"/>
    <w:rsid w:val="008A41D1"/>
    <w:rsid w:val="008A5FB5"/>
    <w:rsid w:val="008A6B32"/>
    <w:rsid w:val="008A6D57"/>
    <w:rsid w:val="008A7DEB"/>
    <w:rsid w:val="008B39F2"/>
    <w:rsid w:val="008B4434"/>
    <w:rsid w:val="008B7CC7"/>
    <w:rsid w:val="008C080A"/>
    <w:rsid w:val="008C0BAD"/>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99D"/>
    <w:rsid w:val="008E4CDF"/>
    <w:rsid w:val="008F1742"/>
    <w:rsid w:val="008F3401"/>
    <w:rsid w:val="008F45DD"/>
    <w:rsid w:val="008F524F"/>
    <w:rsid w:val="008F546B"/>
    <w:rsid w:val="008F7BCB"/>
    <w:rsid w:val="008F7F16"/>
    <w:rsid w:val="009011FA"/>
    <w:rsid w:val="00903A46"/>
    <w:rsid w:val="00907EF1"/>
    <w:rsid w:val="009112D6"/>
    <w:rsid w:val="00911779"/>
    <w:rsid w:val="0091199C"/>
    <w:rsid w:val="00912583"/>
    <w:rsid w:val="00912FE6"/>
    <w:rsid w:val="0091537A"/>
    <w:rsid w:val="0091613C"/>
    <w:rsid w:val="00916AA9"/>
    <w:rsid w:val="00917703"/>
    <w:rsid w:val="00921613"/>
    <w:rsid w:val="00921AD9"/>
    <w:rsid w:val="00922DFB"/>
    <w:rsid w:val="00924DAD"/>
    <w:rsid w:val="00924EF9"/>
    <w:rsid w:val="00925FD2"/>
    <w:rsid w:val="00926B17"/>
    <w:rsid w:val="00931139"/>
    <w:rsid w:val="00931186"/>
    <w:rsid w:val="00931C60"/>
    <w:rsid w:val="00932330"/>
    <w:rsid w:val="009366A0"/>
    <w:rsid w:val="00937674"/>
    <w:rsid w:val="009407EE"/>
    <w:rsid w:val="00943B26"/>
    <w:rsid w:val="00944748"/>
    <w:rsid w:val="00950357"/>
    <w:rsid w:val="0095200D"/>
    <w:rsid w:val="0095245B"/>
    <w:rsid w:val="009542D3"/>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3C"/>
    <w:rsid w:val="0098603E"/>
    <w:rsid w:val="00986F53"/>
    <w:rsid w:val="0099053A"/>
    <w:rsid w:val="009918E8"/>
    <w:rsid w:val="00991ACC"/>
    <w:rsid w:val="00992345"/>
    <w:rsid w:val="00993572"/>
    <w:rsid w:val="009936C3"/>
    <w:rsid w:val="00995D58"/>
    <w:rsid w:val="0099604A"/>
    <w:rsid w:val="009962FE"/>
    <w:rsid w:val="00997E46"/>
    <w:rsid w:val="009A0E5A"/>
    <w:rsid w:val="009A1F84"/>
    <w:rsid w:val="009A237B"/>
    <w:rsid w:val="009A23EE"/>
    <w:rsid w:val="009A2C24"/>
    <w:rsid w:val="009A4293"/>
    <w:rsid w:val="009A6068"/>
    <w:rsid w:val="009A6D36"/>
    <w:rsid w:val="009B0464"/>
    <w:rsid w:val="009B1209"/>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580A"/>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72D91"/>
    <w:rsid w:val="00A73D4B"/>
    <w:rsid w:val="00A748A3"/>
    <w:rsid w:val="00A761FA"/>
    <w:rsid w:val="00A771C0"/>
    <w:rsid w:val="00A80CA4"/>
    <w:rsid w:val="00A80F0B"/>
    <w:rsid w:val="00A81192"/>
    <w:rsid w:val="00A81297"/>
    <w:rsid w:val="00A81AA6"/>
    <w:rsid w:val="00A82A72"/>
    <w:rsid w:val="00A85A08"/>
    <w:rsid w:val="00A86724"/>
    <w:rsid w:val="00A8672D"/>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4B80"/>
    <w:rsid w:val="00AB7678"/>
    <w:rsid w:val="00AC014E"/>
    <w:rsid w:val="00AC238D"/>
    <w:rsid w:val="00AC4B7F"/>
    <w:rsid w:val="00AC7238"/>
    <w:rsid w:val="00AC7BEB"/>
    <w:rsid w:val="00AC7C05"/>
    <w:rsid w:val="00AD162D"/>
    <w:rsid w:val="00AD16E4"/>
    <w:rsid w:val="00AD2189"/>
    <w:rsid w:val="00AD2C02"/>
    <w:rsid w:val="00AD31A9"/>
    <w:rsid w:val="00AD40A0"/>
    <w:rsid w:val="00AD5287"/>
    <w:rsid w:val="00AD6CF5"/>
    <w:rsid w:val="00AD7847"/>
    <w:rsid w:val="00AE097A"/>
    <w:rsid w:val="00AE1B5A"/>
    <w:rsid w:val="00AE2151"/>
    <w:rsid w:val="00AE249D"/>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3398"/>
    <w:rsid w:val="00B245B0"/>
    <w:rsid w:val="00B24997"/>
    <w:rsid w:val="00B26E56"/>
    <w:rsid w:val="00B31879"/>
    <w:rsid w:val="00B3311C"/>
    <w:rsid w:val="00B33125"/>
    <w:rsid w:val="00B34A3B"/>
    <w:rsid w:val="00B355C5"/>
    <w:rsid w:val="00B3673D"/>
    <w:rsid w:val="00B44C6C"/>
    <w:rsid w:val="00B4757F"/>
    <w:rsid w:val="00B5187A"/>
    <w:rsid w:val="00B5229A"/>
    <w:rsid w:val="00B52C35"/>
    <w:rsid w:val="00B52E33"/>
    <w:rsid w:val="00B55CD1"/>
    <w:rsid w:val="00B5745F"/>
    <w:rsid w:val="00B605F9"/>
    <w:rsid w:val="00B61C67"/>
    <w:rsid w:val="00B6314D"/>
    <w:rsid w:val="00B64BD8"/>
    <w:rsid w:val="00B670C4"/>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1224"/>
    <w:rsid w:val="00B91420"/>
    <w:rsid w:val="00B92DEC"/>
    <w:rsid w:val="00B9510D"/>
    <w:rsid w:val="00B9525A"/>
    <w:rsid w:val="00BA015D"/>
    <w:rsid w:val="00BA064C"/>
    <w:rsid w:val="00BA08F9"/>
    <w:rsid w:val="00BA0C85"/>
    <w:rsid w:val="00BA1B22"/>
    <w:rsid w:val="00BA4091"/>
    <w:rsid w:val="00BA4735"/>
    <w:rsid w:val="00BA54D5"/>
    <w:rsid w:val="00BB2DB8"/>
    <w:rsid w:val="00BB3A50"/>
    <w:rsid w:val="00BB4D9B"/>
    <w:rsid w:val="00BB647C"/>
    <w:rsid w:val="00BC0C83"/>
    <w:rsid w:val="00BC33E7"/>
    <w:rsid w:val="00BC5A0A"/>
    <w:rsid w:val="00BC61B1"/>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1953"/>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2BCC"/>
    <w:rsid w:val="00C13480"/>
    <w:rsid w:val="00C1593D"/>
    <w:rsid w:val="00C15B44"/>
    <w:rsid w:val="00C172E3"/>
    <w:rsid w:val="00C217D7"/>
    <w:rsid w:val="00C21910"/>
    <w:rsid w:val="00C22372"/>
    <w:rsid w:val="00C22791"/>
    <w:rsid w:val="00C244FF"/>
    <w:rsid w:val="00C268EB"/>
    <w:rsid w:val="00C27FC3"/>
    <w:rsid w:val="00C33D51"/>
    <w:rsid w:val="00C34065"/>
    <w:rsid w:val="00C35BF3"/>
    <w:rsid w:val="00C3670D"/>
    <w:rsid w:val="00C36E7D"/>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A6F"/>
    <w:rsid w:val="00C62F4A"/>
    <w:rsid w:val="00C6318D"/>
    <w:rsid w:val="00C634DB"/>
    <w:rsid w:val="00C63883"/>
    <w:rsid w:val="00C66506"/>
    <w:rsid w:val="00C70641"/>
    <w:rsid w:val="00C70E2C"/>
    <w:rsid w:val="00C72EF0"/>
    <w:rsid w:val="00C7318D"/>
    <w:rsid w:val="00C74CC2"/>
    <w:rsid w:val="00C76487"/>
    <w:rsid w:val="00C77322"/>
    <w:rsid w:val="00C77ACD"/>
    <w:rsid w:val="00C81584"/>
    <w:rsid w:val="00C82FC1"/>
    <w:rsid w:val="00C83726"/>
    <w:rsid w:val="00C85536"/>
    <w:rsid w:val="00C9240D"/>
    <w:rsid w:val="00C96565"/>
    <w:rsid w:val="00C96CE3"/>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1B2D"/>
    <w:rsid w:val="00CC2C4F"/>
    <w:rsid w:val="00CC3FDF"/>
    <w:rsid w:val="00CC60B9"/>
    <w:rsid w:val="00CD1628"/>
    <w:rsid w:val="00CD2712"/>
    <w:rsid w:val="00CD35A0"/>
    <w:rsid w:val="00CD41EE"/>
    <w:rsid w:val="00CD476F"/>
    <w:rsid w:val="00CD664F"/>
    <w:rsid w:val="00CD6AAE"/>
    <w:rsid w:val="00CD7C95"/>
    <w:rsid w:val="00CE3D5E"/>
    <w:rsid w:val="00CE49E7"/>
    <w:rsid w:val="00CE642E"/>
    <w:rsid w:val="00CF034B"/>
    <w:rsid w:val="00CF32E9"/>
    <w:rsid w:val="00CF345C"/>
    <w:rsid w:val="00CF3AA3"/>
    <w:rsid w:val="00CF3FEA"/>
    <w:rsid w:val="00CF4E94"/>
    <w:rsid w:val="00CF56C1"/>
    <w:rsid w:val="00CF75BA"/>
    <w:rsid w:val="00CF7FC2"/>
    <w:rsid w:val="00D0100E"/>
    <w:rsid w:val="00D010E3"/>
    <w:rsid w:val="00D01A19"/>
    <w:rsid w:val="00D02E90"/>
    <w:rsid w:val="00D0482D"/>
    <w:rsid w:val="00D05810"/>
    <w:rsid w:val="00D10925"/>
    <w:rsid w:val="00D15ADE"/>
    <w:rsid w:val="00D16F5F"/>
    <w:rsid w:val="00D20416"/>
    <w:rsid w:val="00D20CCF"/>
    <w:rsid w:val="00D21942"/>
    <w:rsid w:val="00D22B65"/>
    <w:rsid w:val="00D23682"/>
    <w:rsid w:val="00D27F0C"/>
    <w:rsid w:val="00D30BD9"/>
    <w:rsid w:val="00D30C9F"/>
    <w:rsid w:val="00D31275"/>
    <w:rsid w:val="00D3196B"/>
    <w:rsid w:val="00D324FC"/>
    <w:rsid w:val="00D35F36"/>
    <w:rsid w:val="00D36C2B"/>
    <w:rsid w:val="00D378DF"/>
    <w:rsid w:val="00D41322"/>
    <w:rsid w:val="00D41BAE"/>
    <w:rsid w:val="00D42B0C"/>
    <w:rsid w:val="00D47AC5"/>
    <w:rsid w:val="00D5090D"/>
    <w:rsid w:val="00D5113F"/>
    <w:rsid w:val="00D52351"/>
    <w:rsid w:val="00D56336"/>
    <w:rsid w:val="00D56BA7"/>
    <w:rsid w:val="00D576E9"/>
    <w:rsid w:val="00D5781D"/>
    <w:rsid w:val="00D617EF"/>
    <w:rsid w:val="00D62A05"/>
    <w:rsid w:val="00D62ECD"/>
    <w:rsid w:val="00D65CF2"/>
    <w:rsid w:val="00D66273"/>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75"/>
    <w:rsid w:val="00D957C0"/>
    <w:rsid w:val="00D965FE"/>
    <w:rsid w:val="00DA0546"/>
    <w:rsid w:val="00DA1332"/>
    <w:rsid w:val="00DA377B"/>
    <w:rsid w:val="00DA48F6"/>
    <w:rsid w:val="00DA5238"/>
    <w:rsid w:val="00DA53C1"/>
    <w:rsid w:val="00DA5621"/>
    <w:rsid w:val="00DA5B67"/>
    <w:rsid w:val="00DA7ECD"/>
    <w:rsid w:val="00DB09E4"/>
    <w:rsid w:val="00DB240C"/>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196C"/>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503F7"/>
    <w:rsid w:val="00E5543F"/>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B31"/>
    <w:rsid w:val="00E90BDF"/>
    <w:rsid w:val="00E929ED"/>
    <w:rsid w:val="00E940AC"/>
    <w:rsid w:val="00E94F36"/>
    <w:rsid w:val="00E95883"/>
    <w:rsid w:val="00EA258A"/>
    <w:rsid w:val="00EA447E"/>
    <w:rsid w:val="00EA4DBC"/>
    <w:rsid w:val="00EA50AB"/>
    <w:rsid w:val="00EB037F"/>
    <w:rsid w:val="00EB10EA"/>
    <w:rsid w:val="00EB1595"/>
    <w:rsid w:val="00EB31AB"/>
    <w:rsid w:val="00EB4EFE"/>
    <w:rsid w:val="00EB5751"/>
    <w:rsid w:val="00EC175E"/>
    <w:rsid w:val="00EC22D7"/>
    <w:rsid w:val="00EC245A"/>
    <w:rsid w:val="00EC4BAE"/>
    <w:rsid w:val="00EC5B7C"/>
    <w:rsid w:val="00EC5D37"/>
    <w:rsid w:val="00EC6A3F"/>
    <w:rsid w:val="00ED2139"/>
    <w:rsid w:val="00ED2391"/>
    <w:rsid w:val="00ED3DA3"/>
    <w:rsid w:val="00EE1C05"/>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28A2"/>
    <w:rsid w:val="00F560DF"/>
    <w:rsid w:val="00F567BF"/>
    <w:rsid w:val="00F56AC0"/>
    <w:rsid w:val="00F56F0E"/>
    <w:rsid w:val="00F56F47"/>
    <w:rsid w:val="00F57335"/>
    <w:rsid w:val="00F57A39"/>
    <w:rsid w:val="00F60E1A"/>
    <w:rsid w:val="00F61F72"/>
    <w:rsid w:val="00F62680"/>
    <w:rsid w:val="00F63723"/>
    <w:rsid w:val="00F63BA4"/>
    <w:rsid w:val="00F65E9E"/>
    <w:rsid w:val="00F667E0"/>
    <w:rsid w:val="00F7025D"/>
    <w:rsid w:val="00F72085"/>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43A5"/>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43A5"/>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28268">
      <w:bodyDiv w:val="1"/>
      <w:marLeft w:val="0"/>
      <w:marRight w:val="0"/>
      <w:marTop w:val="0"/>
      <w:marBottom w:val="0"/>
      <w:divBdr>
        <w:top w:val="none" w:sz="0" w:space="0" w:color="auto"/>
        <w:left w:val="none" w:sz="0" w:space="0" w:color="auto"/>
        <w:bottom w:val="none" w:sz="0" w:space="0" w:color="auto"/>
        <w:right w:val="none" w:sz="0" w:space="0" w:color="auto"/>
      </w:divBdr>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14656</Characters>
  <Application>Microsoft Office Word</Application>
  <DocSecurity>0</DocSecurity>
  <Lines>488</Lines>
  <Paragraphs>154</Paragraphs>
  <ScaleCrop>false</ScaleCrop>
  <HeadingPairs>
    <vt:vector size="2" baseType="variant">
      <vt:variant>
        <vt:lpstr>Title</vt:lpstr>
      </vt:variant>
      <vt:variant>
        <vt:i4>1</vt:i4>
      </vt:variant>
    </vt:vector>
  </HeadingPairs>
  <TitlesOfParts>
    <vt:vector size="1" baseType="lpstr">
      <vt:lpstr>Regulatory impact statement - Information sharing between Inland Revenue and the Accident Compensation Corporation (27 October 2015)</vt:lpstr>
    </vt:vector>
  </TitlesOfParts>
  <Company>Inland Revenue</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Information sharing between Inland Revenue and the Accident Compensation Corporation (27 October 2015)</dc:title>
  <dc:creator>Policy and Strategy</dc:creator>
  <dc:description>Published December 2015</dc:description>
  <cp:lastModifiedBy>David Nind</cp:lastModifiedBy>
  <cp:revision>2</cp:revision>
  <dcterms:created xsi:type="dcterms:W3CDTF">2015-12-03T02:06:00Z</dcterms:created>
  <dcterms:modified xsi:type="dcterms:W3CDTF">2015-12-03T02:06:00Z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