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27" w:rsidRPr="00DB4CC5" w:rsidRDefault="007F7F27" w:rsidP="00536A68">
      <w:pPr>
        <w:rPr>
          <w:lang w:val="en-NZ"/>
        </w:rPr>
      </w:pPr>
      <w:bookmarkStart w:id="0" w:name="_Toc429977995"/>
      <w:bookmarkStart w:id="1" w:name="_GoBack"/>
      <w:bookmarkEnd w:id="1"/>
    </w:p>
    <w:p w:rsidR="007F7F27" w:rsidRPr="00DB4CC5" w:rsidRDefault="007F7F27" w:rsidP="00536A68">
      <w:pPr>
        <w:rPr>
          <w:lang w:val="en-NZ"/>
        </w:rPr>
      </w:pPr>
    </w:p>
    <w:p w:rsidR="007F7F27" w:rsidRPr="00DB4CC5" w:rsidRDefault="007F7F27" w:rsidP="00536A68">
      <w:pPr>
        <w:rPr>
          <w:lang w:val="en-NZ"/>
        </w:rPr>
      </w:pPr>
    </w:p>
    <w:p w:rsidR="007F7F27" w:rsidRPr="00DB4CC5" w:rsidRDefault="007F7F27" w:rsidP="00536A68">
      <w:pPr>
        <w:rPr>
          <w:lang w:val="en-NZ"/>
        </w:rPr>
      </w:pPr>
    </w:p>
    <w:p w:rsidR="007F7F27" w:rsidRPr="00DB4CC5" w:rsidRDefault="007F7F27" w:rsidP="00536A68">
      <w:pPr>
        <w:rPr>
          <w:lang w:val="en-NZ"/>
        </w:rPr>
      </w:pPr>
    </w:p>
    <w:p w:rsidR="007F7F27" w:rsidRPr="00DB4CC5" w:rsidRDefault="007F7F27" w:rsidP="00536A68">
      <w:pPr>
        <w:rPr>
          <w:lang w:val="en-NZ"/>
        </w:rPr>
      </w:pPr>
    </w:p>
    <w:p w:rsidR="007F7F27" w:rsidRPr="00DB4CC5" w:rsidRDefault="007F7F27" w:rsidP="00536A68">
      <w:pPr>
        <w:rPr>
          <w:lang w:val="en-NZ"/>
        </w:rPr>
      </w:pPr>
    </w:p>
    <w:p w:rsidR="007F7F27" w:rsidRPr="00DB4CC5" w:rsidRDefault="007F7F27" w:rsidP="00536A68">
      <w:pPr>
        <w:rPr>
          <w:lang w:val="en-NZ"/>
        </w:rPr>
      </w:pPr>
    </w:p>
    <w:p w:rsidR="007F7F27" w:rsidRPr="00DB4CC5" w:rsidRDefault="007F7F27" w:rsidP="00536A68">
      <w:pPr>
        <w:rPr>
          <w:lang w:val="en-NZ"/>
        </w:rPr>
      </w:pPr>
    </w:p>
    <w:p w:rsidR="007F7F27" w:rsidRPr="0021270B" w:rsidRDefault="00A047DE" w:rsidP="009023DD">
      <w:pPr>
        <w:pBdr>
          <w:bottom w:val="single" w:sz="4" w:space="1" w:color="auto"/>
        </w:pBdr>
        <w:jc w:val="left"/>
        <w:rPr>
          <w:lang w:val="en-NZ"/>
        </w:rPr>
      </w:pPr>
      <w:r w:rsidRPr="0021270B">
        <w:rPr>
          <w:b/>
          <w:sz w:val="48"/>
          <w:lang w:val="en-NZ"/>
        </w:rPr>
        <w:t>Taxation (Land Information and Offshore Persons Information) Bill</w:t>
      </w:r>
    </w:p>
    <w:p w:rsidR="007F7F27" w:rsidRPr="0021270B" w:rsidRDefault="007F7F27" w:rsidP="00536A68">
      <w:pPr>
        <w:rPr>
          <w:lang w:val="en-NZ"/>
        </w:rPr>
      </w:pPr>
    </w:p>
    <w:p w:rsidR="00C662E9" w:rsidRPr="0021270B" w:rsidRDefault="00A047DE" w:rsidP="009023DD">
      <w:pPr>
        <w:jc w:val="left"/>
        <w:rPr>
          <w:lang w:val="en-NZ"/>
        </w:rPr>
      </w:pPr>
      <w:r w:rsidRPr="0021270B">
        <w:rPr>
          <w:i/>
          <w:spacing w:val="4"/>
          <w:sz w:val="36"/>
          <w:lang w:val="en-NZ"/>
        </w:rPr>
        <w:t>Officials</w:t>
      </w:r>
      <w:r w:rsidR="005641C1">
        <w:rPr>
          <w:i/>
          <w:spacing w:val="4"/>
          <w:sz w:val="36"/>
          <w:lang w:val="en-NZ"/>
        </w:rPr>
        <w:t>’</w:t>
      </w:r>
      <w:r w:rsidRPr="0021270B">
        <w:rPr>
          <w:i/>
          <w:spacing w:val="4"/>
          <w:sz w:val="36"/>
          <w:lang w:val="en-NZ"/>
        </w:rPr>
        <w:t xml:space="preserve"> Report to the Finance and Expenditure Committee on Submissions on the Bill</w:t>
      </w:r>
    </w:p>
    <w:p w:rsidR="00C662E9" w:rsidRPr="0021270B" w:rsidRDefault="00C662E9" w:rsidP="00536A68">
      <w:pPr>
        <w:rPr>
          <w:lang w:val="en-NZ"/>
        </w:rPr>
      </w:pPr>
    </w:p>
    <w:p w:rsidR="007F7F27" w:rsidRPr="0021270B" w:rsidRDefault="007F7F27" w:rsidP="00536A68">
      <w:pPr>
        <w:rPr>
          <w:lang w:val="en-NZ"/>
        </w:rPr>
      </w:pPr>
    </w:p>
    <w:p w:rsidR="007F7F27" w:rsidRPr="0021270B" w:rsidRDefault="007F7F27" w:rsidP="00536A68">
      <w:pPr>
        <w:rPr>
          <w:lang w:val="en-NZ"/>
        </w:rPr>
      </w:pPr>
    </w:p>
    <w:p w:rsidR="007F7F27" w:rsidRPr="0021270B" w:rsidRDefault="007F7F27" w:rsidP="00536A68">
      <w:pPr>
        <w:rPr>
          <w:lang w:val="en-NZ"/>
        </w:rPr>
      </w:pPr>
    </w:p>
    <w:p w:rsidR="007F7F27" w:rsidRPr="0021270B" w:rsidRDefault="007F7F27" w:rsidP="00536A68">
      <w:pPr>
        <w:rPr>
          <w:lang w:val="en-NZ"/>
        </w:rPr>
      </w:pPr>
    </w:p>
    <w:p w:rsidR="007F7F27" w:rsidRPr="0021270B" w:rsidRDefault="007F7F27" w:rsidP="00536A68">
      <w:pPr>
        <w:rPr>
          <w:lang w:val="en-NZ"/>
        </w:rPr>
      </w:pPr>
    </w:p>
    <w:p w:rsidR="00324CD9" w:rsidRPr="0021270B" w:rsidRDefault="00324CD9" w:rsidP="00536A68">
      <w:pPr>
        <w:rPr>
          <w:lang w:val="en-NZ"/>
        </w:rPr>
      </w:pPr>
    </w:p>
    <w:p w:rsidR="00324CD9" w:rsidRPr="0021270B" w:rsidRDefault="00324CD9" w:rsidP="00536A68">
      <w:pPr>
        <w:rPr>
          <w:lang w:val="en-NZ"/>
        </w:rPr>
      </w:pPr>
    </w:p>
    <w:p w:rsidR="00324CD9" w:rsidRPr="0021270B" w:rsidRDefault="00324CD9" w:rsidP="00536A68">
      <w:pPr>
        <w:rPr>
          <w:lang w:val="en-NZ"/>
        </w:rPr>
      </w:pPr>
    </w:p>
    <w:p w:rsidR="007F7F27" w:rsidRPr="0021270B" w:rsidRDefault="007F7F27" w:rsidP="00536A68">
      <w:pPr>
        <w:rPr>
          <w:lang w:val="en-NZ"/>
        </w:rPr>
      </w:pPr>
    </w:p>
    <w:p w:rsidR="00A047DE" w:rsidRPr="0021270B" w:rsidRDefault="00A047DE" w:rsidP="00536A68">
      <w:pPr>
        <w:rPr>
          <w:lang w:val="en-NZ"/>
        </w:rPr>
      </w:pPr>
    </w:p>
    <w:p w:rsidR="00A047DE" w:rsidRPr="0021270B" w:rsidRDefault="00A047DE" w:rsidP="00536A68">
      <w:pPr>
        <w:rPr>
          <w:lang w:val="en-NZ"/>
        </w:rPr>
      </w:pPr>
    </w:p>
    <w:p w:rsidR="00A047DE" w:rsidRPr="0021270B" w:rsidRDefault="00A047DE" w:rsidP="00536A68">
      <w:pPr>
        <w:rPr>
          <w:lang w:val="en-NZ"/>
        </w:rPr>
      </w:pPr>
    </w:p>
    <w:p w:rsidR="00A047DE" w:rsidRPr="0021270B" w:rsidRDefault="00A047DE" w:rsidP="00536A68">
      <w:pPr>
        <w:rPr>
          <w:lang w:val="en-NZ"/>
        </w:rPr>
      </w:pPr>
    </w:p>
    <w:p w:rsidR="00A047DE" w:rsidRPr="0021270B" w:rsidRDefault="00A047DE" w:rsidP="00536A68">
      <w:pPr>
        <w:rPr>
          <w:lang w:val="en-NZ"/>
        </w:rPr>
      </w:pPr>
    </w:p>
    <w:p w:rsidR="00A047DE" w:rsidRPr="0021270B" w:rsidRDefault="00A047DE" w:rsidP="00536A68">
      <w:pPr>
        <w:rPr>
          <w:lang w:val="en-NZ"/>
        </w:rPr>
      </w:pPr>
    </w:p>
    <w:p w:rsidR="00A047DE" w:rsidRPr="0021270B" w:rsidRDefault="00A047DE" w:rsidP="00536A68">
      <w:pPr>
        <w:rPr>
          <w:lang w:val="en-NZ"/>
        </w:rPr>
      </w:pPr>
    </w:p>
    <w:p w:rsidR="00A047DE" w:rsidRPr="0021270B" w:rsidRDefault="00A047DE" w:rsidP="00536A68">
      <w:pPr>
        <w:rPr>
          <w:lang w:val="en-NZ"/>
        </w:rPr>
      </w:pPr>
    </w:p>
    <w:p w:rsidR="00A047DE" w:rsidRPr="0021270B" w:rsidRDefault="00A047DE" w:rsidP="00536A68">
      <w:pPr>
        <w:rPr>
          <w:lang w:val="en-NZ"/>
        </w:rPr>
      </w:pPr>
    </w:p>
    <w:p w:rsidR="00A047DE" w:rsidRPr="0021270B" w:rsidRDefault="00A047DE" w:rsidP="00536A68">
      <w:pPr>
        <w:rPr>
          <w:lang w:val="en-NZ"/>
        </w:rPr>
      </w:pPr>
    </w:p>
    <w:p w:rsidR="00A047DE" w:rsidRPr="0021270B" w:rsidRDefault="00A047DE" w:rsidP="00536A68">
      <w:pPr>
        <w:rPr>
          <w:lang w:val="en-NZ"/>
        </w:rPr>
      </w:pPr>
    </w:p>
    <w:p w:rsidR="00A047DE" w:rsidRPr="0021270B" w:rsidRDefault="00A047DE" w:rsidP="00536A68">
      <w:pPr>
        <w:rPr>
          <w:lang w:val="en-NZ"/>
        </w:rPr>
      </w:pPr>
    </w:p>
    <w:p w:rsidR="00A047DE" w:rsidRPr="0021270B" w:rsidRDefault="00A047DE" w:rsidP="00536A68">
      <w:pPr>
        <w:rPr>
          <w:lang w:val="en-NZ"/>
        </w:rPr>
      </w:pPr>
    </w:p>
    <w:p w:rsidR="007F7F27" w:rsidRPr="0021270B" w:rsidRDefault="007F7F27" w:rsidP="00536A68">
      <w:pPr>
        <w:rPr>
          <w:lang w:val="en-NZ"/>
        </w:rPr>
      </w:pPr>
    </w:p>
    <w:p w:rsidR="007F7F27" w:rsidRPr="0021270B" w:rsidRDefault="00A047DE" w:rsidP="00536A68">
      <w:pPr>
        <w:pStyle w:val="Heading2"/>
        <w:rPr>
          <w:sz w:val="32"/>
          <w:lang w:val="en-NZ"/>
        </w:rPr>
      </w:pPr>
      <w:r w:rsidRPr="0021270B">
        <w:rPr>
          <w:sz w:val="32"/>
          <w:lang w:val="en-NZ"/>
        </w:rPr>
        <w:t>July 2015</w:t>
      </w:r>
    </w:p>
    <w:p w:rsidR="007F7F27" w:rsidRPr="0021270B" w:rsidRDefault="007F7F27" w:rsidP="00536A68">
      <w:pPr>
        <w:rPr>
          <w:lang w:val="en-NZ"/>
        </w:rPr>
      </w:pPr>
    </w:p>
    <w:p w:rsidR="007F7F27" w:rsidRPr="0021270B" w:rsidRDefault="007F7F27" w:rsidP="00536A68">
      <w:pPr>
        <w:rPr>
          <w:lang w:val="en-NZ"/>
        </w:rPr>
      </w:pPr>
    </w:p>
    <w:p w:rsidR="007F7F27" w:rsidRPr="0021270B" w:rsidRDefault="007F7F27" w:rsidP="00536A68">
      <w:pPr>
        <w:rPr>
          <w:lang w:val="en-NZ"/>
        </w:rPr>
      </w:pPr>
    </w:p>
    <w:p w:rsidR="007F7F27" w:rsidRPr="0021270B" w:rsidRDefault="007F7F27" w:rsidP="00536A68">
      <w:pPr>
        <w:rPr>
          <w:lang w:val="en-NZ"/>
        </w:rPr>
      </w:pPr>
    </w:p>
    <w:p w:rsidR="007F7F27" w:rsidRPr="0021270B" w:rsidRDefault="007F7F27" w:rsidP="009023DD">
      <w:pPr>
        <w:jc w:val="left"/>
        <w:rPr>
          <w:i/>
          <w:spacing w:val="8"/>
          <w:sz w:val="22"/>
          <w:lang w:val="en-NZ"/>
        </w:rPr>
      </w:pPr>
      <w:r w:rsidRPr="0021270B">
        <w:rPr>
          <w:i/>
          <w:spacing w:val="4"/>
          <w:lang w:val="en-NZ"/>
        </w:rPr>
        <w:t xml:space="preserve">Prepared by Policy </w:t>
      </w:r>
      <w:r w:rsidR="00A41EB5" w:rsidRPr="0021270B">
        <w:rPr>
          <w:i/>
          <w:spacing w:val="4"/>
          <w:lang w:val="en-NZ"/>
        </w:rPr>
        <w:t xml:space="preserve">and Strategy </w:t>
      </w:r>
      <w:r w:rsidRPr="0021270B">
        <w:rPr>
          <w:i/>
          <w:spacing w:val="4"/>
          <w:lang w:val="en-NZ"/>
        </w:rPr>
        <w:t>of Inland Revenue</w:t>
      </w:r>
      <w:r w:rsidR="009D1CF5" w:rsidRPr="0021270B">
        <w:rPr>
          <w:i/>
          <w:spacing w:val="4"/>
          <w:lang w:val="en-NZ"/>
        </w:rPr>
        <w:t xml:space="preserve"> </w:t>
      </w:r>
      <w:r w:rsidRPr="0021270B">
        <w:rPr>
          <w:i/>
          <w:spacing w:val="4"/>
          <w:lang w:val="en-NZ"/>
        </w:rPr>
        <w:t xml:space="preserve">and </w:t>
      </w:r>
      <w:r w:rsidR="002C4AF4" w:rsidRPr="0021270B">
        <w:rPr>
          <w:i/>
          <w:spacing w:val="4"/>
          <w:lang w:val="en-NZ"/>
        </w:rPr>
        <w:t>Land Information New Zealand</w:t>
      </w:r>
    </w:p>
    <w:p w:rsidR="007F7F27" w:rsidRPr="0021270B" w:rsidRDefault="007F7F27" w:rsidP="00536A68">
      <w:pPr>
        <w:pStyle w:val="Heading2"/>
        <w:rPr>
          <w:b w:val="0"/>
          <w:lang w:val="en-NZ"/>
        </w:rPr>
        <w:sectPr w:rsidR="007F7F27" w:rsidRPr="0021270B" w:rsidSect="0062208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304" w:right="1797" w:bottom="1134" w:left="1797" w:header="720" w:footer="567" w:gutter="0"/>
          <w:cols w:space="720"/>
        </w:sect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7F7F27" w:rsidRPr="0021270B" w:rsidRDefault="007F7F27" w:rsidP="00536A68">
      <w:pPr>
        <w:pStyle w:val="BodyText"/>
        <w:rPr>
          <w:sz w:val="20"/>
          <w:lang w:val="en-NZ"/>
        </w:rPr>
      </w:pPr>
    </w:p>
    <w:p w:rsidR="00622084" w:rsidRDefault="007F7F27" w:rsidP="00622084">
      <w:pPr>
        <w:jc w:val="center"/>
        <w:rPr>
          <w:b/>
          <w:sz w:val="28"/>
          <w:szCs w:val="28"/>
        </w:rPr>
      </w:pPr>
      <w:r w:rsidRPr="0021270B">
        <w:rPr>
          <w:spacing w:val="20"/>
        </w:rPr>
        <w:br w:type="page"/>
      </w:r>
      <w:bookmarkStart w:id="2" w:name="_Toc425247605"/>
      <w:bookmarkStart w:id="3" w:name="_Toc425248518"/>
      <w:bookmarkStart w:id="4" w:name="_Toc425248800"/>
      <w:r w:rsidRPr="00622084">
        <w:rPr>
          <w:b/>
          <w:sz w:val="28"/>
          <w:szCs w:val="28"/>
        </w:rPr>
        <w:lastRenderedPageBreak/>
        <w:t>CONTENTS</w:t>
      </w:r>
      <w:bookmarkEnd w:id="2"/>
      <w:bookmarkEnd w:id="3"/>
      <w:bookmarkEnd w:id="4"/>
      <w:bookmarkEnd w:id="0"/>
    </w:p>
    <w:p w:rsidR="00781D8A" w:rsidRDefault="00781D8A" w:rsidP="00622084">
      <w:pPr>
        <w:jc w:val="center"/>
        <w:rPr>
          <w:b/>
          <w:sz w:val="28"/>
          <w:szCs w:val="28"/>
        </w:rPr>
      </w:pPr>
    </w:p>
    <w:p w:rsidR="00781D8A" w:rsidRDefault="007F7F27" w:rsidP="00781D8A">
      <w:pPr>
        <w:pStyle w:val="TOC2"/>
        <w:ind w:left="0"/>
        <w:rPr>
          <w:rFonts w:asciiTheme="minorHAnsi" w:eastAsiaTheme="minorEastAsia" w:hAnsiTheme="minorHAnsi" w:cstheme="minorBidi"/>
          <w:szCs w:val="22"/>
          <w:lang w:val="en-NZ" w:eastAsia="en-NZ"/>
        </w:rPr>
      </w:pPr>
      <w:r w:rsidRPr="0021270B">
        <w:rPr>
          <w:b/>
          <w:sz w:val="28"/>
        </w:rPr>
        <w:fldChar w:fldCharType="begin"/>
      </w:r>
      <w:r w:rsidRPr="005641C1">
        <w:rPr>
          <w:b/>
          <w:sz w:val="28"/>
        </w:rPr>
        <w:instrText xml:space="preserve"> TOC \t "Heading 1,2,Heading 5,3,Heading 7,4,PartHeading,1" </w:instrText>
      </w:r>
      <w:r w:rsidRPr="0021270B">
        <w:rPr>
          <w:b/>
          <w:sz w:val="28"/>
        </w:rPr>
        <w:fldChar w:fldCharType="separate"/>
      </w:r>
      <w:r w:rsidR="00781D8A">
        <w:rPr>
          <w:b/>
          <w:sz w:val="28"/>
          <w:szCs w:val="28"/>
        </w:rPr>
        <w:t>O</w:t>
      </w:r>
      <w:r w:rsidR="00781D8A" w:rsidRPr="00781D8A">
        <w:rPr>
          <w:b/>
          <w:sz w:val="28"/>
          <w:szCs w:val="28"/>
        </w:rPr>
        <w:t>verview</w:t>
      </w:r>
      <w:r w:rsidR="00781D8A">
        <w:tab/>
      </w:r>
      <w:r w:rsidR="00781D8A" w:rsidRPr="00781D8A">
        <w:rPr>
          <w:b/>
          <w:sz w:val="28"/>
          <w:szCs w:val="28"/>
        </w:rPr>
        <w:fldChar w:fldCharType="begin"/>
      </w:r>
      <w:r w:rsidR="00781D8A" w:rsidRPr="00781D8A">
        <w:rPr>
          <w:b/>
          <w:sz w:val="28"/>
          <w:szCs w:val="28"/>
        </w:rPr>
        <w:instrText xml:space="preserve"> PAGEREF _Toc427238199 \h </w:instrText>
      </w:r>
      <w:r w:rsidR="00781D8A" w:rsidRPr="00781D8A">
        <w:rPr>
          <w:b/>
          <w:sz w:val="28"/>
          <w:szCs w:val="28"/>
        </w:rPr>
      </w:r>
      <w:r w:rsidR="00781D8A" w:rsidRPr="00781D8A">
        <w:rPr>
          <w:b/>
          <w:sz w:val="28"/>
          <w:szCs w:val="28"/>
        </w:rPr>
        <w:fldChar w:fldCharType="separate"/>
      </w:r>
      <w:r w:rsidR="00F07F0F">
        <w:rPr>
          <w:b/>
          <w:sz w:val="28"/>
          <w:szCs w:val="28"/>
        </w:rPr>
        <w:t>1</w:t>
      </w:r>
      <w:r w:rsidR="00781D8A" w:rsidRPr="00781D8A">
        <w:rPr>
          <w:b/>
          <w:sz w:val="28"/>
          <w:szCs w:val="28"/>
        </w:rPr>
        <w:fldChar w:fldCharType="end"/>
      </w:r>
    </w:p>
    <w:p w:rsidR="00781D8A" w:rsidRDefault="00781D8A">
      <w:pPr>
        <w:pStyle w:val="TOC1"/>
        <w:rPr>
          <w:rFonts w:asciiTheme="minorHAnsi" w:eastAsiaTheme="minorEastAsia" w:hAnsiTheme="minorHAnsi" w:cstheme="minorBidi"/>
          <w:b w:val="0"/>
          <w:sz w:val="22"/>
          <w:szCs w:val="22"/>
          <w:lang w:val="en-NZ" w:eastAsia="en-NZ"/>
        </w:rPr>
      </w:pPr>
      <w:r w:rsidRPr="006D1EA7">
        <w:t>Matters raised by submitters</w:t>
      </w:r>
      <w:r>
        <w:tab/>
      </w:r>
      <w:r>
        <w:fldChar w:fldCharType="begin"/>
      </w:r>
      <w:r>
        <w:instrText xml:space="preserve"> PAGEREF _Toc427238200 \h </w:instrText>
      </w:r>
      <w:r>
        <w:fldChar w:fldCharType="separate"/>
      </w:r>
      <w:r w:rsidR="00F07F0F">
        <w:t>3</w:t>
      </w:r>
      <w:r>
        <w:fldChar w:fldCharType="end"/>
      </w:r>
    </w:p>
    <w:p w:rsidR="00781D8A" w:rsidRDefault="00781D8A">
      <w:pPr>
        <w:pStyle w:val="TOC2"/>
        <w:rPr>
          <w:rFonts w:asciiTheme="minorHAnsi" w:eastAsiaTheme="minorEastAsia" w:hAnsiTheme="minorHAnsi" w:cstheme="minorBidi"/>
          <w:szCs w:val="22"/>
          <w:lang w:val="en-NZ" w:eastAsia="en-NZ"/>
        </w:rPr>
      </w:pPr>
      <w:r>
        <w:t>Support for reform</w:t>
      </w:r>
      <w:r>
        <w:tab/>
      </w:r>
      <w:r>
        <w:fldChar w:fldCharType="begin"/>
      </w:r>
      <w:r>
        <w:instrText xml:space="preserve"> PAGEREF _Toc427238201 \h </w:instrText>
      </w:r>
      <w:r>
        <w:fldChar w:fldCharType="separate"/>
      </w:r>
      <w:r w:rsidR="00F07F0F">
        <w:t>5</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rFonts w:eastAsia="SimSun"/>
          <w:lang w:val="en-NZ" w:eastAsia="zh-CN" w:bidi="hi-IN"/>
        </w:rPr>
        <w:t xml:space="preserve">Issue: </w:t>
      </w:r>
      <w:r>
        <w:rPr>
          <w:rFonts w:asciiTheme="minorHAnsi" w:eastAsiaTheme="minorEastAsia" w:hAnsiTheme="minorHAnsi" w:cstheme="minorBidi"/>
          <w:sz w:val="22"/>
          <w:szCs w:val="22"/>
          <w:lang w:val="en-NZ" w:eastAsia="en-NZ"/>
        </w:rPr>
        <w:tab/>
      </w:r>
      <w:r w:rsidRPr="006D1EA7">
        <w:rPr>
          <w:rFonts w:eastAsia="SimSun"/>
          <w:lang w:val="en-NZ" w:eastAsia="zh-CN" w:bidi="hi-IN"/>
        </w:rPr>
        <w:t>Support for the Bill</w:t>
      </w:r>
      <w:r>
        <w:tab/>
      </w:r>
      <w:r>
        <w:fldChar w:fldCharType="begin"/>
      </w:r>
      <w:r>
        <w:instrText xml:space="preserve"> PAGEREF _Toc427238202 \h </w:instrText>
      </w:r>
      <w:r>
        <w:fldChar w:fldCharType="separate"/>
      </w:r>
      <w:r w:rsidR="00F07F0F">
        <w:t>5</w:t>
      </w:r>
      <w:r>
        <w:fldChar w:fldCharType="end"/>
      </w:r>
    </w:p>
    <w:p w:rsidR="00781D8A" w:rsidRDefault="00781D8A">
      <w:pPr>
        <w:pStyle w:val="TOC2"/>
        <w:rPr>
          <w:rFonts w:asciiTheme="minorHAnsi" w:eastAsiaTheme="minorEastAsia" w:hAnsiTheme="minorHAnsi" w:cstheme="minorBidi"/>
          <w:szCs w:val="22"/>
          <w:lang w:val="en-NZ" w:eastAsia="en-NZ"/>
        </w:rPr>
      </w:pPr>
      <w:r>
        <w:t>Impact on the land transfer system</w:t>
      </w:r>
      <w:r>
        <w:tab/>
      </w:r>
      <w:r>
        <w:fldChar w:fldCharType="begin"/>
      </w:r>
      <w:r>
        <w:instrText xml:space="preserve"> PAGEREF _Toc427238203 \h </w:instrText>
      </w:r>
      <w:r>
        <w:fldChar w:fldCharType="separate"/>
      </w:r>
      <w:r w:rsidR="00F07F0F">
        <w:t>6</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rFonts w:eastAsia="SimSun"/>
          <w:lang w:val="en-NZ" w:eastAsia="zh-CN" w:bidi="hi-IN"/>
        </w:rPr>
        <w:t xml:space="preserve">Issue: </w:t>
      </w:r>
      <w:r>
        <w:rPr>
          <w:rFonts w:asciiTheme="minorHAnsi" w:eastAsiaTheme="minorEastAsia" w:hAnsiTheme="minorHAnsi" w:cstheme="minorBidi"/>
          <w:sz w:val="22"/>
          <w:szCs w:val="22"/>
          <w:lang w:val="en-NZ" w:eastAsia="en-NZ"/>
        </w:rPr>
        <w:tab/>
      </w:r>
      <w:r w:rsidRPr="006D1EA7">
        <w:rPr>
          <w:rFonts w:eastAsia="SimSun"/>
          <w:lang w:val="en-NZ" w:eastAsia="zh-CN" w:bidi="hi-IN"/>
        </w:rPr>
        <w:t>Possible delays in the land transfer system</w:t>
      </w:r>
      <w:r>
        <w:tab/>
      </w:r>
      <w:r>
        <w:fldChar w:fldCharType="begin"/>
      </w:r>
      <w:r>
        <w:instrText xml:space="preserve"> PAGEREF _Toc427238204 \h </w:instrText>
      </w:r>
      <w:r>
        <w:fldChar w:fldCharType="separate"/>
      </w:r>
      <w:r w:rsidR="00F07F0F">
        <w:t>6</w:t>
      </w:r>
      <w:r>
        <w:fldChar w:fldCharType="end"/>
      </w:r>
    </w:p>
    <w:p w:rsidR="00781D8A" w:rsidRDefault="00781D8A">
      <w:pPr>
        <w:pStyle w:val="TOC2"/>
        <w:rPr>
          <w:rFonts w:asciiTheme="minorHAnsi" w:eastAsiaTheme="minorEastAsia" w:hAnsiTheme="minorHAnsi" w:cstheme="minorBidi"/>
          <w:szCs w:val="22"/>
          <w:lang w:val="en-NZ" w:eastAsia="en-NZ"/>
        </w:rPr>
      </w:pPr>
      <w:r>
        <w:t>Legislative coherence</w:t>
      </w:r>
      <w:r>
        <w:tab/>
      </w:r>
      <w:r>
        <w:fldChar w:fldCharType="begin"/>
      </w:r>
      <w:r>
        <w:instrText xml:space="preserve"> PAGEREF _Toc427238205 \h </w:instrText>
      </w:r>
      <w:r>
        <w:fldChar w:fldCharType="separate"/>
      </w:r>
      <w:r w:rsidR="00F07F0F">
        <w:t>7</w:t>
      </w:r>
      <w:r>
        <w:fldChar w:fldCharType="end"/>
      </w:r>
    </w:p>
    <w:p w:rsidR="00781D8A" w:rsidRDefault="00781D8A">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Land Transfer Act 1952 and income tax rules</w:t>
      </w:r>
      <w:r>
        <w:tab/>
      </w:r>
      <w:r>
        <w:fldChar w:fldCharType="begin"/>
      </w:r>
      <w:r>
        <w:instrText xml:space="preserve"> PAGEREF _Toc427238206 \h </w:instrText>
      </w:r>
      <w:r>
        <w:fldChar w:fldCharType="separate"/>
      </w:r>
      <w:r w:rsidR="00F07F0F">
        <w:t>7</w:t>
      </w:r>
      <w:r>
        <w:fldChar w:fldCharType="end"/>
      </w:r>
    </w:p>
    <w:p w:rsidR="00781D8A" w:rsidRDefault="00781D8A">
      <w:pPr>
        <w:pStyle w:val="TOC2"/>
        <w:rPr>
          <w:rFonts w:asciiTheme="minorHAnsi" w:eastAsiaTheme="minorEastAsia" w:hAnsiTheme="minorHAnsi" w:cstheme="minorBidi"/>
          <w:szCs w:val="22"/>
          <w:lang w:val="en-NZ" w:eastAsia="en-NZ"/>
        </w:rPr>
      </w:pPr>
      <w:r>
        <w:t>Timeframe of bill</w:t>
      </w:r>
      <w:r>
        <w:tab/>
      </w:r>
      <w:r>
        <w:fldChar w:fldCharType="begin"/>
      </w:r>
      <w:r>
        <w:instrText xml:space="preserve"> PAGEREF _Toc427238207 \h </w:instrText>
      </w:r>
      <w:r>
        <w:fldChar w:fldCharType="separate"/>
      </w:r>
      <w:r w:rsidR="00F07F0F">
        <w:t>8</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rFonts w:eastAsia="SimSun"/>
          <w:lang w:val="en-NZ" w:eastAsia="zh-CN" w:bidi="hi-IN"/>
        </w:rPr>
        <w:t xml:space="preserve">Issue: </w:t>
      </w:r>
      <w:r>
        <w:rPr>
          <w:rFonts w:asciiTheme="minorHAnsi" w:eastAsiaTheme="minorEastAsia" w:hAnsiTheme="minorHAnsi" w:cstheme="minorBidi"/>
          <w:sz w:val="22"/>
          <w:szCs w:val="22"/>
          <w:lang w:val="en-NZ" w:eastAsia="en-NZ"/>
        </w:rPr>
        <w:tab/>
      </w:r>
      <w:r w:rsidRPr="006D1EA7">
        <w:rPr>
          <w:rFonts w:eastAsia="SimSun"/>
          <w:lang w:val="en-NZ" w:eastAsia="zh-CN" w:bidi="hi-IN"/>
        </w:rPr>
        <w:t>Development of the bill</w:t>
      </w:r>
      <w:r>
        <w:tab/>
      </w:r>
      <w:r>
        <w:fldChar w:fldCharType="begin"/>
      </w:r>
      <w:r>
        <w:instrText xml:space="preserve"> PAGEREF _Toc427238208 \h </w:instrText>
      </w:r>
      <w:r>
        <w:fldChar w:fldCharType="separate"/>
      </w:r>
      <w:r w:rsidR="00F07F0F">
        <w:t>8</w:t>
      </w:r>
      <w:r>
        <w:fldChar w:fldCharType="end"/>
      </w:r>
    </w:p>
    <w:p w:rsidR="00781D8A" w:rsidRDefault="00781D8A">
      <w:pPr>
        <w:pStyle w:val="TOC2"/>
        <w:rPr>
          <w:rFonts w:asciiTheme="minorHAnsi" w:eastAsiaTheme="minorEastAsia" w:hAnsiTheme="minorHAnsi" w:cstheme="minorBidi"/>
          <w:szCs w:val="22"/>
          <w:lang w:val="en-NZ" w:eastAsia="en-NZ"/>
        </w:rPr>
      </w:pPr>
      <w:r>
        <w:t>Post-implementation review</w:t>
      </w:r>
      <w:r>
        <w:tab/>
      </w:r>
      <w:r>
        <w:fldChar w:fldCharType="begin"/>
      </w:r>
      <w:r>
        <w:instrText xml:space="preserve"> PAGEREF _Toc427238209 \h </w:instrText>
      </w:r>
      <w:r>
        <w:fldChar w:fldCharType="separate"/>
      </w:r>
      <w:r w:rsidR="00F07F0F">
        <w:t>9</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rFonts w:eastAsia="SimSun"/>
          <w:lang w:val="en-NZ" w:eastAsia="zh-CN" w:bidi="hi-IN"/>
        </w:rPr>
        <w:t xml:space="preserve">Issue: </w:t>
      </w:r>
      <w:r>
        <w:rPr>
          <w:rFonts w:asciiTheme="minorHAnsi" w:eastAsiaTheme="minorEastAsia" w:hAnsiTheme="minorHAnsi" w:cstheme="minorBidi"/>
          <w:sz w:val="22"/>
          <w:szCs w:val="22"/>
          <w:lang w:val="en-NZ" w:eastAsia="en-NZ"/>
        </w:rPr>
        <w:tab/>
      </w:r>
      <w:r w:rsidRPr="006D1EA7">
        <w:rPr>
          <w:rFonts w:eastAsia="SimSun"/>
          <w:lang w:val="en-NZ" w:eastAsia="zh-CN" w:bidi="hi-IN"/>
        </w:rPr>
        <w:t>Automatic expiration of the provisions in the bill</w:t>
      </w:r>
      <w:r>
        <w:tab/>
      </w:r>
      <w:r>
        <w:fldChar w:fldCharType="begin"/>
      </w:r>
      <w:r>
        <w:instrText xml:space="preserve"> PAGEREF _Toc427238210 \h </w:instrText>
      </w:r>
      <w:r>
        <w:fldChar w:fldCharType="separate"/>
      </w:r>
      <w:r w:rsidR="00F07F0F">
        <w:t>9</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rFonts w:eastAsia="SimSun"/>
          <w:lang w:val="en-NZ" w:eastAsia="zh-CN" w:bidi="hi-IN"/>
        </w:rPr>
        <w:t xml:space="preserve">Issue: </w:t>
      </w:r>
      <w:r>
        <w:rPr>
          <w:rFonts w:asciiTheme="minorHAnsi" w:eastAsiaTheme="minorEastAsia" w:hAnsiTheme="minorHAnsi" w:cstheme="minorBidi"/>
          <w:sz w:val="22"/>
          <w:szCs w:val="22"/>
          <w:lang w:val="en-NZ" w:eastAsia="en-NZ"/>
        </w:rPr>
        <w:tab/>
      </w:r>
      <w:r w:rsidRPr="006D1EA7">
        <w:rPr>
          <w:rFonts w:eastAsia="SimSun"/>
          <w:lang w:val="en-NZ" w:eastAsia="zh-CN" w:bidi="hi-IN"/>
        </w:rPr>
        <w:t>Monitoring and review on an on-going basis</w:t>
      </w:r>
      <w:r>
        <w:tab/>
      </w:r>
      <w:r>
        <w:fldChar w:fldCharType="begin"/>
      </w:r>
      <w:r>
        <w:instrText xml:space="preserve"> PAGEREF _Toc427238211 \h </w:instrText>
      </w:r>
      <w:r>
        <w:fldChar w:fldCharType="separate"/>
      </w:r>
      <w:r w:rsidR="00F07F0F">
        <w:t>9</w:t>
      </w:r>
      <w:r>
        <w:fldChar w:fldCharType="end"/>
      </w:r>
    </w:p>
    <w:p w:rsidR="00781D8A" w:rsidRDefault="00781D8A">
      <w:pPr>
        <w:pStyle w:val="TOC2"/>
        <w:rPr>
          <w:rFonts w:asciiTheme="minorHAnsi" w:eastAsiaTheme="minorEastAsia" w:hAnsiTheme="minorHAnsi" w:cstheme="minorBidi"/>
          <w:szCs w:val="22"/>
          <w:lang w:val="en-NZ" w:eastAsia="en-NZ"/>
        </w:rPr>
      </w:pPr>
      <w:r>
        <w:t>Next stages of property compliance measures</w:t>
      </w:r>
      <w:r>
        <w:tab/>
      </w:r>
      <w:r>
        <w:fldChar w:fldCharType="begin"/>
      </w:r>
      <w:r>
        <w:instrText xml:space="preserve"> PAGEREF _Toc427238212 \h </w:instrText>
      </w:r>
      <w:r>
        <w:fldChar w:fldCharType="separate"/>
      </w:r>
      <w:r w:rsidR="00F07F0F">
        <w:t>10</w:t>
      </w:r>
      <w:r>
        <w:fldChar w:fldCharType="end"/>
      </w:r>
    </w:p>
    <w:p w:rsidR="00781D8A" w:rsidRDefault="00781D8A">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Consistency between property tax proposals</w:t>
      </w:r>
      <w:r>
        <w:tab/>
      </w:r>
      <w:r>
        <w:fldChar w:fldCharType="begin"/>
      </w:r>
      <w:r>
        <w:instrText xml:space="preserve"> PAGEREF _Toc427238213 \h </w:instrText>
      </w:r>
      <w:r>
        <w:fldChar w:fldCharType="separate"/>
      </w:r>
      <w:r w:rsidR="00F07F0F">
        <w:t>10</w:t>
      </w:r>
      <w:r>
        <w:fldChar w:fldCharType="end"/>
      </w:r>
    </w:p>
    <w:p w:rsidR="00781D8A" w:rsidRDefault="00781D8A">
      <w:pPr>
        <w:pStyle w:val="TOC2"/>
        <w:rPr>
          <w:rFonts w:asciiTheme="minorHAnsi" w:eastAsiaTheme="minorEastAsia" w:hAnsiTheme="minorHAnsi" w:cstheme="minorBidi"/>
          <w:szCs w:val="22"/>
          <w:lang w:val="en-NZ" w:eastAsia="en-NZ"/>
        </w:rPr>
      </w:pPr>
      <w:r>
        <w:t>Main home exemption</w:t>
      </w:r>
      <w:r>
        <w:tab/>
      </w:r>
      <w:r>
        <w:fldChar w:fldCharType="begin"/>
      </w:r>
      <w:r>
        <w:instrText xml:space="preserve"> PAGEREF _Toc427238214 \h </w:instrText>
      </w:r>
      <w:r>
        <w:fldChar w:fldCharType="separate"/>
      </w:r>
      <w:r w:rsidR="00F07F0F">
        <w:t>11</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Reconsidering the main home exemption</w:t>
      </w:r>
      <w:r>
        <w:tab/>
      </w:r>
      <w:r>
        <w:fldChar w:fldCharType="begin"/>
      </w:r>
      <w:r>
        <w:instrText xml:space="preserve"> PAGEREF _Toc427238215 \h </w:instrText>
      </w:r>
      <w:r>
        <w:fldChar w:fldCharType="separate"/>
      </w:r>
      <w:r w:rsidR="00F07F0F">
        <w:t>11</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Complexity of main home exemption provision</w:t>
      </w:r>
      <w:r>
        <w:tab/>
      </w:r>
      <w:r>
        <w:fldChar w:fldCharType="begin"/>
      </w:r>
      <w:r>
        <w:instrText xml:space="preserve"> PAGEREF _Toc427238216 \h </w:instrText>
      </w:r>
      <w:r>
        <w:fldChar w:fldCharType="separate"/>
      </w:r>
      <w:r w:rsidR="00F07F0F">
        <w:t>11</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Use of “main home” rather than existing definitions of residence</w:t>
      </w:r>
      <w:r>
        <w:tab/>
      </w:r>
      <w:r>
        <w:fldChar w:fldCharType="begin"/>
      </w:r>
      <w:r>
        <w:instrText xml:space="preserve"> PAGEREF _Toc427238217 \h </w:instrText>
      </w:r>
      <w:r>
        <w:fldChar w:fldCharType="separate"/>
      </w:r>
      <w:r w:rsidR="00F07F0F">
        <w:t>12</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Greatest connection</w:t>
      </w:r>
      <w:r>
        <w:tab/>
      </w:r>
      <w:r>
        <w:fldChar w:fldCharType="begin"/>
      </w:r>
      <w:r>
        <w:instrText xml:space="preserve"> PAGEREF _Toc427238218 \h </w:instrText>
      </w:r>
      <w:r>
        <w:fldChar w:fldCharType="separate"/>
      </w:r>
      <w:r w:rsidR="00F07F0F">
        <w:t>13</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Time “main home” determined</w:t>
      </w:r>
      <w:r>
        <w:tab/>
      </w:r>
      <w:r>
        <w:fldChar w:fldCharType="begin"/>
      </w:r>
      <w:r>
        <w:instrText xml:space="preserve"> PAGEREF _Toc427238219 \h </w:instrText>
      </w:r>
      <w:r>
        <w:fldChar w:fldCharType="separate"/>
      </w:r>
      <w:r w:rsidR="00F07F0F">
        <w:t>14</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Need for guidance</w:t>
      </w:r>
      <w:r>
        <w:tab/>
      </w:r>
      <w:r>
        <w:fldChar w:fldCharType="begin"/>
      </w:r>
      <w:r>
        <w:instrText xml:space="preserve"> PAGEREF _Toc427238220 \h </w:instrText>
      </w:r>
      <w:r>
        <w:fldChar w:fldCharType="separate"/>
      </w:r>
      <w:r w:rsidR="00F07F0F">
        <w:t>14</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Main home of family member</w:t>
      </w:r>
      <w:r>
        <w:tab/>
      </w:r>
      <w:r>
        <w:fldChar w:fldCharType="begin"/>
      </w:r>
      <w:r>
        <w:instrText xml:space="preserve"> PAGEREF _Toc427238221 \h </w:instrText>
      </w:r>
      <w:r>
        <w:fldChar w:fldCharType="separate"/>
      </w:r>
      <w:r w:rsidR="00F07F0F">
        <w:t>15</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Person’s family living with the person</w:t>
      </w:r>
      <w:r>
        <w:tab/>
      </w:r>
      <w:r>
        <w:fldChar w:fldCharType="begin"/>
      </w:r>
      <w:r>
        <w:instrText xml:space="preserve"> PAGEREF _Toc427238222 \h </w:instrText>
      </w:r>
      <w:r>
        <w:fldChar w:fldCharType="separate"/>
      </w:r>
      <w:r w:rsidR="00F07F0F">
        <w:t>15</w:t>
      </w:r>
      <w:r>
        <w:fldChar w:fldCharType="end"/>
      </w:r>
    </w:p>
    <w:p w:rsidR="00781D8A" w:rsidRDefault="00781D8A">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Change “exempt transfer” wording</w:t>
      </w:r>
      <w:r>
        <w:tab/>
      </w:r>
      <w:r>
        <w:fldChar w:fldCharType="begin"/>
      </w:r>
      <w:r>
        <w:instrText xml:space="preserve"> PAGEREF _Toc427238223 \h </w:instrText>
      </w:r>
      <w:r>
        <w:fldChar w:fldCharType="separate"/>
      </w:r>
      <w:r w:rsidR="00F07F0F">
        <w:t>16</w:t>
      </w:r>
      <w:r>
        <w:fldChar w:fldCharType="end"/>
      </w:r>
    </w:p>
    <w:p w:rsidR="00781D8A" w:rsidRDefault="00781D8A">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Vendors who use main home exemption more than twice in past 2 years</w:t>
      </w:r>
      <w:r>
        <w:tab/>
      </w:r>
      <w:r>
        <w:fldChar w:fldCharType="begin"/>
      </w:r>
      <w:r>
        <w:instrText xml:space="preserve"> PAGEREF _Toc427238224 \h </w:instrText>
      </w:r>
      <w:r>
        <w:fldChar w:fldCharType="separate"/>
      </w:r>
      <w:r w:rsidR="00F07F0F">
        <w:t>17</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Meaning of “arrangement”</w:t>
      </w:r>
      <w:r>
        <w:tab/>
      </w:r>
      <w:r>
        <w:fldChar w:fldCharType="begin"/>
      </w:r>
      <w:r>
        <w:instrText xml:space="preserve"> PAGEREF _Toc427238225 \h </w:instrText>
      </w:r>
      <w:r>
        <w:fldChar w:fldCharType="separate"/>
      </w:r>
      <w:r w:rsidR="00F07F0F">
        <w:t>17</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Meaning of “dwelling”</w:t>
      </w:r>
      <w:r>
        <w:tab/>
      </w:r>
      <w:r>
        <w:fldChar w:fldCharType="begin"/>
      </w:r>
      <w:r>
        <w:instrText xml:space="preserve"> PAGEREF _Toc427238226 \h </w:instrText>
      </w:r>
      <w:r>
        <w:fldChar w:fldCharType="separate"/>
      </w:r>
      <w:r w:rsidR="00F07F0F">
        <w:t>18</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Meaning of “farmland”</w:t>
      </w:r>
      <w:r>
        <w:tab/>
      </w:r>
      <w:r>
        <w:fldChar w:fldCharType="begin"/>
      </w:r>
      <w:r>
        <w:instrText xml:space="preserve"> PAGEREF _Toc427238227 \h </w:instrText>
      </w:r>
      <w:r>
        <w:fldChar w:fldCharType="separate"/>
      </w:r>
      <w:r w:rsidR="00F07F0F">
        <w:t>19</w:t>
      </w:r>
      <w:r>
        <w:fldChar w:fldCharType="end"/>
      </w:r>
    </w:p>
    <w:p w:rsidR="00781D8A" w:rsidRDefault="00781D8A">
      <w:pPr>
        <w:pStyle w:val="TOC2"/>
        <w:rPr>
          <w:rFonts w:asciiTheme="minorHAnsi" w:eastAsiaTheme="minorEastAsia" w:hAnsiTheme="minorHAnsi" w:cstheme="minorBidi"/>
          <w:szCs w:val="22"/>
          <w:lang w:val="en-NZ" w:eastAsia="en-NZ"/>
        </w:rPr>
      </w:pPr>
      <w:r>
        <w:t>Other interests in land</w:t>
      </w:r>
      <w:r>
        <w:tab/>
      </w:r>
      <w:r>
        <w:fldChar w:fldCharType="begin"/>
      </w:r>
      <w:r>
        <w:instrText xml:space="preserve"> PAGEREF _Toc427238228 \h </w:instrText>
      </w:r>
      <w:r>
        <w:fldChar w:fldCharType="separate"/>
      </w:r>
      <w:r w:rsidR="00F07F0F">
        <w:t>20</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Specified estates in land</w:t>
      </w:r>
      <w:r>
        <w:tab/>
      </w:r>
      <w:r>
        <w:fldChar w:fldCharType="begin"/>
      </w:r>
      <w:r>
        <w:instrText xml:space="preserve"> PAGEREF _Toc427238229 \h </w:instrText>
      </w:r>
      <w:r>
        <w:fldChar w:fldCharType="separate"/>
      </w:r>
      <w:r w:rsidR="00F07F0F">
        <w:t>20</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Cross lease properties included</w:t>
      </w:r>
      <w:r>
        <w:tab/>
      </w:r>
      <w:r>
        <w:fldChar w:fldCharType="begin"/>
      </w:r>
      <w:r>
        <w:instrText xml:space="preserve"> PAGEREF _Toc427238230 \h </w:instrText>
      </w:r>
      <w:r>
        <w:fldChar w:fldCharType="separate"/>
      </w:r>
      <w:r w:rsidR="00F07F0F">
        <w:t>20</w:t>
      </w:r>
      <w:r>
        <w:fldChar w:fldCharType="end"/>
      </w:r>
    </w:p>
    <w:p w:rsidR="00781D8A" w:rsidRDefault="00781D8A">
      <w:pPr>
        <w:pStyle w:val="TOC2"/>
        <w:rPr>
          <w:rFonts w:asciiTheme="minorHAnsi" w:eastAsiaTheme="minorEastAsia" w:hAnsiTheme="minorHAnsi" w:cstheme="minorBidi"/>
          <w:szCs w:val="22"/>
          <w:lang w:val="en-NZ" w:eastAsia="en-NZ"/>
        </w:rPr>
      </w:pPr>
      <w:r>
        <w:t>Exemptions specified by regulations</w:t>
      </w:r>
      <w:r>
        <w:tab/>
      </w:r>
      <w:r>
        <w:fldChar w:fldCharType="begin"/>
      </w:r>
      <w:r>
        <w:instrText xml:space="preserve"> PAGEREF _Toc427238231 \h </w:instrText>
      </w:r>
      <w:r>
        <w:fldChar w:fldCharType="separate"/>
      </w:r>
      <w:r w:rsidR="00F07F0F">
        <w:t>21</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Reconsidering exemptions specified by regulations</w:t>
      </w:r>
      <w:r>
        <w:tab/>
      </w:r>
      <w:r>
        <w:fldChar w:fldCharType="begin"/>
      </w:r>
      <w:r>
        <w:instrText xml:space="preserve"> PAGEREF _Toc427238232 \h </w:instrText>
      </w:r>
      <w:r>
        <w:fldChar w:fldCharType="separate"/>
      </w:r>
      <w:r w:rsidR="00F07F0F">
        <w:t>21</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Reconsidering exemptions specified by regulations</w:t>
      </w:r>
      <w:r>
        <w:tab/>
      </w:r>
      <w:r>
        <w:fldChar w:fldCharType="begin"/>
      </w:r>
      <w:r>
        <w:instrText xml:space="preserve"> PAGEREF _Toc427238233 \h </w:instrText>
      </w:r>
      <w:r>
        <w:fldChar w:fldCharType="separate"/>
      </w:r>
      <w:r w:rsidR="00F07F0F">
        <w:t>21</w:t>
      </w:r>
      <w:r>
        <w:fldChar w:fldCharType="end"/>
      </w:r>
    </w:p>
    <w:p w:rsidR="00781D8A" w:rsidRDefault="00781D8A">
      <w:pPr>
        <w:pStyle w:val="TOC2"/>
        <w:rPr>
          <w:rFonts w:asciiTheme="minorHAnsi" w:eastAsiaTheme="minorEastAsia" w:hAnsiTheme="minorHAnsi" w:cstheme="minorBidi"/>
          <w:szCs w:val="22"/>
          <w:lang w:val="en-NZ" w:eastAsia="en-NZ"/>
        </w:rPr>
      </w:pPr>
      <w:r>
        <w:t>Provision of tax information</w:t>
      </w:r>
      <w:r>
        <w:tab/>
      </w:r>
      <w:r>
        <w:fldChar w:fldCharType="begin"/>
      </w:r>
      <w:r>
        <w:instrText xml:space="preserve"> PAGEREF _Toc427238234 \h </w:instrText>
      </w:r>
      <w:r>
        <w:fldChar w:fldCharType="separate"/>
      </w:r>
      <w:r w:rsidR="00F07F0F">
        <w:t>22</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IRD number application process</w:t>
      </w:r>
      <w:r>
        <w:tab/>
      </w:r>
      <w:r>
        <w:fldChar w:fldCharType="begin"/>
      </w:r>
      <w:r>
        <w:instrText xml:space="preserve"> PAGEREF _Toc427238235 \h </w:instrText>
      </w:r>
      <w:r>
        <w:fldChar w:fldCharType="separate"/>
      </w:r>
      <w:r w:rsidR="00F07F0F">
        <w:t>22</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Online IRD number application</w:t>
      </w:r>
      <w:r>
        <w:tab/>
      </w:r>
      <w:r>
        <w:fldChar w:fldCharType="begin"/>
      </w:r>
      <w:r>
        <w:instrText xml:space="preserve"> PAGEREF _Toc427238236 \h </w:instrText>
      </w:r>
      <w:r>
        <w:fldChar w:fldCharType="separate"/>
      </w:r>
      <w:r w:rsidR="00F07F0F">
        <w:t>22</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Validation of residence status</w:t>
      </w:r>
      <w:r>
        <w:tab/>
      </w:r>
      <w:r>
        <w:fldChar w:fldCharType="begin"/>
      </w:r>
      <w:r>
        <w:instrText xml:space="preserve"> PAGEREF _Toc427238237 \h </w:instrText>
      </w:r>
      <w:r>
        <w:fldChar w:fldCharType="separate"/>
      </w:r>
      <w:r w:rsidR="00F07F0F">
        <w:t>23</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Application date</w:t>
      </w:r>
      <w:r>
        <w:tab/>
      </w:r>
      <w:r>
        <w:fldChar w:fldCharType="begin"/>
      </w:r>
      <w:r>
        <w:instrText xml:space="preserve"> PAGEREF _Toc427238238 \h </w:instrText>
      </w:r>
      <w:r>
        <w:fldChar w:fldCharType="separate"/>
      </w:r>
      <w:r w:rsidR="00F07F0F">
        <w:t>23</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Non-active trust compliance costs</w:t>
      </w:r>
      <w:r>
        <w:tab/>
      </w:r>
      <w:r>
        <w:fldChar w:fldCharType="begin"/>
      </w:r>
      <w:r>
        <w:instrText xml:space="preserve"> PAGEREF _Toc427238239 \h </w:instrText>
      </w:r>
      <w:r>
        <w:fldChar w:fldCharType="separate"/>
      </w:r>
      <w:r w:rsidR="00F07F0F">
        <w:t>24</w:t>
      </w:r>
      <w:r>
        <w:fldChar w:fldCharType="end"/>
      </w:r>
    </w:p>
    <w:p w:rsidR="00781D8A" w:rsidRDefault="00781D8A">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Exemption for death and relationship property transfers</w:t>
      </w:r>
      <w:r>
        <w:tab/>
      </w:r>
      <w:r>
        <w:fldChar w:fldCharType="begin"/>
      </w:r>
      <w:r>
        <w:instrText xml:space="preserve"> PAGEREF _Toc427238240 \h </w:instrText>
      </w:r>
      <w:r>
        <w:fldChar w:fldCharType="separate"/>
      </w:r>
      <w:r w:rsidR="00F07F0F">
        <w:t>24</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Fast-tracking IRD number application process for trusts</w:t>
      </w:r>
      <w:r>
        <w:tab/>
      </w:r>
      <w:r>
        <w:fldChar w:fldCharType="begin"/>
      </w:r>
      <w:r>
        <w:instrText xml:space="preserve"> PAGEREF _Toc427238241 \h </w:instrText>
      </w:r>
      <w:r>
        <w:fldChar w:fldCharType="separate"/>
      </w:r>
      <w:r w:rsidR="00F07F0F">
        <w:t>25</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Change of trustees as an exempt transfer</w:t>
      </w:r>
      <w:r>
        <w:tab/>
      </w:r>
      <w:r>
        <w:fldChar w:fldCharType="begin"/>
      </w:r>
      <w:r>
        <w:instrText xml:space="preserve"> PAGEREF _Toc427238242 \h </w:instrText>
      </w:r>
      <w:r>
        <w:fldChar w:fldCharType="separate"/>
      </w:r>
      <w:r w:rsidR="00F07F0F">
        <w:t>25</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Mortgagee sale or power of sale conferred by statute</w:t>
      </w:r>
      <w:r>
        <w:tab/>
      </w:r>
      <w:r>
        <w:fldChar w:fldCharType="begin"/>
      </w:r>
      <w:r>
        <w:instrText xml:space="preserve"> PAGEREF _Toc427238243 \h </w:instrText>
      </w:r>
      <w:r>
        <w:fldChar w:fldCharType="separate"/>
      </w:r>
      <w:r w:rsidR="00F07F0F">
        <w:t>26</w:t>
      </w:r>
      <w:r>
        <w:fldChar w:fldCharType="end"/>
      </w:r>
    </w:p>
    <w:p w:rsidR="00781D8A" w:rsidRDefault="00781D8A">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Determining tax residence</w:t>
      </w:r>
      <w:r>
        <w:tab/>
      </w:r>
      <w:r>
        <w:fldChar w:fldCharType="begin"/>
      </w:r>
      <w:r>
        <w:instrText xml:space="preserve"> PAGEREF _Toc427238244 \h </w:instrText>
      </w:r>
      <w:r>
        <w:fldChar w:fldCharType="separate"/>
      </w:r>
      <w:r w:rsidR="00F07F0F">
        <w:t>26</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Passport basis instead of tax residence basis</w:t>
      </w:r>
      <w:r>
        <w:tab/>
      </w:r>
      <w:r>
        <w:fldChar w:fldCharType="begin"/>
      </w:r>
      <w:r>
        <w:instrText xml:space="preserve"> PAGEREF _Toc427238245 \h </w:instrText>
      </w:r>
      <w:r>
        <w:fldChar w:fldCharType="separate"/>
      </w:r>
      <w:r w:rsidR="00F07F0F">
        <w:t>27</w:t>
      </w:r>
      <w:r>
        <w:fldChar w:fldCharType="end"/>
      </w:r>
    </w:p>
    <w:p w:rsidR="00781D8A" w:rsidRDefault="00781D8A">
      <w:pPr>
        <w:pStyle w:val="TOC3"/>
        <w:rPr>
          <w:rFonts w:asciiTheme="minorHAnsi" w:eastAsiaTheme="minorEastAsia" w:hAnsiTheme="minorHAnsi" w:cstheme="minorBidi"/>
          <w:sz w:val="22"/>
          <w:szCs w:val="22"/>
          <w:lang w:val="en-NZ" w:eastAsia="en-NZ"/>
        </w:rPr>
      </w:pPr>
      <w:r>
        <w:t xml:space="preserve">Issue: </w:t>
      </w:r>
      <w:r>
        <w:rPr>
          <w:rFonts w:asciiTheme="minorHAnsi" w:eastAsiaTheme="minorEastAsia" w:hAnsiTheme="minorHAnsi" w:cstheme="minorBidi"/>
          <w:sz w:val="22"/>
          <w:szCs w:val="22"/>
          <w:lang w:val="en-NZ" w:eastAsia="en-NZ"/>
        </w:rPr>
        <w:tab/>
      </w:r>
      <w:r>
        <w:t>Transfer to an offshore person</w:t>
      </w:r>
      <w:r>
        <w:tab/>
      </w:r>
      <w:r>
        <w:fldChar w:fldCharType="begin"/>
      </w:r>
      <w:r>
        <w:instrText xml:space="preserve"> PAGEREF _Toc427238246 \h </w:instrText>
      </w:r>
      <w:r>
        <w:fldChar w:fldCharType="separate"/>
      </w:r>
      <w:r w:rsidR="00F07F0F">
        <w:t>27</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Foreign tax information provision from multiple jurisdictions</w:t>
      </w:r>
      <w:r>
        <w:tab/>
      </w:r>
      <w:r>
        <w:fldChar w:fldCharType="begin"/>
      </w:r>
      <w:r>
        <w:instrText xml:space="preserve"> PAGEREF _Toc427238247 \h </w:instrText>
      </w:r>
      <w:r>
        <w:fldChar w:fldCharType="separate"/>
      </w:r>
      <w:r w:rsidR="00F07F0F">
        <w:t>28</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lastRenderedPageBreak/>
        <w:t>Issue:</w:t>
      </w:r>
      <w:r>
        <w:rPr>
          <w:rFonts w:asciiTheme="minorHAnsi" w:eastAsiaTheme="minorEastAsia" w:hAnsiTheme="minorHAnsi" w:cstheme="minorBidi"/>
          <w:sz w:val="22"/>
          <w:szCs w:val="22"/>
          <w:lang w:val="en-NZ" w:eastAsia="en-NZ"/>
        </w:rPr>
        <w:tab/>
      </w:r>
      <w:r w:rsidRPr="006D1EA7">
        <w:rPr>
          <w:lang w:val="en-NZ"/>
        </w:rPr>
        <w:t>Form of tax statement should be standardised</w:t>
      </w:r>
      <w:r>
        <w:tab/>
      </w:r>
      <w:r>
        <w:fldChar w:fldCharType="begin"/>
      </w:r>
      <w:r>
        <w:instrText xml:space="preserve"> PAGEREF _Toc427238248 \h </w:instrText>
      </w:r>
      <w:r>
        <w:fldChar w:fldCharType="separate"/>
      </w:r>
      <w:r w:rsidR="00F07F0F">
        <w:t>28</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Form of tax statement should be published in the Gazette</w:t>
      </w:r>
      <w:r>
        <w:tab/>
      </w:r>
      <w:r>
        <w:fldChar w:fldCharType="begin"/>
      </w:r>
      <w:r>
        <w:instrText xml:space="preserve"> PAGEREF _Toc427238249 \h </w:instrText>
      </w:r>
      <w:r>
        <w:fldChar w:fldCharType="separate"/>
      </w:r>
      <w:r w:rsidR="00F07F0F">
        <w:t>29</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Country code availability</w:t>
      </w:r>
      <w:r>
        <w:tab/>
      </w:r>
      <w:r>
        <w:fldChar w:fldCharType="begin"/>
      </w:r>
      <w:r>
        <w:instrText xml:space="preserve"> PAGEREF _Toc427238250 \h </w:instrText>
      </w:r>
      <w:r>
        <w:fldChar w:fldCharType="separate"/>
      </w:r>
      <w:r w:rsidR="00F07F0F">
        <w:t>29</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Remove certifiers’ retention period for holding of tax statement</w:t>
      </w:r>
      <w:r>
        <w:tab/>
      </w:r>
      <w:r>
        <w:fldChar w:fldCharType="begin"/>
      </w:r>
      <w:r>
        <w:instrText xml:space="preserve"> PAGEREF _Toc427238251 \h </w:instrText>
      </w:r>
      <w:r>
        <w:fldChar w:fldCharType="separate"/>
      </w:r>
      <w:r w:rsidR="00F07F0F">
        <w:t>29</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Reduce retention period for holding of tax statement</w:t>
      </w:r>
      <w:r>
        <w:tab/>
      </w:r>
      <w:r>
        <w:fldChar w:fldCharType="begin"/>
      </w:r>
      <w:r>
        <w:instrText xml:space="preserve"> PAGEREF _Toc427238252 \h </w:instrText>
      </w:r>
      <w:r>
        <w:fldChar w:fldCharType="separate"/>
      </w:r>
      <w:r w:rsidR="00F07F0F">
        <w:t>30</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Removal of certifier obligation to provide Commissioner of Inland Revenue with tax statements</w:t>
      </w:r>
      <w:r>
        <w:tab/>
      </w:r>
      <w:r>
        <w:fldChar w:fldCharType="begin"/>
      </w:r>
      <w:r>
        <w:instrText xml:space="preserve"> PAGEREF _Toc427238253 \h </w:instrText>
      </w:r>
      <w:r>
        <w:fldChar w:fldCharType="separate"/>
      </w:r>
      <w:r w:rsidR="00F07F0F">
        <w:t>30</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Retention by electronic means</w:t>
      </w:r>
      <w:r>
        <w:tab/>
      </w:r>
      <w:r>
        <w:fldChar w:fldCharType="begin"/>
      </w:r>
      <w:r>
        <w:instrText xml:space="preserve"> PAGEREF _Toc427238254 \h </w:instrText>
      </w:r>
      <w:r>
        <w:fldChar w:fldCharType="separate"/>
      </w:r>
      <w:r w:rsidR="00F07F0F">
        <w:t>31</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No certification of tax statement accuracy and no liability for incorrect information</w:t>
      </w:r>
      <w:r>
        <w:tab/>
      </w:r>
      <w:r>
        <w:fldChar w:fldCharType="begin"/>
      </w:r>
      <w:r>
        <w:instrText xml:space="preserve"> PAGEREF _Toc427238255 \h </w:instrText>
      </w:r>
      <w:r>
        <w:fldChar w:fldCharType="separate"/>
      </w:r>
      <w:r w:rsidR="00F07F0F">
        <w:t>31</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Definition of “chief executive”</w:t>
      </w:r>
      <w:r>
        <w:tab/>
      </w:r>
      <w:r>
        <w:fldChar w:fldCharType="begin"/>
      </w:r>
      <w:r>
        <w:instrText xml:space="preserve"> PAGEREF _Toc427238256 \h </w:instrText>
      </w:r>
      <w:r>
        <w:fldChar w:fldCharType="separate"/>
      </w:r>
      <w:r w:rsidR="00F07F0F">
        <w:t>32</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“Nominee” by reference to the Income Tax Act 2007</w:t>
      </w:r>
      <w:r>
        <w:tab/>
      </w:r>
      <w:r>
        <w:fldChar w:fldCharType="begin"/>
      </w:r>
      <w:r>
        <w:instrText xml:space="preserve"> PAGEREF _Toc427238257 \h </w:instrText>
      </w:r>
      <w:r>
        <w:fldChar w:fldCharType="separate"/>
      </w:r>
      <w:r w:rsidR="00F07F0F">
        <w:t>32</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Focus on person who makes the nomination rather than nominee</w:t>
      </w:r>
      <w:r>
        <w:tab/>
      </w:r>
      <w:r>
        <w:fldChar w:fldCharType="begin"/>
      </w:r>
      <w:r>
        <w:instrText xml:space="preserve"> PAGEREF _Toc427238258 \h </w:instrText>
      </w:r>
      <w:r>
        <w:fldChar w:fldCharType="separate"/>
      </w:r>
      <w:r w:rsidR="00F07F0F">
        <w:t>33</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Information sharing concerns</w:t>
      </w:r>
      <w:r>
        <w:tab/>
      </w:r>
      <w:r>
        <w:fldChar w:fldCharType="begin"/>
      </w:r>
      <w:r>
        <w:instrText xml:space="preserve"> PAGEREF _Toc427238259 \h </w:instrText>
      </w:r>
      <w:r>
        <w:fldChar w:fldCharType="separate"/>
      </w:r>
      <w:r w:rsidR="00F07F0F">
        <w:t>33</w:t>
      </w:r>
      <w:r>
        <w:fldChar w:fldCharType="end"/>
      </w:r>
    </w:p>
    <w:p w:rsidR="00781D8A" w:rsidRDefault="00781D8A">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Requiring information through IRD number application process</w:t>
      </w:r>
      <w:r>
        <w:tab/>
      </w:r>
      <w:r>
        <w:fldChar w:fldCharType="begin"/>
      </w:r>
      <w:r>
        <w:instrText xml:space="preserve"> PAGEREF _Toc427238260 \h </w:instrText>
      </w:r>
      <w:r>
        <w:fldChar w:fldCharType="separate"/>
      </w:r>
      <w:r w:rsidR="00F07F0F">
        <w:t>34</w:t>
      </w:r>
      <w:r>
        <w:fldChar w:fldCharType="end"/>
      </w:r>
    </w:p>
    <w:p w:rsidR="00781D8A" w:rsidRDefault="00781D8A">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No further information in tax statement</w:t>
      </w:r>
      <w:r>
        <w:tab/>
      </w:r>
      <w:r>
        <w:fldChar w:fldCharType="begin"/>
      </w:r>
      <w:r>
        <w:instrText xml:space="preserve"> PAGEREF _Toc427238261 \h </w:instrText>
      </w:r>
      <w:r>
        <w:fldChar w:fldCharType="separate"/>
      </w:r>
      <w:r w:rsidR="00F07F0F">
        <w:t>34</w:t>
      </w:r>
      <w:r>
        <w:fldChar w:fldCharType="end"/>
      </w:r>
    </w:p>
    <w:p w:rsidR="00781D8A" w:rsidRDefault="00781D8A">
      <w:pPr>
        <w:pStyle w:val="TOC2"/>
        <w:rPr>
          <w:rFonts w:asciiTheme="minorHAnsi" w:eastAsiaTheme="minorEastAsia" w:hAnsiTheme="minorHAnsi" w:cstheme="minorBidi"/>
          <w:szCs w:val="22"/>
          <w:lang w:val="en-NZ" w:eastAsia="en-NZ"/>
        </w:rPr>
      </w:pPr>
      <w:r>
        <w:t>Bank account requirement</w:t>
      </w:r>
      <w:r>
        <w:tab/>
      </w:r>
      <w:r>
        <w:fldChar w:fldCharType="begin"/>
      </w:r>
      <w:r>
        <w:instrText xml:space="preserve"> PAGEREF _Toc427238262 \h </w:instrText>
      </w:r>
      <w:r>
        <w:fldChar w:fldCharType="separate"/>
      </w:r>
      <w:r w:rsidR="00F07F0F">
        <w:t>35</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t>Bank</w:t>
      </w:r>
      <w:r w:rsidRPr="006D1EA7">
        <w:rPr>
          <w:lang w:val="en-NZ"/>
        </w:rPr>
        <w:t xml:space="preserve"> account number prerequisite</w:t>
      </w:r>
      <w:r>
        <w:tab/>
      </w:r>
      <w:r>
        <w:fldChar w:fldCharType="begin"/>
      </w:r>
      <w:r>
        <w:instrText xml:space="preserve"> PAGEREF _Toc427238263 \h </w:instrText>
      </w:r>
      <w:r>
        <w:fldChar w:fldCharType="separate"/>
      </w:r>
      <w:r w:rsidR="00F07F0F">
        <w:t>35</w:t>
      </w:r>
      <w:r>
        <w:fldChar w:fldCharType="end"/>
      </w:r>
    </w:p>
    <w:p w:rsidR="00781D8A" w:rsidRDefault="00781D8A">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Bank account number on becoming offshore person</w:t>
      </w:r>
      <w:r>
        <w:tab/>
      </w:r>
      <w:r>
        <w:fldChar w:fldCharType="begin"/>
      </w:r>
      <w:r>
        <w:instrText xml:space="preserve"> PAGEREF _Toc427238264 \h </w:instrText>
      </w:r>
      <w:r>
        <w:fldChar w:fldCharType="separate"/>
      </w:r>
      <w:r w:rsidR="00F07F0F">
        <w:t>35</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Guidance on transition to bank account requirement</w:t>
      </w:r>
      <w:r>
        <w:tab/>
      </w:r>
      <w:r>
        <w:fldChar w:fldCharType="begin"/>
      </w:r>
      <w:r>
        <w:instrText xml:space="preserve"> PAGEREF _Toc427238265 \h </w:instrText>
      </w:r>
      <w:r>
        <w:fldChar w:fldCharType="separate"/>
      </w:r>
      <w:r w:rsidR="00F07F0F">
        <w:t>36</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Preventing double provision of bank account number</w:t>
      </w:r>
      <w:r>
        <w:tab/>
      </w:r>
      <w:r>
        <w:fldChar w:fldCharType="begin"/>
      </w:r>
      <w:r>
        <w:instrText xml:space="preserve"> PAGEREF _Toc427238266 \h </w:instrText>
      </w:r>
      <w:r>
        <w:fldChar w:fldCharType="separate"/>
      </w:r>
      <w:r w:rsidR="00F07F0F">
        <w:t>36</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Timeframes of obligation to provide bank account number</w:t>
      </w:r>
      <w:r>
        <w:tab/>
      </w:r>
      <w:r>
        <w:fldChar w:fldCharType="begin"/>
      </w:r>
      <w:r>
        <w:instrText xml:space="preserve"> PAGEREF _Toc427238267 \h </w:instrText>
      </w:r>
      <w:r>
        <w:fldChar w:fldCharType="separate"/>
      </w:r>
      <w:r w:rsidR="00F07F0F">
        <w:t>37</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Bank account requirement limited to non-individuals dealing in or holding property</w:t>
      </w:r>
      <w:r>
        <w:tab/>
      </w:r>
      <w:r>
        <w:fldChar w:fldCharType="begin"/>
      </w:r>
      <w:r>
        <w:instrText xml:space="preserve"> PAGEREF _Toc427238268 \h </w:instrText>
      </w:r>
      <w:r>
        <w:fldChar w:fldCharType="separate"/>
      </w:r>
      <w:r w:rsidR="00F07F0F">
        <w:t>37</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The bank account requirement may not deliver intended outcomes</w:t>
      </w:r>
      <w:r>
        <w:tab/>
      </w:r>
      <w:r>
        <w:fldChar w:fldCharType="begin"/>
      </w:r>
      <w:r>
        <w:instrText xml:space="preserve"> PAGEREF _Toc427238269 \h </w:instrText>
      </w:r>
      <w:r>
        <w:fldChar w:fldCharType="separate"/>
      </w:r>
      <w:r w:rsidR="00F07F0F">
        <w:t>38</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Compliance costs</w:t>
      </w:r>
      <w:r>
        <w:tab/>
      </w:r>
      <w:r>
        <w:fldChar w:fldCharType="begin"/>
      </w:r>
      <w:r>
        <w:instrText xml:space="preserve"> PAGEREF _Toc427238270 \h </w:instrText>
      </w:r>
      <w:r>
        <w:fldChar w:fldCharType="separate"/>
      </w:r>
      <w:r w:rsidR="00F07F0F">
        <w:t>40</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Communication strategy for bank account requirement</w:t>
      </w:r>
      <w:r>
        <w:tab/>
      </w:r>
      <w:r>
        <w:fldChar w:fldCharType="begin"/>
      </w:r>
      <w:r>
        <w:instrText xml:space="preserve"> PAGEREF _Toc427238271 \h </w:instrText>
      </w:r>
      <w:r>
        <w:fldChar w:fldCharType="separate"/>
      </w:r>
      <w:r w:rsidR="00F07F0F">
        <w:t>40</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Banks requiring IRD number before opening account</w:t>
      </w:r>
      <w:r>
        <w:tab/>
      </w:r>
      <w:r>
        <w:fldChar w:fldCharType="begin"/>
      </w:r>
      <w:r>
        <w:instrText xml:space="preserve"> PAGEREF _Toc427238272 \h </w:instrText>
      </w:r>
      <w:r>
        <w:fldChar w:fldCharType="separate"/>
      </w:r>
      <w:r w:rsidR="00F07F0F">
        <w:t>41</w:t>
      </w:r>
      <w:r>
        <w:fldChar w:fldCharType="end"/>
      </w:r>
    </w:p>
    <w:p w:rsidR="00781D8A" w:rsidRDefault="00781D8A">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Post-implementation review of bank account requirement</w:t>
      </w:r>
      <w:r>
        <w:tab/>
      </w:r>
      <w:r>
        <w:fldChar w:fldCharType="begin"/>
      </w:r>
      <w:r>
        <w:instrText xml:space="preserve"> PAGEREF _Toc427238273 \h </w:instrText>
      </w:r>
      <w:r>
        <w:fldChar w:fldCharType="separate"/>
      </w:r>
      <w:r w:rsidR="00F07F0F">
        <w:t>41</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Definition of offshore person</w:t>
      </w:r>
      <w:r>
        <w:tab/>
      </w:r>
      <w:r>
        <w:fldChar w:fldCharType="begin"/>
      </w:r>
      <w:r>
        <w:instrText xml:space="preserve"> PAGEREF _Toc427238274 \h </w:instrText>
      </w:r>
      <w:r>
        <w:fldChar w:fldCharType="separate"/>
      </w:r>
      <w:r w:rsidR="00F07F0F">
        <w:t>42</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Clarification on “been in New Zealand”</w:t>
      </w:r>
      <w:r>
        <w:tab/>
      </w:r>
      <w:r>
        <w:fldChar w:fldCharType="begin"/>
      </w:r>
      <w:r>
        <w:instrText xml:space="preserve"> PAGEREF _Toc427238275 \h </w:instrText>
      </w:r>
      <w:r>
        <w:fldChar w:fldCharType="separate"/>
      </w:r>
      <w:r w:rsidR="00F07F0F">
        <w:t>43</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Exception for inbound short-term employees</w:t>
      </w:r>
      <w:r>
        <w:tab/>
      </w:r>
      <w:r>
        <w:fldChar w:fldCharType="begin"/>
      </w:r>
      <w:r>
        <w:instrText xml:space="preserve"> PAGEREF _Toc427238276 \h </w:instrText>
      </w:r>
      <w:r>
        <w:fldChar w:fldCharType="separate"/>
      </w:r>
      <w:r w:rsidR="00F07F0F">
        <w:t>43</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Shifting identification verification onus onto other parties in land transactions</w:t>
      </w:r>
      <w:r>
        <w:tab/>
      </w:r>
      <w:r>
        <w:fldChar w:fldCharType="begin"/>
      </w:r>
      <w:r>
        <w:instrText xml:space="preserve"> PAGEREF _Toc427238277 \h </w:instrText>
      </w:r>
      <w:r>
        <w:fldChar w:fldCharType="separate"/>
      </w:r>
      <w:r w:rsidR="00F07F0F">
        <w:t>44</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Drafting error</w:t>
      </w:r>
      <w:r>
        <w:tab/>
      </w:r>
      <w:r>
        <w:fldChar w:fldCharType="begin"/>
      </w:r>
      <w:r>
        <w:instrText xml:space="preserve"> PAGEREF _Toc427238278 \h </w:instrText>
      </w:r>
      <w:r>
        <w:fldChar w:fldCharType="separate"/>
      </w:r>
      <w:r w:rsidR="00F07F0F">
        <w:t>45</w:t>
      </w:r>
      <w:r>
        <w:fldChar w:fldCharType="end"/>
      </w:r>
    </w:p>
    <w:p w:rsidR="00781D8A" w:rsidRDefault="00781D8A">
      <w:pPr>
        <w:pStyle w:val="TOC1"/>
        <w:rPr>
          <w:rFonts w:asciiTheme="minorHAnsi" w:eastAsiaTheme="minorEastAsia" w:hAnsiTheme="minorHAnsi" w:cstheme="minorBidi"/>
          <w:b w:val="0"/>
          <w:sz w:val="22"/>
          <w:szCs w:val="22"/>
          <w:lang w:val="en-NZ" w:eastAsia="en-NZ"/>
        </w:rPr>
      </w:pPr>
      <w:r w:rsidRPr="006D1EA7">
        <w:t>Other policy matters</w:t>
      </w:r>
      <w:r>
        <w:tab/>
      </w:r>
      <w:r>
        <w:fldChar w:fldCharType="begin"/>
      </w:r>
      <w:r>
        <w:instrText xml:space="preserve"> PAGEREF _Toc427238279 \h </w:instrText>
      </w:r>
      <w:r>
        <w:fldChar w:fldCharType="separate"/>
      </w:r>
      <w:r w:rsidR="00F07F0F">
        <w:t>47</w:t>
      </w:r>
      <w:r>
        <w:fldChar w:fldCharType="end"/>
      </w:r>
    </w:p>
    <w:p w:rsidR="00781D8A" w:rsidRDefault="00781D8A">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Bright-line test</w:t>
      </w:r>
      <w:r>
        <w:tab/>
      </w:r>
      <w:r>
        <w:fldChar w:fldCharType="begin"/>
      </w:r>
      <w:r>
        <w:instrText xml:space="preserve"> PAGEREF _Toc427238280 \h </w:instrText>
      </w:r>
      <w:r>
        <w:fldChar w:fldCharType="separate"/>
      </w:r>
      <w:r w:rsidR="00F07F0F">
        <w:t>49</w:t>
      </w:r>
      <w:r>
        <w:fldChar w:fldCharType="end"/>
      </w:r>
    </w:p>
    <w:p w:rsidR="00781D8A" w:rsidRDefault="00781D8A">
      <w:pPr>
        <w:pStyle w:val="TOC1"/>
        <w:rPr>
          <w:rFonts w:asciiTheme="minorHAnsi" w:eastAsiaTheme="minorEastAsia" w:hAnsiTheme="minorHAnsi" w:cstheme="minorBidi"/>
          <w:b w:val="0"/>
          <w:sz w:val="22"/>
          <w:szCs w:val="22"/>
          <w:lang w:val="en-NZ" w:eastAsia="en-NZ"/>
        </w:rPr>
      </w:pPr>
      <w:r w:rsidRPr="006D1EA7">
        <w:t>Matters raised by officials</w:t>
      </w:r>
      <w:r>
        <w:tab/>
      </w:r>
      <w:r>
        <w:fldChar w:fldCharType="begin"/>
      </w:r>
      <w:r>
        <w:instrText xml:space="preserve"> PAGEREF _Toc427238281 \h </w:instrText>
      </w:r>
      <w:r>
        <w:fldChar w:fldCharType="separate"/>
      </w:r>
      <w:r w:rsidR="00F07F0F">
        <w:t>51</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 xml:space="preserve">Issue: </w:t>
      </w:r>
      <w:r>
        <w:rPr>
          <w:rFonts w:asciiTheme="minorHAnsi" w:eastAsiaTheme="minorEastAsia" w:hAnsiTheme="minorHAnsi" w:cstheme="minorBidi"/>
          <w:sz w:val="22"/>
          <w:szCs w:val="22"/>
          <w:lang w:val="en-NZ" w:eastAsia="en-NZ"/>
        </w:rPr>
        <w:tab/>
      </w:r>
      <w:r w:rsidRPr="006D1EA7">
        <w:rPr>
          <w:lang w:val="en-NZ"/>
        </w:rPr>
        <w:t>Identifying if the property is residential</w:t>
      </w:r>
      <w:r>
        <w:tab/>
      </w:r>
      <w:r>
        <w:fldChar w:fldCharType="begin"/>
      </w:r>
      <w:r>
        <w:instrText xml:space="preserve"> PAGEREF _Toc427238282 \h </w:instrText>
      </w:r>
      <w:r>
        <w:fldChar w:fldCharType="separate"/>
      </w:r>
      <w:r w:rsidR="00F07F0F">
        <w:t>53</w:t>
      </w:r>
      <w:r>
        <w:fldChar w:fldCharType="end"/>
      </w:r>
    </w:p>
    <w:p w:rsidR="00781D8A" w:rsidRDefault="00781D8A">
      <w:pPr>
        <w:pStyle w:val="TOC3"/>
        <w:rPr>
          <w:rFonts w:asciiTheme="minorHAnsi" w:eastAsiaTheme="minorEastAsia" w:hAnsiTheme="minorHAnsi" w:cstheme="minorBidi"/>
          <w:sz w:val="22"/>
          <w:szCs w:val="22"/>
          <w:lang w:val="en-NZ" w:eastAsia="en-NZ"/>
        </w:rPr>
      </w:pPr>
      <w:r>
        <w:t xml:space="preserve">Issue: </w:t>
      </w:r>
      <w:r>
        <w:rPr>
          <w:rFonts w:asciiTheme="minorHAnsi" w:eastAsiaTheme="minorEastAsia" w:hAnsiTheme="minorHAnsi" w:cstheme="minorBidi"/>
          <w:sz w:val="22"/>
          <w:szCs w:val="22"/>
          <w:lang w:val="en-NZ" w:eastAsia="en-NZ"/>
        </w:rPr>
        <w:tab/>
      </w:r>
      <w:r>
        <w:t>Main homes - multiple dwellings</w:t>
      </w:r>
      <w:r>
        <w:tab/>
      </w:r>
      <w:r>
        <w:fldChar w:fldCharType="begin"/>
      </w:r>
      <w:r>
        <w:instrText xml:space="preserve"> PAGEREF _Toc427238283 \h </w:instrText>
      </w:r>
      <w:r>
        <w:fldChar w:fldCharType="separate"/>
      </w:r>
      <w:r w:rsidR="00F07F0F">
        <w:t>53</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Issuing an IRD number</w:t>
      </w:r>
      <w:r>
        <w:tab/>
      </w:r>
      <w:r>
        <w:fldChar w:fldCharType="begin"/>
      </w:r>
      <w:r>
        <w:instrText xml:space="preserve"> PAGEREF _Toc427238284 \h </w:instrText>
      </w:r>
      <w:r>
        <w:fldChar w:fldCharType="separate"/>
      </w:r>
      <w:r w:rsidR="00F07F0F">
        <w:t>54</w:t>
      </w:r>
      <w:r>
        <w:fldChar w:fldCharType="end"/>
      </w:r>
    </w:p>
    <w:p w:rsidR="00781D8A" w:rsidRDefault="00781D8A">
      <w:pPr>
        <w:pStyle w:val="TOC3"/>
        <w:rPr>
          <w:rFonts w:asciiTheme="minorHAnsi" w:eastAsiaTheme="minorEastAsia" w:hAnsiTheme="minorHAnsi" w:cstheme="minorBidi"/>
          <w:sz w:val="22"/>
          <w:szCs w:val="22"/>
          <w:lang w:val="en-NZ" w:eastAsia="en-NZ"/>
        </w:rPr>
      </w:pPr>
      <w:r w:rsidRPr="006D1EA7">
        <w:rPr>
          <w:lang w:val="en-NZ"/>
        </w:rPr>
        <w:t>Issue:</w:t>
      </w:r>
      <w:r>
        <w:rPr>
          <w:rFonts w:asciiTheme="minorHAnsi" w:eastAsiaTheme="minorEastAsia" w:hAnsiTheme="minorHAnsi" w:cstheme="minorBidi"/>
          <w:sz w:val="22"/>
          <w:szCs w:val="22"/>
          <w:lang w:val="en-NZ" w:eastAsia="en-NZ"/>
        </w:rPr>
        <w:tab/>
      </w:r>
      <w:r w:rsidRPr="006D1EA7">
        <w:rPr>
          <w:lang w:val="en-NZ"/>
        </w:rPr>
        <w:t>Definition of tax file number should be included in Tax Administration Act</w:t>
      </w:r>
      <w:r>
        <w:tab/>
      </w:r>
      <w:r>
        <w:fldChar w:fldCharType="begin"/>
      </w:r>
      <w:r>
        <w:instrText xml:space="preserve"> PAGEREF _Toc427238285 \h </w:instrText>
      </w:r>
      <w:r>
        <w:fldChar w:fldCharType="separate"/>
      </w:r>
      <w:r w:rsidR="00F07F0F">
        <w:t>54</w:t>
      </w:r>
      <w:r>
        <w:fldChar w:fldCharType="end"/>
      </w:r>
    </w:p>
    <w:p w:rsidR="00781D8A" w:rsidRDefault="00781D8A">
      <w:pPr>
        <w:pStyle w:val="TOC1"/>
        <w:rPr>
          <w:rFonts w:asciiTheme="minorHAnsi" w:eastAsiaTheme="minorEastAsia" w:hAnsiTheme="minorHAnsi" w:cstheme="minorBidi"/>
          <w:b w:val="0"/>
          <w:sz w:val="22"/>
          <w:szCs w:val="22"/>
          <w:lang w:val="en-NZ" w:eastAsia="en-NZ"/>
        </w:rPr>
      </w:pPr>
      <w:r w:rsidRPr="006D1EA7">
        <w:t>Matters raised by the Committee</w:t>
      </w:r>
      <w:r>
        <w:tab/>
      </w:r>
      <w:r>
        <w:fldChar w:fldCharType="begin"/>
      </w:r>
      <w:r>
        <w:instrText xml:space="preserve"> PAGEREF _Toc427238286 \h </w:instrText>
      </w:r>
      <w:r>
        <w:fldChar w:fldCharType="separate"/>
      </w:r>
      <w:r w:rsidR="00F07F0F">
        <w:t>57</w:t>
      </w:r>
      <w:r>
        <w:fldChar w:fldCharType="end"/>
      </w:r>
    </w:p>
    <w:p w:rsidR="00781D8A" w:rsidRDefault="00781D8A">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Application to trusts</w:t>
      </w:r>
      <w:r>
        <w:tab/>
      </w:r>
      <w:r>
        <w:fldChar w:fldCharType="begin"/>
      </w:r>
      <w:r>
        <w:instrText xml:space="preserve"> PAGEREF _Toc427238287 \h </w:instrText>
      </w:r>
      <w:r>
        <w:fldChar w:fldCharType="separate"/>
      </w:r>
      <w:r w:rsidR="00F07F0F">
        <w:t>59</w:t>
      </w:r>
      <w:r>
        <w:fldChar w:fldCharType="end"/>
      </w:r>
    </w:p>
    <w:p w:rsidR="00781D8A" w:rsidRDefault="00781D8A">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Statement of intended use for a property</w:t>
      </w:r>
      <w:r>
        <w:tab/>
      </w:r>
      <w:r>
        <w:fldChar w:fldCharType="begin"/>
      </w:r>
      <w:r>
        <w:instrText xml:space="preserve"> PAGEREF _Toc427238288 \h </w:instrText>
      </w:r>
      <w:r>
        <w:fldChar w:fldCharType="separate"/>
      </w:r>
      <w:r w:rsidR="00F07F0F">
        <w:t>59</w:t>
      </w:r>
      <w:r>
        <w:fldChar w:fldCharType="end"/>
      </w:r>
    </w:p>
    <w:p w:rsidR="00781D8A" w:rsidRDefault="00781D8A">
      <w:pPr>
        <w:pStyle w:val="TOC3"/>
        <w:rPr>
          <w:rFonts w:asciiTheme="minorHAnsi" w:eastAsiaTheme="minorEastAsia" w:hAnsiTheme="minorHAnsi" w:cstheme="minorBidi"/>
          <w:sz w:val="22"/>
          <w:szCs w:val="22"/>
          <w:lang w:val="en-NZ" w:eastAsia="en-NZ"/>
        </w:rPr>
      </w:pPr>
      <w:r>
        <w:t xml:space="preserve">Issue: </w:t>
      </w:r>
      <w:r>
        <w:rPr>
          <w:rFonts w:asciiTheme="minorHAnsi" w:eastAsiaTheme="minorEastAsia" w:hAnsiTheme="minorHAnsi" w:cstheme="minorBidi"/>
          <w:sz w:val="22"/>
          <w:szCs w:val="22"/>
          <w:lang w:val="en-NZ" w:eastAsia="en-NZ"/>
        </w:rPr>
        <w:tab/>
      </w:r>
      <w:r>
        <w:t>Legislative time limit on issuing IRD numbers</w:t>
      </w:r>
      <w:r>
        <w:tab/>
      </w:r>
      <w:r>
        <w:fldChar w:fldCharType="begin"/>
      </w:r>
      <w:r>
        <w:instrText xml:space="preserve"> PAGEREF _Toc427238289 \h </w:instrText>
      </w:r>
      <w:r>
        <w:fldChar w:fldCharType="separate"/>
      </w:r>
      <w:r w:rsidR="00F07F0F">
        <w:t>60</w:t>
      </w:r>
      <w:r>
        <w:fldChar w:fldCharType="end"/>
      </w:r>
    </w:p>
    <w:p w:rsidR="007F7F27" w:rsidRPr="0021270B" w:rsidRDefault="007F7F27" w:rsidP="00536A68">
      <w:pPr>
        <w:pStyle w:val="BodyText"/>
        <w:tabs>
          <w:tab w:val="right" w:pos="8222"/>
        </w:tabs>
        <w:ind w:left="851" w:hanging="851"/>
        <w:jc w:val="left"/>
        <w:rPr>
          <w:lang w:val="en-NZ"/>
        </w:rPr>
        <w:sectPr w:rsidR="007F7F27" w:rsidRPr="0021270B" w:rsidSect="00622084">
          <w:footerReference w:type="even" r:id="rId15"/>
          <w:footerReference w:type="default" r:id="rId16"/>
          <w:type w:val="continuous"/>
          <w:pgSz w:w="11906" w:h="16838" w:code="9"/>
          <w:pgMar w:top="1304" w:right="1797" w:bottom="1134" w:left="1797" w:header="720" w:footer="567" w:gutter="0"/>
          <w:cols w:space="720"/>
        </w:sectPr>
      </w:pPr>
      <w:r w:rsidRPr="0021270B">
        <w:rPr>
          <w:sz w:val="20"/>
          <w:lang w:val="en-NZ"/>
        </w:rPr>
        <w:fldChar w:fldCharType="end"/>
      </w:r>
    </w:p>
    <w:p w:rsidR="00622084" w:rsidRDefault="00622084">
      <w:pPr>
        <w:jc w:val="left"/>
        <w:rPr>
          <w:caps/>
          <w:sz w:val="28"/>
          <w:szCs w:val="28"/>
        </w:rPr>
        <w:sectPr w:rsidR="00622084" w:rsidSect="00622084">
          <w:footerReference w:type="even" r:id="rId17"/>
          <w:footerReference w:type="default" r:id="rId18"/>
          <w:footerReference w:type="first" r:id="rId19"/>
          <w:type w:val="continuous"/>
          <w:pgSz w:w="11906" w:h="16838" w:code="9"/>
          <w:pgMar w:top="1304" w:right="1797" w:bottom="1134" w:left="1797" w:header="720" w:footer="567" w:gutter="0"/>
          <w:pgNumType w:start="0"/>
          <w:cols w:space="720"/>
        </w:sectPr>
      </w:pPr>
    </w:p>
    <w:p w:rsidR="00B97F56" w:rsidRPr="009023DD" w:rsidRDefault="009023DD" w:rsidP="00536A68">
      <w:pPr>
        <w:pStyle w:val="Heading1"/>
        <w:rPr>
          <w:caps w:val="0"/>
          <w:sz w:val="28"/>
          <w:szCs w:val="28"/>
        </w:rPr>
      </w:pPr>
      <w:bookmarkStart w:id="5" w:name="_Toc427238199"/>
      <w:r w:rsidRPr="009023DD">
        <w:rPr>
          <w:caps w:val="0"/>
          <w:sz w:val="28"/>
          <w:szCs w:val="28"/>
        </w:rPr>
        <w:lastRenderedPageBreak/>
        <w:t>OVERVIEW</w:t>
      </w:r>
      <w:bookmarkEnd w:id="5"/>
    </w:p>
    <w:p w:rsidR="00B97F56" w:rsidRDefault="00B97F56" w:rsidP="00536A68">
      <w:pPr>
        <w:rPr>
          <w:szCs w:val="24"/>
          <w:lang w:val="en-NZ"/>
        </w:rPr>
      </w:pPr>
    </w:p>
    <w:p w:rsidR="009023DD" w:rsidRPr="0021270B" w:rsidRDefault="009023DD" w:rsidP="00536A68">
      <w:pPr>
        <w:rPr>
          <w:szCs w:val="24"/>
          <w:lang w:val="en-NZ"/>
        </w:rPr>
      </w:pPr>
    </w:p>
    <w:p w:rsidR="00A047DE" w:rsidRPr="0021270B" w:rsidRDefault="00A047DE" w:rsidP="00A047DE">
      <w:r w:rsidRPr="0021270B">
        <w:t>The Taxation (Land Information and Offshore Persons Information) Bill proposes changes to the Land Transfer Act 1952 and the Tax Administration Act 1994 in order to get better tax information from all people dealing in land and to promote the enforcement of tax obligations of offshore persons generally.</w:t>
      </w:r>
    </w:p>
    <w:p w:rsidR="00A047DE" w:rsidRPr="0021270B" w:rsidRDefault="00A047DE" w:rsidP="00A047DE"/>
    <w:p w:rsidR="00A047DE" w:rsidRPr="0021270B" w:rsidRDefault="00A047DE" w:rsidP="00A047DE">
      <w:r w:rsidRPr="0021270B">
        <w:t xml:space="preserve">The first key proposal of the Bill requires buyers and sellers of property to present an IRD number (and </w:t>
      </w:r>
      <w:r w:rsidR="006D3805" w:rsidRPr="0021270B">
        <w:t>their foreign equivalent of an IRD number if applicable</w:t>
      </w:r>
      <w:r w:rsidRPr="0021270B">
        <w:t xml:space="preserve">) to Land Information New Zealand as part of the land registration process. </w:t>
      </w:r>
      <w:r w:rsidR="006D3805" w:rsidRPr="0021270B">
        <w:t xml:space="preserve">The IRD number equivalent will not apply to a New Zealand individual </w:t>
      </w:r>
      <w:r w:rsidRPr="0021270B">
        <w:t xml:space="preserve">if they are buying or selling their main home. </w:t>
      </w:r>
    </w:p>
    <w:p w:rsidR="00A047DE" w:rsidRPr="0021270B" w:rsidRDefault="00A047DE" w:rsidP="00A047DE"/>
    <w:p w:rsidR="00A047DE" w:rsidRPr="0021270B" w:rsidRDefault="00A047DE" w:rsidP="00A047DE">
      <w:r w:rsidRPr="0021270B">
        <w:t xml:space="preserve">The second key proposal of the Bill requires offshore persons to have a New Zealand bank account as a prerequisite to obtaining an IRD number. </w:t>
      </w:r>
    </w:p>
    <w:p w:rsidR="00A047DE" w:rsidRPr="0021270B" w:rsidRDefault="00A047DE" w:rsidP="00A047DE"/>
    <w:p w:rsidR="00CE7998" w:rsidRPr="0021270B" w:rsidRDefault="00121C0F" w:rsidP="00A047DE">
      <w:r w:rsidRPr="0021270B">
        <w:t>Twelve</w:t>
      </w:r>
      <w:r w:rsidR="00507BF0" w:rsidRPr="0021270B">
        <w:t xml:space="preserve"> </w:t>
      </w:r>
      <w:r w:rsidR="00A047DE" w:rsidRPr="0021270B">
        <w:t>written submissions were received</w:t>
      </w:r>
      <w:r w:rsidR="00CE7998" w:rsidRPr="0021270B">
        <w:t xml:space="preserve"> by the Committee, with two of those submissions identified by officials as dealing with issues that </w:t>
      </w:r>
      <w:r w:rsidR="002601EF" w:rsidRPr="0021270B">
        <w:t>are</w:t>
      </w:r>
      <w:r w:rsidR="00CE7998" w:rsidRPr="0021270B">
        <w:t xml:space="preserve"> not contained in the </w:t>
      </w:r>
      <w:r w:rsidR="002601EF" w:rsidRPr="0021270B">
        <w:t>B</w:t>
      </w:r>
      <w:r w:rsidR="00CE7998" w:rsidRPr="0021270B">
        <w:t>ill</w:t>
      </w:r>
      <w:r w:rsidR="00A047DE" w:rsidRPr="0021270B">
        <w:t xml:space="preserve">. </w:t>
      </w:r>
      <w:r w:rsidR="00F6674C" w:rsidRPr="0021270B">
        <w:t>Both submissions concern the proposed bright</w:t>
      </w:r>
      <w:r w:rsidR="0061452C" w:rsidRPr="0021270B">
        <w:t>-</w:t>
      </w:r>
      <w:r w:rsidR="00F6674C" w:rsidRPr="0021270B">
        <w:t>line test and officials recommend that the Committee forward the submissions to the appropriate Inland Revenue officials.</w:t>
      </w:r>
    </w:p>
    <w:p w:rsidR="00CE7998" w:rsidRPr="0021270B" w:rsidRDefault="00CE7998" w:rsidP="00A047DE"/>
    <w:p w:rsidR="00E414B4" w:rsidRPr="0021270B" w:rsidRDefault="00A047DE" w:rsidP="00A047DE">
      <w:r w:rsidRPr="0021270B">
        <w:t>Generally submitters were</w:t>
      </w:r>
      <w:r w:rsidR="00CE7998" w:rsidRPr="0021270B">
        <w:t xml:space="preserve"> </w:t>
      </w:r>
      <w:r w:rsidR="00F6674C" w:rsidRPr="0021270B">
        <w:t xml:space="preserve">broadly </w:t>
      </w:r>
      <w:r w:rsidR="00CE7998" w:rsidRPr="0021270B">
        <w:t xml:space="preserve">supportive of the </w:t>
      </w:r>
      <w:r w:rsidR="003918C6" w:rsidRPr="0021270B">
        <w:t>policy objectives of</w:t>
      </w:r>
      <w:r w:rsidR="00CE7998" w:rsidRPr="0021270B">
        <w:t xml:space="preserve"> the Bill.  </w:t>
      </w:r>
      <w:r w:rsidR="00F6674C" w:rsidRPr="0021270B">
        <w:t>Some concerns were raised in relation to ensuring that c</w:t>
      </w:r>
      <w:r w:rsidR="00E414B4" w:rsidRPr="0021270B">
        <w:t xml:space="preserve">ompliance costs are minimised. </w:t>
      </w:r>
    </w:p>
    <w:p w:rsidR="00E414B4" w:rsidRPr="0021270B" w:rsidRDefault="00E414B4" w:rsidP="00A047DE"/>
    <w:p w:rsidR="009A0F5B" w:rsidRPr="0021270B" w:rsidRDefault="00CE7998" w:rsidP="009A0F5B">
      <w:pPr>
        <w:rPr>
          <w:lang w:val="en-NZ"/>
        </w:rPr>
      </w:pPr>
      <w:r w:rsidRPr="0021270B">
        <w:t>A particular concern raised by some submitters was the need for appropriate guidance to determine whether the main home exemption ap</w:t>
      </w:r>
      <w:r w:rsidR="00E414B4" w:rsidRPr="0021270B">
        <w:t xml:space="preserve">plies. </w:t>
      </w:r>
      <w:r w:rsidRPr="0021270B">
        <w:t>Officials agree that comprehensive guidance should be provided to buyers and sellers.</w:t>
      </w:r>
      <w:r w:rsidR="00E414B4" w:rsidRPr="0021270B">
        <w:t xml:space="preserve"> </w:t>
      </w:r>
      <w:r w:rsidR="00194419" w:rsidRPr="0021270B">
        <w:rPr>
          <w:lang w:val="en-NZ"/>
        </w:rPr>
        <w:t>A communications programme to inform buyers, sellers and conveyancers in plain English will be provided as part of the implementation of the changes.</w:t>
      </w:r>
    </w:p>
    <w:p w:rsidR="00F6674C" w:rsidRPr="0021270B" w:rsidRDefault="00F6674C" w:rsidP="00A047DE"/>
    <w:p w:rsidR="00F6674C" w:rsidRPr="0021270B" w:rsidRDefault="00F6674C" w:rsidP="00A047DE">
      <w:r w:rsidRPr="0021270B">
        <w:t>Officials have also proposed several technical and drafting changes.</w:t>
      </w:r>
    </w:p>
    <w:p w:rsidR="009023DD" w:rsidRDefault="009023DD">
      <w:pPr>
        <w:jc w:val="left"/>
      </w:pPr>
      <w:r>
        <w:br w:type="page"/>
      </w:r>
    </w:p>
    <w:p w:rsidR="0079424B" w:rsidRPr="0021270B" w:rsidRDefault="0079424B" w:rsidP="00A047DE"/>
    <w:p w:rsidR="0079424B" w:rsidRPr="0021270B" w:rsidRDefault="0079424B">
      <w:pPr>
        <w:jc w:val="left"/>
      </w:pPr>
      <w:r w:rsidRPr="0021270B">
        <w:br w:type="page"/>
      </w:r>
    </w:p>
    <w:p w:rsidR="0079424B" w:rsidRPr="0021270B" w:rsidRDefault="0079424B" w:rsidP="0079424B"/>
    <w:p w:rsidR="0079424B" w:rsidRPr="0021270B" w:rsidRDefault="0079424B" w:rsidP="0079424B"/>
    <w:p w:rsidR="0079424B" w:rsidRPr="0021270B" w:rsidRDefault="0079424B" w:rsidP="0079424B"/>
    <w:p w:rsidR="0079424B" w:rsidRPr="0021270B" w:rsidRDefault="0079424B" w:rsidP="0079424B"/>
    <w:p w:rsidR="0079424B" w:rsidRPr="0021270B" w:rsidRDefault="0079424B" w:rsidP="0079424B"/>
    <w:p w:rsidR="0079424B" w:rsidRPr="0021270B" w:rsidRDefault="0079424B" w:rsidP="0079424B"/>
    <w:p w:rsidR="0079424B" w:rsidRPr="0021270B" w:rsidRDefault="0079424B" w:rsidP="0079424B"/>
    <w:p w:rsidR="0079424B" w:rsidRPr="0021270B" w:rsidRDefault="0079424B" w:rsidP="0079424B"/>
    <w:p w:rsidR="0079424B" w:rsidRPr="0021270B" w:rsidRDefault="0079424B" w:rsidP="0079424B"/>
    <w:p w:rsidR="0079424B" w:rsidRPr="0021270B" w:rsidRDefault="0079424B" w:rsidP="0079424B"/>
    <w:p w:rsidR="0079424B" w:rsidRPr="0021270B" w:rsidRDefault="0079424B" w:rsidP="0079424B"/>
    <w:p w:rsidR="0079424B" w:rsidRPr="0021270B" w:rsidRDefault="0079424B" w:rsidP="0079424B"/>
    <w:p w:rsidR="0079424B" w:rsidRPr="0021270B" w:rsidRDefault="0079424B" w:rsidP="0079424B"/>
    <w:p w:rsidR="0079424B" w:rsidRPr="0021270B" w:rsidRDefault="0079424B" w:rsidP="0079424B"/>
    <w:p w:rsidR="0079424B" w:rsidRPr="0021270B" w:rsidRDefault="0079424B" w:rsidP="0079424B"/>
    <w:p w:rsidR="0079424B" w:rsidRPr="0021270B" w:rsidRDefault="0079424B" w:rsidP="00A047DE"/>
    <w:p w:rsidR="0079424B" w:rsidRPr="0021270B" w:rsidRDefault="009023DD" w:rsidP="0079424B">
      <w:pPr>
        <w:pStyle w:val="PartHeading"/>
        <w:pBdr>
          <w:top w:val="single" w:sz="4" w:space="10" w:color="auto"/>
          <w:bottom w:val="single" w:sz="4" w:space="10" w:color="auto"/>
        </w:pBdr>
        <w:spacing w:after="200"/>
      </w:pPr>
      <w:bookmarkStart w:id="6" w:name="_Toc427238200"/>
      <w:r>
        <w:rPr>
          <w:caps w:val="0"/>
        </w:rPr>
        <w:t>Matters raised by s</w:t>
      </w:r>
      <w:r w:rsidR="0079424B" w:rsidRPr="0021270B">
        <w:rPr>
          <w:caps w:val="0"/>
        </w:rPr>
        <w:t>ubmitters</w:t>
      </w:r>
      <w:bookmarkEnd w:id="6"/>
    </w:p>
    <w:p w:rsidR="00936097" w:rsidRPr="0021270B" w:rsidRDefault="00936097">
      <w:pPr>
        <w:jc w:val="left"/>
      </w:pPr>
      <w:r w:rsidRPr="0021270B">
        <w:br w:type="page"/>
      </w:r>
    </w:p>
    <w:p w:rsidR="009023DD" w:rsidRDefault="009023DD">
      <w:pPr>
        <w:jc w:val="left"/>
        <w:rPr>
          <w:b/>
          <w:caps/>
          <w:sz w:val="26"/>
          <w:lang w:val="en-NZ"/>
        </w:rPr>
      </w:pPr>
      <w:r>
        <w:lastRenderedPageBreak/>
        <w:br w:type="page"/>
      </w:r>
    </w:p>
    <w:p w:rsidR="009F01B9" w:rsidRPr="0021270B" w:rsidRDefault="00781D8A" w:rsidP="009575F9">
      <w:pPr>
        <w:pStyle w:val="Heading1"/>
      </w:pPr>
      <w:bookmarkStart w:id="7" w:name="_Toc427238201"/>
      <w:r>
        <w:lastRenderedPageBreak/>
        <w:t>Support for r</w:t>
      </w:r>
      <w:r w:rsidR="009F01B9" w:rsidRPr="0021270B">
        <w:t>eform</w:t>
      </w:r>
      <w:bookmarkEnd w:id="7"/>
      <w:r w:rsidR="00366522" w:rsidRPr="0021270B">
        <w:t xml:space="preserve"> </w:t>
      </w:r>
    </w:p>
    <w:p w:rsidR="009F01B9" w:rsidRPr="0021270B" w:rsidRDefault="009F01B9" w:rsidP="009F01B9">
      <w:pPr>
        <w:rPr>
          <w:lang w:val="en-NZ"/>
        </w:rPr>
      </w:pPr>
    </w:p>
    <w:p w:rsidR="00364908" w:rsidRPr="0021270B" w:rsidRDefault="00364908" w:rsidP="009F01B9">
      <w:pPr>
        <w:rPr>
          <w:lang w:val="en-NZ"/>
        </w:rPr>
      </w:pPr>
    </w:p>
    <w:p w:rsidR="00936097" w:rsidRPr="0021270B" w:rsidRDefault="00936097" w:rsidP="009575F9">
      <w:pPr>
        <w:pStyle w:val="Heading5"/>
        <w:rPr>
          <w:rFonts w:eastAsia="SimSun"/>
          <w:lang w:val="en-NZ" w:eastAsia="zh-CN" w:bidi="hi-IN"/>
        </w:rPr>
      </w:pPr>
      <w:bookmarkStart w:id="8" w:name="_Toc427238202"/>
      <w:r w:rsidRPr="0021270B">
        <w:rPr>
          <w:rFonts w:eastAsia="SimSun"/>
          <w:lang w:val="en-NZ" w:eastAsia="zh-CN" w:bidi="hi-IN"/>
        </w:rPr>
        <w:t xml:space="preserve">Issue: </w:t>
      </w:r>
      <w:r w:rsidR="00364908" w:rsidRPr="0021270B">
        <w:rPr>
          <w:rFonts w:eastAsia="SimSun"/>
          <w:lang w:val="en-NZ" w:eastAsia="zh-CN" w:bidi="hi-IN"/>
        </w:rPr>
        <w:tab/>
      </w:r>
      <w:r w:rsidRPr="0021270B">
        <w:rPr>
          <w:rFonts w:eastAsia="SimSun"/>
          <w:lang w:val="en-NZ" w:eastAsia="zh-CN" w:bidi="hi-IN"/>
        </w:rPr>
        <w:t xml:space="preserve">Support for the </w:t>
      </w:r>
      <w:r w:rsidR="008544EF" w:rsidRPr="0021270B">
        <w:rPr>
          <w:rFonts w:eastAsia="SimSun"/>
          <w:lang w:val="en-NZ" w:eastAsia="zh-CN" w:bidi="hi-IN"/>
        </w:rPr>
        <w:t>Bill</w:t>
      </w:r>
      <w:bookmarkEnd w:id="8"/>
    </w:p>
    <w:p w:rsidR="00936097" w:rsidRPr="0021270B" w:rsidRDefault="00936097" w:rsidP="00936097">
      <w:pPr>
        <w:widowControl w:val="0"/>
        <w:suppressAutoHyphens/>
        <w:jc w:val="left"/>
        <w:rPr>
          <w:rFonts w:eastAsia="SimSun"/>
          <w:b/>
          <w:bCs/>
          <w:szCs w:val="24"/>
          <w:lang w:val="en-NZ" w:eastAsia="zh-CN" w:bidi="hi-IN"/>
        </w:rPr>
      </w:pPr>
    </w:p>
    <w:p w:rsidR="00364908" w:rsidRPr="0021270B" w:rsidRDefault="00364908" w:rsidP="00936097">
      <w:pPr>
        <w:widowControl w:val="0"/>
        <w:suppressAutoHyphens/>
        <w:jc w:val="left"/>
        <w:rPr>
          <w:rFonts w:eastAsia="SimSun"/>
          <w:b/>
          <w:bCs/>
          <w:szCs w:val="24"/>
          <w:lang w:val="en-NZ" w:eastAsia="zh-CN" w:bidi="hi-IN"/>
        </w:rPr>
      </w:pPr>
    </w:p>
    <w:p w:rsidR="00936097" w:rsidRPr="0021270B" w:rsidRDefault="00936097" w:rsidP="00936097">
      <w:pPr>
        <w:widowControl w:val="0"/>
        <w:suppressAutoHyphens/>
        <w:jc w:val="left"/>
        <w:rPr>
          <w:rFonts w:eastAsia="SimSun"/>
          <w:b/>
          <w:bCs/>
          <w:szCs w:val="24"/>
          <w:lang w:val="en-NZ" w:eastAsia="zh-CN" w:bidi="hi-IN"/>
        </w:rPr>
      </w:pPr>
      <w:r w:rsidRPr="0021270B">
        <w:rPr>
          <w:rFonts w:eastAsia="SimSun"/>
          <w:b/>
          <w:bCs/>
          <w:szCs w:val="24"/>
          <w:lang w:val="en-NZ" w:eastAsia="zh-CN" w:bidi="hi-IN"/>
        </w:rPr>
        <w:t>Submission</w:t>
      </w:r>
    </w:p>
    <w:p w:rsidR="00936097" w:rsidRPr="0021270B" w:rsidRDefault="0061452C" w:rsidP="009023DD">
      <w:pPr>
        <w:widowControl w:val="0"/>
        <w:suppressAutoHyphens/>
        <w:rPr>
          <w:rFonts w:eastAsia="SimSun"/>
          <w:i/>
          <w:iCs/>
          <w:szCs w:val="24"/>
          <w:lang w:val="en-NZ" w:eastAsia="zh-CN" w:bidi="hi-IN"/>
        </w:rPr>
      </w:pPr>
      <w:r w:rsidRPr="0021270B">
        <w:rPr>
          <w:rFonts w:eastAsia="SimSun"/>
          <w:i/>
          <w:iCs/>
          <w:szCs w:val="24"/>
          <w:lang w:val="en-NZ" w:eastAsia="zh-CN" w:bidi="hi-IN"/>
        </w:rPr>
        <w:t>(</w:t>
      </w:r>
      <w:r w:rsidR="0019633B" w:rsidRPr="0021270B">
        <w:rPr>
          <w:rFonts w:eastAsia="SimSun"/>
          <w:i/>
          <w:iCs/>
          <w:szCs w:val="24"/>
          <w:lang w:val="en-NZ" w:eastAsia="zh-CN" w:bidi="hi-IN"/>
        </w:rPr>
        <w:t xml:space="preserve">Auckland District Law Society, </w:t>
      </w:r>
      <w:r w:rsidRPr="0021270B">
        <w:rPr>
          <w:rFonts w:eastAsia="SimSun"/>
          <w:i/>
          <w:iCs/>
          <w:szCs w:val="24"/>
          <w:lang w:val="en-NZ" w:eastAsia="zh-CN" w:bidi="hi-IN"/>
        </w:rPr>
        <w:t xml:space="preserve">Chartered Accountants Australia and New Zealand, </w:t>
      </w:r>
      <w:r w:rsidR="00CC0406" w:rsidRPr="0021270B">
        <w:rPr>
          <w:i/>
          <w:lang w:val="en-NZ"/>
        </w:rPr>
        <w:t>New Zealand Bankers</w:t>
      </w:r>
      <w:r w:rsidR="005641C1">
        <w:rPr>
          <w:i/>
          <w:lang w:val="en-NZ"/>
        </w:rPr>
        <w:t>’</w:t>
      </w:r>
      <w:r w:rsidR="00CC0406" w:rsidRPr="0021270B">
        <w:rPr>
          <w:i/>
          <w:lang w:val="en-NZ"/>
        </w:rPr>
        <w:t xml:space="preserve"> Association</w:t>
      </w:r>
      <w:r w:rsidR="00022CF7" w:rsidRPr="0021270B">
        <w:rPr>
          <w:rFonts w:eastAsia="SimSun"/>
          <w:i/>
          <w:iCs/>
          <w:szCs w:val="24"/>
          <w:lang w:val="en-NZ" w:eastAsia="zh-CN" w:bidi="hi-IN"/>
        </w:rPr>
        <w:t>,</w:t>
      </w:r>
      <w:r w:rsidR="008544EF" w:rsidRPr="0021270B">
        <w:rPr>
          <w:rFonts w:eastAsia="SimSun"/>
          <w:i/>
          <w:iCs/>
          <w:szCs w:val="24"/>
          <w:lang w:val="en-NZ" w:eastAsia="zh-CN" w:bidi="hi-IN"/>
        </w:rPr>
        <w:t xml:space="preserve"> New Zealand Property Investors</w:t>
      </w:r>
      <w:r w:rsidR="005641C1">
        <w:rPr>
          <w:rFonts w:eastAsia="SimSun"/>
          <w:i/>
          <w:iCs/>
          <w:szCs w:val="24"/>
          <w:lang w:val="en-NZ" w:eastAsia="zh-CN" w:bidi="hi-IN"/>
        </w:rPr>
        <w:t>’</w:t>
      </w:r>
      <w:r w:rsidR="008544EF" w:rsidRPr="0021270B">
        <w:rPr>
          <w:rFonts w:eastAsia="SimSun"/>
          <w:i/>
          <w:iCs/>
          <w:szCs w:val="24"/>
          <w:lang w:val="en-NZ" w:eastAsia="zh-CN" w:bidi="hi-IN"/>
        </w:rPr>
        <w:t xml:space="preserve"> Federation</w:t>
      </w:r>
      <w:r w:rsidR="0019633B" w:rsidRPr="0021270B">
        <w:rPr>
          <w:rFonts w:eastAsia="SimSun"/>
          <w:i/>
          <w:iCs/>
          <w:szCs w:val="24"/>
          <w:lang w:val="en-NZ" w:eastAsia="zh-CN" w:bidi="hi-IN"/>
        </w:rPr>
        <w:t>, Real Estate Institute of New Zealand</w:t>
      </w:r>
      <w:r w:rsidRPr="0021270B">
        <w:rPr>
          <w:rFonts w:eastAsia="SimSun"/>
          <w:i/>
          <w:iCs/>
          <w:szCs w:val="24"/>
          <w:lang w:val="en-NZ" w:eastAsia="zh-CN" w:bidi="hi-IN"/>
        </w:rPr>
        <w:t>)</w:t>
      </w:r>
    </w:p>
    <w:p w:rsidR="0061452C" w:rsidRPr="0021270B" w:rsidRDefault="0061452C" w:rsidP="009023DD">
      <w:pPr>
        <w:widowControl w:val="0"/>
        <w:suppressAutoHyphens/>
        <w:rPr>
          <w:rFonts w:eastAsia="SimSun"/>
          <w:szCs w:val="24"/>
          <w:lang w:val="en-NZ" w:eastAsia="zh-CN" w:bidi="hi-IN"/>
        </w:rPr>
      </w:pPr>
    </w:p>
    <w:p w:rsidR="00936097" w:rsidRPr="0021270B" w:rsidRDefault="00936097" w:rsidP="009023DD">
      <w:pPr>
        <w:widowControl w:val="0"/>
        <w:suppressAutoHyphens/>
        <w:rPr>
          <w:rFonts w:eastAsia="SimSun"/>
          <w:szCs w:val="24"/>
          <w:lang w:val="en-NZ" w:eastAsia="zh-CN" w:bidi="hi-IN"/>
        </w:rPr>
      </w:pPr>
      <w:r w:rsidRPr="0021270B">
        <w:rPr>
          <w:rFonts w:eastAsia="SimSun"/>
          <w:szCs w:val="24"/>
          <w:lang w:val="en-NZ" w:eastAsia="zh-CN" w:bidi="hi-IN"/>
        </w:rPr>
        <w:t xml:space="preserve">A number of submitters have expressed their broad support for </w:t>
      </w:r>
      <w:r w:rsidR="002158F6" w:rsidRPr="0021270B">
        <w:rPr>
          <w:rFonts w:eastAsia="SimSun"/>
          <w:szCs w:val="24"/>
          <w:lang w:val="en-NZ" w:eastAsia="zh-CN" w:bidi="hi-IN"/>
        </w:rPr>
        <w:t xml:space="preserve">the </w:t>
      </w:r>
      <w:r w:rsidRPr="0021270B">
        <w:rPr>
          <w:rFonts w:eastAsia="SimSun"/>
          <w:szCs w:val="24"/>
          <w:lang w:val="en-NZ" w:eastAsia="zh-CN" w:bidi="hi-IN"/>
        </w:rPr>
        <w:t>Bill</w:t>
      </w:r>
      <w:r w:rsidR="001F417E" w:rsidRPr="0021270B">
        <w:rPr>
          <w:rFonts w:eastAsia="SimSun"/>
          <w:szCs w:val="24"/>
          <w:lang w:val="en-NZ" w:eastAsia="zh-CN" w:bidi="hi-IN"/>
        </w:rPr>
        <w:t xml:space="preserve"> and its associated policy objectives</w:t>
      </w:r>
      <w:r w:rsidRPr="0021270B">
        <w:rPr>
          <w:rFonts w:eastAsia="SimSun"/>
          <w:szCs w:val="24"/>
          <w:lang w:val="en-NZ" w:eastAsia="zh-CN" w:bidi="hi-IN"/>
        </w:rPr>
        <w:t>.</w:t>
      </w:r>
    </w:p>
    <w:p w:rsidR="0019633B" w:rsidRPr="0021270B" w:rsidRDefault="0019633B" w:rsidP="009023DD">
      <w:pPr>
        <w:widowControl w:val="0"/>
        <w:suppressAutoHyphens/>
        <w:rPr>
          <w:rFonts w:eastAsia="SimSun"/>
          <w:szCs w:val="24"/>
          <w:lang w:val="en-NZ" w:eastAsia="zh-CN" w:bidi="hi-IN"/>
        </w:rPr>
      </w:pPr>
    </w:p>
    <w:p w:rsidR="0019633B" w:rsidRPr="0021270B" w:rsidRDefault="0019633B" w:rsidP="009023DD">
      <w:pPr>
        <w:widowControl w:val="0"/>
        <w:suppressAutoHyphens/>
        <w:rPr>
          <w:rFonts w:eastAsia="SimSun"/>
          <w:i/>
          <w:szCs w:val="24"/>
          <w:lang w:val="en-NZ" w:eastAsia="zh-CN" w:bidi="hi-IN"/>
        </w:rPr>
      </w:pPr>
      <w:r w:rsidRPr="0021270B">
        <w:rPr>
          <w:rFonts w:eastAsia="SimSun"/>
          <w:szCs w:val="24"/>
          <w:lang w:val="en-NZ" w:eastAsia="zh-CN" w:bidi="hi-IN"/>
        </w:rPr>
        <w:t xml:space="preserve">One submitter congratulated the Government on its intention to introduce rules that would </w:t>
      </w:r>
      <w:r w:rsidR="00D12420" w:rsidRPr="0021270B">
        <w:rPr>
          <w:rFonts w:eastAsia="SimSun"/>
          <w:szCs w:val="24"/>
          <w:lang w:val="en-NZ" w:eastAsia="zh-CN" w:bidi="hi-IN"/>
        </w:rPr>
        <w:t xml:space="preserve">enable more accurate information to be collected on the levels of foreign ownership of New Zealand property. </w:t>
      </w:r>
      <w:r w:rsidR="00D12420" w:rsidRPr="0021270B">
        <w:rPr>
          <w:rFonts w:eastAsia="SimSun"/>
          <w:i/>
          <w:szCs w:val="24"/>
          <w:lang w:val="en-NZ" w:eastAsia="zh-CN" w:bidi="hi-IN"/>
        </w:rPr>
        <w:t>(Auckland District Law Society)</w:t>
      </w:r>
    </w:p>
    <w:p w:rsidR="00D12420" w:rsidRPr="0021270B" w:rsidRDefault="00D12420" w:rsidP="009023DD">
      <w:pPr>
        <w:widowControl w:val="0"/>
        <w:suppressAutoHyphens/>
        <w:rPr>
          <w:rFonts w:eastAsia="SimSun"/>
          <w:szCs w:val="24"/>
          <w:lang w:val="en-NZ" w:eastAsia="zh-CN" w:bidi="hi-IN"/>
        </w:rPr>
      </w:pPr>
    </w:p>
    <w:p w:rsidR="0019633B" w:rsidRPr="0021270B" w:rsidRDefault="0019633B" w:rsidP="009023DD">
      <w:pPr>
        <w:widowControl w:val="0"/>
        <w:suppressAutoHyphens/>
        <w:rPr>
          <w:rFonts w:eastAsia="SimSun"/>
          <w:i/>
          <w:szCs w:val="24"/>
          <w:lang w:val="en-NZ" w:eastAsia="zh-CN" w:bidi="hi-IN"/>
        </w:rPr>
      </w:pPr>
      <w:r w:rsidRPr="0021270B">
        <w:rPr>
          <w:rFonts w:eastAsia="SimSun"/>
          <w:szCs w:val="24"/>
          <w:lang w:val="en-NZ" w:eastAsia="zh-CN" w:bidi="hi-IN"/>
        </w:rPr>
        <w:t xml:space="preserve">One submitter noted that it believed that the costs imposed by the Bill would be outweighed by the benefits that would result from easier and better enforcement of income tax rules relating to property and better information about the property market.   </w:t>
      </w:r>
      <w:r w:rsidRPr="0021270B">
        <w:rPr>
          <w:rFonts w:eastAsia="SimSun"/>
          <w:i/>
          <w:szCs w:val="24"/>
          <w:lang w:val="en-NZ" w:eastAsia="zh-CN" w:bidi="hi-IN"/>
        </w:rPr>
        <w:t>(Chartered Accountants Australia and New Zealand)</w:t>
      </w:r>
    </w:p>
    <w:p w:rsidR="008544EF" w:rsidRPr="0021270B" w:rsidRDefault="008544EF" w:rsidP="009023DD">
      <w:pPr>
        <w:widowControl w:val="0"/>
        <w:suppressAutoHyphens/>
        <w:rPr>
          <w:rFonts w:eastAsia="SimSun"/>
          <w:szCs w:val="24"/>
          <w:lang w:val="en-NZ" w:eastAsia="zh-CN" w:bidi="hi-IN"/>
        </w:rPr>
      </w:pPr>
    </w:p>
    <w:p w:rsidR="001F417E" w:rsidRPr="0021270B" w:rsidRDefault="001F417E" w:rsidP="009023DD">
      <w:pPr>
        <w:widowControl w:val="0"/>
        <w:suppressAutoHyphens/>
        <w:rPr>
          <w:rFonts w:eastAsia="SimSun"/>
          <w:szCs w:val="24"/>
          <w:lang w:val="en-NZ" w:eastAsia="zh-CN" w:bidi="hi-IN"/>
        </w:rPr>
      </w:pPr>
      <w:r w:rsidRPr="0021270B">
        <w:rPr>
          <w:rFonts w:eastAsia="SimSun"/>
          <w:szCs w:val="24"/>
          <w:lang w:val="en-NZ" w:eastAsia="zh-CN" w:bidi="hi-IN"/>
        </w:rPr>
        <w:t xml:space="preserve">Another submitter noted that the Bill is well-intentioned as it seeks to improve systems in order to gather better information and assist tax law enforcement. </w:t>
      </w:r>
      <w:r w:rsidRPr="0021270B">
        <w:rPr>
          <w:rFonts w:eastAsia="SimSun"/>
          <w:i/>
          <w:szCs w:val="24"/>
          <w:lang w:val="en-NZ" w:eastAsia="zh-CN" w:bidi="hi-IN"/>
        </w:rPr>
        <w:t>(New Zealand Property Investors</w:t>
      </w:r>
      <w:r w:rsidR="005641C1">
        <w:rPr>
          <w:rFonts w:eastAsia="SimSun"/>
          <w:i/>
          <w:szCs w:val="24"/>
          <w:lang w:val="en-NZ" w:eastAsia="zh-CN" w:bidi="hi-IN"/>
        </w:rPr>
        <w:t>’</w:t>
      </w:r>
      <w:r w:rsidRPr="0021270B">
        <w:rPr>
          <w:rFonts w:eastAsia="SimSun"/>
          <w:i/>
          <w:szCs w:val="24"/>
          <w:lang w:val="en-NZ" w:eastAsia="zh-CN" w:bidi="hi-IN"/>
        </w:rPr>
        <w:t xml:space="preserve"> Federation)</w:t>
      </w:r>
    </w:p>
    <w:p w:rsidR="001F417E" w:rsidRPr="0021270B" w:rsidRDefault="001F417E" w:rsidP="009023DD">
      <w:pPr>
        <w:widowControl w:val="0"/>
        <w:suppressAutoHyphens/>
        <w:rPr>
          <w:rFonts w:eastAsia="SimSun"/>
          <w:szCs w:val="24"/>
          <w:lang w:val="en-NZ" w:eastAsia="zh-CN" w:bidi="hi-IN"/>
        </w:rPr>
      </w:pPr>
    </w:p>
    <w:p w:rsidR="00936097" w:rsidRPr="0021270B" w:rsidRDefault="00936097" w:rsidP="009023DD">
      <w:pPr>
        <w:widowControl w:val="0"/>
        <w:suppressAutoHyphens/>
        <w:rPr>
          <w:rFonts w:eastAsia="SimSun"/>
          <w:b/>
          <w:szCs w:val="24"/>
          <w:lang w:val="en-NZ" w:eastAsia="zh-CN" w:bidi="hi-IN"/>
        </w:rPr>
      </w:pPr>
      <w:r w:rsidRPr="0021270B">
        <w:rPr>
          <w:rFonts w:eastAsia="SimSun"/>
          <w:b/>
          <w:szCs w:val="24"/>
          <w:lang w:val="en-NZ" w:eastAsia="zh-CN" w:bidi="hi-IN"/>
        </w:rPr>
        <w:t>Comment</w:t>
      </w:r>
    </w:p>
    <w:p w:rsidR="00A047DE" w:rsidRPr="0021270B" w:rsidRDefault="00A047DE" w:rsidP="009023DD"/>
    <w:p w:rsidR="00B97F56" w:rsidRPr="0021270B" w:rsidRDefault="008544EF" w:rsidP="009023DD">
      <w:pPr>
        <w:rPr>
          <w:szCs w:val="24"/>
          <w:lang w:val="en-NZ"/>
        </w:rPr>
      </w:pPr>
      <w:r w:rsidRPr="0021270B">
        <w:rPr>
          <w:szCs w:val="24"/>
          <w:lang w:val="en-NZ"/>
        </w:rPr>
        <w:t xml:space="preserve">Officials </w:t>
      </w:r>
      <w:r w:rsidR="00401353" w:rsidRPr="0021270B">
        <w:rPr>
          <w:szCs w:val="24"/>
          <w:lang w:val="en-NZ"/>
        </w:rPr>
        <w:t>note</w:t>
      </w:r>
      <w:r w:rsidRPr="0021270B">
        <w:rPr>
          <w:szCs w:val="24"/>
          <w:lang w:val="en-NZ"/>
        </w:rPr>
        <w:t xml:space="preserve"> the</w:t>
      </w:r>
      <w:r w:rsidR="001F417E" w:rsidRPr="0021270B">
        <w:rPr>
          <w:szCs w:val="24"/>
          <w:lang w:val="en-NZ"/>
        </w:rPr>
        <w:t xml:space="preserve"> submitters</w:t>
      </w:r>
      <w:r w:rsidR="005641C1">
        <w:rPr>
          <w:szCs w:val="24"/>
          <w:lang w:val="en-NZ"/>
        </w:rPr>
        <w:t>’</w:t>
      </w:r>
      <w:r w:rsidRPr="0021270B">
        <w:rPr>
          <w:szCs w:val="24"/>
          <w:lang w:val="en-NZ"/>
        </w:rPr>
        <w:t xml:space="preserve"> support for the Bill</w:t>
      </w:r>
      <w:r w:rsidR="00BB795B" w:rsidRPr="0021270B">
        <w:rPr>
          <w:szCs w:val="24"/>
          <w:lang w:val="en-NZ"/>
        </w:rPr>
        <w:t>.</w:t>
      </w:r>
    </w:p>
    <w:p w:rsidR="00BB795B" w:rsidRPr="0021270B" w:rsidRDefault="00BB795B" w:rsidP="009023DD">
      <w:pPr>
        <w:rPr>
          <w:szCs w:val="24"/>
          <w:lang w:val="en-NZ"/>
        </w:rPr>
      </w:pPr>
    </w:p>
    <w:p w:rsidR="009F01B9" w:rsidRPr="0021270B" w:rsidRDefault="009F01B9" w:rsidP="009023DD">
      <w:pPr>
        <w:rPr>
          <w:b/>
          <w:szCs w:val="24"/>
          <w:lang w:val="en-NZ"/>
        </w:rPr>
      </w:pPr>
      <w:r w:rsidRPr="0021270B">
        <w:rPr>
          <w:b/>
          <w:szCs w:val="24"/>
          <w:lang w:val="en-NZ"/>
        </w:rPr>
        <w:t>Recommendation</w:t>
      </w:r>
    </w:p>
    <w:p w:rsidR="002601EF" w:rsidRPr="0021270B" w:rsidRDefault="002601EF" w:rsidP="009023DD">
      <w:pPr>
        <w:rPr>
          <w:b/>
          <w:szCs w:val="24"/>
          <w:lang w:val="en-NZ"/>
        </w:rPr>
      </w:pPr>
    </w:p>
    <w:p w:rsidR="00B97F56" w:rsidRPr="0021270B" w:rsidRDefault="00BB795B" w:rsidP="00536A68">
      <w:pPr>
        <w:rPr>
          <w:szCs w:val="24"/>
          <w:lang w:val="en-NZ"/>
        </w:rPr>
      </w:pPr>
      <w:r w:rsidRPr="0021270B">
        <w:rPr>
          <w:szCs w:val="24"/>
          <w:lang w:val="en-NZ"/>
        </w:rPr>
        <w:t>That the submissions be noted.</w:t>
      </w:r>
    </w:p>
    <w:p w:rsidR="00B97F56" w:rsidRPr="0021270B" w:rsidRDefault="00B97F56" w:rsidP="00536A68">
      <w:pPr>
        <w:rPr>
          <w:szCs w:val="24"/>
          <w:lang w:val="en-NZ"/>
        </w:rPr>
      </w:pPr>
    </w:p>
    <w:p w:rsidR="00B97F56" w:rsidRPr="0021270B" w:rsidRDefault="00B97F56" w:rsidP="00536A68">
      <w:pPr>
        <w:rPr>
          <w:szCs w:val="24"/>
          <w:lang w:val="en-NZ"/>
        </w:rPr>
      </w:pPr>
    </w:p>
    <w:p w:rsidR="00B97F56" w:rsidRPr="0021270B" w:rsidRDefault="00B97F56" w:rsidP="00536A68">
      <w:pPr>
        <w:rPr>
          <w:lang w:val="en-NZ"/>
        </w:rPr>
      </w:pPr>
    </w:p>
    <w:p w:rsidR="001F417E" w:rsidRPr="0021270B" w:rsidRDefault="001F417E">
      <w:pPr>
        <w:jc w:val="left"/>
        <w:rPr>
          <w:b/>
          <w:caps/>
          <w:sz w:val="26"/>
          <w:lang w:val="en-NZ"/>
        </w:rPr>
      </w:pPr>
      <w:r w:rsidRPr="0021270B">
        <w:br w:type="page"/>
      </w:r>
    </w:p>
    <w:p w:rsidR="00F6674C" w:rsidRPr="0021270B" w:rsidRDefault="00D40F97" w:rsidP="009575F9">
      <w:pPr>
        <w:pStyle w:val="Heading1"/>
      </w:pPr>
      <w:bookmarkStart w:id="9" w:name="_Toc427238203"/>
      <w:r w:rsidRPr="0021270B">
        <w:lastRenderedPageBreak/>
        <w:t>Impact on the land transfer system</w:t>
      </w:r>
      <w:bookmarkEnd w:id="9"/>
    </w:p>
    <w:p w:rsidR="00F6674C" w:rsidRPr="0021270B" w:rsidRDefault="00F6674C" w:rsidP="00F6674C">
      <w:pPr>
        <w:rPr>
          <w:lang w:val="en-NZ"/>
        </w:rPr>
      </w:pPr>
    </w:p>
    <w:p w:rsidR="00364908" w:rsidRPr="0021270B" w:rsidRDefault="00364908" w:rsidP="00F6674C">
      <w:pPr>
        <w:rPr>
          <w:lang w:val="en-NZ"/>
        </w:rPr>
      </w:pPr>
    </w:p>
    <w:p w:rsidR="00F6674C" w:rsidRPr="0021270B" w:rsidRDefault="00F6674C" w:rsidP="009575F9">
      <w:pPr>
        <w:pStyle w:val="Heading5"/>
        <w:rPr>
          <w:rFonts w:eastAsia="SimSun"/>
          <w:lang w:val="en-NZ" w:eastAsia="zh-CN" w:bidi="hi-IN"/>
        </w:rPr>
      </w:pPr>
      <w:bookmarkStart w:id="10" w:name="_Toc427238204"/>
      <w:r w:rsidRPr="0021270B">
        <w:rPr>
          <w:rFonts w:eastAsia="SimSun"/>
          <w:lang w:val="en-NZ" w:eastAsia="zh-CN" w:bidi="hi-IN"/>
        </w:rPr>
        <w:t xml:space="preserve">Issue: </w:t>
      </w:r>
      <w:r w:rsidR="00364908" w:rsidRPr="0021270B">
        <w:rPr>
          <w:rFonts w:eastAsia="SimSun"/>
          <w:lang w:val="en-NZ" w:eastAsia="zh-CN" w:bidi="hi-IN"/>
        </w:rPr>
        <w:tab/>
      </w:r>
      <w:r w:rsidR="00CC0406" w:rsidRPr="0021270B">
        <w:rPr>
          <w:rFonts w:eastAsia="SimSun"/>
          <w:lang w:val="en-NZ" w:eastAsia="zh-CN" w:bidi="hi-IN"/>
        </w:rPr>
        <w:t>Possible delays in the land transfer system</w:t>
      </w:r>
      <w:bookmarkEnd w:id="10"/>
    </w:p>
    <w:p w:rsidR="00F6674C" w:rsidRPr="0021270B" w:rsidRDefault="00F6674C" w:rsidP="00F6674C">
      <w:pPr>
        <w:widowControl w:val="0"/>
        <w:suppressAutoHyphens/>
        <w:jc w:val="left"/>
        <w:rPr>
          <w:rFonts w:eastAsia="SimSun"/>
          <w:b/>
          <w:bCs/>
          <w:szCs w:val="24"/>
          <w:lang w:val="en-NZ" w:eastAsia="zh-CN" w:bidi="hi-IN"/>
        </w:rPr>
      </w:pPr>
    </w:p>
    <w:p w:rsidR="00364908" w:rsidRPr="0021270B" w:rsidRDefault="00364908" w:rsidP="00F6674C">
      <w:pPr>
        <w:widowControl w:val="0"/>
        <w:suppressAutoHyphens/>
        <w:jc w:val="left"/>
        <w:rPr>
          <w:rFonts w:eastAsia="SimSun"/>
          <w:b/>
          <w:bCs/>
          <w:szCs w:val="24"/>
          <w:lang w:val="en-NZ" w:eastAsia="zh-CN" w:bidi="hi-IN"/>
        </w:rPr>
      </w:pPr>
    </w:p>
    <w:p w:rsidR="00F6674C" w:rsidRPr="0021270B" w:rsidRDefault="00F6674C" w:rsidP="00F6674C">
      <w:pPr>
        <w:widowControl w:val="0"/>
        <w:suppressAutoHyphens/>
        <w:jc w:val="left"/>
        <w:rPr>
          <w:rFonts w:eastAsia="SimSun"/>
          <w:b/>
          <w:bCs/>
          <w:szCs w:val="24"/>
          <w:lang w:val="en-NZ" w:eastAsia="zh-CN" w:bidi="hi-IN"/>
        </w:rPr>
      </w:pPr>
      <w:r w:rsidRPr="0021270B">
        <w:rPr>
          <w:rFonts w:eastAsia="SimSun"/>
          <w:b/>
          <w:bCs/>
          <w:szCs w:val="24"/>
          <w:lang w:val="en-NZ" w:eastAsia="zh-CN" w:bidi="hi-IN"/>
        </w:rPr>
        <w:t>Submission</w:t>
      </w:r>
    </w:p>
    <w:p w:rsidR="0061452C" w:rsidRPr="0021270B" w:rsidRDefault="0061452C" w:rsidP="00F6674C">
      <w:pPr>
        <w:widowControl w:val="0"/>
        <w:suppressAutoHyphens/>
        <w:jc w:val="left"/>
        <w:rPr>
          <w:rFonts w:eastAsia="SimSun"/>
          <w:b/>
          <w:bCs/>
          <w:szCs w:val="24"/>
          <w:lang w:val="en-NZ" w:eastAsia="zh-CN" w:bidi="hi-IN"/>
        </w:rPr>
      </w:pPr>
      <w:r w:rsidRPr="0021270B">
        <w:rPr>
          <w:rFonts w:eastAsia="SimSun"/>
          <w:i/>
          <w:szCs w:val="24"/>
          <w:lang w:val="en-NZ" w:eastAsia="zh-CN" w:bidi="hi-IN"/>
        </w:rPr>
        <w:t>(</w:t>
      </w:r>
      <w:r w:rsidR="00CC0406" w:rsidRPr="0021270B">
        <w:rPr>
          <w:rFonts w:eastAsia="SimSun"/>
          <w:i/>
          <w:szCs w:val="24"/>
          <w:lang w:val="en-NZ" w:eastAsia="zh-CN" w:bidi="hi-IN"/>
        </w:rPr>
        <w:t>Auckland District Law Society</w:t>
      </w:r>
      <w:r w:rsidRPr="0021270B">
        <w:rPr>
          <w:rFonts w:eastAsia="SimSun"/>
          <w:i/>
          <w:szCs w:val="24"/>
          <w:lang w:val="en-NZ" w:eastAsia="zh-CN" w:bidi="hi-IN"/>
        </w:rPr>
        <w:t>)</w:t>
      </w:r>
      <w:r w:rsidRPr="0021270B">
        <w:rPr>
          <w:rFonts w:eastAsia="SimSun"/>
          <w:szCs w:val="24"/>
          <w:lang w:val="en-NZ" w:eastAsia="zh-CN" w:bidi="hi-IN"/>
        </w:rPr>
        <w:t xml:space="preserve"> </w:t>
      </w:r>
    </w:p>
    <w:p w:rsidR="00F6674C" w:rsidRPr="0021270B" w:rsidRDefault="00F6674C" w:rsidP="009023DD">
      <w:pPr>
        <w:widowControl w:val="0"/>
        <w:suppressAutoHyphens/>
        <w:rPr>
          <w:rFonts w:eastAsia="SimSun"/>
          <w:szCs w:val="24"/>
          <w:lang w:val="en-NZ" w:eastAsia="zh-CN" w:bidi="hi-IN"/>
        </w:rPr>
      </w:pPr>
    </w:p>
    <w:p w:rsidR="00F6674C" w:rsidRPr="0021270B" w:rsidRDefault="00D40F97" w:rsidP="009023DD">
      <w:pPr>
        <w:widowControl w:val="0"/>
        <w:suppressAutoHyphens/>
        <w:rPr>
          <w:rFonts w:eastAsia="SimSun"/>
          <w:szCs w:val="24"/>
          <w:lang w:val="en-NZ" w:eastAsia="zh-CN" w:bidi="hi-IN"/>
        </w:rPr>
      </w:pPr>
      <w:r w:rsidRPr="0021270B">
        <w:rPr>
          <w:rFonts w:eastAsia="SimSun"/>
          <w:szCs w:val="24"/>
          <w:lang w:val="en-NZ" w:eastAsia="zh-CN" w:bidi="hi-IN"/>
        </w:rPr>
        <w:t xml:space="preserve">The changes will </w:t>
      </w:r>
      <w:r w:rsidR="008772FA" w:rsidRPr="0021270B">
        <w:rPr>
          <w:rFonts w:eastAsia="SimSun"/>
          <w:szCs w:val="24"/>
          <w:lang w:val="en-NZ" w:eastAsia="zh-CN" w:bidi="hi-IN"/>
        </w:rPr>
        <w:t>disrupt</w:t>
      </w:r>
      <w:r w:rsidRPr="0021270B">
        <w:rPr>
          <w:rFonts w:eastAsia="SimSun"/>
          <w:szCs w:val="24"/>
          <w:lang w:val="en-NZ" w:eastAsia="zh-CN" w:bidi="hi-IN"/>
        </w:rPr>
        <w:t xml:space="preserve"> the land transfer system.  More time should have been given to consult with stakeholders.  </w:t>
      </w:r>
    </w:p>
    <w:p w:rsidR="00D40F97" w:rsidRPr="0021270B" w:rsidRDefault="00D40F97" w:rsidP="009023DD">
      <w:pPr>
        <w:widowControl w:val="0"/>
        <w:suppressAutoHyphens/>
        <w:rPr>
          <w:rFonts w:eastAsia="SimSun"/>
          <w:szCs w:val="24"/>
          <w:lang w:val="en-NZ" w:eastAsia="zh-CN" w:bidi="hi-IN"/>
        </w:rPr>
      </w:pPr>
    </w:p>
    <w:p w:rsidR="00D40F97" w:rsidRPr="0021270B" w:rsidRDefault="008772FA" w:rsidP="009023DD">
      <w:pPr>
        <w:widowControl w:val="0"/>
        <w:suppressAutoHyphens/>
        <w:rPr>
          <w:rFonts w:eastAsia="SimSun"/>
          <w:szCs w:val="24"/>
          <w:lang w:val="en-NZ" w:eastAsia="zh-CN" w:bidi="hi-IN"/>
        </w:rPr>
      </w:pPr>
      <w:r w:rsidRPr="0021270B">
        <w:rPr>
          <w:rFonts w:eastAsia="SimSun"/>
          <w:szCs w:val="24"/>
          <w:lang w:val="en-NZ" w:eastAsia="zh-CN" w:bidi="hi-IN"/>
        </w:rPr>
        <w:t>If delays oc</w:t>
      </w:r>
      <w:r w:rsidR="00D40F97" w:rsidRPr="0021270B">
        <w:rPr>
          <w:rFonts w:eastAsia="SimSun"/>
          <w:szCs w:val="24"/>
          <w:lang w:val="en-NZ" w:eastAsia="zh-CN" w:bidi="hi-IN"/>
        </w:rPr>
        <w:t xml:space="preserve">cur and a bank account is not available, a tax file number cannot be issued </w:t>
      </w:r>
      <w:r w:rsidR="00E92086" w:rsidRPr="0021270B">
        <w:rPr>
          <w:rFonts w:eastAsia="SimSun"/>
          <w:szCs w:val="24"/>
          <w:lang w:val="en-NZ" w:eastAsia="zh-CN" w:bidi="hi-IN"/>
        </w:rPr>
        <w:t>in</w:t>
      </w:r>
      <w:r w:rsidR="00D40F97" w:rsidRPr="0021270B">
        <w:rPr>
          <w:rFonts w:eastAsia="SimSun"/>
          <w:szCs w:val="24"/>
          <w:lang w:val="en-NZ" w:eastAsia="zh-CN" w:bidi="hi-IN"/>
        </w:rPr>
        <w:t xml:space="preserve"> a chain of settlements involving a whole series of consequential transactions for third parties could be delayed or ultimately cancelled due to defaults in not settling.</w:t>
      </w:r>
      <w:r w:rsidR="002601EF" w:rsidRPr="0021270B">
        <w:rPr>
          <w:rFonts w:eastAsia="SimSun"/>
          <w:szCs w:val="24"/>
          <w:lang w:val="en-NZ" w:eastAsia="zh-CN" w:bidi="hi-IN"/>
        </w:rPr>
        <w:t xml:space="preserve"> </w:t>
      </w:r>
    </w:p>
    <w:p w:rsidR="00D40F97" w:rsidRPr="0021270B" w:rsidRDefault="00D40F97" w:rsidP="009023DD">
      <w:pPr>
        <w:widowControl w:val="0"/>
        <w:suppressAutoHyphens/>
        <w:rPr>
          <w:rFonts w:eastAsia="SimSun"/>
          <w:szCs w:val="24"/>
          <w:lang w:val="en-NZ" w:eastAsia="zh-CN" w:bidi="hi-IN"/>
        </w:rPr>
      </w:pPr>
    </w:p>
    <w:p w:rsidR="00F6674C" w:rsidRPr="0021270B" w:rsidRDefault="00F6674C" w:rsidP="009023DD">
      <w:pPr>
        <w:widowControl w:val="0"/>
        <w:suppressAutoHyphens/>
        <w:rPr>
          <w:rFonts w:eastAsia="SimSun"/>
          <w:b/>
          <w:szCs w:val="24"/>
          <w:lang w:val="en-NZ" w:eastAsia="zh-CN" w:bidi="hi-IN"/>
        </w:rPr>
      </w:pPr>
      <w:r w:rsidRPr="0021270B">
        <w:rPr>
          <w:rFonts w:eastAsia="SimSun"/>
          <w:b/>
          <w:szCs w:val="24"/>
          <w:lang w:val="en-NZ" w:eastAsia="zh-CN" w:bidi="hi-IN"/>
        </w:rPr>
        <w:t>Comment</w:t>
      </w:r>
    </w:p>
    <w:p w:rsidR="00F6674C" w:rsidRPr="0021270B" w:rsidRDefault="00F6674C" w:rsidP="009023DD"/>
    <w:p w:rsidR="00F6674C" w:rsidRPr="0021270B" w:rsidRDefault="008772FA" w:rsidP="009023DD">
      <w:pPr>
        <w:rPr>
          <w:szCs w:val="24"/>
          <w:lang w:val="en-NZ"/>
        </w:rPr>
      </w:pPr>
      <w:r w:rsidRPr="0021270B">
        <w:rPr>
          <w:szCs w:val="24"/>
          <w:lang w:val="en-NZ"/>
        </w:rPr>
        <w:t xml:space="preserve">It will be important that potential buyers and sellers are made aware of the need to apply for bank accounts (if they are an offshore person) and IRD numbers early enough in the transaction process.  </w:t>
      </w:r>
    </w:p>
    <w:p w:rsidR="008772FA" w:rsidRPr="0021270B" w:rsidRDefault="008772FA" w:rsidP="009023DD">
      <w:pPr>
        <w:rPr>
          <w:szCs w:val="24"/>
          <w:lang w:val="en-NZ"/>
        </w:rPr>
      </w:pPr>
    </w:p>
    <w:p w:rsidR="008772FA" w:rsidRPr="0021270B" w:rsidRDefault="00194419" w:rsidP="009023DD">
      <w:pPr>
        <w:rPr>
          <w:szCs w:val="24"/>
          <w:lang w:val="en-NZ"/>
        </w:rPr>
      </w:pPr>
      <w:r w:rsidRPr="0021270B">
        <w:rPr>
          <w:szCs w:val="24"/>
          <w:lang w:val="en-NZ"/>
        </w:rPr>
        <w:t>Officials are</w:t>
      </w:r>
      <w:r w:rsidR="008772FA" w:rsidRPr="0021270B">
        <w:rPr>
          <w:szCs w:val="24"/>
          <w:lang w:val="en-NZ"/>
        </w:rPr>
        <w:t xml:space="preserve"> working on communication</w:t>
      </w:r>
      <w:r w:rsidR="00C57A98" w:rsidRPr="0021270B">
        <w:rPr>
          <w:szCs w:val="24"/>
          <w:lang w:val="en-NZ"/>
        </w:rPr>
        <w:t>s</w:t>
      </w:r>
      <w:r w:rsidR="008772FA" w:rsidRPr="0021270B">
        <w:rPr>
          <w:szCs w:val="24"/>
          <w:lang w:val="en-NZ"/>
        </w:rPr>
        <w:t xml:space="preserve"> to ensure that this information is made public as soon as </w:t>
      </w:r>
      <w:proofErr w:type="gramStart"/>
      <w:r w:rsidR="008772FA" w:rsidRPr="0021270B">
        <w:rPr>
          <w:szCs w:val="24"/>
          <w:lang w:val="en-NZ"/>
        </w:rPr>
        <w:t>possible,</w:t>
      </w:r>
      <w:proofErr w:type="gramEnd"/>
      <w:r w:rsidR="008772FA" w:rsidRPr="0021270B">
        <w:rPr>
          <w:szCs w:val="24"/>
          <w:lang w:val="en-NZ"/>
        </w:rPr>
        <w:t xml:space="preserve"> and in particular with real estate agents.  </w:t>
      </w:r>
    </w:p>
    <w:p w:rsidR="00F6674C" w:rsidRPr="0021270B" w:rsidRDefault="00F6674C" w:rsidP="009023DD">
      <w:pPr>
        <w:rPr>
          <w:szCs w:val="24"/>
          <w:lang w:val="en-NZ"/>
        </w:rPr>
      </w:pPr>
    </w:p>
    <w:p w:rsidR="00F6674C" w:rsidRPr="0021270B" w:rsidRDefault="00F6674C" w:rsidP="009023DD">
      <w:pPr>
        <w:rPr>
          <w:b/>
          <w:szCs w:val="24"/>
          <w:lang w:val="en-NZ"/>
        </w:rPr>
      </w:pPr>
      <w:r w:rsidRPr="0021270B">
        <w:rPr>
          <w:b/>
          <w:szCs w:val="24"/>
          <w:lang w:val="en-NZ"/>
        </w:rPr>
        <w:t>Recommendation</w:t>
      </w:r>
    </w:p>
    <w:p w:rsidR="009023DD" w:rsidRDefault="009023DD" w:rsidP="009023DD">
      <w:pPr>
        <w:rPr>
          <w:szCs w:val="24"/>
          <w:lang w:val="en-NZ"/>
        </w:rPr>
      </w:pPr>
    </w:p>
    <w:p w:rsidR="00F6674C" w:rsidRPr="0021270B" w:rsidRDefault="00F6674C" w:rsidP="009023DD">
      <w:pPr>
        <w:rPr>
          <w:szCs w:val="24"/>
          <w:lang w:val="en-NZ"/>
        </w:rPr>
      </w:pPr>
      <w:r w:rsidRPr="0021270B">
        <w:rPr>
          <w:szCs w:val="24"/>
          <w:lang w:val="en-NZ"/>
        </w:rPr>
        <w:t>That the submission be noted.</w:t>
      </w:r>
    </w:p>
    <w:p w:rsidR="002158F6" w:rsidRPr="0021270B" w:rsidRDefault="002158F6" w:rsidP="009023DD">
      <w:pPr>
        <w:rPr>
          <w:szCs w:val="24"/>
          <w:lang w:val="en-NZ"/>
        </w:rPr>
      </w:pPr>
    </w:p>
    <w:p w:rsidR="005D7BAA" w:rsidRPr="0021270B" w:rsidRDefault="005D7BAA">
      <w:pPr>
        <w:jc w:val="left"/>
        <w:rPr>
          <w:b/>
          <w:caps/>
          <w:sz w:val="26"/>
          <w:lang w:val="en-NZ"/>
        </w:rPr>
      </w:pPr>
      <w:r w:rsidRPr="0021270B">
        <w:rPr>
          <w:b/>
          <w:caps/>
          <w:sz w:val="26"/>
          <w:lang w:val="en-NZ"/>
        </w:rPr>
        <w:br w:type="page"/>
      </w:r>
    </w:p>
    <w:p w:rsidR="002158F6" w:rsidRPr="0021270B" w:rsidRDefault="005D7BAA" w:rsidP="00F56B9E">
      <w:pPr>
        <w:pStyle w:val="Heading1"/>
      </w:pPr>
      <w:bookmarkStart w:id="11" w:name="_Toc427238205"/>
      <w:r w:rsidRPr="0021270B">
        <w:lastRenderedPageBreak/>
        <w:t>Legislative coherence</w:t>
      </w:r>
      <w:bookmarkEnd w:id="11"/>
    </w:p>
    <w:p w:rsidR="005D7BAA" w:rsidRPr="0021270B" w:rsidRDefault="005D7BAA" w:rsidP="009575F9">
      <w:pPr>
        <w:rPr>
          <w:lang w:val="en-NZ"/>
        </w:rPr>
      </w:pPr>
    </w:p>
    <w:p w:rsidR="00364908" w:rsidRPr="0021270B" w:rsidRDefault="00364908" w:rsidP="009575F9">
      <w:pPr>
        <w:rPr>
          <w:lang w:val="en-NZ"/>
        </w:rPr>
      </w:pPr>
    </w:p>
    <w:p w:rsidR="005D7BAA" w:rsidRPr="0021270B" w:rsidRDefault="005D7BAA" w:rsidP="00F56B9E">
      <w:pPr>
        <w:pStyle w:val="Heading5"/>
      </w:pPr>
      <w:bookmarkStart w:id="12" w:name="_Toc427238206"/>
      <w:r w:rsidRPr="0021270B">
        <w:t>Issue:</w:t>
      </w:r>
      <w:r w:rsidRPr="0021270B">
        <w:tab/>
        <w:t>Land Transfer Act 1952 and income tax rules</w:t>
      </w:r>
      <w:bookmarkEnd w:id="12"/>
    </w:p>
    <w:p w:rsidR="005D7BAA" w:rsidRPr="0021270B" w:rsidRDefault="005D7BAA" w:rsidP="009575F9">
      <w:pPr>
        <w:rPr>
          <w:lang w:val="en-NZ"/>
        </w:rPr>
      </w:pPr>
    </w:p>
    <w:p w:rsidR="005D7BAA" w:rsidRPr="0021270B" w:rsidRDefault="005D7BAA" w:rsidP="009575F9">
      <w:pPr>
        <w:rPr>
          <w:lang w:val="en-NZ"/>
        </w:rPr>
      </w:pPr>
    </w:p>
    <w:p w:rsidR="005D7BAA" w:rsidRPr="0021270B" w:rsidRDefault="005D7BAA" w:rsidP="009575F9">
      <w:pPr>
        <w:rPr>
          <w:b/>
          <w:lang w:val="en-NZ"/>
        </w:rPr>
      </w:pPr>
      <w:r w:rsidRPr="0021270B">
        <w:rPr>
          <w:b/>
          <w:lang w:val="en-NZ"/>
        </w:rPr>
        <w:t>Submission</w:t>
      </w:r>
    </w:p>
    <w:p w:rsidR="005D7BAA" w:rsidRPr="0021270B" w:rsidRDefault="005D7BAA" w:rsidP="009575F9">
      <w:pPr>
        <w:rPr>
          <w:i/>
          <w:lang w:val="en-NZ"/>
        </w:rPr>
      </w:pPr>
      <w:r w:rsidRPr="0021270B">
        <w:rPr>
          <w:i/>
          <w:lang w:val="en-NZ"/>
        </w:rPr>
        <w:t>(EY)</w:t>
      </w:r>
    </w:p>
    <w:p w:rsidR="005D7BAA" w:rsidRPr="0021270B" w:rsidRDefault="005D7BAA" w:rsidP="009575F9">
      <w:pPr>
        <w:rPr>
          <w:lang w:val="en-NZ"/>
        </w:rPr>
      </w:pPr>
    </w:p>
    <w:p w:rsidR="005D7BAA" w:rsidRPr="0021270B" w:rsidRDefault="005D7BAA" w:rsidP="009575F9">
      <w:pPr>
        <w:rPr>
          <w:lang w:val="en-NZ"/>
        </w:rPr>
      </w:pPr>
      <w:r w:rsidRPr="0021270B">
        <w:rPr>
          <w:lang w:val="en-NZ"/>
        </w:rPr>
        <w:t>The Land Transfer Act 1952 should not include or attempt to replicate proposed income tax rules, whether wholly or in part.</w:t>
      </w:r>
    </w:p>
    <w:p w:rsidR="005D7BAA" w:rsidRPr="0021270B" w:rsidRDefault="005D7BAA" w:rsidP="009575F9">
      <w:pPr>
        <w:rPr>
          <w:lang w:val="en-NZ"/>
        </w:rPr>
      </w:pPr>
    </w:p>
    <w:p w:rsidR="005D7BAA" w:rsidRPr="0021270B" w:rsidRDefault="005D7BAA" w:rsidP="009575F9">
      <w:pPr>
        <w:rPr>
          <w:b/>
          <w:lang w:val="en-NZ"/>
        </w:rPr>
      </w:pPr>
      <w:r w:rsidRPr="0021270B">
        <w:rPr>
          <w:b/>
          <w:lang w:val="en-NZ"/>
        </w:rPr>
        <w:t>Comment</w:t>
      </w:r>
    </w:p>
    <w:p w:rsidR="005D7BAA" w:rsidRPr="0021270B" w:rsidRDefault="005D7BAA" w:rsidP="009575F9">
      <w:pPr>
        <w:rPr>
          <w:b/>
          <w:lang w:val="en-NZ"/>
        </w:rPr>
      </w:pPr>
    </w:p>
    <w:p w:rsidR="005D7BAA" w:rsidRPr="0021270B" w:rsidRDefault="005D7BAA" w:rsidP="009575F9">
      <w:pPr>
        <w:rPr>
          <w:lang w:val="en-NZ"/>
        </w:rPr>
      </w:pPr>
      <w:r w:rsidRPr="0021270B">
        <w:rPr>
          <w:lang w:val="en-NZ"/>
        </w:rPr>
        <w:t xml:space="preserve">The </w:t>
      </w:r>
      <w:proofErr w:type="gramStart"/>
      <w:r w:rsidRPr="0021270B">
        <w:rPr>
          <w:lang w:val="en-NZ"/>
        </w:rPr>
        <w:t>intention of the tax information collection requirements are</w:t>
      </w:r>
      <w:proofErr w:type="gramEnd"/>
      <w:r w:rsidRPr="0021270B">
        <w:rPr>
          <w:lang w:val="en-NZ"/>
        </w:rPr>
        <w:t xml:space="preserve"> to provide better information for tax compliance purposes. Accordingly, a balance needs to be struck between requiring information which is useful for tax enforcement purposes and keeping the rules as simple as possible for transferors and transferees of land.</w:t>
      </w:r>
    </w:p>
    <w:p w:rsidR="005D7BAA" w:rsidRPr="0021270B" w:rsidRDefault="005D7BAA" w:rsidP="009575F9">
      <w:pPr>
        <w:rPr>
          <w:lang w:val="en-NZ"/>
        </w:rPr>
      </w:pPr>
    </w:p>
    <w:p w:rsidR="005D7BAA" w:rsidRPr="0021270B" w:rsidRDefault="005D7BAA" w:rsidP="009575F9">
      <w:pPr>
        <w:rPr>
          <w:lang w:val="en-NZ"/>
        </w:rPr>
      </w:pPr>
      <w:r w:rsidRPr="0021270B">
        <w:rPr>
          <w:b/>
          <w:lang w:val="en-NZ"/>
        </w:rPr>
        <w:t>Recommendation</w:t>
      </w:r>
    </w:p>
    <w:p w:rsidR="005D7BAA" w:rsidRPr="0021270B" w:rsidRDefault="005D7BAA" w:rsidP="009575F9">
      <w:pPr>
        <w:rPr>
          <w:lang w:val="en-NZ"/>
        </w:rPr>
      </w:pPr>
    </w:p>
    <w:p w:rsidR="005D7BAA" w:rsidRPr="0021270B" w:rsidRDefault="005D7BAA" w:rsidP="009575F9">
      <w:pPr>
        <w:rPr>
          <w:lang w:val="en-NZ"/>
        </w:rPr>
      </w:pPr>
      <w:r w:rsidRPr="0021270B">
        <w:rPr>
          <w:lang w:val="en-NZ"/>
        </w:rPr>
        <w:t>That the submission be declined.</w:t>
      </w:r>
    </w:p>
    <w:p w:rsidR="005D7BAA" w:rsidRPr="0021270B" w:rsidRDefault="005D7BAA" w:rsidP="009575F9">
      <w:pPr>
        <w:rPr>
          <w:lang w:val="en-NZ"/>
        </w:rPr>
      </w:pPr>
    </w:p>
    <w:p w:rsidR="005D7BAA" w:rsidRPr="0021270B" w:rsidRDefault="005D7BAA" w:rsidP="009575F9">
      <w:pPr>
        <w:rPr>
          <w:lang w:val="en-NZ"/>
        </w:rPr>
      </w:pPr>
    </w:p>
    <w:p w:rsidR="00E92086" w:rsidRPr="0021270B" w:rsidRDefault="00E92086">
      <w:pPr>
        <w:jc w:val="left"/>
        <w:rPr>
          <w:b/>
          <w:caps/>
          <w:sz w:val="26"/>
          <w:lang w:val="en-NZ"/>
        </w:rPr>
      </w:pPr>
      <w:r w:rsidRPr="0021270B">
        <w:br w:type="page"/>
      </w:r>
    </w:p>
    <w:p w:rsidR="002158F6" w:rsidRPr="0021270B" w:rsidRDefault="00812C11" w:rsidP="009575F9">
      <w:pPr>
        <w:pStyle w:val="Heading1"/>
      </w:pPr>
      <w:bookmarkStart w:id="13" w:name="_Toc427238207"/>
      <w:r w:rsidRPr="0021270B">
        <w:lastRenderedPageBreak/>
        <w:t>T</w:t>
      </w:r>
      <w:r w:rsidR="002158F6" w:rsidRPr="0021270B">
        <w:t>imeframe of bill</w:t>
      </w:r>
      <w:bookmarkEnd w:id="13"/>
    </w:p>
    <w:p w:rsidR="002158F6" w:rsidRPr="0021270B" w:rsidRDefault="002158F6" w:rsidP="002158F6">
      <w:pPr>
        <w:rPr>
          <w:lang w:val="en-NZ"/>
        </w:rPr>
      </w:pPr>
    </w:p>
    <w:p w:rsidR="00871AF7" w:rsidRPr="0021270B" w:rsidRDefault="00871AF7" w:rsidP="002158F6">
      <w:pPr>
        <w:rPr>
          <w:lang w:val="en-NZ"/>
        </w:rPr>
      </w:pPr>
    </w:p>
    <w:p w:rsidR="002158F6" w:rsidRPr="0021270B" w:rsidRDefault="002158F6" w:rsidP="009575F9">
      <w:pPr>
        <w:pStyle w:val="Heading5"/>
        <w:rPr>
          <w:rFonts w:eastAsia="SimSun"/>
          <w:lang w:val="en-NZ" w:eastAsia="zh-CN" w:bidi="hi-IN"/>
        </w:rPr>
      </w:pPr>
      <w:bookmarkStart w:id="14" w:name="_Toc427238208"/>
      <w:r w:rsidRPr="0021270B">
        <w:rPr>
          <w:rFonts w:eastAsia="SimSun"/>
          <w:lang w:val="en-NZ" w:eastAsia="zh-CN" w:bidi="hi-IN"/>
        </w:rPr>
        <w:t xml:space="preserve">Issue: </w:t>
      </w:r>
      <w:r w:rsidR="00871AF7" w:rsidRPr="0021270B">
        <w:rPr>
          <w:rFonts w:eastAsia="SimSun"/>
          <w:lang w:val="en-NZ" w:eastAsia="zh-CN" w:bidi="hi-IN"/>
        </w:rPr>
        <w:tab/>
      </w:r>
      <w:r w:rsidR="00CC0406" w:rsidRPr="0021270B">
        <w:rPr>
          <w:rFonts w:eastAsia="SimSun"/>
          <w:lang w:val="en-NZ" w:eastAsia="zh-CN" w:bidi="hi-IN"/>
        </w:rPr>
        <w:t xml:space="preserve">Development of the </w:t>
      </w:r>
      <w:r w:rsidR="00812C11" w:rsidRPr="0021270B">
        <w:rPr>
          <w:rFonts w:eastAsia="SimSun"/>
          <w:lang w:val="en-NZ" w:eastAsia="zh-CN" w:bidi="hi-IN"/>
        </w:rPr>
        <w:t>b</w:t>
      </w:r>
      <w:r w:rsidR="00CC0406" w:rsidRPr="0021270B">
        <w:rPr>
          <w:rFonts w:eastAsia="SimSun"/>
          <w:lang w:val="en-NZ" w:eastAsia="zh-CN" w:bidi="hi-IN"/>
        </w:rPr>
        <w:t>ill</w:t>
      </w:r>
      <w:bookmarkEnd w:id="14"/>
    </w:p>
    <w:p w:rsidR="00050AF0" w:rsidRPr="0021270B" w:rsidRDefault="00050AF0" w:rsidP="009575F9">
      <w:pPr>
        <w:rPr>
          <w:rFonts w:eastAsia="SimSun"/>
          <w:lang w:val="en-NZ" w:eastAsia="zh-CN" w:bidi="hi-IN"/>
        </w:rPr>
      </w:pPr>
    </w:p>
    <w:p w:rsidR="002158F6" w:rsidRPr="0021270B" w:rsidRDefault="002158F6" w:rsidP="002158F6">
      <w:pPr>
        <w:widowControl w:val="0"/>
        <w:suppressAutoHyphens/>
        <w:jc w:val="left"/>
        <w:rPr>
          <w:rFonts w:eastAsia="SimSun"/>
          <w:b/>
          <w:bCs/>
          <w:szCs w:val="24"/>
          <w:lang w:val="en-NZ" w:eastAsia="zh-CN" w:bidi="hi-IN"/>
        </w:rPr>
      </w:pPr>
    </w:p>
    <w:p w:rsidR="002158F6" w:rsidRPr="0021270B" w:rsidRDefault="002158F6" w:rsidP="002158F6">
      <w:pPr>
        <w:widowControl w:val="0"/>
        <w:suppressAutoHyphens/>
        <w:jc w:val="left"/>
        <w:rPr>
          <w:rFonts w:eastAsia="SimSun"/>
          <w:b/>
          <w:bCs/>
          <w:szCs w:val="24"/>
          <w:lang w:val="en-NZ" w:eastAsia="zh-CN" w:bidi="hi-IN"/>
        </w:rPr>
      </w:pPr>
      <w:r w:rsidRPr="0021270B">
        <w:rPr>
          <w:rFonts w:eastAsia="SimSun"/>
          <w:b/>
          <w:bCs/>
          <w:szCs w:val="24"/>
          <w:lang w:val="en-NZ" w:eastAsia="zh-CN" w:bidi="hi-IN"/>
        </w:rPr>
        <w:t>Submission</w:t>
      </w:r>
    </w:p>
    <w:p w:rsidR="002158F6" w:rsidRPr="0021270B" w:rsidRDefault="005D7BAA" w:rsidP="002158F6">
      <w:pPr>
        <w:widowControl w:val="0"/>
        <w:suppressAutoHyphens/>
        <w:jc w:val="left"/>
        <w:rPr>
          <w:rFonts w:eastAsia="SimSun"/>
          <w:i/>
          <w:szCs w:val="24"/>
          <w:lang w:val="en-NZ" w:eastAsia="zh-CN" w:bidi="hi-IN"/>
        </w:rPr>
      </w:pPr>
      <w:r w:rsidRPr="0021270B">
        <w:rPr>
          <w:rFonts w:eastAsia="SimSun"/>
          <w:i/>
          <w:szCs w:val="24"/>
          <w:lang w:val="en-NZ" w:eastAsia="zh-CN" w:bidi="hi-IN"/>
        </w:rPr>
        <w:t>(Auckland District Law Society)</w:t>
      </w:r>
    </w:p>
    <w:p w:rsidR="005D7BAA" w:rsidRPr="0021270B" w:rsidRDefault="005D7BAA" w:rsidP="002158F6">
      <w:pPr>
        <w:widowControl w:val="0"/>
        <w:suppressAutoHyphens/>
        <w:jc w:val="left"/>
        <w:rPr>
          <w:rFonts w:eastAsia="SimSun"/>
          <w:szCs w:val="24"/>
          <w:lang w:val="en-NZ" w:eastAsia="zh-CN" w:bidi="hi-IN"/>
        </w:rPr>
      </w:pPr>
    </w:p>
    <w:p w:rsidR="002158F6" w:rsidRPr="0021270B" w:rsidRDefault="002158F6" w:rsidP="002158F6">
      <w:pPr>
        <w:widowControl w:val="0"/>
        <w:suppressAutoHyphens/>
        <w:jc w:val="left"/>
        <w:rPr>
          <w:rFonts w:eastAsia="SimSun"/>
          <w:szCs w:val="24"/>
          <w:lang w:val="en-NZ" w:eastAsia="zh-CN" w:bidi="hi-IN"/>
        </w:rPr>
      </w:pPr>
      <w:r w:rsidRPr="0021270B">
        <w:rPr>
          <w:rFonts w:eastAsia="SimSun"/>
          <w:szCs w:val="24"/>
          <w:lang w:val="en-NZ" w:eastAsia="zh-CN" w:bidi="hi-IN"/>
        </w:rPr>
        <w:t>Further time should have been given for developing the bill.</w:t>
      </w:r>
    </w:p>
    <w:p w:rsidR="002158F6" w:rsidRPr="0021270B" w:rsidRDefault="002158F6" w:rsidP="002158F6">
      <w:pPr>
        <w:widowControl w:val="0"/>
        <w:suppressAutoHyphens/>
        <w:jc w:val="left"/>
        <w:rPr>
          <w:rFonts w:eastAsia="SimSun"/>
          <w:szCs w:val="24"/>
          <w:lang w:val="en-NZ" w:eastAsia="zh-CN" w:bidi="hi-IN"/>
        </w:rPr>
      </w:pPr>
    </w:p>
    <w:p w:rsidR="002158F6" w:rsidRPr="0021270B" w:rsidRDefault="002158F6" w:rsidP="002158F6">
      <w:pPr>
        <w:widowControl w:val="0"/>
        <w:suppressAutoHyphens/>
        <w:jc w:val="left"/>
        <w:rPr>
          <w:rFonts w:eastAsia="SimSun"/>
          <w:b/>
          <w:szCs w:val="24"/>
          <w:lang w:val="en-NZ" w:eastAsia="zh-CN" w:bidi="hi-IN"/>
        </w:rPr>
      </w:pPr>
      <w:r w:rsidRPr="0021270B">
        <w:rPr>
          <w:rFonts w:eastAsia="SimSun"/>
          <w:b/>
          <w:szCs w:val="24"/>
          <w:lang w:val="en-NZ" w:eastAsia="zh-CN" w:bidi="hi-IN"/>
        </w:rPr>
        <w:t>Comment</w:t>
      </w:r>
    </w:p>
    <w:p w:rsidR="002158F6" w:rsidRPr="0021270B" w:rsidRDefault="002158F6" w:rsidP="002158F6"/>
    <w:p w:rsidR="002158F6" w:rsidRPr="0021270B" w:rsidRDefault="00C57A98" w:rsidP="002158F6">
      <w:pPr>
        <w:rPr>
          <w:szCs w:val="24"/>
          <w:lang w:val="en-NZ"/>
        </w:rPr>
      </w:pPr>
      <w:r w:rsidRPr="0021270B">
        <w:rPr>
          <w:szCs w:val="24"/>
          <w:lang w:val="en-NZ"/>
        </w:rPr>
        <w:t>The changes are part of a wider package of reforms aimed at improving tax compliance for property transactions and it is important that the start dates align with other tax changes that commence on 1 October 2015.</w:t>
      </w:r>
      <w:r w:rsidR="002158F6" w:rsidRPr="0021270B">
        <w:rPr>
          <w:szCs w:val="24"/>
          <w:lang w:val="en-NZ"/>
        </w:rPr>
        <w:t xml:space="preserve"> </w:t>
      </w:r>
    </w:p>
    <w:p w:rsidR="002158F6" w:rsidRPr="0021270B" w:rsidRDefault="002158F6" w:rsidP="002158F6">
      <w:pPr>
        <w:rPr>
          <w:szCs w:val="24"/>
          <w:lang w:val="en-NZ"/>
        </w:rPr>
      </w:pPr>
    </w:p>
    <w:p w:rsidR="002158F6" w:rsidRPr="0021270B" w:rsidRDefault="002158F6" w:rsidP="002158F6">
      <w:pPr>
        <w:rPr>
          <w:b/>
          <w:szCs w:val="24"/>
          <w:lang w:val="en-NZ"/>
        </w:rPr>
      </w:pPr>
      <w:r w:rsidRPr="0021270B">
        <w:rPr>
          <w:b/>
          <w:szCs w:val="24"/>
          <w:lang w:val="en-NZ"/>
        </w:rPr>
        <w:t>Recommendation</w:t>
      </w:r>
    </w:p>
    <w:p w:rsidR="002601EF" w:rsidRPr="0021270B" w:rsidRDefault="002601EF" w:rsidP="002158F6">
      <w:pPr>
        <w:rPr>
          <w:b/>
          <w:szCs w:val="24"/>
          <w:lang w:val="en-NZ"/>
        </w:rPr>
      </w:pPr>
    </w:p>
    <w:p w:rsidR="002158F6" w:rsidRPr="0021270B" w:rsidRDefault="002158F6" w:rsidP="002158F6">
      <w:pPr>
        <w:rPr>
          <w:szCs w:val="24"/>
          <w:lang w:val="en-NZ"/>
        </w:rPr>
      </w:pPr>
      <w:r w:rsidRPr="0021270B">
        <w:rPr>
          <w:szCs w:val="24"/>
          <w:lang w:val="en-NZ"/>
        </w:rPr>
        <w:t>That the submission be declined.</w:t>
      </w:r>
    </w:p>
    <w:p w:rsidR="002158F6" w:rsidRPr="0021270B" w:rsidRDefault="002158F6" w:rsidP="009575F9">
      <w:pPr>
        <w:keepNext/>
        <w:jc w:val="left"/>
        <w:outlineLvl w:val="0"/>
        <w:rPr>
          <w:b/>
          <w:caps/>
          <w:sz w:val="26"/>
          <w:lang w:val="en-NZ"/>
        </w:rPr>
      </w:pPr>
    </w:p>
    <w:p w:rsidR="005D7BAA" w:rsidRPr="0021270B" w:rsidRDefault="005D7BAA">
      <w:pPr>
        <w:jc w:val="left"/>
        <w:rPr>
          <w:b/>
          <w:caps/>
          <w:sz w:val="26"/>
          <w:lang w:val="en-NZ"/>
        </w:rPr>
      </w:pPr>
      <w:r w:rsidRPr="0021270B">
        <w:br w:type="page"/>
      </w:r>
    </w:p>
    <w:p w:rsidR="002158F6" w:rsidRPr="0021270B" w:rsidRDefault="002158F6" w:rsidP="009575F9">
      <w:pPr>
        <w:pStyle w:val="Heading1"/>
      </w:pPr>
      <w:bookmarkStart w:id="15" w:name="_Toc427238209"/>
      <w:r w:rsidRPr="0021270B">
        <w:lastRenderedPageBreak/>
        <w:t>Post</w:t>
      </w:r>
      <w:r w:rsidR="00F91FB8" w:rsidRPr="0021270B">
        <w:t>-</w:t>
      </w:r>
      <w:r w:rsidRPr="0021270B">
        <w:t>implementation review</w:t>
      </w:r>
      <w:bookmarkEnd w:id="15"/>
    </w:p>
    <w:p w:rsidR="002158F6" w:rsidRPr="0021270B" w:rsidRDefault="002158F6" w:rsidP="002158F6">
      <w:pPr>
        <w:rPr>
          <w:lang w:val="en-NZ"/>
        </w:rPr>
      </w:pPr>
    </w:p>
    <w:p w:rsidR="00871AF7" w:rsidRPr="0021270B" w:rsidRDefault="00871AF7" w:rsidP="002158F6">
      <w:pPr>
        <w:rPr>
          <w:lang w:val="en-NZ"/>
        </w:rPr>
      </w:pPr>
    </w:p>
    <w:p w:rsidR="00CC0406" w:rsidRPr="0021270B" w:rsidRDefault="00CC0406" w:rsidP="009575F9">
      <w:pPr>
        <w:pStyle w:val="Heading5"/>
        <w:rPr>
          <w:rFonts w:eastAsia="SimSun"/>
          <w:lang w:val="en-NZ" w:eastAsia="zh-CN" w:bidi="hi-IN"/>
        </w:rPr>
      </w:pPr>
      <w:bookmarkStart w:id="16" w:name="_Toc427238210"/>
      <w:r w:rsidRPr="0021270B">
        <w:rPr>
          <w:rFonts w:eastAsia="SimSun"/>
          <w:lang w:val="en-NZ" w:eastAsia="zh-CN" w:bidi="hi-IN"/>
        </w:rPr>
        <w:t xml:space="preserve">Issue: </w:t>
      </w:r>
      <w:r w:rsidR="00871AF7" w:rsidRPr="0021270B">
        <w:rPr>
          <w:rFonts w:eastAsia="SimSun"/>
          <w:lang w:val="en-NZ" w:eastAsia="zh-CN" w:bidi="hi-IN"/>
        </w:rPr>
        <w:tab/>
      </w:r>
      <w:r w:rsidRPr="0021270B">
        <w:rPr>
          <w:rFonts w:eastAsia="SimSun"/>
          <w:lang w:val="en-NZ" w:eastAsia="zh-CN" w:bidi="hi-IN"/>
        </w:rPr>
        <w:t xml:space="preserve">Automatic expiration of the provisions in the </w:t>
      </w:r>
      <w:r w:rsidR="00812C11" w:rsidRPr="0021270B">
        <w:rPr>
          <w:rFonts w:eastAsia="SimSun"/>
          <w:lang w:val="en-NZ" w:eastAsia="zh-CN" w:bidi="hi-IN"/>
        </w:rPr>
        <w:t>b</w:t>
      </w:r>
      <w:r w:rsidRPr="0021270B">
        <w:rPr>
          <w:rFonts w:eastAsia="SimSun"/>
          <w:lang w:val="en-NZ" w:eastAsia="zh-CN" w:bidi="hi-IN"/>
        </w:rPr>
        <w:t>ill</w:t>
      </w:r>
      <w:bookmarkEnd w:id="16"/>
    </w:p>
    <w:p w:rsidR="002158F6" w:rsidRPr="0021270B" w:rsidRDefault="002158F6" w:rsidP="002158F6">
      <w:pPr>
        <w:rPr>
          <w:lang w:val="en-NZ"/>
        </w:rPr>
      </w:pPr>
    </w:p>
    <w:p w:rsidR="002158F6" w:rsidRPr="0021270B" w:rsidRDefault="002158F6" w:rsidP="002158F6">
      <w:pPr>
        <w:rPr>
          <w:lang w:val="en-NZ"/>
        </w:rPr>
      </w:pPr>
    </w:p>
    <w:p w:rsidR="002158F6" w:rsidRPr="0021270B" w:rsidRDefault="002158F6" w:rsidP="002158F6">
      <w:pPr>
        <w:keepNext/>
        <w:outlineLvl w:val="1"/>
        <w:rPr>
          <w:b/>
          <w:lang w:val="en-NZ"/>
        </w:rPr>
      </w:pPr>
      <w:r w:rsidRPr="0021270B">
        <w:rPr>
          <w:b/>
          <w:lang w:val="en-NZ"/>
        </w:rPr>
        <w:t>Submission</w:t>
      </w:r>
    </w:p>
    <w:p w:rsidR="002158F6" w:rsidRPr="0021270B" w:rsidRDefault="002158F6" w:rsidP="002158F6">
      <w:pPr>
        <w:tabs>
          <w:tab w:val="left" w:pos="5295"/>
        </w:tabs>
        <w:rPr>
          <w:i/>
          <w:lang w:val="en-NZ"/>
        </w:rPr>
      </w:pPr>
      <w:r w:rsidRPr="0021270B">
        <w:rPr>
          <w:i/>
          <w:lang w:val="en-NZ"/>
        </w:rPr>
        <w:t>(</w:t>
      </w:r>
      <w:r w:rsidR="00CC0406" w:rsidRPr="0021270B">
        <w:rPr>
          <w:i/>
          <w:lang w:val="en-NZ"/>
        </w:rPr>
        <w:t>Auckland District Law Society</w:t>
      </w:r>
      <w:r w:rsidRPr="0021270B">
        <w:rPr>
          <w:i/>
          <w:lang w:val="en-NZ"/>
        </w:rPr>
        <w:t>)</w:t>
      </w:r>
    </w:p>
    <w:p w:rsidR="002158F6" w:rsidRPr="0021270B" w:rsidRDefault="002158F6" w:rsidP="002158F6">
      <w:pPr>
        <w:tabs>
          <w:tab w:val="left" w:pos="5295"/>
        </w:tabs>
        <w:rPr>
          <w:lang w:val="en-NZ"/>
        </w:rPr>
      </w:pPr>
    </w:p>
    <w:p w:rsidR="002158F6" w:rsidRPr="0021270B" w:rsidRDefault="002158F6" w:rsidP="002158F6">
      <w:pPr>
        <w:rPr>
          <w:bCs/>
        </w:rPr>
      </w:pPr>
      <w:r w:rsidRPr="0021270B">
        <w:rPr>
          <w:bCs/>
        </w:rPr>
        <w:t>The provisions should automatically expire in 3-5 year</w:t>
      </w:r>
      <w:r w:rsidR="00D40F97" w:rsidRPr="0021270B">
        <w:rPr>
          <w:bCs/>
        </w:rPr>
        <w:t>s</w:t>
      </w:r>
      <w:r w:rsidR="005641C1">
        <w:rPr>
          <w:bCs/>
        </w:rPr>
        <w:t>’</w:t>
      </w:r>
      <w:r w:rsidRPr="0021270B">
        <w:rPr>
          <w:bCs/>
        </w:rPr>
        <w:t xml:space="preserve"> time to ensure that there is a mandatory review.</w:t>
      </w:r>
    </w:p>
    <w:p w:rsidR="002158F6" w:rsidRPr="0021270B" w:rsidRDefault="002158F6" w:rsidP="002158F6">
      <w:pPr>
        <w:rPr>
          <w:lang w:val="en-NZ"/>
        </w:rPr>
      </w:pPr>
    </w:p>
    <w:p w:rsidR="002158F6" w:rsidRPr="0021270B" w:rsidRDefault="002158F6" w:rsidP="002158F6">
      <w:pPr>
        <w:keepNext/>
        <w:outlineLvl w:val="1"/>
        <w:rPr>
          <w:b/>
          <w:lang w:val="en-NZ"/>
        </w:rPr>
      </w:pPr>
      <w:r w:rsidRPr="0021270B">
        <w:rPr>
          <w:b/>
          <w:lang w:val="en-NZ"/>
        </w:rPr>
        <w:t>Comment</w:t>
      </w:r>
    </w:p>
    <w:p w:rsidR="002158F6" w:rsidRPr="0021270B" w:rsidRDefault="002158F6" w:rsidP="002158F6">
      <w:pPr>
        <w:rPr>
          <w:lang w:val="en-NZ"/>
        </w:rPr>
      </w:pPr>
    </w:p>
    <w:p w:rsidR="00C57A98" w:rsidRPr="0021270B" w:rsidRDefault="00C57A98" w:rsidP="002158F6">
      <w:pPr>
        <w:rPr>
          <w:lang w:val="en-NZ"/>
        </w:rPr>
      </w:pPr>
      <w:r w:rsidRPr="0021270B">
        <w:rPr>
          <w:lang w:val="en-NZ"/>
        </w:rPr>
        <w:t>An automatic expiry date is unnecessary and would create uncertainty.</w:t>
      </w:r>
    </w:p>
    <w:p w:rsidR="00C57A98" w:rsidRPr="0021270B" w:rsidRDefault="00C57A98" w:rsidP="002158F6">
      <w:pPr>
        <w:rPr>
          <w:lang w:val="en-NZ"/>
        </w:rPr>
      </w:pPr>
    </w:p>
    <w:p w:rsidR="002158F6" w:rsidRPr="0021270B" w:rsidRDefault="002158F6" w:rsidP="002158F6">
      <w:pPr>
        <w:rPr>
          <w:lang w:val="en-NZ"/>
        </w:rPr>
      </w:pPr>
      <w:r w:rsidRPr="0021270B">
        <w:rPr>
          <w:lang w:val="en-NZ"/>
        </w:rPr>
        <w:t>A post implementation review is a recognised part of the generic tax policy process.</w:t>
      </w:r>
      <w:r w:rsidR="00CC0406" w:rsidRPr="0021270B">
        <w:rPr>
          <w:rStyle w:val="FootnoteReference"/>
          <w:lang w:val="en-NZ"/>
        </w:rPr>
        <w:footnoteReference w:id="1"/>
      </w:r>
      <w:r w:rsidRPr="0021270B">
        <w:rPr>
          <w:lang w:val="en-NZ"/>
        </w:rPr>
        <w:t xml:space="preserve">  </w:t>
      </w:r>
    </w:p>
    <w:p w:rsidR="002158F6" w:rsidRPr="0021270B" w:rsidRDefault="002158F6" w:rsidP="002158F6">
      <w:pPr>
        <w:rPr>
          <w:lang w:val="en-NZ"/>
        </w:rPr>
      </w:pPr>
    </w:p>
    <w:p w:rsidR="002158F6" w:rsidRPr="0021270B" w:rsidRDefault="002158F6" w:rsidP="002158F6">
      <w:pPr>
        <w:keepNext/>
        <w:outlineLvl w:val="1"/>
        <w:rPr>
          <w:b/>
          <w:lang w:val="en-NZ"/>
        </w:rPr>
      </w:pPr>
      <w:r w:rsidRPr="0021270B">
        <w:rPr>
          <w:b/>
          <w:lang w:val="en-NZ"/>
        </w:rPr>
        <w:t>Recommendation</w:t>
      </w:r>
    </w:p>
    <w:p w:rsidR="002158F6" w:rsidRPr="0021270B" w:rsidRDefault="002158F6" w:rsidP="002158F6">
      <w:pPr>
        <w:rPr>
          <w:lang w:val="en-NZ"/>
        </w:rPr>
      </w:pPr>
    </w:p>
    <w:p w:rsidR="002158F6" w:rsidRPr="0021270B" w:rsidRDefault="002158F6" w:rsidP="002158F6">
      <w:pPr>
        <w:rPr>
          <w:lang w:val="en-NZ"/>
        </w:rPr>
      </w:pPr>
      <w:r w:rsidRPr="0021270B">
        <w:rPr>
          <w:lang w:val="en-NZ"/>
        </w:rPr>
        <w:t>That the submission be declined</w:t>
      </w:r>
      <w:r w:rsidR="00C57A98" w:rsidRPr="0021270B">
        <w:rPr>
          <w:lang w:val="en-NZ"/>
        </w:rPr>
        <w:t>.</w:t>
      </w:r>
    </w:p>
    <w:p w:rsidR="00507BF0" w:rsidRPr="0021270B" w:rsidRDefault="00507BF0" w:rsidP="00507BF0">
      <w:pPr>
        <w:widowControl w:val="0"/>
        <w:pBdr>
          <w:bottom w:val="single" w:sz="4" w:space="1" w:color="auto"/>
        </w:pBdr>
        <w:suppressAutoHyphens/>
        <w:jc w:val="left"/>
        <w:rPr>
          <w:rFonts w:eastAsia="SimSun"/>
          <w:b/>
          <w:bCs/>
          <w:szCs w:val="24"/>
          <w:lang w:val="en-NZ" w:eastAsia="zh-CN" w:bidi="hi-IN"/>
        </w:rPr>
      </w:pPr>
    </w:p>
    <w:p w:rsidR="00507BF0" w:rsidRPr="0021270B" w:rsidRDefault="00507BF0" w:rsidP="00507BF0">
      <w:pPr>
        <w:widowControl w:val="0"/>
        <w:suppressAutoHyphens/>
        <w:jc w:val="left"/>
        <w:rPr>
          <w:rFonts w:eastAsia="SimSun"/>
          <w:b/>
          <w:bCs/>
          <w:szCs w:val="24"/>
          <w:lang w:val="en-NZ" w:eastAsia="zh-CN" w:bidi="hi-IN"/>
        </w:rPr>
      </w:pPr>
    </w:p>
    <w:p w:rsidR="00871AF7" w:rsidRPr="0021270B" w:rsidRDefault="00871AF7" w:rsidP="00507BF0">
      <w:pPr>
        <w:widowControl w:val="0"/>
        <w:suppressAutoHyphens/>
        <w:jc w:val="left"/>
        <w:rPr>
          <w:rFonts w:eastAsia="SimSun"/>
          <w:b/>
          <w:bCs/>
          <w:szCs w:val="24"/>
          <w:lang w:val="en-NZ" w:eastAsia="zh-CN" w:bidi="hi-IN"/>
        </w:rPr>
      </w:pPr>
    </w:p>
    <w:p w:rsidR="00871AF7" w:rsidRPr="0021270B" w:rsidRDefault="00871AF7" w:rsidP="00871AF7">
      <w:pPr>
        <w:pStyle w:val="Heading5"/>
        <w:rPr>
          <w:rFonts w:eastAsia="SimSun"/>
          <w:lang w:val="en-NZ" w:eastAsia="zh-CN" w:bidi="hi-IN"/>
        </w:rPr>
      </w:pPr>
      <w:bookmarkStart w:id="17" w:name="_Toc427238211"/>
      <w:r w:rsidRPr="0021270B">
        <w:rPr>
          <w:rFonts w:eastAsia="SimSun"/>
          <w:lang w:val="en-NZ" w:eastAsia="zh-CN" w:bidi="hi-IN"/>
        </w:rPr>
        <w:t xml:space="preserve">Issue: </w:t>
      </w:r>
      <w:r w:rsidRPr="0021270B">
        <w:rPr>
          <w:rFonts w:eastAsia="SimSun"/>
          <w:lang w:val="en-NZ" w:eastAsia="zh-CN" w:bidi="hi-IN"/>
        </w:rPr>
        <w:tab/>
        <w:t xml:space="preserve">Monitoring and review on an </w:t>
      </w:r>
      <w:r w:rsidR="00053A56" w:rsidRPr="0021270B">
        <w:rPr>
          <w:rFonts w:eastAsia="SimSun"/>
          <w:lang w:val="en-NZ" w:eastAsia="zh-CN" w:bidi="hi-IN"/>
        </w:rPr>
        <w:t>on-going</w:t>
      </w:r>
      <w:r w:rsidRPr="0021270B">
        <w:rPr>
          <w:rFonts w:eastAsia="SimSun"/>
          <w:lang w:val="en-NZ" w:eastAsia="zh-CN" w:bidi="hi-IN"/>
        </w:rPr>
        <w:t xml:space="preserve"> basis</w:t>
      </w:r>
      <w:bookmarkEnd w:id="17"/>
    </w:p>
    <w:p w:rsidR="00507BF0" w:rsidRPr="0021270B" w:rsidRDefault="00507BF0" w:rsidP="00507BF0">
      <w:pPr>
        <w:rPr>
          <w:lang w:val="en-NZ"/>
        </w:rPr>
      </w:pPr>
    </w:p>
    <w:p w:rsidR="00871AF7" w:rsidRPr="0021270B" w:rsidRDefault="00871AF7" w:rsidP="00507BF0">
      <w:pPr>
        <w:rPr>
          <w:lang w:val="en-NZ"/>
        </w:rPr>
      </w:pPr>
    </w:p>
    <w:p w:rsidR="00507BF0" w:rsidRPr="0021270B" w:rsidRDefault="00507BF0" w:rsidP="00507BF0">
      <w:pPr>
        <w:keepNext/>
        <w:outlineLvl w:val="1"/>
        <w:rPr>
          <w:b/>
          <w:lang w:val="en-NZ"/>
        </w:rPr>
      </w:pPr>
      <w:r w:rsidRPr="0021270B">
        <w:rPr>
          <w:b/>
          <w:lang w:val="en-NZ"/>
        </w:rPr>
        <w:t>Submission</w:t>
      </w:r>
    </w:p>
    <w:p w:rsidR="00507BF0" w:rsidRPr="0021270B" w:rsidRDefault="00507BF0" w:rsidP="00507BF0">
      <w:pPr>
        <w:tabs>
          <w:tab w:val="left" w:pos="5295"/>
        </w:tabs>
        <w:rPr>
          <w:i/>
          <w:lang w:val="en-NZ"/>
        </w:rPr>
      </w:pPr>
      <w:r w:rsidRPr="0021270B">
        <w:rPr>
          <w:i/>
          <w:lang w:val="en-NZ"/>
        </w:rPr>
        <w:t>(Chartered Accountants Australia and New Zealand)</w:t>
      </w:r>
    </w:p>
    <w:p w:rsidR="00507BF0" w:rsidRPr="0021270B" w:rsidRDefault="00507BF0" w:rsidP="00507BF0">
      <w:pPr>
        <w:rPr>
          <w:lang w:val="en-NZ"/>
        </w:rPr>
      </w:pPr>
    </w:p>
    <w:p w:rsidR="00507BF0" w:rsidRPr="0021270B" w:rsidRDefault="00507BF0" w:rsidP="00507BF0">
      <w:pPr>
        <w:rPr>
          <w:bCs/>
        </w:rPr>
      </w:pPr>
      <w:r w:rsidRPr="0021270B">
        <w:rPr>
          <w:bCs/>
        </w:rPr>
        <w:t xml:space="preserve">The proposed new rules should be monitored and reviewed on an </w:t>
      </w:r>
      <w:r w:rsidR="00053A56" w:rsidRPr="0021270B">
        <w:rPr>
          <w:bCs/>
        </w:rPr>
        <w:t>on-going</w:t>
      </w:r>
      <w:r w:rsidRPr="0021270B">
        <w:rPr>
          <w:bCs/>
        </w:rPr>
        <w:t xml:space="preserve"> basis to ensure that they are working as intended and that they are consistent with further legislative reform, such as Phase 2 of the Government</w:t>
      </w:r>
      <w:r w:rsidR="005641C1">
        <w:rPr>
          <w:bCs/>
        </w:rPr>
        <w:t>’</w:t>
      </w:r>
      <w:r w:rsidRPr="0021270B">
        <w:rPr>
          <w:bCs/>
        </w:rPr>
        <w:t>s anti-money laundering policy.</w:t>
      </w:r>
    </w:p>
    <w:p w:rsidR="00507BF0" w:rsidRPr="0021270B" w:rsidRDefault="00507BF0" w:rsidP="00507BF0">
      <w:pPr>
        <w:rPr>
          <w:lang w:val="en-NZ"/>
        </w:rPr>
      </w:pPr>
    </w:p>
    <w:p w:rsidR="00507BF0" w:rsidRPr="0021270B" w:rsidRDefault="00507BF0" w:rsidP="00507BF0">
      <w:pPr>
        <w:keepNext/>
        <w:outlineLvl w:val="1"/>
        <w:rPr>
          <w:b/>
          <w:lang w:val="en-NZ"/>
        </w:rPr>
      </w:pPr>
      <w:r w:rsidRPr="0021270B">
        <w:rPr>
          <w:b/>
          <w:lang w:val="en-NZ"/>
        </w:rPr>
        <w:t>Comment</w:t>
      </w:r>
    </w:p>
    <w:p w:rsidR="00507BF0" w:rsidRPr="0021270B" w:rsidRDefault="00507BF0" w:rsidP="00507BF0">
      <w:pPr>
        <w:rPr>
          <w:lang w:val="en-NZ"/>
        </w:rPr>
      </w:pPr>
    </w:p>
    <w:p w:rsidR="00507BF0" w:rsidRPr="0021270B" w:rsidRDefault="0059304A" w:rsidP="00507BF0">
      <w:pPr>
        <w:keepNext/>
        <w:outlineLvl w:val="1"/>
        <w:rPr>
          <w:lang w:val="en-NZ"/>
        </w:rPr>
      </w:pPr>
      <w:r w:rsidRPr="0021270B">
        <w:rPr>
          <w:lang w:val="en-NZ"/>
        </w:rPr>
        <w:t>A</w:t>
      </w:r>
      <w:r w:rsidR="00507BF0" w:rsidRPr="0021270B">
        <w:rPr>
          <w:lang w:val="en-NZ"/>
        </w:rPr>
        <w:t xml:space="preserve">s part of generic tax policy process, newly introduced measures are subject to </w:t>
      </w:r>
      <w:r w:rsidRPr="0021270B">
        <w:rPr>
          <w:lang w:val="en-NZ"/>
        </w:rPr>
        <w:t>a post-implementation review</w:t>
      </w:r>
      <w:r w:rsidR="00507BF0" w:rsidRPr="0021270B">
        <w:rPr>
          <w:lang w:val="en-NZ"/>
        </w:rPr>
        <w:t>.</w:t>
      </w:r>
      <w:r w:rsidRPr="0021270B">
        <w:rPr>
          <w:lang w:val="en-NZ"/>
        </w:rPr>
        <w:t xml:space="preserve"> </w:t>
      </w:r>
      <w:r w:rsidR="00437AFA" w:rsidRPr="0021270B">
        <w:rPr>
          <w:lang w:val="en-NZ"/>
        </w:rPr>
        <w:t xml:space="preserve">In addition, the efficiency and effectiveness of the tax system is monitored by Inland Revenue on an </w:t>
      </w:r>
      <w:r w:rsidR="00053A56" w:rsidRPr="0021270B">
        <w:rPr>
          <w:lang w:val="en-NZ"/>
        </w:rPr>
        <w:t>on-going</w:t>
      </w:r>
      <w:r w:rsidR="00437AFA" w:rsidRPr="0021270B">
        <w:rPr>
          <w:lang w:val="en-NZ"/>
        </w:rPr>
        <w:t xml:space="preserve"> basis.</w:t>
      </w:r>
    </w:p>
    <w:p w:rsidR="00507BF0" w:rsidRPr="0021270B" w:rsidRDefault="00507BF0" w:rsidP="00507BF0">
      <w:pPr>
        <w:keepNext/>
        <w:outlineLvl w:val="1"/>
        <w:rPr>
          <w:lang w:val="en-NZ"/>
        </w:rPr>
      </w:pPr>
    </w:p>
    <w:p w:rsidR="00507BF0" w:rsidRPr="0021270B" w:rsidRDefault="00507BF0" w:rsidP="00507BF0">
      <w:pPr>
        <w:keepNext/>
        <w:outlineLvl w:val="1"/>
        <w:rPr>
          <w:b/>
          <w:lang w:val="en-NZ"/>
        </w:rPr>
      </w:pPr>
      <w:r w:rsidRPr="0021270B">
        <w:rPr>
          <w:b/>
          <w:lang w:val="en-NZ"/>
        </w:rPr>
        <w:t>Recommendation</w:t>
      </w:r>
    </w:p>
    <w:p w:rsidR="00507BF0" w:rsidRPr="0021270B" w:rsidRDefault="00507BF0" w:rsidP="00507BF0">
      <w:pPr>
        <w:rPr>
          <w:lang w:val="en-NZ"/>
        </w:rPr>
      </w:pPr>
    </w:p>
    <w:p w:rsidR="0041591D" w:rsidRPr="0021270B" w:rsidRDefault="00507BF0">
      <w:pPr>
        <w:jc w:val="left"/>
        <w:rPr>
          <w:b/>
          <w:caps/>
          <w:sz w:val="26"/>
          <w:lang w:val="en-NZ"/>
        </w:rPr>
      </w:pPr>
      <w:r w:rsidRPr="0021270B">
        <w:rPr>
          <w:lang w:val="en-NZ"/>
        </w:rPr>
        <w:t xml:space="preserve">That the submission be </w:t>
      </w:r>
      <w:r w:rsidR="0059304A" w:rsidRPr="0021270B">
        <w:rPr>
          <w:lang w:val="en-NZ"/>
        </w:rPr>
        <w:t>noted</w:t>
      </w:r>
      <w:r w:rsidRPr="0021270B">
        <w:rPr>
          <w:lang w:val="en-NZ"/>
        </w:rPr>
        <w:t>.</w:t>
      </w:r>
    </w:p>
    <w:p w:rsidR="007F4E89" w:rsidRPr="0021270B" w:rsidRDefault="007F4E89">
      <w:pPr>
        <w:jc w:val="left"/>
        <w:rPr>
          <w:b/>
          <w:caps/>
          <w:sz w:val="26"/>
          <w:lang w:val="en-NZ"/>
        </w:rPr>
      </w:pPr>
      <w:r w:rsidRPr="0021270B">
        <w:br w:type="page"/>
      </w:r>
    </w:p>
    <w:p w:rsidR="0041591D" w:rsidRPr="0021270B" w:rsidRDefault="0041591D" w:rsidP="009575F9">
      <w:pPr>
        <w:pStyle w:val="Heading1"/>
      </w:pPr>
      <w:bookmarkStart w:id="18" w:name="_Toc427238212"/>
      <w:r w:rsidRPr="0021270B">
        <w:lastRenderedPageBreak/>
        <w:t>Next stages of property compliance measures</w:t>
      </w:r>
      <w:bookmarkEnd w:id="18"/>
    </w:p>
    <w:p w:rsidR="00E640A4" w:rsidRPr="0021270B" w:rsidRDefault="00E640A4" w:rsidP="0041591D">
      <w:pPr>
        <w:rPr>
          <w:lang w:val="en-NZ"/>
        </w:rPr>
      </w:pPr>
    </w:p>
    <w:p w:rsidR="0041591D" w:rsidRPr="0021270B" w:rsidRDefault="0041591D" w:rsidP="0041591D"/>
    <w:p w:rsidR="0041591D" w:rsidRPr="0021270B" w:rsidRDefault="0041591D" w:rsidP="009575F9">
      <w:pPr>
        <w:pStyle w:val="Heading5"/>
        <w:rPr>
          <w:b w:val="0"/>
        </w:rPr>
      </w:pPr>
      <w:bookmarkStart w:id="19" w:name="_Toc427238213"/>
      <w:r w:rsidRPr="0021270B">
        <w:t>Issue:</w:t>
      </w:r>
      <w:r w:rsidRPr="0021270B">
        <w:tab/>
      </w:r>
      <w:r w:rsidR="00507BF0" w:rsidRPr="0021270B">
        <w:t>Consistency between property tax proposals</w:t>
      </w:r>
      <w:bookmarkEnd w:id="19"/>
    </w:p>
    <w:p w:rsidR="0041591D" w:rsidRPr="0021270B" w:rsidRDefault="0041591D" w:rsidP="0041591D">
      <w:pPr>
        <w:rPr>
          <w:lang w:val="en-NZ"/>
        </w:rPr>
      </w:pPr>
    </w:p>
    <w:p w:rsidR="0041591D" w:rsidRPr="0021270B" w:rsidRDefault="0041591D" w:rsidP="0041591D">
      <w:pPr>
        <w:rPr>
          <w:lang w:val="en-NZ"/>
        </w:rPr>
      </w:pPr>
    </w:p>
    <w:p w:rsidR="0041591D" w:rsidRPr="0021270B" w:rsidRDefault="0041591D" w:rsidP="0041591D">
      <w:pPr>
        <w:keepNext/>
        <w:outlineLvl w:val="1"/>
        <w:rPr>
          <w:b/>
          <w:lang w:val="en-NZ"/>
        </w:rPr>
      </w:pPr>
      <w:r w:rsidRPr="0021270B">
        <w:rPr>
          <w:b/>
          <w:lang w:val="en-NZ"/>
        </w:rPr>
        <w:t>Submission</w:t>
      </w:r>
    </w:p>
    <w:p w:rsidR="0041591D" w:rsidRPr="0021270B" w:rsidRDefault="002601EF" w:rsidP="0041591D">
      <w:pPr>
        <w:keepNext/>
        <w:outlineLvl w:val="3"/>
        <w:rPr>
          <w:i/>
          <w:lang w:val="en-NZ"/>
        </w:rPr>
      </w:pPr>
      <w:r w:rsidRPr="0021270B">
        <w:rPr>
          <w:i/>
          <w:lang w:val="en-NZ"/>
        </w:rPr>
        <w:t>(EY)</w:t>
      </w:r>
    </w:p>
    <w:p w:rsidR="0041591D" w:rsidRPr="0021270B" w:rsidRDefault="0041591D" w:rsidP="0041591D">
      <w:pPr>
        <w:tabs>
          <w:tab w:val="left" w:pos="5295"/>
        </w:tabs>
        <w:rPr>
          <w:lang w:val="en-NZ"/>
        </w:rPr>
      </w:pPr>
    </w:p>
    <w:p w:rsidR="0041591D" w:rsidRPr="0021270B" w:rsidRDefault="0041591D" w:rsidP="0041591D">
      <w:pPr>
        <w:rPr>
          <w:lang w:val="en-NZ"/>
        </w:rPr>
      </w:pPr>
      <w:r w:rsidRPr="0021270B">
        <w:rPr>
          <w:lang w:val="en-NZ"/>
        </w:rPr>
        <w:t xml:space="preserve">The </w:t>
      </w:r>
      <w:r w:rsidR="00D6480F" w:rsidRPr="0021270B">
        <w:rPr>
          <w:lang w:val="en-NZ"/>
        </w:rPr>
        <w:t>B</w:t>
      </w:r>
      <w:r w:rsidRPr="0021270B">
        <w:rPr>
          <w:lang w:val="en-NZ"/>
        </w:rPr>
        <w:t xml:space="preserve">ill </w:t>
      </w:r>
      <w:r w:rsidR="00D6480F" w:rsidRPr="0021270B">
        <w:rPr>
          <w:lang w:val="en-NZ"/>
        </w:rPr>
        <w:t xml:space="preserve">implements </w:t>
      </w:r>
      <w:r w:rsidRPr="0021270B">
        <w:rPr>
          <w:lang w:val="en-NZ"/>
        </w:rPr>
        <w:t>the first of three proposed reforms to the taxation of real property. There will be a need to review and possibly revise the land information requirements once the detailed proposals for the second and third stages of the</w:t>
      </w:r>
      <w:r w:rsidR="00507BF0" w:rsidRPr="0021270B">
        <w:rPr>
          <w:lang w:val="en-NZ"/>
        </w:rPr>
        <w:t xml:space="preserve"> property tax law</w:t>
      </w:r>
      <w:r w:rsidRPr="0021270B">
        <w:rPr>
          <w:lang w:val="en-NZ"/>
        </w:rPr>
        <w:t xml:space="preserve"> reforms have been developed. </w:t>
      </w:r>
    </w:p>
    <w:p w:rsidR="0041591D" w:rsidRPr="0021270B" w:rsidRDefault="0041591D" w:rsidP="0041591D">
      <w:pPr>
        <w:rPr>
          <w:lang w:val="en-NZ"/>
        </w:rPr>
      </w:pPr>
    </w:p>
    <w:p w:rsidR="0041591D" w:rsidRPr="0021270B" w:rsidRDefault="00507BF0" w:rsidP="0041591D">
      <w:pPr>
        <w:rPr>
          <w:lang w:val="en-NZ"/>
        </w:rPr>
      </w:pPr>
      <w:r w:rsidRPr="0021270B">
        <w:rPr>
          <w:lang w:val="en-NZ"/>
        </w:rPr>
        <w:t>This</w:t>
      </w:r>
      <w:r w:rsidR="0041591D" w:rsidRPr="0021270B">
        <w:rPr>
          <w:lang w:val="en-NZ"/>
        </w:rPr>
        <w:t xml:space="preserve"> would be an unfortunate outcome and inefficient use of resources and create increased uncertainty and confusion for taxpayers.</w:t>
      </w:r>
    </w:p>
    <w:p w:rsidR="0041591D" w:rsidRPr="0021270B" w:rsidRDefault="0041591D" w:rsidP="0041591D">
      <w:pPr>
        <w:rPr>
          <w:lang w:val="en-NZ"/>
        </w:rPr>
      </w:pPr>
    </w:p>
    <w:p w:rsidR="0041591D" w:rsidRPr="0021270B" w:rsidRDefault="0041591D" w:rsidP="0041591D">
      <w:pPr>
        <w:keepNext/>
        <w:outlineLvl w:val="1"/>
        <w:rPr>
          <w:b/>
          <w:lang w:val="en-NZ"/>
        </w:rPr>
      </w:pPr>
      <w:r w:rsidRPr="0021270B">
        <w:rPr>
          <w:b/>
          <w:lang w:val="en-NZ"/>
        </w:rPr>
        <w:t>Comment</w:t>
      </w:r>
    </w:p>
    <w:p w:rsidR="0041591D" w:rsidRPr="0021270B" w:rsidRDefault="0041591D" w:rsidP="0041591D">
      <w:pPr>
        <w:rPr>
          <w:lang w:val="en-NZ"/>
        </w:rPr>
      </w:pPr>
    </w:p>
    <w:p w:rsidR="0041591D" w:rsidRPr="0021270B" w:rsidRDefault="0041591D" w:rsidP="0041591D">
      <w:pPr>
        <w:rPr>
          <w:lang w:val="en-NZ"/>
        </w:rPr>
      </w:pPr>
      <w:r w:rsidRPr="0021270B">
        <w:rPr>
          <w:lang w:val="en-NZ"/>
        </w:rPr>
        <w:t>Consequential amendments to the Land Transfer Act 1952 may be necessary once detailed proposals for the bright-line test and withholding tax have been developed.</w:t>
      </w:r>
    </w:p>
    <w:p w:rsidR="0041591D" w:rsidRPr="0021270B" w:rsidRDefault="0041591D" w:rsidP="0041591D">
      <w:pPr>
        <w:rPr>
          <w:lang w:val="en-NZ"/>
        </w:rPr>
      </w:pPr>
    </w:p>
    <w:p w:rsidR="0041591D" w:rsidRPr="0021270B" w:rsidRDefault="0041591D" w:rsidP="0041591D">
      <w:pPr>
        <w:rPr>
          <w:lang w:val="en-NZ"/>
        </w:rPr>
      </w:pPr>
      <w:r w:rsidRPr="0021270B">
        <w:rPr>
          <w:lang w:val="en-NZ"/>
        </w:rPr>
        <w:t>Any such amendments will seek to maintain coherence between these proposals.</w:t>
      </w:r>
    </w:p>
    <w:p w:rsidR="0041591D" w:rsidRPr="0021270B" w:rsidRDefault="0041591D" w:rsidP="0041591D">
      <w:pPr>
        <w:rPr>
          <w:lang w:val="en-NZ"/>
        </w:rPr>
      </w:pPr>
    </w:p>
    <w:p w:rsidR="0041591D" w:rsidRPr="0021270B" w:rsidRDefault="0041591D" w:rsidP="0041591D">
      <w:pPr>
        <w:keepNext/>
        <w:outlineLvl w:val="1"/>
        <w:rPr>
          <w:b/>
          <w:lang w:val="en-NZ"/>
        </w:rPr>
      </w:pPr>
      <w:r w:rsidRPr="0021270B">
        <w:rPr>
          <w:b/>
          <w:lang w:val="en-NZ"/>
        </w:rPr>
        <w:t>Recommendation</w:t>
      </w:r>
    </w:p>
    <w:p w:rsidR="0041591D" w:rsidRPr="0021270B" w:rsidRDefault="0041591D" w:rsidP="0041591D">
      <w:pPr>
        <w:rPr>
          <w:lang w:val="en-NZ"/>
        </w:rPr>
      </w:pPr>
    </w:p>
    <w:p w:rsidR="0041591D" w:rsidRPr="0021270B" w:rsidRDefault="0041591D" w:rsidP="0041591D">
      <w:pPr>
        <w:rPr>
          <w:lang w:val="en-NZ"/>
        </w:rPr>
      </w:pPr>
      <w:r w:rsidRPr="0021270B">
        <w:rPr>
          <w:lang w:val="en-NZ"/>
        </w:rPr>
        <w:t>That the submission be noted.</w:t>
      </w:r>
    </w:p>
    <w:p w:rsidR="0041591D" w:rsidRPr="0021270B" w:rsidRDefault="0041591D" w:rsidP="0041591D">
      <w:pPr>
        <w:rPr>
          <w:lang w:val="en-NZ"/>
        </w:rPr>
      </w:pPr>
    </w:p>
    <w:p w:rsidR="00B97F56" w:rsidRPr="0021270B" w:rsidRDefault="00B97F56" w:rsidP="00536A68">
      <w:pPr>
        <w:rPr>
          <w:lang w:val="en-NZ"/>
        </w:rPr>
      </w:pPr>
    </w:p>
    <w:p w:rsidR="00B97F56" w:rsidRPr="0021270B" w:rsidRDefault="00B97F56" w:rsidP="00536A68">
      <w:pPr>
        <w:rPr>
          <w:lang w:val="en-NZ"/>
        </w:rPr>
      </w:pPr>
    </w:p>
    <w:p w:rsidR="00B97F56" w:rsidRPr="0021270B" w:rsidRDefault="00B97F56" w:rsidP="00536A68">
      <w:pPr>
        <w:rPr>
          <w:lang w:val="en-NZ"/>
        </w:rPr>
      </w:pPr>
    </w:p>
    <w:p w:rsidR="00B97F56" w:rsidRPr="0021270B" w:rsidRDefault="00B97F56" w:rsidP="00536A68">
      <w:pPr>
        <w:rPr>
          <w:lang w:val="en-NZ"/>
        </w:rPr>
      </w:pPr>
    </w:p>
    <w:p w:rsidR="00B97F56" w:rsidRPr="0021270B" w:rsidRDefault="00B97F56" w:rsidP="00536A68">
      <w:pPr>
        <w:rPr>
          <w:lang w:val="en-NZ"/>
        </w:rPr>
      </w:pPr>
    </w:p>
    <w:p w:rsidR="00B97F56" w:rsidRPr="0021270B" w:rsidRDefault="00B97F56" w:rsidP="00536A68">
      <w:pPr>
        <w:rPr>
          <w:lang w:val="en-NZ"/>
        </w:rPr>
      </w:pPr>
    </w:p>
    <w:p w:rsidR="00B97F56" w:rsidRPr="0021270B" w:rsidRDefault="00B97F56" w:rsidP="00536A68">
      <w:pPr>
        <w:rPr>
          <w:lang w:val="en-NZ"/>
        </w:rPr>
      </w:pPr>
    </w:p>
    <w:p w:rsidR="00B97F56" w:rsidRPr="0021270B" w:rsidRDefault="00B97F56" w:rsidP="00536A68">
      <w:pPr>
        <w:rPr>
          <w:lang w:val="en-NZ"/>
        </w:rPr>
      </w:pPr>
    </w:p>
    <w:p w:rsidR="00B97F56" w:rsidRPr="0021270B" w:rsidRDefault="00B97F56" w:rsidP="00536A68">
      <w:pPr>
        <w:rPr>
          <w:lang w:val="en-NZ"/>
        </w:rPr>
      </w:pPr>
    </w:p>
    <w:p w:rsidR="00B97F56" w:rsidRPr="0021270B" w:rsidRDefault="00B97F56" w:rsidP="00536A68">
      <w:pPr>
        <w:rPr>
          <w:lang w:val="en-NZ"/>
        </w:rPr>
      </w:pPr>
    </w:p>
    <w:p w:rsidR="00B97F56" w:rsidRPr="0021270B" w:rsidRDefault="00B97F56" w:rsidP="00536A68">
      <w:pPr>
        <w:rPr>
          <w:lang w:val="en-NZ"/>
        </w:rPr>
      </w:pPr>
    </w:p>
    <w:p w:rsidR="00B97F56" w:rsidRPr="0021270B" w:rsidRDefault="00B97F56" w:rsidP="00536A68">
      <w:pPr>
        <w:rPr>
          <w:lang w:val="en-NZ"/>
        </w:rPr>
      </w:pPr>
    </w:p>
    <w:p w:rsidR="00B97F56" w:rsidRPr="0021270B" w:rsidRDefault="00B97F56" w:rsidP="00536A68">
      <w:pPr>
        <w:rPr>
          <w:lang w:val="en-NZ"/>
        </w:rPr>
      </w:pPr>
    </w:p>
    <w:p w:rsidR="00B97F56" w:rsidRPr="0021270B" w:rsidRDefault="00B97F56" w:rsidP="00536A68">
      <w:pPr>
        <w:rPr>
          <w:lang w:val="en-NZ"/>
        </w:rPr>
      </w:pPr>
    </w:p>
    <w:p w:rsidR="00A047DE" w:rsidRPr="0021270B" w:rsidRDefault="00B97F56" w:rsidP="00812C11">
      <w:pPr>
        <w:pStyle w:val="Heading1"/>
      </w:pPr>
      <w:r w:rsidRPr="0021270B">
        <w:br w:type="page"/>
      </w:r>
      <w:bookmarkStart w:id="20" w:name="_Toc427238214"/>
      <w:r w:rsidR="00A047DE" w:rsidRPr="0021270B">
        <w:lastRenderedPageBreak/>
        <w:t xml:space="preserve">Main home </w:t>
      </w:r>
      <w:r w:rsidR="00781D8A">
        <w:t>e</w:t>
      </w:r>
      <w:r w:rsidR="003F0684" w:rsidRPr="0021270B">
        <w:t>xemption</w:t>
      </w:r>
      <w:bookmarkEnd w:id="20"/>
      <w:r w:rsidR="00022CC8" w:rsidRPr="0021270B">
        <w:t xml:space="preserve"> </w:t>
      </w:r>
    </w:p>
    <w:p w:rsidR="00A047DE" w:rsidRPr="0021270B" w:rsidRDefault="00A047DE" w:rsidP="00A047DE">
      <w:pPr>
        <w:rPr>
          <w:lang w:val="en-NZ"/>
        </w:rPr>
      </w:pPr>
    </w:p>
    <w:p w:rsidR="00BB795B" w:rsidRPr="0021270B" w:rsidRDefault="00BB795B" w:rsidP="00BB795B"/>
    <w:p w:rsidR="00BB795B" w:rsidRPr="0021270B" w:rsidRDefault="00BB795B" w:rsidP="009575F9">
      <w:pPr>
        <w:pStyle w:val="Heading5"/>
        <w:rPr>
          <w:lang w:val="en-NZ"/>
        </w:rPr>
      </w:pPr>
      <w:bookmarkStart w:id="21" w:name="_Toc427238215"/>
      <w:r w:rsidRPr="0021270B">
        <w:rPr>
          <w:lang w:val="en-NZ"/>
        </w:rPr>
        <w:t>Issue:</w:t>
      </w:r>
      <w:r w:rsidRPr="0021270B">
        <w:rPr>
          <w:lang w:val="en-NZ"/>
        </w:rPr>
        <w:tab/>
        <w:t>Reconsidering the main home exemption</w:t>
      </w:r>
      <w:bookmarkEnd w:id="21"/>
    </w:p>
    <w:p w:rsidR="00BB795B" w:rsidRPr="0021270B" w:rsidRDefault="00BB795B" w:rsidP="00BB795B">
      <w:pPr>
        <w:rPr>
          <w:lang w:val="en-NZ"/>
        </w:rPr>
      </w:pPr>
    </w:p>
    <w:p w:rsidR="00BB795B" w:rsidRPr="0021270B" w:rsidRDefault="00BB795B" w:rsidP="00BB795B">
      <w:pPr>
        <w:rPr>
          <w:lang w:val="en-NZ"/>
        </w:rPr>
      </w:pPr>
    </w:p>
    <w:p w:rsidR="00BB795B" w:rsidRPr="0021270B" w:rsidRDefault="00BB795B" w:rsidP="00BB795B">
      <w:pPr>
        <w:keepNext/>
        <w:outlineLvl w:val="1"/>
        <w:rPr>
          <w:b/>
          <w:lang w:val="en-NZ"/>
        </w:rPr>
      </w:pPr>
      <w:r w:rsidRPr="0021270B">
        <w:rPr>
          <w:b/>
          <w:lang w:val="en-NZ"/>
        </w:rPr>
        <w:t>Submission</w:t>
      </w:r>
    </w:p>
    <w:p w:rsidR="00BB795B" w:rsidRPr="0021270B" w:rsidRDefault="00050AF0" w:rsidP="00BB795B">
      <w:pPr>
        <w:keepNext/>
        <w:outlineLvl w:val="3"/>
        <w:rPr>
          <w:i/>
          <w:lang w:val="en-NZ"/>
        </w:rPr>
      </w:pPr>
      <w:r w:rsidRPr="0021270B">
        <w:rPr>
          <w:i/>
          <w:lang w:val="en-NZ"/>
        </w:rPr>
        <w:t>(</w:t>
      </w:r>
      <w:r w:rsidR="00BB795B" w:rsidRPr="0021270B">
        <w:rPr>
          <w:i/>
          <w:lang w:val="en-NZ"/>
        </w:rPr>
        <w:t>Chartered Accountants Australia and New Zealand, EY</w:t>
      </w:r>
      <w:r w:rsidRPr="0021270B">
        <w:rPr>
          <w:i/>
          <w:lang w:val="en-NZ"/>
        </w:rPr>
        <w:t>)</w:t>
      </w:r>
    </w:p>
    <w:p w:rsidR="00BB795B" w:rsidRPr="0021270B" w:rsidRDefault="00BB795B" w:rsidP="00BB795B">
      <w:pPr>
        <w:tabs>
          <w:tab w:val="left" w:pos="5295"/>
        </w:tabs>
        <w:rPr>
          <w:lang w:val="en-NZ"/>
        </w:rPr>
      </w:pPr>
    </w:p>
    <w:p w:rsidR="00BB795B" w:rsidRPr="0021270B" w:rsidRDefault="00BB795B" w:rsidP="00BB795B">
      <w:pPr>
        <w:rPr>
          <w:lang w:val="en-NZ"/>
        </w:rPr>
      </w:pPr>
      <w:r w:rsidRPr="0021270B">
        <w:rPr>
          <w:lang w:val="en-NZ"/>
        </w:rPr>
        <w:t xml:space="preserve">The main home exemption makes the rules more complex and limits the volume of information available and therefore the value of that information. </w:t>
      </w:r>
    </w:p>
    <w:p w:rsidR="00BB795B" w:rsidRPr="0021270B" w:rsidRDefault="00BB795B" w:rsidP="00BB795B">
      <w:pPr>
        <w:rPr>
          <w:lang w:val="en-NZ"/>
        </w:rPr>
      </w:pPr>
    </w:p>
    <w:p w:rsidR="00BB795B" w:rsidRPr="0021270B" w:rsidRDefault="00E27D9A" w:rsidP="00BB795B">
      <w:pPr>
        <w:rPr>
          <w:lang w:val="en-NZ"/>
        </w:rPr>
      </w:pPr>
      <w:r w:rsidRPr="0021270B">
        <w:rPr>
          <w:lang w:val="en-NZ"/>
        </w:rPr>
        <w:t>T</w:t>
      </w:r>
      <w:r w:rsidR="00BB795B" w:rsidRPr="0021270B">
        <w:rPr>
          <w:lang w:val="en-NZ"/>
        </w:rPr>
        <w:t xml:space="preserve">he exemption should be reconsidered. </w:t>
      </w:r>
      <w:r w:rsidRPr="0021270B">
        <w:rPr>
          <w:i/>
          <w:lang w:val="en-NZ"/>
        </w:rPr>
        <w:t>(Chartered Accountants Australia and New Zealand)</w:t>
      </w:r>
    </w:p>
    <w:p w:rsidR="00BB795B" w:rsidRPr="0021270B" w:rsidRDefault="00BB795B" w:rsidP="00BB795B">
      <w:pPr>
        <w:tabs>
          <w:tab w:val="left" w:pos="1875"/>
        </w:tabs>
        <w:rPr>
          <w:lang w:val="en-NZ"/>
        </w:rPr>
      </w:pPr>
      <w:r w:rsidRPr="0021270B">
        <w:rPr>
          <w:lang w:val="en-NZ"/>
        </w:rPr>
        <w:tab/>
      </w:r>
    </w:p>
    <w:p w:rsidR="00BB795B" w:rsidRPr="0021270B" w:rsidRDefault="00E27D9A" w:rsidP="00BB795B">
      <w:pPr>
        <w:rPr>
          <w:i/>
          <w:lang w:val="en-NZ"/>
        </w:rPr>
      </w:pPr>
      <w:r w:rsidRPr="0021270B">
        <w:rPr>
          <w:lang w:val="en-NZ"/>
        </w:rPr>
        <w:t>All</w:t>
      </w:r>
      <w:r w:rsidR="00BB795B" w:rsidRPr="0021270B">
        <w:rPr>
          <w:lang w:val="en-NZ"/>
        </w:rPr>
        <w:t xml:space="preserve"> parties to property transfers should provide IRD numbers, with no main home or other exemption.</w:t>
      </w:r>
      <w:r w:rsidRPr="0021270B">
        <w:rPr>
          <w:lang w:val="en-NZ"/>
        </w:rPr>
        <w:t xml:space="preserve"> </w:t>
      </w:r>
      <w:r w:rsidRPr="0021270B">
        <w:rPr>
          <w:i/>
          <w:lang w:val="en-NZ"/>
        </w:rPr>
        <w:t>(EY)</w:t>
      </w:r>
    </w:p>
    <w:p w:rsidR="00BB795B" w:rsidRPr="0021270B" w:rsidRDefault="00BB795B" w:rsidP="00BB795B">
      <w:pPr>
        <w:rPr>
          <w:lang w:val="en-NZ"/>
        </w:rPr>
      </w:pPr>
    </w:p>
    <w:p w:rsidR="00BB795B" w:rsidRPr="0021270B" w:rsidRDefault="00BB795B" w:rsidP="00BB795B">
      <w:pPr>
        <w:keepNext/>
        <w:outlineLvl w:val="1"/>
        <w:rPr>
          <w:b/>
          <w:lang w:val="en-NZ"/>
        </w:rPr>
      </w:pPr>
      <w:r w:rsidRPr="0021270B">
        <w:rPr>
          <w:b/>
          <w:lang w:val="en-NZ"/>
        </w:rPr>
        <w:t>Comment</w:t>
      </w:r>
    </w:p>
    <w:p w:rsidR="00BB795B" w:rsidRPr="0021270B" w:rsidRDefault="00BB795B" w:rsidP="00BB795B">
      <w:pPr>
        <w:rPr>
          <w:lang w:val="en-NZ"/>
        </w:rPr>
      </w:pPr>
    </w:p>
    <w:p w:rsidR="00BB795B" w:rsidRPr="0021270B" w:rsidRDefault="009A0F5B" w:rsidP="00BB795B">
      <w:pPr>
        <w:rPr>
          <w:lang w:val="en-NZ"/>
        </w:rPr>
      </w:pPr>
      <w:r w:rsidRPr="0021270B">
        <w:rPr>
          <w:lang w:val="en-NZ"/>
        </w:rPr>
        <w:t>The exemption</w:t>
      </w:r>
      <w:r w:rsidR="00530E92" w:rsidRPr="0021270B">
        <w:rPr>
          <w:lang w:val="en-NZ"/>
        </w:rPr>
        <w:t xml:space="preserve"> broadly</w:t>
      </w:r>
      <w:r w:rsidRPr="0021270B">
        <w:rPr>
          <w:lang w:val="en-NZ"/>
        </w:rPr>
        <w:t xml:space="preserve"> aligns with</w:t>
      </w:r>
      <w:r w:rsidR="00BB795B" w:rsidRPr="0021270B">
        <w:rPr>
          <w:lang w:val="en-NZ"/>
        </w:rPr>
        <w:t xml:space="preserve"> both the current rules for taxing gains from property, and the proposed bright</w:t>
      </w:r>
      <w:r w:rsidR="0061452C" w:rsidRPr="0021270B">
        <w:rPr>
          <w:lang w:val="en-NZ"/>
        </w:rPr>
        <w:t>-</w:t>
      </w:r>
      <w:r w:rsidR="00BB795B" w:rsidRPr="0021270B">
        <w:rPr>
          <w:lang w:val="en-NZ"/>
        </w:rPr>
        <w:t>line test</w:t>
      </w:r>
      <w:r w:rsidRPr="0021270B">
        <w:rPr>
          <w:lang w:val="en-NZ"/>
        </w:rPr>
        <w:t xml:space="preserve"> which</w:t>
      </w:r>
      <w:r w:rsidR="00BB795B" w:rsidRPr="0021270B">
        <w:rPr>
          <w:lang w:val="en-NZ"/>
        </w:rPr>
        <w:t xml:space="preserve"> are not targeted at a person</w:t>
      </w:r>
      <w:r w:rsidR="005641C1">
        <w:rPr>
          <w:lang w:val="en-NZ"/>
        </w:rPr>
        <w:t>’</w:t>
      </w:r>
      <w:r w:rsidR="00BB795B" w:rsidRPr="0021270B">
        <w:rPr>
          <w:lang w:val="en-NZ"/>
        </w:rPr>
        <w:t xml:space="preserve">s main home.  </w:t>
      </w:r>
    </w:p>
    <w:p w:rsidR="00BB795B" w:rsidRPr="0021270B" w:rsidRDefault="00BB795B" w:rsidP="00BB795B">
      <w:pPr>
        <w:rPr>
          <w:lang w:val="en-NZ"/>
        </w:rPr>
      </w:pPr>
    </w:p>
    <w:p w:rsidR="00BB795B" w:rsidRPr="0021270B" w:rsidRDefault="00BB795B" w:rsidP="00BB795B">
      <w:pPr>
        <w:keepNext/>
        <w:outlineLvl w:val="1"/>
        <w:rPr>
          <w:b/>
          <w:lang w:val="en-NZ"/>
        </w:rPr>
      </w:pPr>
      <w:r w:rsidRPr="0021270B">
        <w:rPr>
          <w:b/>
          <w:lang w:val="en-NZ"/>
        </w:rPr>
        <w:t>Recommendation</w:t>
      </w:r>
    </w:p>
    <w:p w:rsidR="00BB795B" w:rsidRPr="0021270B" w:rsidRDefault="00BB795B" w:rsidP="00BB795B">
      <w:pPr>
        <w:rPr>
          <w:lang w:val="en-NZ"/>
        </w:rPr>
      </w:pPr>
    </w:p>
    <w:p w:rsidR="00BB795B" w:rsidRPr="0021270B" w:rsidRDefault="00BB795B" w:rsidP="00BB795B">
      <w:pPr>
        <w:rPr>
          <w:lang w:val="en-NZ"/>
        </w:rPr>
      </w:pPr>
      <w:r w:rsidRPr="0021270B">
        <w:rPr>
          <w:lang w:val="en-NZ"/>
        </w:rPr>
        <w:t>That the submission</w:t>
      </w:r>
      <w:r w:rsidR="00E27D9A" w:rsidRPr="0021270B">
        <w:rPr>
          <w:lang w:val="en-NZ"/>
        </w:rPr>
        <w:t>s</w:t>
      </w:r>
      <w:r w:rsidRPr="0021270B">
        <w:rPr>
          <w:lang w:val="en-NZ"/>
        </w:rPr>
        <w:t xml:space="preserve"> be declined.</w:t>
      </w:r>
    </w:p>
    <w:p w:rsidR="00BB795B" w:rsidRPr="0021270B" w:rsidRDefault="00BB795B" w:rsidP="00BB795B">
      <w:pPr>
        <w:pBdr>
          <w:bottom w:val="single" w:sz="4" w:space="1" w:color="auto"/>
        </w:pBdr>
        <w:rPr>
          <w:lang w:val="en-NZ"/>
        </w:rPr>
      </w:pPr>
    </w:p>
    <w:p w:rsidR="00E640A4" w:rsidRPr="0021270B" w:rsidRDefault="00E640A4" w:rsidP="00E640A4">
      <w:pPr>
        <w:rPr>
          <w:lang w:val="en-NZ"/>
        </w:rPr>
      </w:pPr>
    </w:p>
    <w:p w:rsidR="00BB795B" w:rsidRPr="0021270B" w:rsidRDefault="00BB795B" w:rsidP="009575F9">
      <w:pPr>
        <w:pStyle w:val="Heading5"/>
      </w:pPr>
    </w:p>
    <w:p w:rsidR="00BB795B" w:rsidRPr="0021270B" w:rsidRDefault="00BB795B" w:rsidP="009575F9">
      <w:pPr>
        <w:pStyle w:val="Heading5"/>
        <w:rPr>
          <w:lang w:val="en-NZ"/>
        </w:rPr>
      </w:pPr>
      <w:bookmarkStart w:id="22" w:name="_Toc427238216"/>
      <w:r w:rsidRPr="0021270B">
        <w:rPr>
          <w:lang w:val="en-NZ"/>
        </w:rPr>
        <w:t>Issue:</w:t>
      </w:r>
      <w:r w:rsidRPr="0021270B">
        <w:rPr>
          <w:lang w:val="en-NZ"/>
        </w:rPr>
        <w:tab/>
        <w:t xml:space="preserve">Complexity </w:t>
      </w:r>
      <w:r w:rsidR="007D2FBE" w:rsidRPr="0021270B">
        <w:rPr>
          <w:lang w:val="en-NZ"/>
        </w:rPr>
        <w:t>of main home exemption provision</w:t>
      </w:r>
      <w:bookmarkEnd w:id="22"/>
    </w:p>
    <w:p w:rsidR="00BB795B" w:rsidRPr="0021270B" w:rsidRDefault="00BB795B" w:rsidP="00BB795B">
      <w:pPr>
        <w:rPr>
          <w:lang w:val="en-NZ"/>
        </w:rPr>
      </w:pPr>
    </w:p>
    <w:p w:rsidR="00BB795B" w:rsidRPr="0021270B" w:rsidRDefault="00BB795B" w:rsidP="00BB795B">
      <w:pPr>
        <w:rPr>
          <w:lang w:val="en-NZ"/>
        </w:rPr>
      </w:pPr>
    </w:p>
    <w:p w:rsidR="00BB795B" w:rsidRPr="0021270B" w:rsidRDefault="00BB795B" w:rsidP="00BB795B">
      <w:pPr>
        <w:keepNext/>
        <w:outlineLvl w:val="1"/>
        <w:rPr>
          <w:b/>
          <w:lang w:val="en-NZ"/>
        </w:rPr>
      </w:pPr>
      <w:r w:rsidRPr="0021270B">
        <w:rPr>
          <w:b/>
          <w:lang w:val="en-NZ"/>
        </w:rPr>
        <w:t>Submission</w:t>
      </w:r>
    </w:p>
    <w:p w:rsidR="00BB795B" w:rsidRPr="0021270B" w:rsidRDefault="00BB795B" w:rsidP="00BB795B">
      <w:pPr>
        <w:keepNext/>
        <w:outlineLvl w:val="3"/>
        <w:rPr>
          <w:i/>
          <w:lang w:val="en-NZ"/>
        </w:rPr>
      </w:pPr>
      <w:r w:rsidRPr="0021270B">
        <w:rPr>
          <w:i/>
          <w:lang w:val="en-NZ"/>
        </w:rPr>
        <w:t>(Auckland District Law Society, Chartered Accountants Australia and New Zealand, New Zealand Law Society, EY)</w:t>
      </w:r>
    </w:p>
    <w:p w:rsidR="00BB795B" w:rsidRPr="0021270B" w:rsidRDefault="00BB795B" w:rsidP="00BB795B">
      <w:pPr>
        <w:tabs>
          <w:tab w:val="left" w:pos="5295"/>
        </w:tabs>
        <w:rPr>
          <w:lang w:val="en-NZ"/>
        </w:rPr>
      </w:pPr>
    </w:p>
    <w:p w:rsidR="00BB795B" w:rsidRPr="0021270B" w:rsidRDefault="00BB795B" w:rsidP="00BB795B">
      <w:pPr>
        <w:rPr>
          <w:lang w:val="en-NZ"/>
        </w:rPr>
      </w:pPr>
      <w:r w:rsidRPr="0021270B">
        <w:rPr>
          <w:lang w:val="en-NZ"/>
        </w:rPr>
        <w:t>The main home exemption from providing an IRD number will be difficult to apply. The main home exemption will create uncertainty and difficulties on the boundary. The provisions need to be simplified.</w:t>
      </w:r>
    </w:p>
    <w:p w:rsidR="00BB795B" w:rsidRPr="0021270B" w:rsidRDefault="00BB795B" w:rsidP="00BB795B">
      <w:pPr>
        <w:rPr>
          <w:lang w:val="en-NZ"/>
        </w:rPr>
      </w:pPr>
    </w:p>
    <w:p w:rsidR="00BB795B" w:rsidRPr="0021270B" w:rsidRDefault="00BB795B" w:rsidP="009575F9">
      <w:pPr>
        <w:tabs>
          <w:tab w:val="left" w:pos="5295"/>
        </w:tabs>
        <w:rPr>
          <w:lang w:val="en-NZ"/>
        </w:rPr>
      </w:pPr>
      <w:r w:rsidRPr="0021270B">
        <w:rPr>
          <w:lang w:val="en-NZ"/>
        </w:rPr>
        <w:t xml:space="preserve">The uncertainty with the main home exemption means that there is a risk of dispute. This does not seem justified from a broader policy perspective. It would be preferable to focus any issues, disputes and risks on substantive income tax matters, rather than on procedural and information-gathering rules. </w:t>
      </w:r>
      <w:r w:rsidRPr="009023DD">
        <w:rPr>
          <w:i/>
          <w:lang w:val="en-NZ"/>
        </w:rPr>
        <w:t>(EY)</w:t>
      </w:r>
    </w:p>
    <w:p w:rsidR="00BB795B" w:rsidRPr="0021270B" w:rsidRDefault="00BB795B" w:rsidP="00BB795B">
      <w:pPr>
        <w:rPr>
          <w:lang w:val="en-NZ"/>
        </w:rPr>
      </w:pPr>
    </w:p>
    <w:p w:rsidR="009023DD" w:rsidRDefault="009023DD">
      <w:pPr>
        <w:jc w:val="left"/>
        <w:rPr>
          <w:b/>
          <w:lang w:val="en-NZ"/>
        </w:rPr>
      </w:pPr>
      <w:r>
        <w:rPr>
          <w:b/>
          <w:lang w:val="en-NZ"/>
        </w:rPr>
        <w:br w:type="page"/>
      </w:r>
    </w:p>
    <w:p w:rsidR="00BB795B" w:rsidRPr="0021270B" w:rsidRDefault="00BB795B" w:rsidP="00BB795B">
      <w:pPr>
        <w:keepNext/>
        <w:outlineLvl w:val="1"/>
        <w:rPr>
          <w:b/>
          <w:lang w:val="en-NZ"/>
        </w:rPr>
      </w:pPr>
      <w:r w:rsidRPr="0021270B">
        <w:rPr>
          <w:b/>
          <w:lang w:val="en-NZ"/>
        </w:rPr>
        <w:lastRenderedPageBreak/>
        <w:t>Comment</w:t>
      </w:r>
    </w:p>
    <w:p w:rsidR="00BB795B" w:rsidRPr="0021270B" w:rsidRDefault="00BB795B" w:rsidP="00BB795B">
      <w:pPr>
        <w:rPr>
          <w:lang w:val="en-NZ"/>
        </w:rPr>
      </w:pPr>
    </w:p>
    <w:p w:rsidR="0099129D" w:rsidRPr="0021270B" w:rsidRDefault="00BB795B" w:rsidP="0099129D">
      <w:pPr>
        <w:rPr>
          <w:b/>
          <w:lang w:val="en-NZ"/>
        </w:rPr>
      </w:pPr>
      <w:r w:rsidRPr="0021270B">
        <w:rPr>
          <w:lang w:val="en-NZ"/>
        </w:rPr>
        <w:t>Officials are proposing to simplify the main home exemption by removing the requirement that the land be “residential land”. In addition</w:t>
      </w:r>
      <w:r w:rsidR="0061452C" w:rsidRPr="0021270B">
        <w:rPr>
          <w:lang w:val="en-NZ"/>
        </w:rPr>
        <w:t>,</w:t>
      </w:r>
      <w:r w:rsidRPr="0021270B">
        <w:rPr>
          <w:lang w:val="en-NZ"/>
        </w:rPr>
        <w:t xml:space="preserve"> officials propose to clarify the date </w:t>
      </w:r>
      <w:r w:rsidR="0061452C" w:rsidRPr="0021270B">
        <w:rPr>
          <w:lang w:val="en-NZ"/>
        </w:rPr>
        <w:t>on which</w:t>
      </w:r>
      <w:r w:rsidRPr="0021270B">
        <w:rPr>
          <w:lang w:val="en-NZ"/>
        </w:rPr>
        <w:t xml:space="preserve"> a home needs to be the person</w:t>
      </w:r>
      <w:r w:rsidR="005641C1">
        <w:rPr>
          <w:lang w:val="en-NZ"/>
        </w:rPr>
        <w:t>’</w:t>
      </w:r>
      <w:r w:rsidRPr="0021270B">
        <w:rPr>
          <w:lang w:val="en-NZ"/>
        </w:rPr>
        <w:t>s main home and simplify the “mainly used as a residence” test.</w:t>
      </w:r>
    </w:p>
    <w:p w:rsidR="00BB795B" w:rsidRPr="0021270B" w:rsidRDefault="00BB795B" w:rsidP="00BB795B">
      <w:pPr>
        <w:rPr>
          <w:lang w:val="en-NZ"/>
        </w:rPr>
      </w:pPr>
    </w:p>
    <w:p w:rsidR="00BB795B" w:rsidRPr="0021270B" w:rsidRDefault="0099129D" w:rsidP="00BB795B">
      <w:pPr>
        <w:rPr>
          <w:lang w:val="en-NZ"/>
        </w:rPr>
      </w:pPr>
      <w:r w:rsidRPr="0021270B">
        <w:rPr>
          <w:lang w:val="en-NZ"/>
        </w:rPr>
        <w:t>Officials agree that guidance on these rules is desirable.  To the extent that comments in this report and the bill commentary have not clarified matters to submitters</w:t>
      </w:r>
      <w:r w:rsidR="005641C1">
        <w:rPr>
          <w:lang w:val="en-NZ"/>
        </w:rPr>
        <w:t>’</w:t>
      </w:r>
      <w:r w:rsidRPr="0021270B">
        <w:rPr>
          <w:lang w:val="en-NZ"/>
        </w:rPr>
        <w:t xml:space="preserve"> satisfaction, </w:t>
      </w:r>
      <w:r w:rsidR="002534C7" w:rsidRPr="0021270B">
        <w:rPr>
          <w:lang w:val="en-NZ"/>
        </w:rPr>
        <w:t>officials</w:t>
      </w:r>
      <w:r w:rsidRPr="0021270B">
        <w:rPr>
          <w:lang w:val="en-NZ"/>
        </w:rPr>
        <w:t xml:space="preserve"> anticipate the usual post-enactment explanation of the rules in a Tax Information Bulletin (or by way of an earlier special report published upon enactment) should provide further clarification.  Inland Revenue is also making administrative efforts to communicate the effect of the proposed legislation to key stakeholder groups.  </w:t>
      </w:r>
      <w:r w:rsidR="002534C7" w:rsidRPr="0021270B">
        <w:rPr>
          <w:lang w:val="en-NZ"/>
        </w:rPr>
        <w:t>Officials</w:t>
      </w:r>
      <w:r w:rsidRPr="0021270B">
        <w:rPr>
          <w:lang w:val="en-NZ"/>
        </w:rPr>
        <w:t xml:space="preserve"> would also welcome direct contact from interested parties on any areas of particular concern.</w:t>
      </w:r>
    </w:p>
    <w:p w:rsidR="00BB795B" w:rsidRPr="0021270B" w:rsidRDefault="00BB795B" w:rsidP="00BB795B">
      <w:pPr>
        <w:rPr>
          <w:lang w:val="en-NZ"/>
        </w:rPr>
      </w:pPr>
    </w:p>
    <w:p w:rsidR="00BB795B" w:rsidRPr="0021270B" w:rsidRDefault="00BB795B" w:rsidP="00BB795B">
      <w:pPr>
        <w:keepNext/>
        <w:outlineLvl w:val="1"/>
        <w:rPr>
          <w:b/>
          <w:lang w:val="en-NZ"/>
        </w:rPr>
      </w:pPr>
      <w:r w:rsidRPr="0021270B">
        <w:rPr>
          <w:b/>
          <w:lang w:val="en-NZ"/>
        </w:rPr>
        <w:t>Recommendation</w:t>
      </w:r>
    </w:p>
    <w:p w:rsidR="00BB795B" w:rsidRPr="0021270B" w:rsidRDefault="00BB795B" w:rsidP="00BB795B">
      <w:pPr>
        <w:rPr>
          <w:lang w:val="en-NZ"/>
        </w:rPr>
      </w:pPr>
    </w:p>
    <w:p w:rsidR="00BB795B" w:rsidRPr="0021270B" w:rsidRDefault="00BB795B" w:rsidP="00BB795B">
      <w:pPr>
        <w:rPr>
          <w:lang w:val="en-NZ"/>
        </w:rPr>
      </w:pPr>
      <w:r w:rsidRPr="0021270B">
        <w:rPr>
          <w:lang w:val="en-NZ"/>
        </w:rPr>
        <w:t>That the submission be accepted.</w:t>
      </w:r>
    </w:p>
    <w:p w:rsidR="00BB795B" w:rsidRPr="0021270B" w:rsidRDefault="00BB795B" w:rsidP="00BB795B">
      <w:pPr>
        <w:pBdr>
          <w:bottom w:val="single" w:sz="4" w:space="1" w:color="auto"/>
        </w:pBdr>
        <w:rPr>
          <w:lang w:val="en-NZ"/>
        </w:rPr>
      </w:pPr>
    </w:p>
    <w:p w:rsidR="00E640A4" w:rsidRPr="0021270B" w:rsidRDefault="00E640A4" w:rsidP="00A047DE">
      <w:pPr>
        <w:rPr>
          <w:lang w:val="en-NZ"/>
        </w:rPr>
      </w:pPr>
    </w:p>
    <w:p w:rsidR="00A047DE" w:rsidRPr="0021270B" w:rsidRDefault="00A047DE" w:rsidP="00A047DE">
      <w:pPr>
        <w:rPr>
          <w:lang w:val="en-NZ"/>
        </w:rPr>
      </w:pPr>
    </w:p>
    <w:p w:rsidR="00A047DE" w:rsidRPr="0021270B" w:rsidRDefault="00A047DE" w:rsidP="009575F9">
      <w:pPr>
        <w:pStyle w:val="Heading5"/>
        <w:rPr>
          <w:lang w:val="en-NZ"/>
        </w:rPr>
      </w:pPr>
      <w:bookmarkStart w:id="23" w:name="_Toc212353886"/>
      <w:bookmarkStart w:id="24" w:name="_Toc427238217"/>
      <w:r w:rsidRPr="0021270B">
        <w:rPr>
          <w:lang w:val="en-NZ"/>
        </w:rPr>
        <w:t>Issue:</w:t>
      </w:r>
      <w:r w:rsidRPr="0021270B">
        <w:rPr>
          <w:lang w:val="en-NZ"/>
        </w:rPr>
        <w:tab/>
      </w:r>
      <w:bookmarkEnd w:id="23"/>
      <w:r w:rsidRPr="0021270B">
        <w:rPr>
          <w:lang w:val="en-NZ"/>
        </w:rPr>
        <w:t>Use of</w:t>
      </w:r>
      <w:r w:rsidR="005641C1">
        <w:rPr>
          <w:lang w:val="en-NZ"/>
        </w:rPr>
        <w:t xml:space="preserve"> “main home”</w:t>
      </w:r>
      <w:r w:rsidRPr="0021270B">
        <w:rPr>
          <w:lang w:val="en-NZ"/>
        </w:rPr>
        <w:t xml:space="preserve"> rather than existing definitions of residence</w:t>
      </w:r>
      <w:bookmarkEnd w:id="24"/>
    </w:p>
    <w:p w:rsidR="003F0684" w:rsidRPr="0021270B" w:rsidRDefault="003F0684" w:rsidP="003F0684">
      <w:pPr>
        <w:tabs>
          <w:tab w:val="left" w:pos="2625"/>
        </w:tabs>
        <w:rPr>
          <w:lang w:val="en-NZ"/>
        </w:rPr>
      </w:pPr>
    </w:p>
    <w:p w:rsidR="00A047DE" w:rsidRPr="0021270B" w:rsidRDefault="003F0684" w:rsidP="003F0684">
      <w:pPr>
        <w:tabs>
          <w:tab w:val="left" w:pos="2625"/>
        </w:tabs>
        <w:rPr>
          <w:lang w:val="en-NZ"/>
        </w:rPr>
      </w:pPr>
      <w:r w:rsidRPr="0021270B">
        <w:rPr>
          <w:lang w:val="en-NZ"/>
        </w:rPr>
        <w:tab/>
      </w:r>
    </w:p>
    <w:p w:rsidR="003F0684" w:rsidRPr="0021270B" w:rsidRDefault="003F0684" w:rsidP="003F0684">
      <w:pPr>
        <w:keepNext/>
        <w:outlineLvl w:val="1"/>
        <w:rPr>
          <w:b/>
          <w:lang w:val="en-NZ"/>
        </w:rPr>
      </w:pPr>
      <w:r w:rsidRPr="0021270B">
        <w:rPr>
          <w:b/>
          <w:lang w:val="en-NZ"/>
        </w:rPr>
        <w:t>Submission</w:t>
      </w:r>
    </w:p>
    <w:p w:rsidR="003F0684" w:rsidRPr="0021270B" w:rsidRDefault="003F0684" w:rsidP="003F0684">
      <w:pPr>
        <w:keepNext/>
        <w:outlineLvl w:val="3"/>
        <w:rPr>
          <w:i/>
          <w:lang w:val="en-NZ"/>
        </w:rPr>
      </w:pPr>
      <w:r w:rsidRPr="0021270B">
        <w:rPr>
          <w:i/>
          <w:lang w:val="en-NZ"/>
        </w:rPr>
        <w:t>(Auckland District Law Society, Chartered Accountants Australia and New Zealand, New Zealand Law Society)</w:t>
      </w:r>
    </w:p>
    <w:p w:rsidR="003F0684" w:rsidRPr="0021270B" w:rsidRDefault="003F0684" w:rsidP="003F0684">
      <w:pPr>
        <w:tabs>
          <w:tab w:val="left" w:pos="5295"/>
        </w:tabs>
        <w:rPr>
          <w:lang w:val="en-NZ"/>
        </w:rPr>
      </w:pPr>
    </w:p>
    <w:p w:rsidR="003F0684" w:rsidRPr="0021270B" w:rsidRDefault="003F0684" w:rsidP="003F0684">
      <w:pPr>
        <w:rPr>
          <w:lang w:val="en-NZ"/>
        </w:rPr>
      </w:pPr>
      <w:r w:rsidRPr="0021270B">
        <w:rPr>
          <w:lang w:val="en-NZ"/>
        </w:rPr>
        <w:t>There are existing terms used to define a pers</w:t>
      </w:r>
      <w:r w:rsidR="005641C1">
        <w:rPr>
          <w:lang w:val="en-NZ"/>
        </w:rPr>
        <w:t>on’s main residence such as “</w:t>
      </w:r>
      <w:r w:rsidRPr="0021270B">
        <w:rPr>
          <w:lang w:val="en-NZ"/>
        </w:rPr>
        <w:t>principal place of residence</w:t>
      </w:r>
      <w:r w:rsidR="005641C1">
        <w:rPr>
          <w:lang w:val="en-NZ"/>
        </w:rPr>
        <w:t>”</w:t>
      </w:r>
      <w:r w:rsidRPr="0021270B">
        <w:rPr>
          <w:lang w:val="en-NZ"/>
        </w:rPr>
        <w:t xml:space="preserve"> in the Goods and Services Tax Act 1985 or the concept of</w:t>
      </w:r>
      <w:r w:rsidR="005641C1">
        <w:rPr>
          <w:lang w:val="en-NZ"/>
        </w:rPr>
        <w:t xml:space="preserve"> “</w:t>
      </w:r>
      <w:r w:rsidRPr="0021270B">
        <w:rPr>
          <w:lang w:val="en-NZ"/>
        </w:rPr>
        <w:t>permanent place of abode</w:t>
      </w:r>
      <w:r w:rsidR="005641C1">
        <w:rPr>
          <w:lang w:val="en-NZ"/>
        </w:rPr>
        <w:t>”</w:t>
      </w:r>
      <w:r w:rsidRPr="0021270B">
        <w:rPr>
          <w:lang w:val="en-NZ"/>
        </w:rPr>
        <w:t xml:space="preserve"> or </w:t>
      </w:r>
      <w:r w:rsidR="005641C1">
        <w:rPr>
          <w:lang w:val="en-NZ"/>
        </w:rPr>
        <w:t>“</w:t>
      </w:r>
      <w:r w:rsidRPr="0021270B">
        <w:rPr>
          <w:lang w:val="en-NZ"/>
        </w:rPr>
        <w:t>habitual abode</w:t>
      </w:r>
      <w:r w:rsidR="005641C1">
        <w:rPr>
          <w:lang w:val="en-NZ"/>
        </w:rPr>
        <w:t>”</w:t>
      </w:r>
      <w:r w:rsidRPr="0021270B">
        <w:rPr>
          <w:lang w:val="en-NZ"/>
        </w:rPr>
        <w:t xml:space="preserve"> in </w:t>
      </w:r>
      <w:r w:rsidR="0061452C" w:rsidRPr="0021270B">
        <w:rPr>
          <w:lang w:val="en-NZ"/>
        </w:rPr>
        <w:t>d</w:t>
      </w:r>
      <w:r w:rsidRPr="0021270B">
        <w:rPr>
          <w:lang w:val="en-NZ"/>
        </w:rPr>
        <w:t xml:space="preserve">ouble </w:t>
      </w:r>
      <w:r w:rsidR="0061452C" w:rsidRPr="0021270B">
        <w:rPr>
          <w:lang w:val="en-NZ"/>
        </w:rPr>
        <w:t>t</w:t>
      </w:r>
      <w:r w:rsidRPr="0021270B">
        <w:rPr>
          <w:lang w:val="en-NZ"/>
        </w:rPr>
        <w:t xml:space="preserve">ax </w:t>
      </w:r>
      <w:r w:rsidR="0061452C" w:rsidRPr="0021270B">
        <w:rPr>
          <w:lang w:val="en-NZ"/>
        </w:rPr>
        <w:t>a</w:t>
      </w:r>
      <w:r w:rsidRPr="0021270B">
        <w:rPr>
          <w:lang w:val="en-NZ"/>
        </w:rPr>
        <w:t>greements.</w:t>
      </w:r>
    </w:p>
    <w:p w:rsidR="003F0684" w:rsidRPr="0021270B" w:rsidRDefault="003F0684" w:rsidP="003F0684">
      <w:pPr>
        <w:rPr>
          <w:lang w:val="en-NZ"/>
        </w:rPr>
      </w:pPr>
    </w:p>
    <w:p w:rsidR="003F0684" w:rsidRPr="0021270B" w:rsidRDefault="005641C1" w:rsidP="003F0684">
      <w:pPr>
        <w:rPr>
          <w:lang w:val="en-NZ"/>
        </w:rPr>
      </w:pPr>
      <w:r>
        <w:rPr>
          <w:lang w:val="en-NZ"/>
        </w:rPr>
        <w:t>Creating a new definition of “</w:t>
      </w:r>
      <w:r w:rsidR="003F0684" w:rsidRPr="0021270B">
        <w:rPr>
          <w:lang w:val="en-NZ"/>
        </w:rPr>
        <w:t>main home</w:t>
      </w:r>
      <w:r>
        <w:rPr>
          <w:lang w:val="en-NZ"/>
        </w:rPr>
        <w:t>”</w:t>
      </w:r>
      <w:r w:rsidR="003F0684" w:rsidRPr="0021270B">
        <w:rPr>
          <w:lang w:val="en-NZ"/>
        </w:rPr>
        <w:t xml:space="preserve"> creates uncertainty. Instead an existing definition should be used.</w:t>
      </w:r>
    </w:p>
    <w:p w:rsidR="003F0684" w:rsidRPr="0021270B" w:rsidRDefault="003F0684" w:rsidP="003F0684">
      <w:pPr>
        <w:rPr>
          <w:lang w:val="en-NZ"/>
        </w:rPr>
      </w:pPr>
    </w:p>
    <w:p w:rsidR="003F0684" w:rsidRPr="0021270B" w:rsidRDefault="003F0684" w:rsidP="003F0684">
      <w:pPr>
        <w:keepNext/>
        <w:outlineLvl w:val="1"/>
        <w:rPr>
          <w:b/>
          <w:lang w:val="en-NZ"/>
        </w:rPr>
      </w:pPr>
      <w:r w:rsidRPr="0021270B">
        <w:rPr>
          <w:b/>
          <w:lang w:val="en-NZ"/>
        </w:rPr>
        <w:t>Comment</w:t>
      </w:r>
    </w:p>
    <w:p w:rsidR="003F0684" w:rsidRPr="0021270B" w:rsidRDefault="003F0684" w:rsidP="003F0684">
      <w:pPr>
        <w:rPr>
          <w:lang w:val="en-NZ"/>
        </w:rPr>
      </w:pPr>
    </w:p>
    <w:p w:rsidR="003F0684" w:rsidRPr="0021270B" w:rsidRDefault="003F0684" w:rsidP="003F0684">
      <w:pPr>
        <w:rPr>
          <w:lang w:val="en-NZ"/>
        </w:rPr>
      </w:pPr>
      <w:r w:rsidRPr="0021270B">
        <w:rPr>
          <w:lang w:val="en-NZ"/>
        </w:rPr>
        <w:t xml:space="preserve">Officials consider it preferable to align the main home exemption with the current </w:t>
      </w:r>
      <w:r w:rsidR="000035B9" w:rsidRPr="0021270B">
        <w:rPr>
          <w:lang w:val="en-NZ"/>
        </w:rPr>
        <w:t xml:space="preserve">tax rules for </w:t>
      </w:r>
      <w:r w:rsidRPr="0021270B">
        <w:rPr>
          <w:lang w:val="en-NZ"/>
        </w:rPr>
        <w:t>land sale</w:t>
      </w:r>
      <w:r w:rsidR="000035B9" w:rsidRPr="0021270B">
        <w:rPr>
          <w:lang w:val="en-NZ"/>
        </w:rPr>
        <w:t>s</w:t>
      </w:r>
      <w:r w:rsidRPr="0021270B">
        <w:rPr>
          <w:lang w:val="en-NZ"/>
        </w:rPr>
        <w:t xml:space="preserve">. This ensures that a person </w:t>
      </w:r>
      <w:r w:rsidR="00A117A2" w:rsidRPr="0021270B">
        <w:rPr>
          <w:lang w:val="en-NZ"/>
        </w:rPr>
        <w:t xml:space="preserve">would </w:t>
      </w:r>
      <w:r w:rsidRPr="0021270B">
        <w:rPr>
          <w:lang w:val="en-NZ"/>
        </w:rPr>
        <w:t>only obtain the main home exemption where it is likely that the gains from the sale of the property will not be taxable.</w:t>
      </w:r>
    </w:p>
    <w:p w:rsidR="003F0684" w:rsidRPr="0021270B" w:rsidRDefault="003F0684" w:rsidP="003F0684">
      <w:pPr>
        <w:rPr>
          <w:lang w:val="en-NZ"/>
        </w:rPr>
      </w:pPr>
    </w:p>
    <w:p w:rsidR="003F0684" w:rsidRPr="0021270B" w:rsidRDefault="003F0684" w:rsidP="003F0684">
      <w:pPr>
        <w:rPr>
          <w:lang w:val="en-NZ"/>
        </w:rPr>
      </w:pPr>
      <w:r w:rsidRPr="0021270B">
        <w:rPr>
          <w:lang w:val="en-NZ"/>
        </w:rPr>
        <w:t xml:space="preserve">The two key requirements for the main home test (mainly used as a residence and greatest connection) are to some extent based </w:t>
      </w:r>
      <w:r w:rsidR="00A117A2" w:rsidRPr="0021270B">
        <w:rPr>
          <w:lang w:val="en-NZ"/>
        </w:rPr>
        <w:t xml:space="preserve">on </w:t>
      </w:r>
      <w:r w:rsidRPr="0021270B">
        <w:rPr>
          <w:lang w:val="en-NZ"/>
        </w:rPr>
        <w:t xml:space="preserve">existing tax rules. As a result, existing guidance on these provisions </w:t>
      </w:r>
      <w:r w:rsidR="00A117A2" w:rsidRPr="0021270B">
        <w:rPr>
          <w:lang w:val="en-NZ"/>
        </w:rPr>
        <w:t xml:space="preserve">could </w:t>
      </w:r>
      <w:r w:rsidRPr="0021270B">
        <w:rPr>
          <w:lang w:val="en-NZ"/>
        </w:rPr>
        <w:t>be used to assist in</w:t>
      </w:r>
      <w:r w:rsidR="00A117A2" w:rsidRPr="0021270B">
        <w:rPr>
          <w:lang w:val="en-NZ"/>
        </w:rPr>
        <w:t xml:space="preserve"> the</w:t>
      </w:r>
      <w:r w:rsidRPr="0021270B">
        <w:rPr>
          <w:lang w:val="en-NZ"/>
        </w:rPr>
        <w:t xml:space="preserve"> </w:t>
      </w:r>
      <w:r w:rsidR="00A117A2" w:rsidRPr="0021270B">
        <w:rPr>
          <w:lang w:val="en-NZ"/>
        </w:rPr>
        <w:t xml:space="preserve">application of </w:t>
      </w:r>
      <w:r w:rsidRPr="0021270B">
        <w:rPr>
          <w:lang w:val="en-NZ"/>
        </w:rPr>
        <w:t xml:space="preserve">the rules. </w:t>
      </w:r>
    </w:p>
    <w:p w:rsidR="003F0684" w:rsidRPr="0021270B" w:rsidRDefault="003F0684" w:rsidP="003F0684">
      <w:pPr>
        <w:rPr>
          <w:lang w:val="en-NZ"/>
        </w:rPr>
      </w:pPr>
    </w:p>
    <w:p w:rsidR="009023DD" w:rsidRDefault="009023DD">
      <w:pPr>
        <w:jc w:val="left"/>
        <w:rPr>
          <w:lang w:val="en-NZ"/>
        </w:rPr>
      </w:pPr>
      <w:r>
        <w:rPr>
          <w:lang w:val="en-NZ"/>
        </w:rPr>
        <w:br w:type="page"/>
      </w:r>
    </w:p>
    <w:p w:rsidR="003F0684" w:rsidRPr="0021270B" w:rsidRDefault="000035B9" w:rsidP="003F0684">
      <w:pPr>
        <w:rPr>
          <w:lang w:val="en-NZ"/>
        </w:rPr>
      </w:pPr>
      <w:r w:rsidRPr="0021270B">
        <w:rPr>
          <w:lang w:val="en-NZ"/>
        </w:rPr>
        <w:lastRenderedPageBreak/>
        <w:t xml:space="preserve">Officials </w:t>
      </w:r>
      <w:r w:rsidR="003F0684" w:rsidRPr="0021270B">
        <w:rPr>
          <w:lang w:val="en-NZ"/>
        </w:rPr>
        <w:t>consider in the majority of cases, these provisions w</w:t>
      </w:r>
      <w:r w:rsidR="00A117A2" w:rsidRPr="0021270B">
        <w:rPr>
          <w:lang w:val="en-NZ"/>
        </w:rPr>
        <w:t>ould</w:t>
      </w:r>
      <w:r w:rsidR="003F0684" w:rsidRPr="0021270B">
        <w:rPr>
          <w:lang w:val="en-NZ"/>
        </w:rPr>
        <w:t xml:space="preserve"> be simple to apply. </w:t>
      </w:r>
      <w:r w:rsidR="00530E92" w:rsidRPr="0021270B">
        <w:rPr>
          <w:lang w:val="en-NZ"/>
        </w:rPr>
        <w:t>When there are situations on the boundary, plain English guidance for buyers, sellers and conveyancers will be provided.</w:t>
      </w:r>
    </w:p>
    <w:p w:rsidR="004F169F" w:rsidRPr="0021270B" w:rsidRDefault="004F169F" w:rsidP="00A047DE">
      <w:pPr>
        <w:rPr>
          <w:lang w:val="en-NZ"/>
        </w:rPr>
      </w:pPr>
    </w:p>
    <w:p w:rsidR="003F0684" w:rsidRPr="0021270B" w:rsidRDefault="003F0684" w:rsidP="003F0684">
      <w:pPr>
        <w:keepNext/>
        <w:outlineLvl w:val="1"/>
        <w:rPr>
          <w:b/>
          <w:lang w:val="en-NZ"/>
        </w:rPr>
      </w:pPr>
      <w:r w:rsidRPr="0021270B">
        <w:rPr>
          <w:b/>
          <w:lang w:val="en-NZ"/>
        </w:rPr>
        <w:t>Recommendation</w:t>
      </w:r>
    </w:p>
    <w:p w:rsidR="003F0684" w:rsidRPr="0021270B" w:rsidRDefault="003F0684" w:rsidP="003F0684">
      <w:pPr>
        <w:tabs>
          <w:tab w:val="left" w:pos="2130"/>
        </w:tabs>
        <w:rPr>
          <w:lang w:val="en-NZ"/>
        </w:rPr>
      </w:pPr>
      <w:r w:rsidRPr="0021270B">
        <w:rPr>
          <w:lang w:val="en-NZ"/>
        </w:rPr>
        <w:tab/>
      </w:r>
    </w:p>
    <w:p w:rsidR="003F0684" w:rsidRPr="0021270B" w:rsidRDefault="003F0684" w:rsidP="003F0684">
      <w:pPr>
        <w:rPr>
          <w:lang w:val="en-NZ"/>
        </w:rPr>
      </w:pPr>
      <w:r w:rsidRPr="0021270B">
        <w:rPr>
          <w:lang w:val="en-NZ"/>
        </w:rPr>
        <w:t>That the submission be declined.</w:t>
      </w:r>
    </w:p>
    <w:p w:rsidR="00A047DE" w:rsidRPr="0021270B" w:rsidRDefault="00A047DE" w:rsidP="00A047DE">
      <w:pPr>
        <w:pBdr>
          <w:bottom w:val="single" w:sz="4" w:space="1" w:color="auto"/>
        </w:pBdr>
        <w:rPr>
          <w:lang w:val="en-NZ"/>
        </w:rPr>
      </w:pPr>
    </w:p>
    <w:p w:rsidR="00A047DE" w:rsidRPr="0021270B" w:rsidRDefault="00A047DE" w:rsidP="00A047DE"/>
    <w:p w:rsidR="00E640A4" w:rsidRPr="0021270B" w:rsidRDefault="00E640A4" w:rsidP="00A047DE"/>
    <w:p w:rsidR="00022CC8" w:rsidRPr="0021270B" w:rsidRDefault="00022CC8" w:rsidP="009575F9">
      <w:pPr>
        <w:pStyle w:val="Heading5"/>
        <w:rPr>
          <w:lang w:val="en-NZ"/>
        </w:rPr>
      </w:pPr>
      <w:bookmarkStart w:id="25" w:name="_Toc427238218"/>
      <w:r w:rsidRPr="0021270B">
        <w:rPr>
          <w:lang w:val="en-NZ"/>
        </w:rPr>
        <w:t>Issue:</w:t>
      </w:r>
      <w:r w:rsidRPr="0021270B">
        <w:rPr>
          <w:lang w:val="en-NZ"/>
        </w:rPr>
        <w:tab/>
        <w:t>Greatest connection</w:t>
      </w:r>
      <w:bookmarkEnd w:id="25"/>
    </w:p>
    <w:p w:rsidR="00022CC8" w:rsidRPr="0021270B" w:rsidRDefault="00022CC8" w:rsidP="00022CC8">
      <w:pPr>
        <w:rPr>
          <w:lang w:val="en-NZ"/>
        </w:rPr>
      </w:pPr>
    </w:p>
    <w:p w:rsidR="00022CC8" w:rsidRPr="0021270B" w:rsidRDefault="00022CC8" w:rsidP="00022CC8">
      <w:pPr>
        <w:rPr>
          <w:lang w:val="en-NZ"/>
        </w:rPr>
      </w:pPr>
    </w:p>
    <w:p w:rsidR="00022CC8" w:rsidRPr="0021270B" w:rsidRDefault="00022CC8" w:rsidP="00022CC8">
      <w:pPr>
        <w:keepNext/>
        <w:outlineLvl w:val="1"/>
        <w:rPr>
          <w:b/>
          <w:lang w:val="en-NZ"/>
        </w:rPr>
      </w:pPr>
      <w:r w:rsidRPr="0021270B">
        <w:rPr>
          <w:b/>
          <w:lang w:val="en-NZ"/>
        </w:rPr>
        <w:t>Submission</w:t>
      </w:r>
    </w:p>
    <w:p w:rsidR="00022CC8" w:rsidRPr="0021270B" w:rsidRDefault="00022CC8" w:rsidP="00022CC8">
      <w:pPr>
        <w:keepNext/>
        <w:outlineLvl w:val="3"/>
        <w:rPr>
          <w:i/>
          <w:lang w:val="en-NZ"/>
        </w:rPr>
      </w:pPr>
      <w:r w:rsidRPr="0021270B">
        <w:rPr>
          <w:i/>
          <w:lang w:val="en-NZ"/>
        </w:rPr>
        <w:t xml:space="preserve">(Auckland District Law Society, Chartered Accountants Australia and New Zealand, </w:t>
      </w:r>
      <w:r w:rsidR="002601EF" w:rsidRPr="0021270B">
        <w:rPr>
          <w:i/>
          <w:lang w:val="en-NZ"/>
        </w:rPr>
        <w:t>EY</w:t>
      </w:r>
      <w:r w:rsidRPr="0021270B">
        <w:rPr>
          <w:i/>
          <w:lang w:val="en-NZ"/>
        </w:rPr>
        <w:t xml:space="preserve">, </w:t>
      </w:r>
      <w:r w:rsidR="00822CAA" w:rsidRPr="0021270B">
        <w:rPr>
          <w:i/>
          <w:lang w:val="en-NZ"/>
        </w:rPr>
        <w:t xml:space="preserve">New Zealand Law Society, </w:t>
      </w:r>
      <w:r w:rsidRPr="0021270B">
        <w:rPr>
          <w:i/>
          <w:lang w:val="en-NZ"/>
        </w:rPr>
        <w:t>PricewaterhouseCoopers)</w:t>
      </w:r>
    </w:p>
    <w:p w:rsidR="00022CC8" w:rsidRPr="0021270B" w:rsidRDefault="00022CC8" w:rsidP="00022CC8">
      <w:pPr>
        <w:tabs>
          <w:tab w:val="left" w:pos="5295"/>
        </w:tabs>
        <w:rPr>
          <w:lang w:val="en-NZ"/>
        </w:rPr>
      </w:pPr>
    </w:p>
    <w:p w:rsidR="00022CC8" w:rsidRPr="0021270B" w:rsidRDefault="00022CC8" w:rsidP="00022CC8">
      <w:pPr>
        <w:rPr>
          <w:lang w:val="en-NZ"/>
        </w:rPr>
      </w:pPr>
      <w:r w:rsidRPr="0021270B">
        <w:rPr>
          <w:lang w:val="en-NZ"/>
        </w:rPr>
        <w:t>A person</w:t>
      </w:r>
      <w:r w:rsidR="005641C1">
        <w:rPr>
          <w:lang w:val="en-NZ"/>
        </w:rPr>
        <w:t>’s “</w:t>
      </w:r>
      <w:r w:rsidRPr="0021270B">
        <w:rPr>
          <w:lang w:val="en-NZ"/>
        </w:rPr>
        <w:t>main home</w:t>
      </w:r>
      <w:r w:rsidR="005641C1">
        <w:rPr>
          <w:lang w:val="en-NZ"/>
        </w:rPr>
        <w:t>”</w:t>
      </w:r>
      <w:r w:rsidRPr="0021270B">
        <w:rPr>
          <w:lang w:val="en-NZ"/>
        </w:rPr>
        <w:t xml:space="preserve"> is the “1 home with which the person has the greatest connection”. The concept of a “greatest connection” is imprecise and greater clarity is needed.</w:t>
      </w:r>
    </w:p>
    <w:p w:rsidR="00022CC8" w:rsidRPr="0021270B" w:rsidRDefault="00022CC8" w:rsidP="00022CC8">
      <w:pPr>
        <w:rPr>
          <w:lang w:val="en-NZ"/>
        </w:rPr>
      </w:pPr>
    </w:p>
    <w:p w:rsidR="00022CC8" w:rsidRPr="0021270B" w:rsidRDefault="00A117A2" w:rsidP="00022CC8">
      <w:pPr>
        <w:rPr>
          <w:lang w:val="en-NZ"/>
        </w:rPr>
      </w:pPr>
      <w:r w:rsidRPr="0021270B">
        <w:rPr>
          <w:lang w:val="en-NZ"/>
        </w:rPr>
        <w:t>It</w:t>
      </w:r>
      <w:r w:rsidR="00022CC8" w:rsidRPr="0021270B">
        <w:rPr>
          <w:lang w:val="en-NZ"/>
        </w:rPr>
        <w:t xml:space="preserve"> should be sufficient that the home is the one home used by the person mainly as a residence, regardless of whether they subjectively have the “greatest connection” to it.</w:t>
      </w:r>
      <w:r w:rsidRPr="0021270B">
        <w:rPr>
          <w:i/>
          <w:lang w:val="en-NZ"/>
        </w:rPr>
        <w:t xml:space="preserve"> (New Zealand Law Society)</w:t>
      </w:r>
    </w:p>
    <w:p w:rsidR="00022CC8" w:rsidRPr="0021270B" w:rsidRDefault="00022CC8" w:rsidP="00022CC8">
      <w:pPr>
        <w:rPr>
          <w:lang w:val="en-NZ"/>
        </w:rPr>
      </w:pPr>
    </w:p>
    <w:p w:rsidR="00022CC8" w:rsidRPr="0021270B" w:rsidRDefault="00A117A2" w:rsidP="00022CC8">
      <w:pPr>
        <w:rPr>
          <w:lang w:val="en-NZ"/>
        </w:rPr>
      </w:pPr>
      <w:r w:rsidRPr="0021270B">
        <w:rPr>
          <w:lang w:val="en-NZ"/>
        </w:rPr>
        <w:t>C</w:t>
      </w:r>
      <w:r w:rsidR="00022CC8" w:rsidRPr="0021270B">
        <w:rPr>
          <w:lang w:val="en-NZ"/>
        </w:rPr>
        <w:t>omprehensive guidance should be provided as to how it should apply.</w:t>
      </w:r>
      <w:r w:rsidRPr="0021270B">
        <w:rPr>
          <w:lang w:val="en-NZ"/>
        </w:rPr>
        <w:t xml:space="preserve"> </w:t>
      </w:r>
      <w:r w:rsidRPr="0021270B">
        <w:rPr>
          <w:i/>
          <w:lang w:val="en-NZ"/>
        </w:rPr>
        <w:t>(Chartered Accountants Australia and New Zealand)</w:t>
      </w:r>
    </w:p>
    <w:p w:rsidR="00022CC8" w:rsidRPr="0021270B" w:rsidRDefault="00022CC8" w:rsidP="00022CC8">
      <w:pPr>
        <w:rPr>
          <w:lang w:val="en-NZ"/>
        </w:rPr>
      </w:pPr>
    </w:p>
    <w:p w:rsidR="00022CC8" w:rsidRPr="0021270B" w:rsidRDefault="00A117A2" w:rsidP="00022CC8">
      <w:pPr>
        <w:rPr>
          <w:lang w:val="en-NZ"/>
        </w:rPr>
      </w:pPr>
      <w:r w:rsidRPr="0021270B">
        <w:rPr>
          <w:lang w:val="en-NZ"/>
        </w:rPr>
        <w:t>W</w:t>
      </w:r>
      <w:r w:rsidR="00022CC8" w:rsidRPr="0021270B">
        <w:rPr>
          <w:lang w:val="en-NZ"/>
        </w:rPr>
        <w:t>hat factors are relevant in determining a person</w:t>
      </w:r>
      <w:r w:rsidR="005641C1">
        <w:rPr>
          <w:lang w:val="en-NZ"/>
        </w:rPr>
        <w:t>’</w:t>
      </w:r>
      <w:r w:rsidR="00022CC8" w:rsidRPr="0021270B">
        <w:rPr>
          <w:lang w:val="en-NZ"/>
        </w:rPr>
        <w:t xml:space="preserve">s “greatest connection” should be listed in the legislation. </w:t>
      </w:r>
      <w:r w:rsidRPr="0021270B">
        <w:rPr>
          <w:i/>
          <w:lang w:val="en-NZ"/>
        </w:rPr>
        <w:t>(Auckland District Law Society)</w:t>
      </w:r>
    </w:p>
    <w:p w:rsidR="00022CC8" w:rsidRPr="0021270B" w:rsidRDefault="00022CC8" w:rsidP="00022CC8">
      <w:pPr>
        <w:rPr>
          <w:lang w:val="en-NZ"/>
        </w:rPr>
      </w:pPr>
    </w:p>
    <w:p w:rsidR="00022CC8" w:rsidRPr="0021270B" w:rsidRDefault="005641C1" w:rsidP="00022CC8">
      <w:pPr>
        <w:rPr>
          <w:i/>
          <w:lang w:val="en-NZ"/>
        </w:rPr>
      </w:pPr>
      <w:r>
        <w:rPr>
          <w:lang w:val="en-NZ"/>
        </w:rPr>
        <w:t>“</w:t>
      </w:r>
      <w:r w:rsidR="00A117A2" w:rsidRPr="0021270B">
        <w:rPr>
          <w:lang w:val="en-NZ"/>
        </w:rPr>
        <w:t>G</w:t>
      </w:r>
      <w:r w:rsidR="00022CC8" w:rsidRPr="0021270B">
        <w:rPr>
          <w:lang w:val="en-NZ"/>
        </w:rPr>
        <w:t>reatest connection</w:t>
      </w:r>
      <w:r>
        <w:rPr>
          <w:lang w:val="en-NZ"/>
        </w:rPr>
        <w:t>”</w:t>
      </w:r>
      <w:r w:rsidR="00022CC8" w:rsidRPr="0021270B">
        <w:rPr>
          <w:lang w:val="en-NZ"/>
        </w:rPr>
        <w:t xml:space="preserve"> is not used in New Zealand revenue legislation. </w:t>
      </w:r>
      <w:r w:rsidR="00A117A2" w:rsidRPr="0021270B">
        <w:rPr>
          <w:lang w:val="en-NZ"/>
        </w:rPr>
        <w:t>It</w:t>
      </w:r>
      <w:r>
        <w:rPr>
          <w:lang w:val="en-NZ"/>
        </w:rPr>
        <w:t xml:space="preserve"> is unclear how the “</w:t>
      </w:r>
      <w:r w:rsidR="00022CC8" w:rsidRPr="0021270B">
        <w:rPr>
          <w:lang w:val="en-NZ"/>
        </w:rPr>
        <w:t>permanent place of abode</w:t>
      </w:r>
      <w:r>
        <w:rPr>
          <w:lang w:val="en-NZ"/>
        </w:rPr>
        <w:t>”</w:t>
      </w:r>
      <w:r w:rsidR="00022CC8" w:rsidRPr="0021270B">
        <w:rPr>
          <w:lang w:val="en-NZ"/>
        </w:rPr>
        <w:t xml:space="preserve"> </w:t>
      </w:r>
      <w:proofErr w:type="gramStart"/>
      <w:r w:rsidR="00022CC8" w:rsidRPr="0021270B">
        <w:rPr>
          <w:lang w:val="en-NZ"/>
        </w:rPr>
        <w:t>test</w:t>
      </w:r>
      <w:proofErr w:type="gramEnd"/>
      <w:r w:rsidR="00022CC8" w:rsidRPr="0021270B">
        <w:rPr>
          <w:lang w:val="en-NZ"/>
        </w:rPr>
        <w:t>, that it appears to be trying to replicate, is applicable as a</w:t>
      </w:r>
      <w:r>
        <w:rPr>
          <w:lang w:val="en-NZ"/>
        </w:rPr>
        <w:t xml:space="preserve"> person can have more than one “</w:t>
      </w:r>
      <w:r w:rsidR="00022CC8" w:rsidRPr="0021270B">
        <w:rPr>
          <w:lang w:val="en-NZ"/>
        </w:rPr>
        <w:t>permanent place of abode</w:t>
      </w:r>
      <w:r>
        <w:rPr>
          <w:lang w:val="en-NZ"/>
        </w:rPr>
        <w:t>”</w:t>
      </w:r>
      <w:r w:rsidR="00022CC8" w:rsidRPr="0021270B">
        <w:rPr>
          <w:lang w:val="en-NZ"/>
        </w:rPr>
        <w:t>.</w:t>
      </w:r>
      <w:r w:rsidR="00A117A2" w:rsidRPr="0021270B">
        <w:rPr>
          <w:lang w:val="en-NZ"/>
        </w:rPr>
        <w:t xml:space="preserve"> </w:t>
      </w:r>
      <w:r w:rsidR="00A117A2" w:rsidRPr="0021270B">
        <w:rPr>
          <w:i/>
          <w:lang w:val="en-NZ"/>
        </w:rPr>
        <w:t>(EY)</w:t>
      </w:r>
    </w:p>
    <w:p w:rsidR="00022CC8" w:rsidRPr="0021270B" w:rsidRDefault="00022CC8" w:rsidP="00022CC8">
      <w:pPr>
        <w:rPr>
          <w:lang w:val="en-NZ"/>
        </w:rPr>
      </w:pPr>
    </w:p>
    <w:p w:rsidR="00022CC8" w:rsidRPr="0021270B" w:rsidRDefault="00822CAA" w:rsidP="00022CC8">
      <w:pPr>
        <w:rPr>
          <w:lang w:val="en-NZ"/>
        </w:rPr>
      </w:pPr>
      <w:r w:rsidRPr="0021270B">
        <w:rPr>
          <w:lang w:val="en-NZ"/>
        </w:rPr>
        <w:t xml:space="preserve">Some </w:t>
      </w:r>
      <w:r w:rsidR="00022CC8" w:rsidRPr="0021270B">
        <w:rPr>
          <w:lang w:val="en-NZ"/>
        </w:rPr>
        <w:t>common examples would be useful to illustrate the concept of “greatest connection”.</w:t>
      </w:r>
      <w:r w:rsidRPr="0021270B">
        <w:rPr>
          <w:lang w:val="en-NZ"/>
        </w:rPr>
        <w:t xml:space="preserve"> </w:t>
      </w:r>
      <w:r w:rsidRPr="0021270B">
        <w:rPr>
          <w:i/>
          <w:lang w:val="en-NZ"/>
        </w:rPr>
        <w:t>(PricewaterhouseCoopers)</w:t>
      </w:r>
    </w:p>
    <w:p w:rsidR="00022CC8" w:rsidRPr="0021270B" w:rsidRDefault="00022CC8" w:rsidP="00022CC8">
      <w:pPr>
        <w:rPr>
          <w:lang w:val="en-NZ"/>
        </w:rPr>
      </w:pPr>
    </w:p>
    <w:p w:rsidR="00022CC8" w:rsidRPr="0021270B" w:rsidRDefault="00022CC8" w:rsidP="00022CC8">
      <w:pPr>
        <w:keepNext/>
        <w:outlineLvl w:val="1"/>
        <w:rPr>
          <w:b/>
          <w:lang w:val="en-NZ"/>
        </w:rPr>
      </w:pPr>
      <w:r w:rsidRPr="0021270B">
        <w:rPr>
          <w:b/>
          <w:lang w:val="en-NZ"/>
        </w:rPr>
        <w:t>Comment</w:t>
      </w:r>
    </w:p>
    <w:p w:rsidR="00022CC8" w:rsidRPr="0021270B" w:rsidRDefault="00022CC8" w:rsidP="00022CC8">
      <w:pPr>
        <w:rPr>
          <w:lang w:val="en-NZ"/>
        </w:rPr>
      </w:pPr>
    </w:p>
    <w:p w:rsidR="009575F9" w:rsidRPr="0021270B" w:rsidRDefault="00C46429" w:rsidP="00022CC8">
      <w:pPr>
        <w:rPr>
          <w:lang w:val="en-NZ"/>
        </w:rPr>
      </w:pPr>
      <w:r w:rsidRPr="0021270B">
        <w:rPr>
          <w:lang w:val="en-NZ"/>
        </w:rPr>
        <w:t xml:space="preserve">The </w:t>
      </w:r>
      <w:r w:rsidR="009575F9" w:rsidRPr="0021270B">
        <w:rPr>
          <w:lang w:val="en-NZ"/>
        </w:rPr>
        <w:t>definition of “main home” must broadly align with the defi</w:t>
      </w:r>
      <w:r w:rsidR="00B34BD1" w:rsidRPr="0021270B">
        <w:rPr>
          <w:lang w:val="en-NZ"/>
        </w:rPr>
        <w:t>nition to be used in the bright-</w:t>
      </w:r>
      <w:r w:rsidR="009575F9" w:rsidRPr="0021270B">
        <w:rPr>
          <w:lang w:val="en-NZ"/>
        </w:rPr>
        <w:t>line test, so that people understand what their tax obligations are likely to be now, and so that the right information is gathered as part of this process.</w:t>
      </w:r>
      <w:r w:rsidR="009575F9" w:rsidRPr="0021270B">
        <w:rPr>
          <w:lang w:val="en-NZ"/>
        </w:rPr>
        <w:br/>
      </w:r>
    </w:p>
    <w:p w:rsidR="009575F9" w:rsidRPr="0021270B" w:rsidRDefault="009575F9" w:rsidP="00022CC8">
      <w:pPr>
        <w:rPr>
          <w:lang w:val="en-NZ"/>
        </w:rPr>
      </w:pPr>
      <w:r w:rsidRPr="0021270B">
        <w:rPr>
          <w:lang w:val="en-NZ"/>
        </w:rPr>
        <w:t>The core of the definition is “the 1 home that is mainly used as a residence”.</w:t>
      </w:r>
    </w:p>
    <w:p w:rsidR="00022CC8" w:rsidRPr="0021270B" w:rsidRDefault="009575F9" w:rsidP="00022CC8">
      <w:pPr>
        <w:rPr>
          <w:lang w:val="en-NZ"/>
        </w:rPr>
      </w:pPr>
      <w:r w:rsidRPr="0021270B">
        <w:rPr>
          <w:lang w:val="en-NZ"/>
        </w:rPr>
        <w:br/>
      </w:r>
      <w:r w:rsidR="00022CC8" w:rsidRPr="0021270B">
        <w:rPr>
          <w:lang w:val="en-NZ"/>
        </w:rPr>
        <w:t>The “greatest connection” requirement is</w:t>
      </w:r>
      <w:r w:rsidRPr="0021270B">
        <w:rPr>
          <w:lang w:val="en-NZ"/>
        </w:rPr>
        <w:t xml:space="preserve"> only</w:t>
      </w:r>
      <w:r w:rsidR="00022CC8" w:rsidRPr="0021270B">
        <w:rPr>
          <w:lang w:val="en-NZ"/>
        </w:rPr>
        <w:t xml:space="preserve"> necessary to determine which home obtains the main home exemption in circumstances where a person has multiple homes. The greatest connection requirement</w:t>
      </w:r>
      <w:r w:rsidRPr="0021270B">
        <w:rPr>
          <w:lang w:val="en-NZ"/>
        </w:rPr>
        <w:t xml:space="preserve"> therefore</w:t>
      </w:r>
      <w:r w:rsidR="00022CC8" w:rsidRPr="0021270B">
        <w:rPr>
          <w:lang w:val="en-NZ"/>
        </w:rPr>
        <w:t xml:space="preserve"> operates only as a tie-breaker where a person has more than one home.</w:t>
      </w:r>
    </w:p>
    <w:p w:rsidR="00022CC8" w:rsidRPr="0021270B" w:rsidRDefault="00022CC8" w:rsidP="00022CC8">
      <w:pPr>
        <w:rPr>
          <w:lang w:val="en-NZ"/>
        </w:rPr>
      </w:pPr>
    </w:p>
    <w:p w:rsidR="009575F9" w:rsidRPr="0021270B" w:rsidRDefault="009575F9" w:rsidP="00022CC8">
      <w:pPr>
        <w:rPr>
          <w:lang w:val="en-NZ"/>
        </w:rPr>
      </w:pPr>
      <w:r w:rsidRPr="0021270B">
        <w:rPr>
          <w:lang w:val="en-NZ"/>
        </w:rPr>
        <w:lastRenderedPageBreak/>
        <w:t>Officials consider in the majority of cases, these provisions would be simple to apply. When there are situations on the boundary, plain English guidance for buyers, sellers and conveyancers will be provided.</w:t>
      </w:r>
    </w:p>
    <w:p w:rsidR="00022CC8" w:rsidRPr="0021270B" w:rsidRDefault="00022CC8" w:rsidP="00022CC8">
      <w:pPr>
        <w:rPr>
          <w:lang w:val="en-NZ"/>
        </w:rPr>
      </w:pPr>
    </w:p>
    <w:p w:rsidR="00022CC8" w:rsidRPr="0021270B" w:rsidRDefault="00022CC8" w:rsidP="00022CC8">
      <w:pPr>
        <w:keepNext/>
        <w:outlineLvl w:val="1"/>
        <w:rPr>
          <w:b/>
          <w:lang w:val="en-NZ"/>
        </w:rPr>
      </w:pPr>
      <w:r w:rsidRPr="0021270B">
        <w:rPr>
          <w:b/>
          <w:lang w:val="en-NZ"/>
        </w:rPr>
        <w:t>Recommendation</w:t>
      </w:r>
    </w:p>
    <w:p w:rsidR="00022CC8" w:rsidRPr="0021270B" w:rsidRDefault="00022CC8" w:rsidP="00022CC8">
      <w:pPr>
        <w:rPr>
          <w:lang w:val="en-NZ"/>
        </w:rPr>
      </w:pPr>
    </w:p>
    <w:p w:rsidR="00022CC8" w:rsidRPr="0021270B" w:rsidRDefault="00022CC8" w:rsidP="00022CC8">
      <w:pPr>
        <w:rPr>
          <w:lang w:val="en-NZ"/>
        </w:rPr>
      </w:pPr>
      <w:r w:rsidRPr="0021270B">
        <w:rPr>
          <w:lang w:val="en-NZ"/>
        </w:rPr>
        <w:t>That the submission</w:t>
      </w:r>
      <w:r w:rsidR="00822CAA" w:rsidRPr="0021270B">
        <w:rPr>
          <w:lang w:val="en-NZ"/>
        </w:rPr>
        <w:t>s</w:t>
      </w:r>
      <w:r w:rsidRPr="0021270B">
        <w:rPr>
          <w:lang w:val="en-NZ"/>
        </w:rPr>
        <w:t xml:space="preserve"> be declined.</w:t>
      </w:r>
    </w:p>
    <w:p w:rsidR="00A047DE" w:rsidRPr="0021270B" w:rsidRDefault="00A047DE" w:rsidP="00A047DE">
      <w:pPr>
        <w:pBdr>
          <w:bottom w:val="single" w:sz="4" w:space="1" w:color="auto"/>
        </w:pBdr>
        <w:rPr>
          <w:lang w:val="en-NZ"/>
        </w:rPr>
      </w:pPr>
    </w:p>
    <w:p w:rsidR="00A047DE" w:rsidRPr="0021270B" w:rsidRDefault="00A047DE" w:rsidP="00A047DE"/>
    <w:p w:rsidR="00E640A4" w:rsidRPr="0021270B" w:rsidRDefault="00E640A4" w:rsidP="00A047DE"/>
    <w:p w:rsidR="00022CC8" w:rsidRPr="0021270B" w:rsidRDefault="005641C1" w:rsidP="009575F9">
      <w:pPr>
        <w:pStyle w:val="Heading5"/>
        <w:rPr>
          <w:lang w:val="en-NZ"/>
        </w:rPr>
      </w:pPr>
      <w:bookmarkStart w:id="26" w:name="_Toc427238219"/>
      <w:r>
        <w:rPr>
          <w:lang w:val="en-NZ"/>
        </w:rPr>
        <w:t>Issue:</w:t>
      </w:r>
      <w:r>
        <w:rPr>
          <w:lang w:val="en-NZ"/>
        </w:rPr>
        <w:tab/>
        <w:t>Time “</w:t>
      </w:r>
      <w:r w:rsidR="00022CC8" w:rsidRPr="0021270B">
        <w:rPr>
          <w:lang w:val="en-NZ"/>
        </w:rPr>
        <w:t>main home</w:t>
      </w:r>
      <w:r>
        <w:rPr>
          <w:lang w:val="en-NZ"/>
        </w:rPr>
        <w:t>”</w:t>
      </w:r>
      <w:r w:rsidR="00022CC8" w:rsidRPr="0021270B">
        <w:rPr>
          <w:lang w:val="en-NZ"/>
        </w:rPr>
        <w:t xml:space="preserve"> determined</w:t>
      </w:r>
      <w:bookmarkEnd w:id="26"/>
    </w:p>
    <w:p w:rsidR="00022CC8" w:rsidRPr="0021270B" w:rsidRDefault="00022CC8" w:rsidP="00022CC8">
      <w:pPr>
        <w:rPr>
          <w:lang w:val="en-NZ"/>
        </w:rPr>
      </w:pPr>
    </w:p>
    <w:p w:rsidR="00022CC8" w:rsidRPr="0021270B" w:rsidRDefault="00022CC8" w:rsidP="00022CC8">
      <w:pPr>
        <w:rPr>
          <w:lang w:val="en-NZ"/>
        </w:rPr>
      </w:pPr>
    </w:p>
    <w:p w:rsidR="00022CC8" w:rsidRPr="0021270B" w:rsidRDefault="00022CC8" w:rsidP="00022CC8">
      <w:pPr>
        <w:keepNext/>
        <w:outlineLvl w:val="1"/>
        <w:rPr>
          <w:b/>
          <w:lang w:val="en-NZ"/>
        </w:rPr>
      </w:pPr>
      <w:r w:rsidRPr="0021270B">
        <w:rPr>
          <w:b/>
          <w:lang w:val="en-NZ"/>
        </w:rPr>
        <w:t>Submission</w:t>
      </w:r>
    </w:p>
    <w:p w:rsidR="00022CC8" w:rsidRPr="0021270B" w:rsidRDefault="00022CC8" w:rsidP="00022CC8">
      <w:pPr>
        <w:keepNext/>
        <w:outlineLvl w:val="3"/>
        <w:rPr>
          <w:i/>
          <w:lang w:val="en-NZ"/>
        </w:rPr>
      </w:pPr>
      <w:r w:rsidRPr="0021270B">
        <w:rPr>
          <w:i/>
          <w:lang w:val="en-NZ"/>
        </w:rPr>
        <w:t>(Chartered Accountants Australia and New Zealand)</w:t>
      </w:r>
    </w:p>
    <w:p w:rsidR="00022CC8" w:rsidRPr="0021270B" w:rsidRDefault="00022CC8" w:rsidP="00022CC8">
      <w:pPr>
        <w:tabs>
          <w:tab w:val="left" w:pos="5295"/>
        </w:tabs>
        <w:rPr>
          <w:lang w:val="en-NZ"/>
        </w:rPr>
      </w:pPr>
    </w:p>
    <w:p w:rsidR="00022CC8" w:rsidRPr="0021270B" w:rsidRDefault="00022CC8" w:rsidP="00022CC8">
      <w:pPr>
        <w:rPr>
          <w:lang w:val="en-NZ"/>
        </w:rPr>
      </w:pPr>
      <w:r w:rsidRPr="0021270B">
        <w:rPr>
          <w:lang w:val="en-NZ"/>
        </w:rPr>
        <w:t>It is unclear when</w:t>
      </w:r>
      <w:r w:rsidR="005641C1">
        <w:rPr>
          <w:lang w:val="en-NZ"/>
        </w:rPr>
        <w:t xml:space="preserve"> a person needs to satisfy the “</w:t>
      </w:r>
      <w:r w:rsidRPr="0021270B">
        <w:rPr>
          <w:lang w:val="en-NZ"/>
        </w:rPr>
        <w:t>main home</w:t>
      </w:r>
      <w:r w:rsidR="005641C1">
        <w:rPr>
          <w:lang w:val="en-NZ"/>
        </w:rPr>
        <w:t>”</w:t>
      </w:r>
      <w:r w:rsidRPr="0021270B">
        <w:rPr>
          <w:lang w:val="en-NZ"/>
        </w:rPr>
        <w:t xml:space="preserve"> requirement in order to obtain the main home exemption from providing an IRD number. The current drafting creates uncertainty where a person moves out of their home for a short period prior to transferring it.</w:t>
      </w:r>
    </w:p>
    <w:p w:rsidR="00022CC8" w:rsidRPr="0021270B" w:rsidRDefault="00022CC8" w:rsidP="00022CC8">
      <w:pPr>
        <w:rPr>
          <w:lang w:val="en-NZ"/>
        </w:rPr>
      </w:pPr>
    </w:p>
    <w:p w:rsidR="00022CC8" w:rsidRPr="0021270B" w:rsidRDefault="00022CC8" w:rsidP="00022CC8">
      <w:pPr>
        <w:keepNext/>
        <w:outlineLvl w:val="1"/>
        <w:rPr>
          <w:b/>
          <w:lang w:val="en-NZ"/>
        </w:rPr>
      </w:pPr>
      <w:r w:rsidRPr="0021270B">
        <w:rPr>
          <w:b/>
          <w:lang w:val="en-NZ"/>
        </w:rPr>
        <w:t>Comment</w:t>
      </w:r>
    </w:p>
    <w:p w:rsidR="00022CC8" w:rsidRPr="0021270B" w:rsidRDefault="00022CC8" w:rsidP="00022CC8">
      <w:pPr>
        <w:rPr>
          <w:lang w:val="en-NZ"/>
        </w:rPr>
      </w:pPr>
    </w:p>
    <w:p w:rsidR="00022CC8" w:rsidRPr="0021270B" w:rsidRDefault="00022CC8" w:rsidP="009575F9">
      <w:pPr>
        <w:rPr>
          <w:lang w:val="en-NZ"/>
        </w:rPr>
      </w:pPr>
      <w:r w:rsidRPr="0021270B">
        <w:rPr>
          <w:lang w:val="en-NZ"/>
        </w:rPr>
        <w:t>It is intended that the main home exemption appl</w:t>
      </w:r>
      <w:r w:rsidR="00D347DB" w:rsidRPr="0021270B">
        <w:rPr>
          <w:lang w:val="en-NZ"/>
        </w:rPr>
        <w:t>ies</w:t>
      </w:r>
      <w:r w:rsidRPr="0021270B">
        <w:rPr>
          <w:lang w:val="en-NZ"/>
        </w:rPr>
        <w:t xml:space="preserve"> where the person </w:t>
      </w:r>
      <w:r w:rsidR="009575F9" w:rsidRPr="0021270B">
        <w:rPr>
          <w:lang w:val="en-NZ"/>
        </w:rPr>
        <w:t xml:space="preserve">did use or intended to use </w:t>
      </w:r>
      <w:r w:rsidRPr="0021270B">
        <w:rPr>
          <w:lang w:val="en-NZ"/>
        </w:rPr>
        <w:t>it as their main home</w:t>
      </w:r>
      <w:r w:rsidR="009575F9" w:rsidRPr="0021270B">
        <w:rPr>
          <w:lang w:val="en-NZ"/>
        </w:rPr>
        <w:t xml:space="preserve">. The exemption would still apply </w:t>
      </w:r>
      <w:r w:rsidR="009A0F5B" w:rsidRPr="0021270B">
        <w:rPr>
          <w:lang w:val="en-NZ"/>
        </w:rPr>
        <w:t>whe</w:t>
      </w:r>
      <w:r w:rsidR="00822CAA" w:rsidRPr="0021270B">
        <w:rPr>
          <w:lang w:val="en-NZ"/>
        </w:rPr>
        <w:t>n</w:t>
      </w:r>
      <w:r w:rsidR="009A0F5B" w:rsidRPr="0021270B">
        <w:rPr>
          <w:lang w:val="en-NZ"/>
        </w:rPr>
        <w:t xml:space="preserve"> a person</w:t>
      </w:r>
      <w:r w:rsidRPr="0021270B">
        <w:rPr>
          <w:lang w:val="en-NZ"/>
        </w:rPr>
        <w:t xml:space="preserve"> moves out of their home shortly before selling it.</w:t>
      </w:r>
    </w:p>
    <w:p w:rsidR="00366522" w:rsidRPr="0021270B" w:rsidRDefault="00366522" w:rsidP="00022CC8">
      <w:pPr>
        <w:rPr>
          <w:lang w:val="en-NZ"/>
        </w:rPr>
      </w:pPr>
    </w:p>
    <w:p w:rsidR="00366522" w:rsidRPr="0021270B" w:rsidRDefault="00366522" w:rsidP="00022CC8">
      <w:pPr>
        <w:rPr>
          <w:lang w:val="en-NZ"/>
        </w:rPr>
      </w:pPr>
      <w:r w:rsidRPr="0021270B">
        <w:rPr>
          <w:lang w:val="en-NZ"/>
        </w:rPr>
        <w:t>Officials consider that the current drafting</w:t>
      </w:r>
      <w:r w:rsidR="00822CAA" w:rsidRPr="0021270B">
        <w:rPr>
          <w:lang w:val="en-NZ"/>
        </w:rPr>
        <w:t xml:space="preserve"> </w:t>
      </w:r>
      <w:r w:rsidR="007E03E7" w:rsidRPr="0021270B">
        <w:rPr>
          <w:lang w:val="en-NZ"/>
        </w:rPr>
        <w:t>achieve</w:t>
      </w:r>
      <w:r w:rsidR="005925BF" w:rsidRPr="0021270B">
        <w:rPr>
          <w:lang w:val="en-NZ"/>
        </w:rPr>
        <w:t>s</w:t>
      </w:r>
      <w:r w:rsidR="007E03E7" w:rsidRPr="0021270B">
        <w:rPr>
          <w:lang w:val="en-NZ"/>
        </w:rPr>
        <w:t xml:space="preserve"> this outcome.</w:t>
      </w:r>
    </w:p>
    <w:p w:rsidR="00022CC8" w:rsidRPr="0021270B" w:rsidRDefault="00022CC8" w:rsidP="00022CC8">
      <w:pPr>
        <w:rPr>
          <w:lang w:val="en-NZ"/>
        </w:rPr>
      </w:pPr>
    </w:p>
    <w:p w:rsidR="00022CC8" w:rsidRPr="0021270B" w:rsidRDefault="00022CC8" w:rsidP="00022CC8">
      <w:pPr>
        <w:keepNext/>
        <w:outlineLvl w:val="1"/>
        <w:rPr>
          <w:b/>
          <w:lang w:val="en-NZ"/>
        </w:rPr>
      </w:pPr>
      <w:r w:rsidRPr="0021270B">
        <w:rPr>
          <w:b/>
          <w:lang w:val="en-NZ"/>
        </w:rPr>
        <w:t>Recommendation</w:t>
      </w:r>
    </w:p>
    <w:p w:rsidR="00022CC8" w:rsidRPr="0021270B" w:rsidRDefault="00022CC8" w:rsidP="00022CC8">
      <w:pPr>
        <w:rPr>
          <w:lang w:val="en-NZ"/>
        </w:rPr>
      </w:pPr>
    </w:p>
    <w:p w:rsidR="00022CC8" w:rsidRPr="0021270B" w:rsidRDefault="00022CC8" w:rsidP="00022CC8">
      <w:pPr>
        <w:rPr>
          <w:lang w:val="en-NZ"/>
        </w:rPr>
      </w:pPr>
      <w:r w:rsidRPr="0021270B">
        <w:rPr>
          <w:lang w:val="en-NZ"/>
        </w:rPr>
        <w:t xml:space="preserve">That the submission be </w:t>
      </w:r>
      <w:r w:rsidR="009575F9" w:rsidRPr="0021270B">
        <w:rPr>
          <w:lang w:val="en-NZ"/>
        </w:rPr>
        <w:t>declined.</w:t>
      </w:r>
    </w:p>
    <w:p w:rsidR="00A047DE" w:rsidRPr="0021270B" w:rsidRDefault="00A047DE" w:rsidP="00A047DE">
      <w:pPr>
        <w:pBdr>
          <w:bottom w:val="single" w:sz="4" w:space="1" w:color="auto"/>
        </w:pBdr>
        <w:rPr>
          <w:lang w:val="en-NZ"/>
        </w:rPr>
      </w:pPr>
    </w:p>
    <w:p w:rsidR="00A047DE" w:rsidRPr="0021270B" w:rsidRDefault="00A047DE" w:rsidP="009575F9">
      <w:pPr>
        <w:ind w:firstLine="720"/>
      </w:pPr>
    </w:p>
    <w:p w:rsidR="00E640A4" w:rsidRPr="0021270B" w:rsidRDefault="00E640A4" w:rsidP="009575F9">
      <w:pPr>
        <w:ind w:firstLine="720"/>
      </w:pPr>
    </w:p>
    <w:p w:rsidR="00022CC8" w:rsidRPr="0021270B" w:rsidRDefault="00022CC8" w:rsidP="009575F9">
      <w:pPr>
        <w:pStyle w:val="Heading5"/>
        <w:rPr>
          <w:lang w:val="en-NZ"/>
        </w:rPr>
      </w:pPr>
      <w:bookmarkStart w:id="27" w:name="_Toc427238220"/>
      <w:r w:rsidRPr="0021270B">
        <w:rPr>
          <w:lang w:val="en-NZ"/>
        </w:rPr>
        <w:t>Issue:</w:t>
      </w:r>
      <w:r w:rsidRPr="0021270B">
        <w:rPr>
          <w:lang w:val="en-NZ"/>
        </w:rPr>
        <w:tab/>
        <w:t>Need for guidance</w:t>
      </w:r>
      <w:bookmarkEnd w:id="27"/>
    </w:p>
    <w:p w:rsidR="00022CC8" w:rsidRPr="0021270B" w:rsidRDefault="00022CC8" w:rsidP="00022CC8">
      <w:pPr>
        <w:rPr>
          <w:lang w:val="en-NZ"/>
        </w:rPr>
      </w:pPr>
    </w:p>
    <w:p w:rsidR="00022CC8" w:rsidRPr="0021270B" w:rsidRDefault="00022CC8" w:rsidP="00022CC8">
      <w:pPr>
        <w:rPr>
          <w:lang w:val="en-NZ"/>
        </w:rPr>
      </w:pPr>
    </w:p>
    <w:p w:rsidR="00022CC8" w:rsidRPr="0021270B" w:rsidRDefault="00022CC8" w:rsidP="00022CC8">
      <w:pPr>
        <w:keepNext/>
        <w:outlineLvl w:val="1"/>
        <w:rPr>
          <w:b/>
          <w:lang w:val="en-NZ"/>
        </w:rPr>
      </w:pPr>
      <w:r w:rsidRPr="0021270B">
        <w:rPr>
          <w:b/>
          <w:lang w:val="en-NZ"/>
        </w:rPr>
        <w:t>Submission</w:t>
      </w:r>
    </w:p>
    <w:p w:rsidR="00022CC8" w:rsidRPr="0021270B" w:rsidRDefault="00022CC8" w:rsidP="00022CC8">
      <w:pPr>
        <w:keepNext/>
        <w:outlineLvl w:val="3"/>
        <w:rPr>
          <w:i/>
          <w:lang w:val="en-NZ"/>
        </w:rPr>
      </w:pPr>
      <w:r w:rsidRPr="0021270B">
        <w:rPr>
          <w:i/>
          <w:lang w:val="en-NZ"/>
        </w:rPr>
        <w:t>(Chartered Accountants Australia and New Zealand, PricewaterhouseCoopers)</w:t>
      </w:r>
    </w:p>
    <w:p w:rsidR="00022CC8" w:rsidRPr="0021270B" w:rsidRDefault="00022CC8" w:rsidP="00022CC8">
      <w:pPr>
        <w:tabs>
          <w:tab w:val="left" w:pos="5295"/>
        </w:tabs>
        <w:rPr>
          <w:lang w:val="en-NZ"/>
        </w:rPr>
      </w:pPr>
    </w:p>
    <w:p w:rsidR="00022CC8" w:rsidRPr="0021270B" w:rsidRDefault="00022CC8" w:rsidP="00022CC8">
      <w:pPr>
        <w:rPr>
          <w:lang w:val="en-NZ"/>
        </w:rPr>
      </w:pPr>
      <w:r w:rsidRPr="0021270B">
        <w:rPr>
          <w:lang w:val="en-NZ"/>
        </w:rPr>
        <w:t>It is critical that comprehensive guidance on the main home exemption is provided. The absence of such guidance will lead to unacceptable levels of uncertainty.</w:t>
      </w:r>
    </w:p>
    <w:p w:rsidR="00022CC8" w:rsidRPr="0021270B" w:rsidRDefault="00022CC8" w:rsidP="00022CC8">
      <w:pPr>
        <w:rPr>
          <w:lang w:val="en-NZ"/>
        </w:rPr>
      </w:pPr>
    </w:p>
    <w:p w:rsidR="00022CC8" w:rsidRPr="0021270B" w:rsidRDefault="00822CAA" w:rsidP="00022CC8">
      <w:pPr>
        <w:rPr>
          <w:i/>
          <w:lang w:val="en-NZ"/>
        </w:rPr>
      </w:pPr>
      <w:r w:rsidRPr="0021270B">
        <w:rPr>
          <w:lang w:val="en-NZ"/>
        </w:rPr>
        <w:t>The</w:t>
      </w:r>
      <w:r w:rsidR="005641C1">
        <w:rPr>
          <w:lang w:val="en-NZ"/>
        </w:rPr>
        <w:t xml:space="preserve"> proposed definition of “</w:t>
      </w:r>
      <w:r w:rsidR="00022CC8" w:rsidRPr="0021270B">
        <w:rPr>
          <w:lang w:val="en-NZ"/>
        </w:rPr>
        <w:t>main home</w:t>
      </w:r>
      <w:r w:rsidR="005641C1">
        <w:rPr>
          <w:lang w:val="en-NZ"/>
        </w:rPr>
        <w:t>” is different from the “</w:t>
      </w:r>
      <w:r w:rsidR="00022CC8" w:rsidRPr="0021270B">
        <w:rPr>
          <w:lang w:val="en-NZ"/>
        </w:rPr>
        <w:t>principal place of residence</w:t>
      </w:r>
      <w:r w:rsidR="005641C1">
        <w:rPr>
          <w:lang w:val="en-NZ"/>
        </w:rPr>
        <w:t>”</w:t>
      </w:r>
      <w:r w:rsidR="00022CC8" w:rsidRPr="0021270B">
        <w:rPr>
          <w:lang w:val="en-NZ"/>
        </w:rPr>
        <w:t xml:space="preserve"> test for GST. To avoid any confusion when the Bill is enacted it should be clearly communicated that these two definitions are different and must both be considered separately.</w:t>
      </w:r>
      <w:r w:rsidRPr="0021270B">
        <w:rPr>
          <w:lang w:val="en-NZ"/>
        </w:rPr>
        <w:t xml:space="preserve"> </w:t>
      </w:r>
      <w:r w:rsidRPr="0021270B">
        <w:rPr>
          <w:i/>
          <w:lang w:val="en-NZ"/>
        </w:rPr>
        <w:t>(PricewaterhouseCoopers)</w:t>
      </w:r>
    </w:p>
    <w:p w:rsidR="00022CC8" w:rsidRPr="0021270B" w:rsidRDefault="00022CC8" w:rsidP="00022CC8">
      <w:pPr>
        <w:rPr>
          <w:lang w:val="en-NZ"/>
        </w:rPr>
      </w:pPr>
    </w:p>
    <w:p w:rsidR="009023DD" w:rsidRDefault="009023DD">
      <w:pPr>
        <w:jc w:val="left"/>
        <w:rPr>
          <w:b/>
          <w:lang w:val="en-NZ"/>
        </w:rPr>
      </w:pPr>
      <w:r>
        <w:rPr>
          <w:b/>
          <w:lang w:val="en-NZ"/>
        </w:rPr>
        <w:br w:type="page"/>
      </w:r>
    </w:p>
    <w:p w:rsidR="00022CC8" w:rsidRPr="0021270B" w:rsidRDefault="00022CC8" w:rsidP="00022CC8">
      <w:pPr>
        <w:keepNext/>
        <w:outlineLvl w:val="1"/>
        <w:rPr>
          <w:b/>
          <w:lang w:val="en-NZ"/>
        </w:rPr>
      </w:pPr>
      <w:r w:rsidRPr="0021270B">
        <w:rPr>
          <w:b/>
          <w:lang w:val="en-NZ"/>
        </w:rPr>
        <w:lastRenderedPageBreak/>
        <w:t>Comment</w:t>
      </w:r>
    </w:p>
    <w:p w:rsidR="00022CC8" w:rsidRPr="0021270B" w:rsidRDefault="00022CC8" w:rsidP="00022CC8">
      <w:pPr>
        <w:rPr>
          <w:lang w:val="en-NZ"/>
        </w:rPr>
      </w:pPr>
    </w:p>
    <w:p w:rsidR="002A0EE1" w:rsidRPr="0021270B" w:rsidRDefault="009A0F5B" w:rsidP="009A0F5B">
      <w:pPr>
        <w:rPr>
          <w:lang w:val="en-NZ"/>
        </w:rPr>
      </w:pPr>
      <w:r w:rsidRPr="0021270B">
        <w:rPr>
          <w:lang w:val="en-NZ"/>
        </w:rPr>
        <w:t xml:space="preserve">Officials agree that guidance on these rules is desirable. </w:t>
      </w:r>
      <w:r w:rsidR="002A0EE1" w:rsidRPr="0021270B">
        <w:rPr>
          <w:lang w:val="en-NZ"/>
        </w:rPr>
        <w:t>Plain English guidance for buyers, sellers and conveyancers will be provided.</w:t>
      </w:r>
      <w:r w:rsidRPr="0021270B">
        <w:rPr>
          <w:lang w:val="en-NZ"/>
        </w:rPr>
        <w:t xml:space="preserve"> </w:t>
      </w:r>
    </w:p>
    <w:p w:rsidR="002A0EE1" w:rsidRPr="0021270B" w:rsidRDefault="002A0EE1" w:rsidP="009A0F5B">
      <w:pPr>
        <w:rPr>
          <w:lang w:val="en-NZ"/>
        </w:rPr>
      </w:pPr>
    </w:p>
    <w:p w:rsidR="009A0F5B" w:rsidRPr="0021270B" w:rsidRDefault="00A93003" w:rsidP="009A0F5B">
      <w:pPr>
        <w:rPr>
          <w:lang w:val="en-NZ"/>
        </w:rPr>
      </w:pPr>
      <w:r w:rsidRPr="0021270B">
        <w:rPr>
          <w:lang w:val="en-NZ"/>
        </w:rPr>
        <w:t>Further, an</w:t>
      </w:r>
      <w:r w:rsidR="009A0F5B" w:rsidRPr="0021270B">
        <w:rPr>
          <w:lang w:val="en-NZ"/>
        </w:rPr>
        <w:t xml:space="preserve"> explanation of the rules in a Tax Information Bulletin (or by way of an earlier special report published upon enactment) should provide clarification</w:t>
      </w:r>
      <w:r w:rsidRPr="0021270B">
        <w:rPr>
          <w:lang w:val="en-NZ"/>
        </w:rPr>
        <w:t>.</w:t>
      </w:r>
    </w:p>
    <w:p w:rsidR="00022CC8" w:rsidRPr="0021270B" w:rsidRDefault="00022CC8" w:rsidP="00022CC8">
      <w:pPr>
        <w:rPr>
          <w:lang w:val="en-NZ"/>
        </w:rPr>
      </w:pPr>
    </w:p>
    <w:p w:rsidR="00022CC8" w:rsidRPr="0021270B" w:rsidRDefault="00022CC8" w:rsidP="00022CC8">
      <w:pPr>
        <w:keepNext/>
        <w:outlineLvl w:val="1"/>
        <w:rPr>
          <w:b/>
          <w:lang w:val="en-NZ"/>
        </w:rPr>
      </w:pPr>
      <w:r w:rsidRPr="0021270B">
        <w:rPr>
          <w:b/>
          <w:lang w:val="en-NZ"/>
        </w:rPr>
        <w:t>Recommendation</w:t>
      </w:r>
    </w:p>
    <w:p w:rsidR="00022CC8" w:rsidRPr="0021270B" w:rsidRDefault="00022CC8" w:rsidP="00022CC8">
      <w:pPr>
        <w:rPr>
          <w:lang w:val="en-NZ"/>
        </w:rPr>
      </w:pPr>
    </w:p>
    <w:p w:rsidR="00022CC8" w:rsidRPr="0021270B" w:rsidRDefault="00022CC8" w:rsidP="00022CC8">
      <w:pPr>
        <w:rPr>
          <w:lang w:val="en-NZ"/>
        </w:rPr>
      </w:pPr>
      <w:r w:rsidRPr="0021270B">
        <w:rPr>
          <w:lang w:val="en-NZ"/>
        </w:rPr>
        <w:t>That the submission</w:t>
      </w:r>
      <w:r w:rsidR="00822CAA" w:rsidRPr="0021270B">
        <w:rPr>
          <w:lang w:val="en-NZ"/>
        </w:rPr>
        <w:t>s</w:t>
      </w:r>
      <w:r w:rsidRPr="0021270B">
        <w:rPr>
          <w:lang w:val="en-NZ"/>
        </w:rPr>
        <w:t xml:space="preserve"> be noted.</w:t>
      </w:r>
    </w:p>
    <w:p w:rsidR="00A047DE" w:rsidRPr="0021270B" w:rsidRDefault="00A047DE" w:rsidP="00A047DE">
      <w:pPr>
        <w:pBdr>
          <w:bottom w:val="single" w:sz="4" w:space="1" w:color="auto"/>
        </w:pBdr>
        <w:rPr>
          <w:lang w:val="en-NZ"/>
        </w:rPr>
      </w:pPr>
    </w:p>
    <w:p w:rsidR="00A047DE" w:rsidRPr="0021270B" w:rsidRDefault="00A047DE" w:rsidP="00A047DE"/>
    <w:p w:rsidR="00E640A4" w:rsidRPr="0021270B" w:rsidRDefault="00E640A4" w:rsidP="00A047DE"/>
    <w:p w:rsidR="00022CC8" w:rsidRPr="0021270B" w:rsidRDefault="00022CC8" w:rsidP="009575F9">
      <w:pPr>
        <w:pStyle w:val="Heading5"/>
        <w:rPr>
          <w:lang w:val="en-NZ"/>
        </w:rPr>
      </w:pPr>
      <w:bookmarkStart w:id="28" w:name="_Toc427238221"/>
      <w:r w:rsidRPr="0021270B">
        <w:rPr>
          <w:lang w:val="en-NZ"/>
        </w:rPr>
        <w:t>Issue:</w:t>
      </w:r>
      <w:r w:rsidRPr="0021270B">
        <w:rPr>
          <w:lang w:val="en-NZ"/>
        </w:rPr>
        <w:tab/>
        <w:t>Main home of family member</w:t>
      </w:r>
      <w:bookmarkEnd w:id="28"/>
    </w:p>
    <w:p w:rsidR="00022CC8" w:rsidRPr="0021270B" w:rsidRDefault="00022CC8" w:rsidP="00022CC8">
      <w:pPr>
        <w:rPr>
          <w:lang w:val="en-NZ"/>
        </w:rPr>
      </w:pPr>
    </w:p>
    <w:p w:rsidR="00022CC8" w:rsidRPr="0021270B" w:rsidRDefault="00022CC8" w:rsidP="00022CC8">
      <w:pPr>
        <w:rPr>
          <w:lang w:val="en-NZ"/>
        </w:rPr>
      </w:pPr>
    </w:p>
    <w:p w:rsidR="00022CC8" w:rsidRPr="0021270B" w:rsidRDefault="00022CC8" w:rsidP="00022CC8">
      <w:pPr>
        <w:keepNext/>
        <w:outlineLvl w:val="1"/>
        <w:rPr>
          <w:b/>
          <w:lang w:val="en-NZ"/>
        </w:rPr>
      </w:pPr>
      <w:r w:rsidRPr="0021270B">
        <w:rPr>
          <w:b/>
          <w:lang w:val="en-NZ"/>
        </w:rPr>
        <w:t>Submission</w:t>
      </w:r>
    </w:p>
    <w:p w:rsidR="00022CC8" w:rsidRPr="0021270B" w:rsidRDefault="00022CC8" w:rsidP="00022CC8">
      <w:pPr>
        <w:keepNext/>
        <w:outlineLvl w:val="3"/>
        <w:rPr>
          <w:i/>
          <w:lang w:val="en-NZ"/>
        </w:rPr>
      </w:pPr>
      <w:r w:rsidRPr="0021270B">
        <w:rPr>
          <w:i/>
          <w:lang w:val="en-NZ"/>
        </w:rPr>
        <w:t>(EY)</w:t>
      </w:r>
    </w:p>
    <w:p w:rsidR="00022CC8" w:rsidRPr="0021270B" w:rsidRDefault="00022CC8" w:rsidP="00022CC8">
      <w:pPr>
        <w:tabs>
          <w:tab w:val="left" w:pos="5295"/>
        </w:tabs>
        <w:rPr>
          <w:lang w:val="en-NZ"/>
        </w:rPr>
      </w:pPr>
    </w:p>
    <w:p w:rsidR="00022CC8" w:rsidRPr="0021270B" w:rsidRDefault="00022CC8" w:rsidP="00022CC8">
      <w:pPr>
        <w:rPr>
          <w:lang w:val="en-NZ"/>
        </w:rPr>
      </w:pPr>
      <w:r w:rsidRPr="0021270B">
        <w:rPr>
          <w:lang w:val="en-NZ"/>
        </w:rPr>
        <w:t>The main home exemption should be available when a property is not the transferor</w:t>
      </w:r>
      <w:r w:rsidR="005641C1">
        <w:rPr>
          <w:lang w:val="en-NZ"/>
        </w:rPr>
        <w:t>’</w:t>
      </w:r>
      <w:r w:rsidRPr="0021270B">
        <w:rPr>
          <w:lang w:val="en-NZ"/>
        </w:rPr>
        <w:t>s main home but is the main home of a family member of the transferor.</w:t>
      </w:r>
    </w:p>
    <w:p w:rsidR="00022CC8" w:rsidRPr="0021270B" w:rsidRDefault="00022CC8" w:rsidP="00022CC8">
      <w:pPr>
        <w:rPr>
          <w:lang w:val="en-NZ"/>
        </w:rPr>
      </w:pPr>
    </w:p>
    <w:p w:rsidR="00022CC8" w:rsidRPr="0021270B" w:rsidRDefault="00022CC8" w:rsidP="00022CC8">
      <w:pPr>
        <w:keepNext/>
        <w:outlineLvl w:val="1"/>
        <w:rPr>
          <w:b/>
          <w:lang w:val="en-NZ"/>
        </w:rPr>
      </w:pPr>
      <w:r w:rsidRPr="0021270B">
        <w:rPr>
          <w:b/>
          <w:lang w:val="en-NZ"/>
        </w:rPr>
        <w:t>Comment</w:t>
      </w:r>
    </w:p>
    <w:p w:rsidR="00022CC8" w:rsidRPr="0021270B" w:rsidRDefault="00022CC8" w:rsidP="00022CC8">
      <w:pPr>
        <w:rPr>
          <w:lang w:val="en-NZ"/>
        </w:rPr>
      </w:pPr>
    </w:p>
    <w:p w:rsidR="00022CC8" w:rsidRPr="0021270B" w:rsidRDefault="00022CC8" w:rsidP="00022CC8">
      <w:pPr>
        <w:rPr>
          <w:lang w:val="en-NZ"/>
        </w:rPr>
      </w:pPr>
      <w:r w:rsidRPr="0021270B">
        <w:rPr>
          <w:lang w:val="en-NZ"/>
        </w:rPr>
        <w:t>The main home exemption from providing an IRD number is intended to align with the current land sale rules. This ensures that a person only gets the exemption where it is likely that the gains from the sale of property will not be taxable.</w:t>
      </w:r>
    </w:p>
    <w:p w:rsidR="00022CC8" w:rsidRPr="0021270B" w:rsidRDefault="00022CC8" w:rsidP="00022CC8">
      <w:pPr>
        <w:rPr>
          <w:lang w:val="en-NZ"/>
        </w:rPr>
      </w:pPr>
    </w:p>
    <w:p w:rsidR="00022CC8" w:rsidRPr="0021270B" w:rsidRDefault="00022CC8" w:rsidP="00022CC8">
      <w:pPr>
        <w:rPr>
          <w:lang w:val="en-NZ"/>
        </w:rPr>
      </w:pPr>
      <w:r w:rsidRPr="0021270B">
        <w:rPr>
          <w:lang w:val="en-NZ"/>
        </w:rPr>
        <w:t>The exemption under the current land sale rules for a person</w:t>
      </w:r>
      <w:r w:rsidR="005641C1">
        <w:rPr>
          <w:lang w:val="en-NZ"/>
        </w:rPr>
        <w:t>’</w:t>
      </w:r>
      <w:r w:rsidRPr="0021270B">
        <w:rPr>
          <w:lang w:val="en-NZ"/>
        </w:rPr>
        <w:t>s residence only applies where it is the transferor</w:t>
      </w:r>
      <w:r w:rsidR="005641C1">
        <w:rPr>
          <w:lang w:val="en-NZ"/>
        </w:rPr>
        <w:t>’</w:t>
      </w:r>
      <w:r w:rsidRPr="0021270B">
        <w:rPr>
          <w:lang w:val="en-NZ"/>
        </w:rPr>
        <w:t>s main home. As a result, a home used solely by other family members should not be able to obtain the exemption.</w:t>
      </w:r>
    </w:p>
    <w:p w:rsidR="00022CC8" w:rsidRPr="0021270B" w:rsidRDefault="00022CC8" w:rsidP="00022CC8">
      <w:pPr>
        <w:rPr>
          <w:lang w:val="en-NZ"/>
        </w:rPr>
      </w:pPr>
    </w:p>
    <w:p w:rsidR="00022CC8" w:rsidRPr="0021270B" w:rsidRDefault="00022CC8" w:rsidP="00022CC8">
      <w:pPr>
        <w:keepNext/>
        <w:outlineLvl w:val="1"/>
        <w:rPr>
          <w:b/>
          <w:lang w:val="en-NZ"/>
        </w:rPr>
      </w:pPr>
      <w:r w:rsidRPr="0021270B">
        <w:rPr>
          <w:b/>
          <w:lang w:val="en-NZ"/>
        </w:rPr>
        <w:t>Recommendation</w:t>
      </w:r>
    </w:p>
    <w:p w:rsidR="00022CC8" w:rsidRPr="0021270B" w:rsidRDefault="00022CC8" w:rsidP="00022CC8">
      <w:pPr>
        <w:rPr>
          <w:lang w:val="en-NZ"/>
        </w:rPr>
      </w:pPr>
    </w:p>
    <w:p w:rsidR="00A047DE" w:rsidRPr="0021270B" w:rsidRDefault="00022CC8" w:rsidP="00022CC8">
      <w:pPr>
        <w:pBdr>
          <w:bottom w:val="single" w:sz="4" w:space="1" w:color="auto"/>
        </w:pBdr>
        <w:rPr>
          <w:lang w:val="en-NZ"/>
        </w:rPr>
      </w:pPr>
      <w:r w:rsidRPr="0021270B">
        <w:rPr>
          <w:lang w:val="en-NZ"/>
        </w:rPr>
        <w:t>That the submission be declined.</w:t>
      </w:r>
    </w:p>
    <w:p w:rsidR="00022CC8" w:rsidRPr="0021270B" w:rsidRDefault="00022CC8" w:rsidP="00022CC8">
      <w:pPr>
        <w:pBdr>
          <w:bottom w:val="single" w:sz="4" w:space="1" w:color="auto"/>
        </w:pBdr>
        <w:rPr>
          <w:lang w:val="en-NZ"/>
        </w:rPr>
      </w:pPr>
    </w:p>
    <w:p w:rsidR="00A047DE" w:rsidRPr="0021270B" w:rsidRDefault="00A047DE" w:rsidP="00A047DE">
      <w:pPr>
        <w:pBdr>
          <w:bottom w:val="single" w:sz="4" w:space="1" w:color="auto"/>
        </w:pBdr>
        <w:rPr>
          <w:lang w:val="en-NZ"/>
        </w:rPr>
      </w:pPr>
    </w:p>
    <w:p w:rsidR="00A047DE" w:rsidRPr="0021270B" w:rsidRDefault="00A047DE" w:rsidP="00A047DE"/>
    <w:p w:rsidR="00E640A4" w:rsidRPr="0021270B" w:rsidRDefault="00E640A4" w:rsidP="00A047DE"/>
    <w:p w:rsidR="00022CC8" w:rsidRPr="0021270B" w:rsidRDefault="00022CC8" w:rsidP="009575F9">
      <w:pPr>
        <w:pStyle w:val="Heading5"/>
        <w:rPr>
          <w:lang w:val="en-NZ"/>
        </w:rPr>
      </w:pPr>
      <w:bookmarkStart w:id="29" w:name="_Toc427238222"/>
      <w:r w:rsidRPr="0021270B">
        <w:rPr>
          <w:lang w:val="en-NZ"/>
        </w:rPr>
        <w:t>Issue:</w:t>
      </w:r>
      <w:r w:rsidRPr="0021270B">
        <w:rPr>
          <w:lang w:val="en-NZ"/>
        </w:rPr>
        <w:tab/>
        <w:t>Person</w:t>
      </w:r>
      <w:r w:rsidR="005641C1">
        <w:rPr>
          <w:lang w:val="en-NZ"/>
        </w:rPr>
        <w:t>’</w:t>
      </w:r>
      <w:r w:rsidRPr="0021270B">
        <w:rPr>
          <w:lang w:val="en-NZ"/>
        </w:rPr>
        <w:t>s family living with the person</w:t>
      </w:r>
      <w:bookmarkEnd w:id="29"/>
    </w:p>
    <w:p w:rsidR="00022CC8" w:rsidRPr="0021270B" w:rsidRDefault="00022CC8" w:rsidP="00022CC8">
      <w:pPr>
        <w:rPr>
          <w:lang w:val="en-NZ"/>
        </w:rPr>
      </w:pPr>
    </w:p>
    <w:p w:rsidR="00022CC8" w:rsidRPr="0021270B" w:rsidRDefault="00022CC8" w:rsidP="00022CC8">
      <w:pPr>
        <w:rPr>
          <w:lang w:val="en-NZ"/>
        </w:rPr>
      </w:pPr>
    </w:p>
    <w:p w:rsidR="00022CC8" w:rsidRPr="0021270B" w:rsidRDefault="00022CC8" w:rsidP="00022CC8">
      <w:pPr>
        <w:keepNext/>
        <w:outlineLvl w:val="1"/>
        <w:rPr>
          <w:b/>
          <w:lang w:val="en-NZ"/>
        </w:rPr>
      </w:pPr>
      <w:r w:rsidRPr="0021270B">
        <w:rPr>
          <w:b/>
          <w:lang w:val="en-NZ"/>
        </w:rPr>
        <w:t>Submission</w:t>
      </w:r>
    </w:p>
    <w:p w:rsidR="00022CC8" w:rsidRPr="0021270B" w:rsidRDefault="00022CC8" w:rsidP="00022CC8">
      <w:pPr>
        <w:keepNext/>
        <w:outlineLvl w:val="3"/>
        <w:rPr>
          <w:i/>
          <w:lang w:val="en-NZ"/>
        </w:rPr>
      </w:pPr>
      <w:r w:rsidRPr="0021270B">
        <w:rPr>
          <w:i/>
          <w:lang w:val="en-NZ"/>
        </w:rPr>
        <w:t>(New Zealand Law Society)</w:t>
      </w:r>
    </w:p>
    <w:p w:rsidR="00022CC8" w:rsidRPr="0021270B" w:rsidRDefault="00022CC8" w:rsidP="00022CC8">
      <w:pPr>
        <w:tabs>
          <w:tab w:val="left" w:pos="5295"/>
        </w:tabs>
        <w:rPr>
          <w:lang w:val="en-NZ"/>
        </w:rPr>
      </w:pPr>
    </w:p>
    <w:p w:rsidR="00022CC8" w:rsidRPr="0021270B" w:rsidRDefault="00022CC8" w:rsidP="00022CC8">
      <w:pPr>
        <w:rPr>
          <w:lang w:val="en-NZ"/>
        </w:rPr>
      </w:pPr>
      <w:r w:rsidRPr="0021270B">
        <w:rPr>
          <w:lang w:val="en-NZ"/>
        </w:rPr>
        <w:t>Main home is defined as the “1 home that is mainly used as a residence by the person and any member of the person</w:t>
      </w:r>
      <w:r w:rsidR="005641C1">
        <w:rPr>
          <w:lang w:val="en-NZ"/>
        </w:rPr>
        <w:t>’</w:t>
      </w:r>
      <w:r w:rsidRPr="0021270B">
        <w:rPr>
          <w:lang w:val="en-NZ"/>
        </w:rPr>
        <w:t>s family living with the person…”</w:t>
      </w:r>
    </w:p>
    <w:p w:rsidR="00022CC8" w:rsidRPr="0021270B" w:rsidRDefault="00022CC8" w:rsidP="00022CC8">
      <w:pPr>
        <w:rPr>
          <w:lang w:val="en-NZ"/>
        </w:rPr>
      </w:pPr>
    </w:p>
    <w:p w:rsidR="00022CC8" w:rsidRPr="0021270B" w:rsidRDefault="00022CC8" w:rsidP="00022CC8">
      <w:pPr>
        <w:rPr>
          <w:lang w:val="en-NZ"/>
        </w:rPr>
      </w:pPr>
      <w:r w:rsidRPr="0021270B">
        <w:rPr>
          <w:lang w:val="en-NZ"/>
        </w:rPr>
        <w:lastRenderedPageBreak/>
        <w:t>If a property is used mainly as a residence by the person (i.e. the owner), it should be irrelevant whether it is mainly used as a residence by any member of the owner</w:t>
      </w:r>
      <w:r w:rsidR="005641C1">
        <w:rPr>
          <w:lang w:val="en-NZ"/>
        </w:rPr>
        <w:t>’</w:t>
      </w:r>
      <w:r w:rsidRPr="0021270B">
        <w:rPr>
          <w:lang w:val="en-NZ"/>
        </w:rPr>
        <w:t xml:space="preserve">s family living with them. </w:t>
      </w:r>
    </w:p>
    <w:p w:rsidR="00022CC8" w:rsidRPr="0021270B" w:rsidRDefault="00022CC8" w:rsidP="00022CC8">
      <w:pPr>
        <w:rPr>
          <w:lang w:val="en-NZ"/>
        </w:rPr>
      </w:pPr>
    </w:p>
    <w:p w:rsidR="00022CC8" w:rsidRPr="0021270B" w:rsidRDefault="00022CC8" w:rsidP="00022CC8">
      <w:pPr>
        <w:keepNext/>
        <w:outlineLvl w:val="1"/>
        <w:rPr>
          <w:b/>
          <w:lang w:val="en-NZ"/>
        </w:rPr>
      </w:pPr>
      <w:r w:rsidRPr="0021270B">
        <w:rPr>
          <w:b/>
          <w:lang w:val="en-NZ"/>
        </w:rPr>
        <w:t>Comment</w:t>
      </w:r>
    </w:p>
    <w:p w:rsidR="00022CC8" w:rsidRPr="0021270B" w:rsidRDefault="00022CC8" w:rsidP="00022CC8">
      <w:pPr>
        <w:rPr>
          <w:lang w:val="en-NZ"/>
        </w:rPr>
      </w:pPr>
    </w:p>
    <w:p w:rsidR="00022CC8" w:rsidRPr="0021270B" w:rsidRDefault="0083013E" w:rsidP="00022CC8">
      <w:pPr>
        <w:rPr>
          <w:lang w:val="en-NZ"/>
        </w:rPr>
      </w:pPr>
      <w:r w:rsidRPr="0021270B">
        <w:rPr>
          <w:lang w:val="en-NZ"/>
        </w:rPr>
        <w:t>The intention of t</w:t>
      </w:r>
      <w:r w:rsidR="00022CC8" w:rsidRPr="0021270B">
        <w:rPr>
          <w:lang w:val="en-NZ"/>
        </w:rPr>
        <w:t>he reference to a “person</w:t>
      </w:r>
      <w:r w:rsidR="005641C1">
        <w:rPr>
          <w:lang w:val="en-NZ"/>
        </w:rPr>
        <w:t>’</w:t>
      </w:r>
      <w:r w:rsidR="00022CC8" w:rsidRPr="0021270B">
        <w:rPr>
          <w:lang w:val="en-NZ"/>
        </w:rPr>
        <w:t xml:space="preserve">s family living with the person” </w:t>
      </w:r>
      <w:r w:rsidRPr="0021270B">
        <w:rPr>
          <w:lang w:val="en-NZ"/>
        </w:rPr>
        <w:t xml:space="preserve">was to </w:t>
      </w:r>
      <w:r w:rsidR="00022CC8" w:rsidRPr="0021270B">
        <w:rPr>
          <w:lang w:val="en-NZ"/>
        </w:rPr>
        <w:t xml:space="preserve">ensure that owners can </w:t>
      </w:r>
      <w:r w:rsidRPr="0021270B">
        <w:rPr>
          <w:lang w:val="en-NZ"/>
        </w:rPr>
        <w:t xml:space="preserve">qualify for </w:t>
      </w:r>
      <w:r w:rsidR="00022CC8" w:rsidRPr="0021270B">
        <w:rPr>
          <w:lang w:val="en-NZ"/>
        </w:rPr>
        <w:t>the main home exemption when they reside in property with their family living with them.</w:t>
      </w:r>
      <w:r w:rsidRPr="0021270B">
        <w:rPr>
          <w:lang w:val="en-NZ"/>
        </w:rPr>
        <w:t xml:space="preserve"> Officials accept that this can be achieved without including these words in the legislation and they should be deleted.</w:t>
      </w:r>
    </w:p>
    <w:p w:rsidR="00022CC8" w:rsidRPr="0021270B" w:rsidRDefault="00022CC8" w:rsidP="00F54E1F">
      <w:pPr>
        <w:jc w:val="center"/>
        <w:rPr>
          <w:lang w:val="en-NZ"/>
        </w:rPr>
      </w:pPr>
    </w:p>
    <w:p w:rsidR="00022CC8" w:rsidRPr="0021270B" w:rsidRDefault="00022CC8" w:rsidP="00022CC8">
      <w:pPr>
        <w:keepNext/>
        <w:outlineLvl w:val="1"/>
        <w:rPr>
          <w:b/>
          <w:lang w:val="en-NZ"/>
        </w:rPr>
      </w:pPr>
      <w:r w:rsidRPr="0021270B">
        <w:rPr>
          <w:b/>
          <w:lang w:val="en-NZ"/>
        </w:rPr>
        <w:t>Recommendation</w:t>
      </w:r>
    </w:p>
    <w:p w:rsidR="00022CC8" w:rsidRPr="0021270B" w:rsidRDefault="00022CC8" w:rsidP="00022CC8">
      <w:pPr>
        <w:rPr>
          <w:lang w:val="en-NZ"/>
        </w:rPr>
      </w:pPr>
    </w:p>
    <w:p w:rsidR="00A047DE" w:rsidRPr="0021270B" w:rsidRDefault="00022CC8" w:rsidP="00A047DE">
      <w:r w:rsidRPr="0021270B">
        <w:rPr>
          <w:lang w:val="en-NZ"/>
        </w:rPr>
        <w:t xml:space="preserve">That the submission be </w:t>
      </w:r>
      <w:r w:rsidR="0083013E" w:rsidRPr="0021270B">
        <w:rPr>
          <w:lang w:val="en-NZ"/>
        </w:rPr>
        <w:t>accepted and the words “and any member of the person</w:t>
      </w:r>
      <w:r w:rsidR="005641C1">
        <w:rPr>
          <w:lang w:val="en-NZ"/>
        </w:rPr>
        <w:t>’</w:t>
      </w:r>
      <w:r w:rsidR="0083013E" w:rsidRPr="0021270B">
        <w:rPr>
          <w:lang w:val="en-NZ"/>
        </w:rPr>
        <w:t>s family living with the person” should be deleted from the definition of main home in s156A.</w:t>
      </w:r>
    </w:p>
    <w:p w:rsidR="00EF4BAB" w:rsidRPr="0021270B" w:rsidRDefault="00EF4BAB" w:rsidP="00A047DE">
      <w:pPr>
        <w:pStyle w:val="Heading1"/>
      </w:pPr>
    </w:p>
    <w:p w:rsidR="008613FD" w:rsidRPr="0021270B" w:rsidRDefault="008613FD" w:rsidP="008613FD"/>
    <w:p w:rsidR="00E640A4" w:rsidRPr="0021270B" w:rsidRDefault="00E640A4" w:rsidP="008613FD"/>
    <w:p w:rsidR="00EA1CDD" w:rsidRPr="0021270B" w:rsidRDefault="00EA1CDD" w:rsidP="00E11524">
      <w:pPr>
        <w:pStyle w:val="Heading5"/>
      </w:pPr>
      <w:bookmarkStart w:id="30" w:name="_Toc427238223"/>
      <w:r w:rsidRPr="0021270B">
        <w:t>Issue:</w:t>
      </w:r>
      <w:r w:rsidRPr="0021270B">
        <w:tab/>
        <w:t xml:space="preserve">Change </w:t>
      </w:r>
      <w:r w:rsidR="005641C1">
        <w:t>“</w:t>
      </w:r>
      <w:r w:rsidRPr="0021270B">
        <w:t>exempt transfer</w:t>
      </w:r>
      <w:r w:rsidR="005641C1">
        <w:t>”</w:t>
      </w:r>
      <w:r w:rsidRPr="0021270B">
        <w:t xml:space="preserve"> wording</w:t>
      </w:r>
      <w:bookmarkEnd w:id="30"/>
    </w:p>
    <w:p w:rsidR="00EA1CDD" w:rsidRPr="0021270B" w:rsidRDefault="00EA1CDD" w:rsidP="008613FD"/>
    <w:p w:rsidR="00E640A4" w:rsidRPr="0021270B" w:rsidRDefault="00E640A4" w:rsidP="008613FD"/>
    <w:p w:rsidR="00EA1CDD" w:rsidRPr="0021270B" w:rsidRDefault="00EA1CDD" w:rsidP="008613FD">
      <w:pPr>
        <w:rPr>
          <w:b/>
        </w:rPr>
      </w:pPr>
      <w:r w:rsidRPr="0021270B">
        <w:rPr>
          <w:b/>
        </w:rPr>
        <w:t>Submission</w:t>
      </w:r>
    </w:p>
    <w:p w:rsidR="00EA1CDD" w:rsidRPr="0021270B" w:rsidRDefault="00EA1CDD" w:rsidP="008613FD">
      <w:r w:rsidRPr="0021270B">
        <w:rPr>
          <w:i/>
        </w:rPr>
        <w:t>(EY)</w:t>
      </w:r>
    </w:p>
    <w:p w:rsidR="00EA1CDD" w:rsidRPr="0021270B" w:rsidRDefault="00EA1CDD" w:rsidP="008613FD"/>
    <w:p w:rsidR="00EA1CDD" w:rsidRPr="0021270B" w:rsidRDefault="005641C1" w:rsidP="008613FD">
      <w:r>
        <w:t>The wording “</w:t>
      </w:r>
      <w:r w:rsidR="00EA1CDD" w:rsidRPr="0021270B">
        <w:t>exempt transfer</w:t>
      </w:r>
      <w:r>
        <w:t>”</w:t>
      </w:r>
      <w:r w:rsidR="00EA1CDD" w:rsidRPr="0021270B">
        <w:t xml:space="preserve"> should be changed t</w:t>
      </w:r>
      <w:r>
        <w:t>o a different wording (such as “</w:t>
      </w:r>
      <w:r w:rsidR="00EA1CDD" w:rsidRPr="0021270B">
        <w:t>non-notifiable transfer</w:t>
      </w:r>
      <w:r>
        <w:t>”</w:t>
      </w:r>
      <w:r w:rsidR="00EA1CDD" w:rsidRPr="0021270B">
        <w:t>) to avoid creating the impression that no income tax liabilities will arise in relation to a particular</w:t>
      </w:r>
      <w:r>
        <w:t xml:space="preserve"> piece of land if it meets the “</w:t>
      </w:r>
      <w:r w:rsidR="00EA1CDD" w:rsidRPr="0021270B">
        <w:t>exempt transfer</w:t>
      </w:r>
      <w:r>
        <w:t>”</w:t>
      </w:r>
      <w:r w:rsidR="00EA1CDD" w:rsidRPr="0021270B">
        <w:t xml:space="preserve"> standard.</w:t>
      </w:r>
    </w:p>
    <w:p w:rsidR="00EA1CDD" w:rsidRPr="0021270B" w:rsidRDefault="00EA1CDD" w:rsidP="008613FD"/>
    <w:p w:rsidR="00EA1CDD" w:rsidRPr="0021270B" w:rsidRDefault="00EA1CDD" w:rsidP="00EA1CDD">
      <w:pPr>
        <w:keepNext/>
        <w:outlineLvl w:val="1"/>
        <w:rPr>
          <w:b/>
        </w:rPr>
      </w:pPr>
      <w:r w:rsidRPr="0021270B">
        <w:rPr>
          <w:b/>
        </w:rPr>
        <w:t>Comment</w:t>
      </w:r>
    </w:p>
    <w:p w:rsidR="00EA1CDD" w:rsidRPr="0021270B" w:rsidRDefault="00EA1CDD" w:rsidP="008613FD"/>
    <w:p w:rsidR="00FC3109" w:rsidRPr="0021270B" w:rsidRDefault="00EA1CDD" w:rsidP="008613FD">
      <w:r w:rsidRPr="0021270B">
        <w:t xml:space="preserve">Officials </w:t>
      </w:r>
      <w:r w:rsidR="00FC3109" w:rsidRPr="0021270B">
        <w:t>note that the references to exempt transfer will be included in the Land Transfer Act and it is clear they only refer to the collection of information rather than liability for tax. Tax liability is dealt with under different legislation.</w:t>
      </w:r>
    </w:p>
    <w:p w:rsidR="00FC3109" w:rsidRPr="0021270B" w:rsidRDefault="00FC3109" w:rsidP="008613FD"/>
    <w:p w:rsidR="00EA1CDD" w:rsidRPr="0021270B" w:rsidRDefault="00FC3109" w:rsidP="008613FD">
      <w:r w:rsidRPr="0021270B">
        <w:t xml:space="preserve">Officials </w:t>
      </w:r>
      <w:r w:rsidR="00EA1CDD" w:rsidRPr="0021270B">
        <w:t>will refer the submission to the drafter for consideration.</w:t>
      </w:r>
    </w:p>
    <w:p w:rsidR="00EA1CDD" w:rsidRPr="0021270B" w:rsidRDefault="00EA1CDD" w:rsidP="008613FD"/>
    <w:p w:rsidR="00EA1CDD" w:rsidRPr="0021270B" w:rsidRDefault="00EA1CDD" w:rsidP="00EA1CDD">
      <w:pPr>
        <w:keepNext/>
        <w:outlineLvl w:val="1"/>
        <w:rPr>
          <w:b/>
        </w:rPr>
      </w:pPr>
      <w:r w:rsidRPr="0021270B">
        <w:rPr>
          <w:b/>
        </w:rPr>
        <w:t>Recommendation</w:t>
      </w:r>
    </w:p>
    <w:p w:rsidR="00EA1CDD" w:rsidRPr="0021270B" w:rsidRDefault="00EA1CDD" w:rsidP="008613FD"/>
    <w:p w:rsidR="00EA1CDD" w:rsidRPr="0021270B" w:rsidRDefault="00EA1CDD" w:rsidP="008613FD">
      <w:r w:rsidRPr="0021270B">
        <w:t>That the submission be</w:t>
      </w:r>
      <w:r w:rsidR="00FC3109" w:rsidRPr="0021270B">
        <w:t xml:space="preserve"> considered by the drafter</w:t>
      </w:r>
      <w:r w:rsidRPr="0021270B">
        <w:t>.</w:t>
      </w:r>
    </w:p>
    <w:p w:rsidR="00D33065" w:rsidRPr="0021270B" w:rsidRDefault="00D33065" w:rsidP="009575F9">
      <w:pPr>
        <w:pBdr>
          <w:bottom w:val="single" w:sz="4" w:space="1" w:color="auto"/>
        </w:pBdr>
        <w:rPr>
          <w:lang w:val="en-NZ"/>
        </w:rPr>
      </w:pPr>
    </w:p>
    <w:p w:rsidR="00D33065" w:rsidRPr="0021270B" w:rsidRDefault="00D33065">
      <w:pPr>
        <w:jc w:val="left"/>
        <w:rPr>
          <w:b/>
          <w:caps/>
          <w:sz w:val="26"/>
          <w:lang w:val="en-NZ"/>
        </w:rPr>
      </w:pPr>
    </w:p>
    <w:p w:rsidR="00E640A4" w:rsidRPr="0021270B" w:rsidRDefault="00E640A4">
      <w:pPr>
        <w:jc w:val="left"/>
        <w:rPr>
          <w:b/>
          <w:caps/>
          <w:sz w:val="26"/>
          <w:lang w:val="en-NZ"/>
        </w:rPr>
      </w:pPr>
    </w:p>
    <w:p w:rsidR="009023DD" w:rsidRDefault="009023DD">
      <w:pPr>
        <w:jc w:val="left"/>
        <w:rPr>
          <w:b/>
          <w:sz w:val="26"/>
        </w:rPr>
      </w:pPr>
      <w:r>
        <w:br w:type="page"/>
      </w:r>
    </w:p>
    <w:p w:rsidR="00D33065" w:rsidRPr="0021270B" w:rsidRDefault="00D33065" w:rsidP="00E11524">
      <w:pPr>
        <w:pStyle w:val="Heading5"/>
      </w:pPr>
      <w:bookmarkStart w:id="31" w:name="_Toc427238224"/>
      <w:r w:rsidRPr="0021270B">
        <w:lastRenderedPageBreak/>
        <w:t>Issue:</w:t>
      </w:r>
      <w:r w:rsidRPr="0021270B">
        <w:tab/>
        <w:t>Vendors who use main home exemption more than twice in past 2 years</w:t>
      </w:r>
      <w:bookmarkEnd w:id="31"/>
    </w:p>
    <w:p w:rsidR="00D33065" w:rsidRPr="0021270B" w:rsidRDefault="00D33065" w:rsidP="009575F9">
      <w:pPr>
        <w:rPr>
          <w:lang w:val="en-NZ"/>
        </w:rPr>
      </w:pPr>
    </w:p>
    <w:p w:rsidR="00D33065" w:rsidRPr="0021270B" w:rsidRDefault="00D33065" w:rsidP="009575F9">
      <w:pPr>
        <w:rPr>
          <w:lang w:val="en-NZ"/>
        </w:rPr>
      </w:pPr>
    </w:p>
    <w:p w:rsidR="00D33065" w:rsidRPr="0021270B" w:rsidRDefault="00D33065" w:rsidP="009575F9">
      <w:pPr>
        <w:rPr>
          <w:b/>
          <w:lang w:val="en-NZ"/>
        </w:rPr>
      </w:pPr>
      <w:r w:rsidRPr="0021270B">
        <w:rPr>
          <w:b/>
          <w:lang w:val="en-NZ"/>
        </w:rPr>
        <w:t>Submission</w:t>
      </w:r>
    </w:p>
    <w:p w:rsidR="00D33065" w:rsidRPr="0021270B" w:rsidRDefault="00D33065" w:rsidP="009575F9">
      <w:pPr>
        <w:rPr>
          <w:lang w:val="en-NZ"/>
        </w:rPr>
      </w:pPr>
      <w:r w:rsidRPr="0021270B">
        <w:rPr>
          <w:i/>
          <w:lang w:val="en-NZ"/>
        </w:rPr>
        <w:t>(EY)</w:t>
      </w:r>
    </w:p>
    <w:p w:rsidR="00D33065" w:rsidRPr="0021270B" w:rsidRDefault="00D33065" w:rsidP="009575F9">
      <w:pPr>
        <w:rPr>
          <w:lang w:val="en-NZ"/>
        </w:rPr>
      </w:pPr>
    </w:p>
    <w:p w:rsidR="00854403" w:rsidRPr="0021270B" w:rsidRDefault="00854403" w:rsidP="009575F9">
      <w:pPr>
        <w:rPr>
          <w:lang w:val="en-NZ"/>
        </w:rPr>
      </w:pPr>
      <w:r w:rsidRPr="0021270B">
        <w:rPr>
          <w:lang w:val="en-NZ"/>
        </w:rPr>
        <w:t>The Bill as drafted would exclude a transfer from being an “exempt transfer” for vendors if they have relied on the main home exemption category at least twice in the last two years. This exclusion would not apply to any vendor until they make a disposal after 1 October 2017, at the earliest (assuming the Bill is enacted and its provisions come into force for transfers from 1 October 2015).</w:t>
      </w:r>
    </w:p>
    <w:p w:rsidR="00854403" w:rsidRPr="0021270B" w:rsidRDefault="00854403" w:rsidP="009575F9">
      <w:pPr>
        <w:rPr>
          <w:lang w:val="en-NZ"/>
        </w:rPr>
      </w:pPr>
    </w:p>
    <w:p w:rsidR="00731A4E" w:rsidRPr="0021270B" w:rsidRDefault="00854403" w:rsidP="009575F9">
      <w:pPr>
        <w:rPr>
          <w:lang w:val="en-NZ"/>
        </w:rPr>
      </w:pPr>
      <w:r w:rsidRPr="0021270B">
        <w:rPr>
          <w:lang w:val="en-NZ"/>
        </w:rPr>
        <w:t xml:space="preserve">The exclusion from the main home exemption should be reconsidered and, if it is to be retained, its drafting should be clarified for the following reasons: the reference to “the date of transfer is not clear; the exclusion increases the complexity of the rules; and </w:t>
      </w:r>
      <w:r w:rsidR="00731A4E" w:rsidRPr="0021270B">
        <w:rPr>
          <w:lang w:val="en-NZ"/>
        </w:rPr>
        <w:t>the exclusion may create or reinforce perceptions as to the tax liability on the disposal of property.</w:t>
      </w:r>
    </w:p>
    <w:p w:rsidR="00731A4E" w:rsidRPr="0021270B" w:rsidRDefault="00731A4E" w:rsidP="009575F9">
      <w:pPr>
        <w:rPr>
          <w:lang w:val="en-NZ"/>
        </w:rPr>
      </w:pPr>
    </w:p>
    <w:p w:rsidR="00731A4E" w:rsidRPr="0021270B" w:rsidRDefault="00731A4E" w:rsidP="009575F9">
      <w:pPr>
        <w:rPr>
          <w:b/>
          <w:lang w:val="en-NZ"/>
        </w:rPr>
      </w:pPr>
      <w:r w:rsidRPr="0021270B">
        <w:rPr>
          <w:b/>
          <w:lang w:val="en-NZ"/>
        </w:rPr>
        <w:t>Comments</w:t>
      </w:r>
    </w:p>
    <w:p w:rsidR="00731A4E" w:rsidRPr="0021270B" w:rsidRDefault="00731A4E" w:rsidP="009575F9">
      <w:pPr>
        <w:rPr>
          <w:lang w:val="en-NZ"/>
        </w:rPr>
      </w:pPr>
    </w:p>
    <w:p w:rsidR="00731A4E" w:rsidRPr="0021270B" w:rsidRDefault="000035B9" w:rsidP="009575F9">
      <w:pPr>
        <w:rPr>
          <w:lang w:val="en-NZ"/>
        </w:rPr>
      </w:pPr>
      <w:r w:rsidRPr="0021270B">
        <w:rPr>
          <w:lang w:val="en-NZ"/>
        </w:rPr>
        <w:t xml:space="preserve">While the two year period would start from the enactment of this Bill (which is intended to be 1 October 2015), the provision limits exempt transfers to two in any two year period.  Thus, if a person sold two main homes in any lesser period than two years, for example six months, and then shortly thereafter was going to sell their third main home, they would not be able to </w:t>
      </w:r>
      <w:r w:rsidR="005C05E1" w:rsidRPr="0021270B">
        <w:rPr>
          <w:lang w:val="en-NZ"/>
        </w:rPr>
        <w:t xml:space="preserve">use </w:t>
      </w:r>
      <w:r w:rsidRPr="0021270B">
        <w:rPr>
          <w:lang w:val="en-NZ"/>
        </w:rPr>
        <w:t xml:space="preserve">the main home exemption and would need to provide a full tax statement. The Bill as drafted has </w:t>
      </w:r>
      <w:r w:rsidR="00731A4E" w:rsidRPr="0021270B">
        <w:rPr>
          <w:lang w:val="en-NZ"/>
        </w:rPr>
        <w:t>the intended effect.</w:t>
      </w:r>
    </w:p>
    <w:p w:rsidR="00731A4E" w:rsidRPr="0021270B" w:rsidRDefault="00731A4E" w:rsidP="009575F9">
      <w:pPr>
        <w:rPr>
          <w:b/>
          <w:lang w:val="en-NZ"/>
        </w:rPr>
      </w:pPr>
    </w:p>
    <w:p w:rsidR="00731A4E" w:rsidRPr="0021270B" w:rsidRDefault="00731A4E" w:rsidP="009575F9">
      <w:r w:rsidRPr="0021270B">
        <w:t>The relevant date is intended to be the date the transfer is registered. Officials consider that current drafting achieves this result. As noted elsewhere, this bill is about information collection and the fact that information has not been collected does not necessarily mean that there is no tax liability in any particular situation.</w:t>
      </w:r>
    </w:p>
    <w:p w:rsidR="00731A4E" w:rsidRPr="0021270B" w:rsidRDefault="00731A4E" w:rsidP="009575F9"/>
    <w:p w:rsidR="00731A4E" w:rsidRPr="0021270B" w:rsidRDefault="00731A4E" w:rsidP="009575F9">
      <w:pPr>
        <w:rPr>
          <w:b/>
        </w:rPr>
      </w:pPr>
      <w:r w:rsidRPr="0021270B">
        <w:rPr>
          <w:b/>
        </w:rPr>
        <w:t>Recommendation</w:t>
      </w:r>
    </w:p>
    <w:p w:rsidR="00731A4E" w:rsidRPr="0021270B" w:rsidRDefault="00731A4E" w:rsidP="009575F9">
      <w:pPr>
        <w:rPr>
          <w:b/>
        </w:rPr>
      </w:pPr>
    </w:p>
    <w:p w:rsidR="00731A4E" w:rsidRPr="0021270B" w:rsidRDefault="00731A4E" w:rsidP="009575F9">
      <w:r w:rsidRPr="0021270B">
        <w:t>That the submission be declined.</w:t>
      </w:r>
    </w:p>
    <w:p w:rsidR="00731A4E" w:rsidRPr="0021270B" w:rsidRDefault="00731A4E" w:rsidP="00F54E1F">
      <w:pPr>
        <w:pBdr>
          <w:bottom w:val="single" w:sz="4" w:space="1" w:color="auto"/>
        </w:pBdr>
      </w:pPr>
    </w:p>
    <w:p w:rsidR="00731A4E" w:rsidRPr="0021270B" w:rsidRDefault="00731A4E" w:rsidP="009575F9"/>
    <w:p w:rsidR="0041591D" w:rsidRPr="0021270B" w:rsidRDefault="0041591D" w:rsidP="0041591D">
      <w:pPr>
        <w:rPr>
          <w:lang w:val="en-NZ"/>
        </w:rPr>
      </w:pPr>
    </w:p>
    <w:p w:rsidR="0041591D" w:rsidRPr="0021270B" w:rsidRDefault="0041591D" w:rsidP="009575F9">
      <w:pPr>
        <w:pStyle w:val="Heading5"/>
        <w:rPr>
          <w:lang w:val="en-NZ"/>
        </w:rPr>
      </w:pPr>
      <w:bookmarkStart w:id="32" w:name="_Toc427238225"/>
      <w:r w:rsidRPr="0021270B">
        <w:rPr>
          <w:lang w:val="en-NZ"/>
        </w:rPr>
        <w:t>Issue:</w:t>
      </w:r>
      <w:r w:rsidRPr="0021270B">
        <w:rPr>
          <w:lang w:val="en-NZ"/>
        </w:rPr>
        <w:tab/>
      </w:r>
      <w:r w:rsidR="00D347DB" w:rsidRPr="0021270B">
        <w:rPr>
          <w:lang w:val="en-NZ"/>
        </w:rPr>
        <w:t>Meaning of “a</w:t>
      </w:r>
      <w:r w:rsidRPr="0021270B">
        <w:rPr>
          <w:lang w:val="en-NZ"/>
        </w:rPr>
        <w:t>rrangement</w:t>
      </w:r>
      <w:r w:rsidR="00D347DB" w:rsidRPr="0021270B">
        <w:rPr>
          <w:lang w:val="en-NZ"/>
        </w:rPr>
        <w:t>”</w:t>
      </w:r>
      <w:bookmarkEnd w:id="32"/>
    </w:p>
    <w:p w:rsidR="0041591D" w:rsidRPr="0021270B" w:rsidRDefault="0041591D" w:rsidP="0041591D">
      <w:pPr>
        <w:rPr>
          <w:lang w:val="en-NZ"/>
        </w:rPr>
      </w:pPr>
    </w:p>
    <w:p w:rsidR="0041591D" w:rsidRPr="0021270B" w:rsidRDefault="0041591D" w:rsidP="0041591D">
      <w:pPr>
        <w:rPr>
          <w:lang w:val="en-NZ"/>
        </w:rPr>
      </w:pPr>
    </w:p>
    <w:p w:rsidR="0041591D" w:rsidRPr="0021270B" w:rsidRDefault="0041591D" w:rsidP="0041591D">
      <w:pPr>
        <w:keepNext/>
        <w:outlineLvl w:val="1"/>
        <w:rPr>
          <w:b/>
          <w:lang w:val="en-NZ"/>
        </w:rPr>
      </w:pPr>
      <w:r w:rsidRPr="0021270B">
        <w:rPr>
          <w:b/>
          <w:lang w:val="en-NZ"/>
        </w:rPr>
        <w:t>Submission</w:t>
      </w:r>
    </w:p>
    <w:p w:rsidR="0041591D" w:rsidRPr="0021270B" w:rsidRDefault="0041591D" w:rsidP="0041591D">
      <w:pPr>
        <w:keepNext/>
        <w:outlineLvl w:val="3"/>
        <w:rPr>
          <w:i/>
          <w:lang w:val="en-NZ"/>
        </w:rPr>
      </w:pPr>
      <w:r w:rsidRPr="0021270B">
        <w:rPr>
          <w:i/>
          <w:lang w:val="en-NZ"/>
        </w:rPr>
        <w:t>(Auckland District Law Society, New Zealand Law Society)</w:t>
      </w:r>
    </w:p>
    <w:p w:rsidR="0041591D" w:rsidRPr="0021270B" w:rsidRDefault="0041591D" w:rsidP="0041591D">
      <w:pPr>
        <w:tabs>
          <w:tab w:val="left" w:pos="5295"/>
        </w:tabs>
        <w:rPr>
          <w:lang w:val="en-NZ"/>
        </w:rPr>
      </w:pPr>
    </w:p>
    <w:p w:rsidR="0041591D" w:rsidRPr="0021270B" w:rsidRDefault="0041591D" w:rsidP="0041591D">
      <w:pPr>
        <w:rPr>
          <w:lang w:val="en-NZ"/>
        </w:rPr>
      </w:pPr>
      <w:r w:rsidRPr="0021270B">
        <w:rPr>
          <w:lang w:val="en-NZ"/>
        </w:rPr>
        <w:t>It is not clear what an arrangement is. Often a contract to construct a dwelling is not entered into until after a property is transferred. The current definition also does not cover a residential section upon which a dwelling may be constructed in the future.</w:t>
      </w:r>
    </w:p>
    <w:p w:rsidR="0041591D" w:rsidRPr="0021270B" w:rsidRDefault="0041591D" w:rsidP="0041591D">
      <w:pPr>
        <w:rPr>
          <w:lang w:val="en-NZ"/>
        </w:rPr>
      </w:pPr>
    </w:p>
    <w:p w:rsidR="0041591D" w:rsidRPr="0021270B" w:rsidRDefault="00D347DB" w:rsidP="0041591D">
      <w:pPr>
        <w:rPr>
          <w:i/>
          <w:lang w:val="en-NZ"/>
        </w:rPr>
      </w:pPr>
      <w:r w:rsidRPr="0021270B">
        <w:rPr>
          <w:lang w:val="en-NZ"/>
        </w:rPr>
        <w:t>T</w:t>
      </w:r>
      <w:r w:rsidR="0041591D" w:rsidRPr="0021270B">
        <w:rPr>
          <w:lang w:val="en-NZ"/>
        </w:rPr>
        <w:t>here needs to be a timeframe for the expiry of an arrangement.</w:t>
      </w:r>
      <w:r w:rsidRPr="0021270B">
        <w:rPr>
          <w:lang w:val="en-NZ"/>
        </w:rPr>
        <w:t xml:space="preserve"> </w:t>
      </w:r>
      <w:r w:rsidRPr="0021270B">
        <w:rPr>
          <w:i/>
          <w:lang w:val="en-NZ"/>
        </w:rPr>
        <w:t>(Auckland District Law Society)</w:t>
      </w:r>
    </w:p>
    <w:p w:rsidR="0041591D" w:rsidRPr="0021270B" w:rsidRDefault="0041591D" w:rsidP="0041591D">
      <w:pPr>
        <w:rPr>
          <w:lang w:val="en-NZ"/>
        </w:rPr>
      </w:pPr>
    </w:p>
    <w:p w:rsidR="0041591D" w:rsidRPr="0021270B" w:rsidRDefault="00D347DB" w:rsidP="0041591D">
      <w:pPr>
        <w:rPr>
          <w:i/>
          <w:lang w:val="en-NZ"/>
        </w:rPr>
      </w:pPr>
      <w:r w:rsidRPr="0021270B">
        <w:rPr>
          <w:lang w:val="en-NZ"/>
        </w:rPr>
        <w:t>Residential</w:t>
      </w:r>
      <w:r w:rsidR="0041591D" w:rsidRPr="0021270B">
        <w:rPr>
          <w:lang w:val="en-NZ"/>
        </w:rPr>
        <w:t xml:space="preserve"> land should include “land that will have a dwelling on it within X months” rather than refer to an arrangement.</w:t>
      </w:r>
      <w:r w:rsidRPr="0021270B">
        <w:rPr>
          <w:lang w:val="en-NZ"/>
        </w:rPr>
        <w:t xml:space="preserve"> </w:t>
      </w:r>
      <w:r w:rsidRPr="0021270B">
        <w:rPr>
          <w:i/>
          <w:lang w:val="en-NZ"/>
        </w:rPr>
        <w:t>(New Zealand Law Society)</w:t>
      </w:r>
    </w:p>
    <w:p w:rsidR="0041591D" w:rsidRPr="0021270B" w:rsidRDefault="0041591D" w:rsidP="0041591D">
      <w:pPr>
        <w:rPr>
          <w:lang w:val="en-NZ"/>
        </w:rPr>
      </w:pPr>
    </w:p>
    <w:p w:rsidR="0041591D" w:rsidRPr="0021270B" w:rsidRDefault="0041591D" w:rsidP="0041591D">
      <w:pPr>
        <w:keepNext/>
        <w:outlineLvl w:val="1"/>
        <w:rPr>
          <w:b/>
          <w:lang w:val="en-NZ"/>
        </w:rPr>
      </w:pPr>
      <w:r w:rsidRPr="0021270B">
        <w:rPr>
          <w:b/>
          <w:lang w:val="en-NZ"/>
        </w:rPr>
        <w:t>Comment</w:t>
      </w:r>
    </w:p>
    <w:p w:rsidR="0041591D" w:rsidRPr="0021270B" w:rsidRDefault="0041591D" w:rsidP="0041591D">
      <w:pPr>
        <w:rPr>
          <w:lang w:val="en-NZ"/>
        </w:rPr>
      </w:pPr>
    </w:p>
    <w:p w:rsidR="0041591D" w:rsidRPr="0021270B" w:rsidRDefault="00BE0564" w:rsidP="0041591D">
      <w:pPr>
        <w:rPr>
          <w:lang w:val="en-NZ"/>
        </w:rPr>
      </w:pPr>
      <w:r w:rsidRPr="0021270B">
        <w:rPr>
          <w:lang w:val="en-NZ"/>
        </w:rPr>
        <w:t xml:space="preserve">Officials consider that the bill could be simplified by removing the requirement that land be “residential land” to obtain the main home exemption from providing an IRD number. This would also mean that the definitions of “dwelling” and “farmland” – which are </w:t>
      </w:r>
      <w:proofErr w:type="gramStart"/>
      <w:r w:rsidRPr="0021270B">
        <w:rPr>
          <w:lang w:val="en-NZ"/>
        </w:rPr>
        <w:t>only</w:t>
      </w:r>
      <w:proofErr w:type="gramEnd"/>
      <w:r w:rsidRPr="0021270B">
        <w:rPr>
          <w:lang w:val="en-NZ"/>
        </w:rPr>
        <w:t xml:space="preserve"> included because they are used in the definition of residential land – are not required and could be deleted. </w:t>
      </w:r>
    </w:p>
    <w:p w:rsidR="0041591D" w:rsidRPr="0021270B" w:rsidRDefault="0041591D" w:rsidP="0041591D">
      <w:pPr>
        <w:rPr>
          <w:lang w:val="en-NZ"/>
        </w:rPr>
      </w:pPr>
    </w:p>
    <w:p w:rsidR="0041591D" w:rsidRPr="0021270B" w:rsidRDefault="0041591D" w:rsidP="0041591D">
      <w:pPr>
        <w:keepNext/>
        <w:outlineLvl w:val="1"/>
        <w:rPr>
          <w:b/>
          <w:lang w:val="en-NZ"/>
        </w:rPr>
      </w:pPr>
      <w:r w:rsidRPr="0021270B">
        <w:rPr>
          <w:b/>
          <w:lang w:val="en-NZ"/>
        </w:rPr>
        <w:t>Recommendation</w:t>
      </w:r>
    </w:p>
    <w:p w:rsidR="0041591D" w:rsidRPr="0021270B" w:rsidRDefault="0041591D" w:rsidP="0041591D">
      <w:pPr>
        <w:rPr>
          <w:lang w:val="en-NZ"/>
        </w:rPr>
      </w:pPr>
    </w:p>
    <w:p w:rsidR="0041591D" w:rsidRPr="0021270B" w:rsidRDefault="0041591D" w:rsidP="0041591D">
      <w:pPr>
        <w:rPr>
          <w:lang w:val="en-NZ"/>
        </w:rPr>
      </w:pPr>
      <w:r w:rsidRPr="0021270B">
        <w:rPr>
          <w:lang w:val="en-NZ"/>
        </w:rPr>
        <w:t>That the submission</w:t>
      </w:r>
      <w:r w:rsidR="00D347DB" w:rsidRPr="0021270B">
        <w:rPr>
          <w:lang w:val="en-NZ"/>
        </w:rPr>
        <w:t>s</w:t>
      </w:r>
      <w:r w:rsidRPr="0021270B">
        <w:rPr>
          <w:lang w:val="en-NZ"/>
        </w:rPr>
        <w:t xml:space="preserve"> </w:t>
      </w:r>
      <w:proofErr w:type="gramStart"/>
      <w:r w:rsidRPr="0021270B">
        <w:rPr>
          <w:lang w:val="en-NZ"/>
        </w:rPr>
        <w:t>be</w:t>
      </w:r>
      <w:proofErr w:type="gramEnd"/>
      <w:r w:rsidR="00D347DB" w:rsidRPr="0021270B">
        <w:rPr>
          <w:lang w:val="en-NZ"/>
        </w:rPr>
        <w:t xml:space="preserve"> </w:t>
      </w:r>
      <w:r w:rsidR="008F2280" w:rsidRPr="0021270B">
        <w:rPr>
          <w:lang w:val="en-NZ"/>
        </w:rPr>
        <w:t>noted</w:t>
      </w:r>
      <w:r w:rsidR="00BE0564" w:rsidRPr="0021270B">
        <w:rPr>
          <w:lang w:val="en-NZ"/>
        </w:rPr>
        <w:t xml:space="preserve"> and that the definitions of “dwelling”, “farmland” and “residential land” be deleted from clause 156A of the Bill.</w:t>
      </w:r>
    </w:p>
    <w:p w:rsidR="0041591D" w:rsidRPr="0021270B" w:rsidRDefault="0041591D" w:rsidP="0041591D">
      <w:pPr>
        <w:pBdr>
          <w:bottom w:val="single" w:sz="4" w:space="1" w:color="auto"/>
        </w:pBdr>
        <w:rPr>
          <w:lang w:val="en-NZ"/>
        </w:rPr>
      </w:pPr>
    </w:p>
    <w:p w:rsidR="0041591D" w:rsidRPr="0021270B" w:rsidRDefault="0041591D" w:rsidP="0041591D"/>
    <w:p w:rsidR="00E640A4" w:rsidRPr="0021270B" w:rsidRDefault="00E640A4" w:rsidP="0041591D"/>
    <w:p w:rsidR="0041591D" w:rsidRPr="0021270B" w:rsidRDefault="0041591D" w:rsidP="009575F9">
      <w:pPr>
        <w:pStyle w:val="Heading5"/>
        <w:rPr>
          <w:lang w:val="en-NZ"/>
        </w:rPr>
      </w:pPr>
      <w:bookmarkStart w:id="33" w:name="_Toc427238226"/>
      <w:r w:rsidRPr="0021270B">
        <w:rPr>
          <w:lang w:val="en-NZ"/>
        </w:rPr>
        <w:t>Issue:</w:t>
      </w:r>
      <w:r w:rsidRPr="0021270B">
        <w:rPr>
          <w:lang w:val="en-NZ"/>
        </w:rPr>
        <w:tab/>
      </w:r>
      <w:r w:rsidR="00D347DB" w:rsidRPr="0021270B">
        <w:rPr>
          <w:lang w:val="en-NZ"/>
        </w:rPr>
        <w:t>Meaning of “d</w:t>
      </w:r>
      <w:r w:rsidRPr="0021270B">
        <w:rPr>
          <w:lang w:val="en-NZ"/>
        </w:rPr>
        <w:t>welling</w:t>
      </w:r>
      <w:r w:rsidR="00D347DB" w:rsidRPr="0021270B">
        <w:rPr>
          <w:lang w:val="en-NZ"/>
        </w:rPr>
        <w:t>”</w:t>
      </w:r>
      <w:bookmarkEnd w:id="33"/>
    </w:p>
    <w:p w:rsidR="0041591D" w:rsidRPr="0021270B" w:rsidRDefault="0041591D" w:rsidP="0041591D">
      <w:pPr>
        <w:rPr>
          <w:lang w:val="en-NZ"/>
        </w:rPr>
      </w:pPr>
    </w:p>
    <w:p w:rsidR="0041591D" w:rsidRPr="0021270B" w:rsidRDefault="0041591D" w:rsidP="0041591D">
      <w:pPr>
        <w:rPr>
          <w:lang w:val="en-NZ"/>
        </w:rPr>
      </w:pPr>
    </w:p>
    <w:p w:rsidR="0041591D" w:rsidRPr="0021270B" w:rsidRDefault="0041591D" w:rsidP="0041591D">
      <w:pPr>
        <w:keepNext/>
        <w:outlineLvl w:val="1"/>
        <w:rPr>
          <w:b/>
          <w:lang w:val="en-NZ"/>
        </w:rPr>
      </w:pPr>
      <w:r w:rsidRPr="0021270B">
        <w:rPr>
          <w:b/>
          <w:lang w:val="en-NZ"/>
        </w:rPr>
        <w:t>Submission</w:t>
      </w:r>
    </w:p>
    <w:p w:rsidR="0041591D" w:rsidRPr="0021270B" w:rsidRDefault="0041591D" w:rsidP="0041591D">
      <w:pPr>
        <w:keepNext/>
        <w:outlineLvl w:val="3"/>
        <w:rPr>
          <w:i/>
          <w:lang w:val="en-NZ"/>
        </w:rPr>
      </w:pPr>
      <w:r w:rsidRPr="0021270B">
        <w:rPr>
          <w:i/>
          <w:lang w:val="en-NZ"/>
        </w:rPr>
        <w:t>(New Zealand Law Society)</w:t>
      </w:r>
    </w:p>
    <w:p w:rsidR="0041591D" w:rsidRPr="0021270B" w:rsidRDefault="0041591D" w:rsidP="0041591D">
      <w:pPr>
        <w:tabs>
          <w:tab w:val="left" w:pos="5295"/>
        </w:tabs>
        <w:rPr>
          <w:lang w:val="en-NZ"/>
        </w:rPr>
      </w:pPr>
    </w:p>
    <w:p w:rsidR="0041591D" w:rsidRPr="0021270B" w:rsidRDefault="0041591D" w:rsidP="0041591D">
      <w:pPr>
        <w:rPr>
          <w:lang w:val="en-NZ"/>
        </w:rPr>
      </w:pPr>
      <w:r w:rsidRPr="0021270B">
        <w:rPr>
          <w:lang w:val="en-NZ"/>
        </w:rPr>
        <w:t>The definition of “dwelling” excludes a number of types of premises. These are presumably intended to capture the units/sections within the various premises listed, rather than the entire premises. If that is the case it should be clarified.</w:t>
      </w:r>
    </w:p>
    <w:p w:rsidR="0041591D" w:rsidRPr="0021270B" w:rsidRDefault="0041591D" w:rsidP="0041591D">
      <w:pPr>
        <w:tabs>
          <w:tab w:val="left" w:pos="5295"/>
        </w:tabs>
        <w:rPr>
          <w:lang w:val="en-NZ"/>
        </w:rPr>
      </w:pPr>
    </w:p>
    <w:p w:rsidR="0041591D" w:rsidRPr="0021270B" w:rsidRDefault="0041591D" w:rsidP="0041591D">
      <w:pPr>
        <w:rPr>
          <w:lang w:val="en-NZ"/>
        </w:rPr>
      </w:pPr>
      <w:r w:rsidRPr="0021270B">
        <w:rPr>
          <w:lang w:val="en-NZ"/>
        </w:rPr>
        <w:t>The definition of “dwelling” excludes retirement villages. This means that a person who uses a retirement village as their main home will not be able to get the benefit of the main home exemption.</w:t>
      </w:r>
    </w:p>
    <w:p w:rsidR="0041591D" w:rsidRPr="0021270B" w:rsidRDefault="0041591D" w:rsidP="0041591D">
      <w:pPr>
        <w:rPr>
          <w:lang w:val="en-NZ"/>
        </w:rPr>
      </w:pPr>
    </w:p>
    <w:p w:rsidR="0041591D" w:rsidRPr="0021270B" w:rsidRDefault="0041591D" w:rsidP="0041591D">
      <w:pPr>
        <w:keepNext/>
        <w:outlineLvl w:val="1"/>
        <w:rPr>
          <w:b/>
          <w:lang w:val="en-NZ"/>
        </w:rPr>
      </w:pPr>
      <w:r w:rsidRPr="0021270B">
        <w:rPr>
          <w:b/>
          <w:lang w:val="en-NZ"/>
        </w:rPr>
        <w:t>Comment</w:t>
      </w:r>
    </w:p>
    <w:p w:rsidR="0041591D" w:rsidRPr="0021270B" w:rsidRDefault="0041591D" w:rsidP="0041591D">
      <w:pPr>
        <w:rPr>
          <w:lang w:val="en-NZ"/>
        </w:rPr>
      </w:pPr>
    </w:p>
    <w:p w:rsidR="0041591D" w:rsidRPr="0021270B" w:rsidRDefault="008F2280" w:rsidP="0041591D">
      <w:pPr>
        <w:rPr>
          <w:lang w:val="en-NZ"/>
        </w:rPr>
      </w:pPr>
      <w:r w:rsidRPr="0021270B">
        <w:rPr>
          <w:lang w:val="en-NZ"/>
        </w:rPr>
        <w:t xml:space="preserve">As discussed above, </w:t>
      </w:r>
      <w:r w:rsidR="00D347DB" w:rsidRPr="0021270B">
        <w:rPr>
          <w:lang w:val="en-NZ"/>
        </w:rPr>
        <w:t>officials</w:t>
      </w:r>
      <w:r w:rsidR="0041591D" w:rsidRPr="0021270B">
        <w:rPr>
          <w:lang w:val="en-NZ"/>
        </w:rPr>
        <w:t xml:space="preserve"> consider that the bill could be simplified by removing the requirement that land be “residential land” to obtain the main home exemption.</w:t>
      </w:r>
    </w:p>
    <w:p w:rsidR="0041591D" w:rsidRPr="0021270B" w:rsidRDefault="0041591D" w:rsidP="0041591D">
      <w:pPr>
        <w:rPr>
          <w:lang w:val="en-NZ"/>
        </w:rPr>
      </w:pPr>
    </w:p>
    <w:p w:rsidR="0041591D" w:rsidRPr="0021270B" w:rsidRDefault="0041591D" w:rsidP="0041591D">
      <w:pPr>
        <w:rPr>
          <w:lang w:val="en-NZ"/>
        </w:rPr>
      </w:pPr>
      <w:r w:rsidRPr="0021270B">
        <w:rPr>
          <w:lang w:val="en-NZ"/>
        </w:rPr>
        <w:t>If the Committee agrees to t</w:t>
      </w:r>
      <w:r w:rsidR="00D347DB" w:rsidRPr="0021270B">
        <w:rPr>
          <w:lang w:val="en-NZ"/>
        </w:rPr>
        <w:t>hat recommendation</w:t>
      </w:r>
      <w:r w:rsidRPr="0021270B">
        <w:rPr>
          <w:lang w:val="en-NZ"/>
        </w:rPr>
        <w:t xml:space="preserve">, the definition of “dwelling” </w:t>
      </w:r>
      <w:r w:rsidR="00D347DB" w:rsidRPr="0021270B">
        <w:rPr>
          <w:lang w:val="en-NZ"/>
        </w:rPr>
        <w:t xml:space="preserve">would </w:t>
      </w:r>
      <w:r w:rsidRPr="0021270B">
        <w:rPr>
          <w:lang w:val="en-NZ"/>
        </w:rPr>
        <w:t xml:space="preserve">be </w:t>
      </w:r>
      <w:r w:rsidR="000E3F7B" w:rsidRPr="0021270B">
        <w:rPr>
          <w:lang w:val="en-NZ"/>
        </w:rPr>
        <w:t>deleted</w:t>
      </w:r>
      <w:r w:rsidRPr="0021270B">
        <w:rPr>
          <w:lang w:val="en-NZ"/>
        </w:rPr>
        <w:t xml:space="preserve">. This </w:t>
      </w:r>
      <w:r w:rsidR="00DC47EE" w:rsidRPr="0021270B">
        <w:rPr>
          <w:lang w:val="en-NZ"/>
        </w:rPr>
        <w:t xml:space="preserve">would </w:t>
      </w:r>
      <w:r w:rsidRPr="0021270B">
        <w:rPr>
          <w:lang w:val="en-NZ"/>
        </w:rPr>
        <w:t>enable people who live in retirement villages to utilise the main home exemption.</w:t>
      </w:r>
    </w:p>
    <w:p w:rsidR="0041591D" w:rsidRPr="0021270B" w:rsidRDefault="0041591D" w:rsidP="0041591D">
      <w:pPr>
        <w:rPr>
          <w:lang w:val="en-NZ"/>
        </w:rPr>
      </w:pPr>
    </w:p>
    <w:p w:rsidR="0041591D" w:rsidRPr="0021270B" w:rsidRDefault="0041591D" w:rsidP="0041591D">
      <w:pPr>
        <w:keepNext/>
        <w:outlineLvl w:val="1"/>
        <w:rPr>
          <w:b/>
          <w:lang w:val="en-NZ"/>
        </w:rPr>
      </w:pPr>
      <w:r w:rsidRPr="0021270B">
        <w:rPr>
          <w:b/>
          <w:lang w:val="en-NZ"/>
        </w:rPr>
        <w:t>Recommendation</w:t>
      </w:r>
    </w:p>
    <w:p w:rsidR="0041591D" w:rsidRPr="0021270B" w:rsidRDefault="0041591D" w:rsidP="0041591D">
      <w:pPr>
        <w:rPr>
          <w:lang w:val="en-NZ"/>
        </w:rPr>
      </w:pPr>
    </w:p>
    <w:p w:rsidR="0041591D" w:rsidRPr="0021270B" w:rsidRDefault="0041591D" w:rsidP="0041591D">
      <w:pPr>
        <w:rPr>
          <w:lang w:val="en-NZ"/>
        </w:rPr>
      </w:pPr>
      <w:r w:rsidRPr="0021270B">
        <w:rPr>
          <w:lang w:val="en-NZ"/>
        </w:rPr>
        <w:t>That the submission be noted.</w:t>
      </w:r>
    </w:p>
    <w:p w:rsidR="0041591D" w:rsidRPr="0021270B" w:rsidRDefault="0041591D" w:rsidP="0041591D">
      <w:pPr>
        <w:pBdr>
          <w:bottom w:val="single" w:sz="4" w:space="1" w:color="auto"/>
        </w:pBdr>
        <w:rPr>
          <w:lang w:val="en-NZ"/>
        </w:rPr>
      </w:pPr>
    </w:p>
    <w:p w:rsidR="0041591D" w:rsidRPr="0021270B" w:rsidRDefault="0041591D" w:rsidP="0041591D"/>
    <w:p w:rsidR="00E640A4" w:rsidRPr="0021270B" w:rsidRDefault="00E640A4" w:rsidP="0041591D"/>
    <w:p w:rsidR="009023DD" w:rsidRDefault="009023DD">
      <w:pPr>
        <w:jc w:val="left"/>
        <w:rPr>
          <w:b/>
          <w:sz w:val="26"/>
          <w:lang w:val="en-NZ"/>
        </w:rPr>
      </w:pPr>
      <w:r>
        <w:rPr>
          <w:lang w:val="en-NZ"/>
        </w:rPr>
        <w:br w:type="page"/>
      </w:r>
    </w:p>
    <w:p w:rsidR="0041591D" w:rsidRPr="0021270B" w:rsidRDefault="0041591D" w:rsidP="009575F9">
      <w:pPr>
        <w:pStyle w:val="Heading5"/>
        <w:rPr>
          <w:lang w:val="en-NZ"/>
        </w:rPr>
      </w:pPr>
      <w:bookmarkStart w:id="34" w:name="_Toc427238227"/>
      <w:r w:rsidRPr="0021270B">
        <w:rPr>
          <w:lang w:val="en-NZ"/>
        </w:rPr>
        <w:lastRenderedPageBreak/>
        <w:t>Issue:</w:t>
      </w:r>
      <w:r w:rsidRPr="0021270B">
        <w:rPr>
          <w:lang w:val="en-NZ"/>
        </w:rPr>
        <w:tab/>
      </w:r>
      <w:r w:rsidR="00D347DB" w:rsidRPr="0021270B">
        <w:rPr>
          <w:lang w:val="en-NZ"/>
        </w:rPr>
        <w:t>Meaning of “f</w:t>
      </w:r>
      <w:r w:rsidRPr="0021270B">
        <w:rPr>
          <w:lang w:val="en-NZ"/>
        </w:rPr>
        <w:t>armland</w:t>
      </w:r>
      <w:r w:rsidR="00D347DB" w:rsidRPr="0021270B">
        <w:rPr>
          <w:lang w:val="en-NZ"/>
        </w:rPr>
        <w:t>”</w:t>
      </w:r>
      <w:bookmarkEnd w:id="34"/>
    </w:p>
    <w:p w:rsidR="0041591D" w:rsidRPr="0021270B" w:rsidRDefault="0041591D" w:rsidP="0041591D">
      <w:pPr>
        <w:rPr>
          <w:lang w:val="en-NZ"/>
        </w:rPr>
      </w:pPr>
    </w:p>
    <w:p w:rsidR="0041591D" w:rsidRPr="0021270B" w:rsidRDefault="0041591D" w:rsidP="0041591D">
      <w:pPr>
        <w:rPr>
          <w:lang w:val="en-NZ"/>
        </w:rPr>
      </w:pPr>
    </w:p>
    <w:p w:rsidR="0041591D" w:rsidRPr="0021270B" w:rsidRDefault="0041591D" w:rsidP="0041591D">
      <w:pPr>
        <w:keepNext/>
        <w:outlineLvl w:val="1"/>
        <w:rPr>
          <w:b/>
          <w:lang w:val="en-NZ"/>
        </w:rPr>
      </w:pPr>
      <w:r w:rsidRPr="0021270B">
        <w:rPr>
          <w:b/>
          <w:lang w:val="en-NZ"/>
        </w:rPr>
        <w:t>Submission</w:t>
      </w:r>
    </w:p>
    <w:p w:rsidR="0041591D" w:rsidRPr="0021270B" w:rsidRDefault="0041591D" w:rsidP="0041591D">
      <w:pPr>
        <w:keepNext/>
        <w:outlineLvl w:val="3"/>
        <w:rPr>
          <w:i/>
          <w:lang w:val="en-NZ"/>
        </w:rPr>
      </w:pPr>
      <w:r w:rsidRPr="0021270B">
        <w:rPr>
          <w:i/>
          <w:lang w:val="en-NZ"/>
        </w:rPr>
        <w:t>(EY)</w:t>
      </w:r>
    </w:p>
    <w:p w:rsidR="0041591D" w:rsidRPr="0021270B" w:rsidRDefault="0041591D" w:rsidP="0041591D">
      <w:pPr>
        <w:tabs>
          <w:tab w:val="left" w:pos="5295"/>
        </w:tabs>
        <w:rPr>
          <w:lang w:val="en-NZ"/>
        </w:rPr>
      </w:pPr>
    </w:p>
    <w:p w:rsidR="0041591D" w:rsidRPr="0021270B" w:rsidRDefault="0041591D" w:rsidP="0041591D">
      <w:pPr>
        <w:rPr>
          <w:lang w:val="en-NZ"/>
        </w:rPr>
      </w:pPr>
      <w:r w:rsidRPr="0021270B">
        <w:rPr>
          <w:lang w:val="en-NZ"/>
        </w:rPr>
        <w:t>The definition of farmland should also refer to forestry, horticultural, and pastoral businesses to avoid uncertainty in the context of the Land Transfer Act 1952.</w:t>
      </w:r>
    </w:p>
    <w:p w:rsidR="0041591D" w:rsidRPr="0021270B" w:rsidRDefault="0041591D" w:rsidP="0041591D">
      <w:pPr>
        <w:rPr>
          <w:lang w:val="en-NZ"/>
        </w:rPr>
      </w:pPr>
    </w:p>
    <w:p w:rsidR="0041591D" w:rsidRPr="0021270B" w:rsidRDefault="0041591D" w:rsidP="0041591D">
      <w:pPr>
        <w:keepNext/>
        <w:outlineLvl w:val="1"/>
        <w:rPr>
          <w:b/>
          <w:lang w:val="en-NZ"/>
        </w:rPr>
      </w:pPr>
      <w:r w:rsidRPr="0021270B">
        <w:rPr>
          <w:b/>
          <w:lang w:val="en-NZ"/>
        </w:rPr>
        <w:t>Comment</w:t>
      </w:r>
    </w:p>
    <w:p w:rsidR="0041591D" w:rsidRPr="0021270B" w:rsidRDefault="0041591D" w:rsidP="0041591D">
      <w:pPr>
        <w:rPr>
          <w:lang w:val="en-NZ"/>
        </w:rPr>
      </w:pPr>
    </w:p>
    <w:p w:rsidR="0041591D" w:rsidRPr="0021270B" w:rsidRDefault="008F2280" w:rsidP="0041591D">
      <w:pPr>
        <w:rPr>
          <w:lang w:val="en-NZ"/>
        </w:rPr>
      </w:pPr>
      <w:r w:rsidRPr="0021270B">
        <w:rPr>
          <w:lang w:val="en-NZ"/>
        </w:rPr>
        <w:t xml:space="preserve">As discussed above, </w:t>
      </w:r>
      <w:r w:rsidR="00D347DB" w:rsidRPr="0021270B">
        <w:rPr>
          <w:lang w:val="en-NZ"/>
        </w:rPr>
        <w:t>officials</w:t>
      </w:r>
      <w:r w:rsidR="0041591D" w:rsidRPr="0021270B">
        <w:rPr>
          <w:lang w:val="en-NZ"/>
        </w:rPr>
        <w:t xml:space="preserve"> consider that the bill could be simplified by removing the requirement that land be “residential land” to obtain the main home exemption.</w:t>
      </w:r>
    </w:p>
    <w:p w:rsidR="0041591D" w:rsidRPr="0021270B" w:rsidRDefault="0041591D" w:rsidP="0041591D">
      <w:pPr>
        <w:rPr>
          <w:lang w:val="en-NZ"/>
        </w:rPr>
      </w:pPr>
    </w:p>
    <w:p w:rsidR="0041591D" w:rsidRPr="0021270B" w:rsidRDefault="0041591D" w:rsidP="0041591D">
      <w:pPr>
        <w:rPr>
          <w:lang w:val="en-NZ"/>
        </w:rPr>
      </w:pPr>
      <w:r w:rsidRPr="0021270B">
        <w:rPr>
          <w:lang w:val="en-NZ"/>
        </w:rPr>
        <w:t xml:space="preserve">If the Committee agrees to </w:t>
      </w:r>
      <w:r w:rsidR="00D347DB" w:rsidRPr="0021270B">
        <w:rPr>
          <w:lang w:val="en-NZ"/>
        </w:rPr>
        <w:t xml:space="preserve">that recommendation, </w:t>
      </w:r>
      <w:r w:rsidRPr="0021270B">
        <w:rPr>
          <w:lang w:val="en-NZ"/>
        </w:rPr>
        <w:t>the definition of “farmland” w</w:t>
      </w:r>
      <w:r w:rsidR="00D347DB" w:rsidRPr="0021270B">
        <w:rPr>
          <w:lang w:val="en-NZ"/>
        </w:rPr>
        <w:t>ould also</w:t>
      </w:r>
      <w:r w:rsidRPr="0021270B">
        <w:rPr>
          <w:lang w:val="en-NZ"/>
        </w:rPr>
        <w:t xml:space="preserve"> be </w:t>
      </w:r>
      <w:r w:rsidR="000E3F7B" w:rsidRPr="0021270B">
        <w:rPr>
          <w:lang w:val="en-NZ"/>
        </w:rPr>
        <w:t>deleted</w:t>
      </w:r>
      <w:r w:rsidRPr="0021270B">
        <w:rPr>
          <w:lang w:val="en-NZ"/>
        </w:rPr>
        <w:t>.</w:t>
      </w:r>
    </w:p>
    <w:p w:rsidR="0041591D" w:rsidRPr="0021270B" w:rsidRDefault="0041591D" w:rsidP="0041591D">
      <w:pPr>
        <w:rPr>
          <w:lang w:val="en-NZ"/>
        </w:rPr>
      </w:pPr>
    </w:p>
    <w:p w:rsidR="0041591D" w:rsidRPr="0021270B" w:rsidRDefault="0041591D" w:rsidP="0041591D">
      <w:pPr>
        <w:keepNext/>
        <w:outlineLvl w:val="1"/>
        <w:rPr>
          <w:b/>
          <w:lang w:val="en-NZ"/>
        </w:rPr>
      </w:pPr>
      <w:r w:rsidRPr="0021270B">
        <w:rPr>
          <w:b/>
          <w:lang w:val="en-NZ"/>
        </w:rPr>
        <w:t>Recommendation</w:t>
      </w:r>
    </w:p>
    <w:p w:rsidR="0041591D" w:rsidRPr="0021270B" w:rsidRDefault="0041591D" w:rsidP="0041591D">
      <w:pPr>
        <w:rPr>
          <w:lang w:val="en-NZ"/>
        </w:rPr>
      </w:pPr>
    </w:p>
    <w:p w:rsidR="0041591D" w:rsidRPr="0021270B" w:rsidRDefault="0041591D" w:rsidP="00802435">
      <w:pPr>
        <w:rPr>
          <w:color w:val="FF0000"/>
          <w:lang w:val="en-NZ"/>
        </w:rPr>
      </w:pPr>
      <w:r w:rsidRPr="0021270B">
        <w:rPr>
          <w:lang w:val="en-NZ"/>
        </w:rPr>
        <w:t>That the submission be noted.</w:t>
      </w:r>
    </w:p>
    <w:p w:rsidR="0041591D" w:rsidRPr="0021270B" w:rsidRDefault="0041591D" w:rsidP="009023DD">
      <w:pPr>
        <w:keepNext/>
        <w:jc w:val="left"/>
        <w:outlineLvl w:val="0"/>
        <w:rPr>
          <w:b/>
          <w:caps/>
          <w:sz w:val="26"/>
          <w:lang w:val="en-NZ"/>
        </w:rPr>
      </w:pPr>
    </w:p>
    <w:p w:rsidR="0041591D" w:rsidRPr="0021270B" w:rsidRDefault="0041591D">
      <w:pPr>
        <w:jc w:val="left"/>
        <w:rPr>
          <w:b/>
          <w:caps/>
          <w:sz w:val="26"/>
          <w:lang w:val="en-NZ"/>
        </w:rPr>
      </w:pPr>
      <w:r w:rsidRPr="0021270B">
        <w:rPr>
          <w:b/>
          <w:caps/>
          <w:sz w:val="26"/>
          <w:lang w:val="en-NZ"/>
        </w:rPr>
        <w:br w:type="page"/>
      </w:r>
    </w:p>
    <w:p w:rsidR="00A047DE" w:rsidRPr="0021270B" w:rsidRDefault="0041591D" w:rsidP="009575F9">
      <w:pPr>
        <w:pStyle w:val="Heading1"/>
      </w:pPr>
      <w:bookmarkStart w:id="35" w:name="_Toc427238228"/>
      <w:r w:rsidRPr="0021270B">
        <w:lastRenderedPageBreak/>
        <w:t xml:space="preserve">Other interests in </w:t>
      </w:r>
      <w:r w:rsidR="00A047DE" w:rsidRPr="0021270B">
        <w:t>land</w:t>
      </w:r>
      <w:bookmarkEnd w:id="35"/>
    </w:p>
    <w:p w:rsidR="00A047DE" w:rsidRPr="0021270B" w:rsidRDefault="00A047DE" w:rsidP="00A047DE">
      <w:pPr>
        <w:rPr>
          <w:lang w:val="en-NZ"/>
        </w:rPr>
      </w:pPr>
    </w:p>
    <w:p w:rsidR="00936097" w:rsidRPr="0021270B" w:rsidRDefault="00936097" w:rsidP="00936097">
      <w:pPr>
        <w:rPr>
          <w:color w:val="FF0000"/>
        </w:rPr>
      </w:pPr>
    </w:p>
    <w:p w:rsidR="00936097" w:rsidRPr="0021270B" w:rsidRDefault="00936097" w:rsidP="009575F9">
      <w:pPr>
        <w:pStyle w:val="Heading5"/>
        <w:rPr>
          <w:lang w:val="en-NZ"/>
        </w:rPr>
      </w:pPr>
      <w:bookmarkStart w:id="36" w:name="_Toc427238229"/>
      <w:r w:rsidRPr="0021270B">
        <w:rPr>
          <w:lang w:val="en-NZ"/>
        </w:rPr>
        <w:t>Issue:</w:t>
      </w:r>
      <w:r w:rsidRPr="0021270B">
        <w:rPr>
          <w:lang w:val="en-NZ"/>
        </w:rPr>
        <w:tab/>
        <w:t>Specified estates in land</w:t>
      </w:r>
      <w:bookmarkEnd w:id="36"/>
    </w:p>
    <w:p w:rsidR="00936097" w:rsidRPr="0021270B" w:rsidRDefault="00936097" w:rsidP="00936097">
      <w:pPr>
        <w:rPr>
          <w:lang w:val="en-NZ"/>
        </w:rPr>
      </w:pPr>
    </w:p>
    <w:p w:rsidR="00936097" w:rsidRPr="0021270B" w:rsidRDefault="00936097" w:rsidP="00936097">
      <w:pPr>
        <w:rPr>
          <w:lang w:val="en-NZ"/>
        </w:rPr>
      </w:pPr>
    </w:p>
    <w:p w:rsidR="00936097" w:rsidRPr="0021270B" w:rsidRDefault="00936097" w:rsidP="00936097">
      <w:pPr>
        <w:keepNext/>
        <w:outlineLvl w:val="1"/>
        <w:rPr>
          <w:b/>
          <w:lang w:val="en-NZ"/>
        </w:rPr>
      </w:pPr>
      <w:r w:rsidRPr="0021270B">
        <w:rPr>
          <w:b/>
          <w:lang w:val="en-NZ"/>
        </w:rPr>
        <w:t>Submission</w:t>
      </w:r>
    </w:p>
    <w:p w:rsidR="00936097" w:rsidRPr="0021270B" w:rsidRDefault="001C72A5" w:rsidP="00936097">
      <w:pPr>
        <w:keepNext/>
        <w:outlineLvl w:val="3"/>
        <w:rPr>
          <w:i/>
          <w:lang w:val="en-NZ"/>
        </w:rPr>
      </w:pPr>
      <w:r w:rsidRPr="0021270B">
        <w:rPr>
          <w:i/>
          <w:lang w:val="en-NZ"/>
        </w:rPr>
        <w:t>(</w:t>
      </w:r>
      <w:r w:rsidR="002E3B66" w:rsidRPr="0021270B">
        <w:rPr>
          <w:i/>
          <w:lang w:val="en-NZ"/>
        </w:rPr>
        <w:t>Chartered Accountants Australia and New Zealand</w:t>
      </w:r>
      <w:r w:rsidRPr="0021270B">
        <w:rPr>
          <w:i/>
          <w:lang w:val="en-NZ"/>
        </w:rPr>
        <w:t>)</w:t>
      </w:r>
    </w:p>
    <w:p w:rsidR="00936097" w:rsidRPr="0021270B" w:rsidRDefault="00936097" w:rsidP="00936097">
      <w:pPr>
        <w:tabs>
          <w:tab w:val="left" w:pos="5295"/>
        </w:tabs>
        <w:rPr>
          <w:lang w:val="en-NZ"/>
        </w:rPr>
      </w:pPr>
    </w:p>
    <w:p w:rsidR="00936097" w:rsidRPr="0021270B" w:rsidRDefault="001C72A5" w:rsidP="00936097">
      <w:pPr>
        <w:rPr>
          <w:b/>
          <w:bCs/>
        </w:rPr>
      </w:pPr>
      <w:r w:rsidRPr="0021270B">
        <w:t>It should</w:t>
      </w:r>
      <w:r w:rsidR="00936097" w:rsidRPr="0021270B">
        <w:t xml:space="preserve"> be communicated widely and explicitly that the proposed changes affect all transfers of “specified estates in land”. For instance, land other than residential land will be affected.</w:t>
      </w:r>
    </w:p>
    <w:p w:rsidR="00936097" w:rsidRPr="0021270B" w:rsidRDefault="00936097" w:rsidP="00936097">
      <w:pPr>
        <w:rPr>
          <w:lang w:val="en-NZ"/>
        </w:rPr>
      </w:pPr>
    </w:p>
    <w:p w:rsidR="00936097" w:rsidRPr="0021270B" w:rsidRDefault="00936097" w:rsidP="00936097">
      <w:pPr>
        <w:keepNext/>
        <w:outlineLvl w:val="1"/>
        <w:rPr>
          <w:b/>
          <w:lang w:val="en-NZ"/>
        </w:rPr>
      </w:pPr>
      <w:r w:rsidRPr="0021270B">
        <w:rPr>
          <w:b/>
          <w:lang w:val="en-NZ"/>
        </w:rPr>
        <w:t>Comment</w:t>
      </w:r>
    </w:p>
    <w:p w:rsidR="00936097" w:rsidRPr="0021270B" w:rsidRDefault="00936097" w:rsidP="00936097">
      <w:pPr>
        <w:rPr>
          <w:lang w:val="en-NZ"/>
        </w:rPr>
      </w:pPr>
    </w:p>
    <w:p w:rsidR="000E3F7B" w:rsidRPr="0021270B" w:rsidRDefault="000E3F7B" w:rsidP="00936097">
      <w:pPr>
        <w:rPr>
          <w:lang w:val="en-NZ"/>
        </w:rPr>
      </w:pPr>
      <w:r w:rsidRPr="0021270B">
        <w:rPr>
          <w:lang w:val="en-NZ"/>
        </w:rPr>
        <w:t>Plain English guidance for buyers, sellers and conveyancers will be provided.</w:t>
      </w:r>
    </w:p>
    <w:p w:rsidR="000E3F7B" w:rsidRPr="0021270B" w:rsidRDefault="000E3F7B" w:rsidP="00936097">
      <w:pPr>
        <w:rPr>
          <w:lang w:val="en-NZ"/>
        </w:rPr>
      </w:pPr>
    </w:p>
    <w:p w:rsidR="00936097" w:rsidRPr="0021270B" w:rsidRDefault="00936097" w:rsidP="00936097">
      <w:pPr>
        <w:keepNext/>
        <w:outlineLvl w:val="1"/>
        <w:rPr>
          <w:b/>
          <w:lang w:val="en-NZ"/>
        </w:rPr>
      </w:pPr>
      <w:r w:rsidRPr="0021270B">
        <w:rPr>
          <w:b/>
          <w:lang w:val="en-NZ"/>
        </w:rPr>
        <w:t>Recommendation</w:t>
      </w:r>
    </w:p>
    <w:p w:rsidR="00936097" w:rsidRPr="0021270B" w:rsidRDefault="00936097" w:rsidP="00936097">
      <w:pPr>
        <w:rPr>
          <w:lang w:val="en-NZ"/>
        </w:rPr>
      </w:pPr>
    </w:p>
    <w:p w:rsidR="00936097" w:rsidRPr="0021270B" w:rsidRDefault="00936097" w:rsidP="00936097">
      <w:pPr>
        <w:rPr>
          <w:lang w:val="en-NZ"/>
        </w:rPr>
      </w:pPr>
      <w:r w:rsidRPr="0021270B">
        <w:rPr>
          <w:lang w:val="en-NZ"/>
        </w:rPr>
        <w:t xml:space="preserve">That the submission be </w:t>
      </w:r>
      <w:r w:rsidR="00701941" w:rsidRPr="0021270B">
        <w:rPr>
          <w:lang w:val="en-NZ"/>
        </w:rPr>
        <w:t>noted.</w:t>
      </w:r>
    </w:p>
    <w:p w:rsidR="002E3B66" w:rsidRPr="0021270B" w:rsidRDefault="002E3B66" w:rsidP="002E3B66">
      <w:pPr>
        <w:pBdr>
          <w:bottom w:val="single" w:sz="4" w:space="1" w:color="auto"/>
        </w:pBdr>
        <w:rPr>
          <w:lang w:val="en-NZ"/>
        </w:rPr>
      </w:pPr>
    </w:p>
    <w:p w:rsidR="002E3B66" w:rsidRPr="0021270B" w:rsidRDefault="002E3B66" w:rsidP="002E3B66"/>
    <w:p w:rsidR="00E640A4" w:rsidRPr="0021270B" w:rsidRDefault="00E640A4" w:rsidP="002E3B66"/>
    <w:p w:rsidR="002E3B66" w:rsidRPr="0021270B" w:rsidRDefault="002E3B66" w:rsidP="009575F9">
      <w:pPr>
        <w:pStyle w:val="Heading5"/>
        <w:rPr>
          <w:lang w:val="en-NZ"/>
        </w:rPr>
      </w:pPr>
      <w:bookmarkStart w:id="37" w:name="_Toc427238230"/>
      <w:r w:rsidRPr="0021270B">
        <w:rPr>
          <w:lang w:val="en-NZ"/>
        </w:rPr>
        <w:t>Issue:</w:t>
      </w:r>
      <w:r w:rsidRPr="0021270B">
        <w:rPr>
          <w:lang w:val="en-NZ"/>
        </w:rPr>
        <w:tab/>
        <w:t>Cross lease properties included</w:t>
      </w:r>
      <w:bookmarkEnd w:id="37"/>
    </w:p>
    <w:p w:rsidR="002E3B66" w:rsidRPr="0021270B" w:rsidRDefault="002E3B66" w:rsidP="002E3B66">
      <w:pPr>
        <w:rPr>
          <w:lang w:val="en-NZ"/>
        </w:rPr>
      </w:pPr>
    </w:p>
    <w:p w:rsidR="002E3B66" w:rsidRPr="0021270B" w:rsidRDefault="002E3B66" w:rsidP="002E3B66">
      <w:pPr>
        <w:rPr>
          <w:lang w:val="en-NZ"/>
        </w:rPr>
      </w:pPr>
    </w:p>
    <w:p w:rsidR="002E3B66" w:rsidRPr="0021270B" w:rsidRDefault="002E3B66" w:rsidP="002E3B66">
      <w:pPr>
        <w:keepNext/>
        <w:outlineLvl w:val="1"/>
        <w:rPr>
          <w:b/>
          <w:lang w:val="en-NZ"/>
        </w:rPr>
      </w:pPr>
      <w:r w:rsidRPr="0021270B">
        <w:rPr>
          <w:b/>
          <w:lang w:val="en-NZ"/>
        </w:rPr>
        <w:t>Submission</w:t>
      </w:r>
    </w:p>
    <w:p w:rsidR="002E3B66" w:rsidRPr="0021270B" w:rsidRDefault="001C72A5" w:rsidP="002E3B66">
      <w:pPr>
        <w:keepNext/>
        <w:outlineLvl w:val="3"/>
        <w:rPr>
          <w:i/>
          <w:lang w:val="en-NZ"/>
        </w:rPr>
      </w:pPr>
      <w:r w:rsidRPr="0021270B">
        <w:rPr>
          <w:i/>
          <w:lang w:val="en-NZ"/>
        </w:rPr>
        <w:t>(</w:t>
      </w:r>
      <w:r w:rsidR="002E3B66" w:rsidRPr="0021270B">
        <w:rPr>
          <w:i/>
          <w:lang w:val="en-NZ"/>
        </w:rPr>
        <w:t>Auckland District Law Society</w:t>
      </w:r>
      <w:r w:rsidRPr="0021270B">
        <w:rPr>
          <w:i/>
          <w:lang w:val="en-NZ"/>
        </w:rPr>
        <w:t>)</w:t>
      </w:r>
    </w:p>
    <w:p w:rsidR="002E3B66" w:rsidRPr="0021270B" w:rsidRDefault="002E3B66" w:rsidP="002E3B66">
      <w:pPr>
        <w:tabs>
          <w:tab w:val="left" w:pos="5295"/>
        </w:tabs>
        <w:rPr>
          <w:lang w:val="en-NZ"/>
        </w:rPr>
      </w:pPr>
    </w:p>
    <w:p w:rsidR="002E3B66" w:rsidRPr="0021270B" w:rsidRDefault="002E3B66" w:rsidP="002E3B66">
      <w:pPr>
        <w:rPr>
          <w:b/>
          <w:bCs/>
        </w:rPr>
      </w:pPr>
      <w:r w:rsidRPr="0021270B">
        <w:t xml:space="preserve">Cross lease properties should also be included within the definition of </w:t>
      </w:r>
      <w:r w:rsidR="00DC47EE" w:rsidRPr="0021270B">
        <w:t>“</w:t>
      </w:r>
      <w:r w:rsidRPr="0021270B">
        <w:t>specified estate in land</w:t>
      </w:r>
      <w:r w:rsidR="00DC47EE" w:rsidRPr="0021270B">
        <w:t>”</w:t>
      </w:r>
      <w:r w:rsidRPr="0021270B">
        <w:t>.</w:t>
      </w:r>
    </w:p>
    <w:p w:rsidR="002E3B66" w:rsidRPr="0021270B" w:rsidRDefault="002E3B66" w:rsidP="002E3B66">
      <w:pPr>
        <w:rPr>
          <w:lang w:val="en-NZ"/>
        </w:rPr>
      </w:pPr>
    </w:p>
    <w:p w:rsidR="002E3B66" w:rsidRPr="0021270B" w:rsidRDefault="002E3B66" w:rsidP="002E3B66">
      <w:pPr>
        <w:keepNext/>
        <w:outlineLvl w:val="1"/>
        <w:rPr>
          <w:b/>
          <w:lang w:val="en-NZ"/>
        </w:rPr>
      </w:pPr>
      <w:r w:rsidRPr="0021270B">
        <w:rPr>
          <w:b/>
          <w:lang w:val="en-NZ"/>
        </w:rPr>
        <w:t>Comment</w:t>
      </w:r>
    </w:p>
    <w:p w:rsidR="002E3B66" w:rsidRPr="0021270B" w:rsidRDefault="002E3B66" w:rsidP="002E3B66">
      <w:pPr>
        <w:rPr>
          <w:lang w:val="en-NZ"/>
        </w:rPr>
      </w:pPr>
    </w:p>
    <w:p w:rsidR="002E3B66" w:rsidRPr="0021270B" w:rsidRDefault="00A60C46" w:rsidP="002E3B66">
      <w:pPr>
        <w:rPr>
          <w:lang w:val="en-NZ"/>
        </w:rPr>
      </w:pPr>
      <w:r w:rsidRPr="0021270B">
        <w:rPr>
          <w:lang w:val="en-NZ"/>
        </w:rPr>
        <w:t>Cross lease properties are a form of leasehold estate in land so are already included as a specified estate in land in s156A of the Bill.</w:t>
      </w:r>
    </w:p>
    <w:p w:rsidR="00A60C46" w:rsidRPr="0021270B" w:rsidRDefault="00A60C46" w:rsidP="002E3B66">
      <w:pPr>
        <w:rPr>
          <w:lang w:val="en-NZ"/>
        </w:rPr>
      </w:pPr>
    </w:p>
    <w:p w:rsidR="002E3B66" w:rsidRPr="0021270B" w:rsidRDefault="002E3B66" w:rsidP="002E3B66">
      <w:pPr>
        <w:keepNext/>
        <w:outlineLvl w:val="1"/>
        <w:rPr>
          <w:b/>
          <w:lang w:val="en-NZ"/>
        </w:rPr>
      </w:pPr>
      <w:r w:rsidRPr="0021270B">
        <w:rPr>
          <w:b/>
          <w:lang w:val="en-NZ"/>
        </w:rPr>
        <w:t>Recommendation</w:t>
      </w:r>
    </w:p>
    <w:p w:rsidR="002E3B66" w:rsidRPr="0021270B" w:rsidRDefault="002E3B66" w:rsidP="002E3B66">
      <w:pPr>
        <w:rPr>
          <w:lang w:val="en-NZ"/>
        </w:rPr>
      </w:pPr>
    </w:p>
    <w:p w:rsidR="002E3B66" w:rsidRPr="0021270B" w:rsidRDefault="00A60C46" w:rsidP="002E3B66">
      <w:pPr>
        <w:rPr>
          <w:lang w:val="en-NZ"/>
        </w:rPr>
      </w:pPr>
      <w:r w:rsidRPr="0021270B">
        <w:rPr>
          <w:lang w:val="en-NZ"/>
        </w:rPr>
        <w:t>That the submission be noted.</w:t>
      </w:r>
    </w:p>
    <w:p w:rsidR="00A047DE" w:rsidRPr="0021270B" w:rsidRDefault="00A047DE" w:rsidP="00A047DE">
      <w:pPr>
        <w:jc w:val="left"/>
        <w:rPr>
          <w:color w:val="FF0000"/>
          <w:lang w:val="en-NZ"/>
        </w:rPr>
      </w:pPr>
      <w:r w:rsidRPr="0021270B">
        <w:rPr>
          <w:color w:val="FF0000"/>
          <w:lang w:val="en-NZ"/>
        </w:rPr>
        <w:br w:type="page"/>
      </w:r>
    </w:p>
    <w:p w:rsidR="0041591D" w:rsidRPr="0021270B" w:rsidRDefault="0041591D" w:rsidP="00A047DE">
      <w:pPr>
        <w:jc w:val="left"/>
        <w:rPr>
          <w:color w:val="FF0000"/>
          <w:lang w:val="en-NZ"/>
        </w:rPr>
      </w:pPr>
    </w:p>
    <w:p w:rsidR="0041591D" w:rsidRPr="0021270B" w:rsidRDefault="0041591D" w:rsidP="009575F9">
      <w:pPr>
        <w:pStyle w:val="Heading1"/>
      </w:pPr>
      <w:bookmarkStart w:id="38" w:name="_Toc427238231"/>
      <w:r w:rsidRPr="0021270B">
        <w:t>Exemptions specified by regulations</w:t>
      </w:r>
      <w:bookmarkEnd w:id="38"/>
    </w:p>
    <w:p w:rsidR="0041591D" w:rsidRPr="009023DD" w:rsidRDefault="0041591D" w:rsidP="0041591D">
      <w:pPr>
        <w:rPr>
          <w:sz w:val="20"/>
          <w:lang w:val="en-NZ"/>
        </w:rPr>
      </w:pPr>
    </w:p>
    <w:p w:rsidR="00E640A4" w:rsidRPr="009023DD" w:rsidRDefault="00E640A4" w:rsidP="0041591D">
      <w:pPr>
        <w:rPr>
          <w:sz w:val="20"/>
          <w:lang w:val="en-NZ"/>
        </w:rPr>
      </w:pPr>
    </w:p>
    <w:p w:rsidR="008D1E27" w:rsidRPr="0021270B" w:rsidRDefault="008D1E27" w:rsidP="00E11524">
      <w:pPr>
        <w:pStyle w:val="Heading5"/>
        <w:rPr>
          <w:lang w:val="en-NZ"/>
        </w:rPr>
      </w:pPr>
      <w:bookmarkStart w:id="39" w:name="_Toc427238232"/>
      <w:r w:rsidRPr="0021270B">
        <w:rPr>
          <w:lang w:val="en-NZ"/>
        </w:rPr>
        <w:t>Issue:</w:t>
      </w:r>
      <w:r w:rsidRPr="0021270B">
        <w:rPr>
          <w:lang w:val="en-NZ"/>
        </w:rPr>
        <w:tab/>
        <w:t>Reconsidering exemptions specified by regulations</w:t>
      </w:r>
      <w:bookmarkEnd w:id="39"/>
    </w:p>
    <w:p w:rsidR="008D1E27" w:rsidRPr="009023DD" w:rsidRDefault="008D1E27" w:rsidP="0041591D">
      <w:pPr>
        <w:rPr>
          <w:sz w:val="20"/>
          <w:lang w:val="en-NZ"/>
        </w:rPr>
      </w:pPr>
    </w:p>
    <w:p w:rsidR="0041591D" w:rsidRPr="009023DD" w:rsidRDefault="0041591D" w:rsidP="0041591D">
      <w:pPr>
        <w:rPr>
          <w:sz w:val="20"/>
          <w:lang w:val="en-NZ"/>
        </w:rPr>
      </w:pPr>
    </w:p>
    <w:p w:rsidR="0041591D" w:rsidRPr="0021270B" w:rsidRDefault="0041591D" w:rsidP="0041591D">
      <w:pPr>
        <w:keepNext/>
        <w:outlineLvl w:val="1"/>
        <w:rPr>
          <w:b/>
          <w:lang w:val="en-NZ"/>
        </w:rPr>
      </w:pPr>
      <w:r w:rsidRPr="0021270B">
        <w:rPr>
          <w:b/>
          <w:lang w:val="en-NZ"/>
        </w:rPr>
        <w:t>Submission</w:t>
      </w:r>
    </w:p>
    <w:p w:rsidR="0041591D" w:rsidRPr="0021270B" w:rsidRDefault="001C72A5" w:rsidP="0041591D">
      <w:pPr>
        <w:keepNext/>
        <w:outlineLvl w:val="3"/>
        <w:rPr>
          <w:i/>
          <w:lang w:val="en-NZ"/>
        </w:rPr>
      </w:pPr>
      <w:r w:rsidRPr="0021270B">
        <w:rPr>
          <w:i/>
          <w:lang w:val="en-NZ"/>
        </w:rPr>
        <w:t>(</w:t>
      </w:r>
      <w:r w:rsidR="00DC47EE" w:rsidRPr="0021270B">
        <w:rPr>
          <w:i/>
          <w:lang w:val="en-NZ"/>
        </w:rPr>
        <w:t xml:space="preserve">Chapman Tripp, </w:t>
      </w:r>
      <w:r w:rsidR="0041591D" w:rsidRPr="0021270B">
        <w:rPr>
          <w:i/>
          <w:lang w:val="en-NZ"/>
        </w:rPr>
        <w:t>Chartered Accountants Australia and New Zealan</w:t>
      </w:r>
      <w:r w:rsidR="00DC47EE" w:rsidRPr="0021270B">
        <w:rPr>
          <w:i/>
          <w:lang w:val="en-NZ"/>
        </w:rPr>
        <w:t>d</w:t>
      </w:r>
      <w:r w:rsidRPr="0021270B">
        <w:rPr>
          <w:i/>
          <w:lang w:val="en-NZ"/>
        </w:rPr>
        <w:t>)</w:t>
      </w:r>
    </w:p>
    <w:p w:rsidR="0041591D" w:rsidRPr="009023DD" w:rsidRDefault="0041591D" w:rsidP="0041591D">
      <w:pPr>
        <w:tabs>
          <w:tab w:val="left" w:pos="5295"/>
        </w:tabs>
        <w:rPr>
          <w:sz w:val="20"/>
          <w:lang w:val="en-NZ"/>
        </w:rPr>
      </w:pPr>
    </w:p>
    <w:p w:rsidR="0041591D" w:rsidRPr="0021270B" w:rsidRDefault="00DC47EE" w:rsidP="0041591D">
      <w:pPr>
        <w:rPr>
          <w:bCs/>
        </w:rPr>
      </w:pPr>
      <w:r w:rsidRPr="0021270B">
        <w:rPr>
          <w:bCs/>
        </w:rPr>
        <w:t>The</w:t>
      </w:r>
      <w:r w:rsidR="0041591D" w:rsidRPr="0021270B">
        <w:rPr>
          <w:bCs/>
        </w:rPr>
        <w:t xml:space="preserve"> exemption</w:t>
      </w:r>
      <w:r w:rsidR="002346E3" w:rsidRPr="0021270B">
        <w:rPr>
          <w:bCs/>
        </w:rPr>
        <w:t>s to be</w:t>
      </w:r>
      <w:r w:rsidR="0041591D" w:rsidRPr="0021270B">
        <w:rPr>
          <w:bCs/>
        </w:rPr>
        <w:t xml:space="preserve"> specified in regulations</w:t>
      </w:r>
      <w:r w:rsidRPr="0021270B">
        <w:rPr>
          <w:bCs/>
        </w:rPr>
        <w:t xml:space="preserve"> should be reconsidered</w:t>
      </w:r>
      <w:r w:rsidR="0041591D" w:rsidRPr="0021270B">
        <w:rPr>
          <w:bCs/>
        </w:rPr>
        <w:t>, or public consultation on proposed regulations</w:t>
      </w:r>
      <w:r w:rsidRPr="0021270B">
        <w:rPr>
          <w:bCs/>
        </w:rPr>
        <w:t xml:space="preserve"> should be provided for</w:t>
      </w:r>
      <w:r w:rsidR="0041591D" w:rsidRPr="0021270B">
        <w:rPr>
          <w:bCs/>
        </w:rPr>
        <w:t>.</w:t>
      </w:r>
    </w:p>
    <w:p w:rsidR="0041591D" w:rsidRPr="009023DD" w:rsidRDefault="0041591D" w:rsidP="0041591D">
      <w:pPr>
        <w:rPr>
          <w:bCs/>
          <w:sz w:val="20"/>
        </w:rPr>
      </w:pPr>
    </w:p>
    <w:p w:rsidR="0041591D" w:rsidRPr="0021270B" w:rsidRDefault="0041591D" w:rsidP="0041591D">
      <w:pPr>
        <w:rPr>
          <w:bCs/>
          <w:i/>
        </w:rPr>
      </w:pPr>
      <w:r w:rsidRPr="0021270B">
        <w:rPr>
          <w:bCs/>
        </w:rPr>
        <w:t>In addition, the “low risk of tax avoidance” reason for the Minister making regulations that would exempt certain transfers</w:t>
      </w:r>
      <w:r w:rsidR="00DC47EE" w:rsidRPr="0021270B">
        <w:rPr>
          <w:bCs/>
        </w:rPr>
        <w:t xml:space="preserve"> should be reconsidered</w:t>
      </w:r>
      <w:r w:rsidRPr="0021270B">
        <w:rPr>
          <w:bCs/>
        </w:rPr>
        <w:t>.</w:t>
      </w:r>
      <w:r w:rsidR="008D1E27" w:rsidRPr="0021270B">
        <w:rPr>
          <w:bCs/>
        </w:rPr>
        <w:t xml:space="preserve"> </w:t>
      </w:r>
      <w:r w:rsidR="008D1E27" w:rsidRPr="0021270B">
        <w:rPr>
          <w:bCs/>
          <w:i/>
        </w:rPr>
        <w:t>(Chartered Accountants Australia and New Zealand)</w:t>
      </w:r>
    </w:p>
    <w:p w:rsidR="0041591D" w:rsidRPr="009023DD" w:rsidRDefault="0041591D" w:rsidP="0041591D">
      <w:pPr>
        <w:rPr>
          <w:bCs/>
          <w:sz w:val="20"/>
        </w:rPr>
      </w:pPr>
    </w:p>
    <w:p w:rsidR="0041591D" w:rsidRPr="0021270B" w:rsidRDefault="00DC47EE" w:rsidP="0041591D">
      <w:pPr>
        <w:rPr>
          <w:bCs/>
        </w:rPr>
      </w:pPr>
      <w:r w:rsidRPr="0021270B">
        <w:rPr>
          <w:bCs/>
        </w:rPr>
        <w:t>The</w:t>
      </w:r>
      <w:r w:rsidR="0041591D" w:rsidRPr="0021270B">
        <w:rPr>
          <w:bCs/>
        </w:rPr>
        <w:t xml:space="preserve"> relevant provision </w:t>
      </w:r>
      <w:proofErr w:type="gramStart"/>
      <w:r w:rsidR="0041591D" w:rsidRPr="0021270B">
        <w:rPr>
          <w:bCs/>
        </w:rPr>
        <w:t>be</w:t>
      </w:r>
      <w:proofErr w:type="gramEnd"/>
      <w:r w:rsidR="0041591D" w:rsidRPr="0021270B">
        <w:rPr>
          <w:bCs/>
        </w:rPr>
        <w:t xml:space="preserve"> limited to administrative details required to make the two class exemptions of the explanatory note to the Bill workable.</w:t>
      </w:r>
      <w:r w:rsidRPr="0021270B">
        <w:rPr>
          <w:bCs/>
        </w:rPr>
        <w:t xml:space="preserve"> </w:t>
      </w:r>
      <w:r w:rsidRPr="0021270B">
        <w:rPr>
          <w:bCs/>
          <w:i/>
        </w:rPr>
        <w:t>(Chapman Tripp)</w:t>
      </w:r>
    </w:p>
    <w:p w:rsidR="0041591D" w:rsidRPr="009023DD" w:rsidRDefault="0041591D" w:rsidP="0041591D">
      <w:pPr>
        <w:rPr>
          <w:sz w:val="20"/>
          <w:lang w:val="en-NZ"/>
        </w:rPr>
      </w:pPr>
    </w:p>
    <w:p w:rsidR="0041591D" w:rsidRPr="0021270B" w:rsidRDefault="0041591D" w:rsidP="0041591D">
      <w:pPr>
        <w:keepNext/>
        <w:outlineLvl w:val="1"/>
        <w:rPr>
          <w:b/>
          <w:lang w:val="en-NZ"/>
        </w:rPr>
      </w:pPr>
      <w:r w:rsidRPr="0021270B">
        <w:rPr>
          <w:b/>
          <w:lang w:val="en-NZ"/>
        </w:rPr>
        <w:t>Comment</w:t>
      </w:r>
    </w:p>
    <w:p w:rsidR="0041591D" w:rsidRPr="009023DD" w:rsidRDefault="0041591D" w:rsidP="0041591D">
      <w:pPr>
        <w:rPr>
          <w:sz w:val="20"/>
          <w:lang w:val="en-NZ"/>
        </w:rPr>
      </w:pPr>
    </w:p>
    <w:p w:rsidR="002E353D" w:rsidRPr="0021270B" w:rsidRDefault="002E353D" w:rsidP="0041591D">
      <w:pPr>
        <w:rPr>
          <w:lang w:val="en-NZ"/>
        </w:rPr>
      </w:pPr>
      <w:r w:rsidRPr="0021270B">
        <w:rPr>
          <w:lang w:val="en-NZ"/>
        </w:rPr>
        <w:t xml:space="preserve">The Bill provides that the exemption is only to be applied in a narrow set of circumstances, where it is impractical or involves high compliance costs or where there is a low risk of tax avoidance. The number of transfers that will fall within qualifying categories is likely to be limited. </w:t>
      </w:r>
    </w:p>
    <w:p w:rsidR="002E353D" w:rsidRPr="009023DD" w:rsidRDefault="002E353D" w:rsidP="0041591D">
      <w:pPr>
        <w:rPr>
          <w:sz w:val="20"/>
          <w:lang w:val="en-NZ"/>
        </w:rPr>
      </w:pPr>
    </w:p>
    <w:p w:rsidR="002E353D" w:rsidRPr="0021270B" w:rsidRDefault="0041591D" w:rsidP="0041591D">
      <w:pPr>
        <w:rPr>
          <w:lang w:val="en-NZ"/>
        </w:rPr>
      </w:pPr>
      <w:r w:rsidRPr="0021270B">
        <w:rPr>
          <w:lang w:val="en-NZ"/>
        </w:rPr>
        <w:t>The “low risk of tax avoidance” criterion aligns with one of the underlying policy objectives of the Bill</w:t>
      </w:r>
      <w:r w:rsidR="00DC47EE" w:rsidRPr="0021270B">
        <w:rPr>
          <w:lang w:val="en-NZ"/>
        </w:rPr>
        <w:t>,</w:t>
      </w:r>
      <w:r w:rsidRPr="0021270B">
        <w:rPr>
          <w:lang w:val="en-NZ"/>
        </w:rPr>
        <w:t xml:space="preserve"> which is to improve tax compliance. The process of introducing any regulations will involve consultation with key stakeholders.</w:t>
      </w:r>
    </w:p>
    <w:p w:rsidR="0041591D" w:rsidRPr="009023DD" w:rsidRDefault="0041591D" w:rsidP="0041591D">
      <w:pPr>
        <w:rPr>
          <w:sz w:val="20"/>
          <w:lang w:val="en-NZ"/>
        </w:rPr>
      </w:pPr>
    </w:p>
    <w:p w:rsidR="0041591D" w:rsidRPr="0021270B" w:rsidRDefault="0041591D" w:rsidP="0041591D">
      <w:pPr>
        <w:keepNext/>
        <w:outlineLvl w:val="1"/>
        <w:rPr>
          <w:b/>
          <w:lang w:val="en-NZ"/>
        </w:rPr>
      </w:pPr>
      <w:r w:rsidRPr="0021270B">
        <w:rPr>
          <w:b/>
          <w:lang w:val="en-NZ"/>
        </w:rPr>
        <w:t>Recommendation</w:t>
      </w:r>
    </w:p>
    <w:p w:rsidR="0041591D" w:rsidRPr="009023DD" w:rsidRDefault="0041591D" w:rsidP="0041591D">
      <w:pPr>
        <w:rPr>
          <w:sz w:val="20"/>
          <w:lang w:val="en-NZ"/>
        </w:rPr>
      </w:pPr>
    </w:p>
    <w:p w:rsidR="0041591D" w:rsidRPr="0021270B" w:rsidRDefault="0041591D" w:rsidP="0041591D">
      <w:pPr>
        <w:rPr>
          <w:lang w:val="en-NZ"/>
        </w:rPr>
      </w:pPr>
      <w:r w:rsidRPr="0021270B">
        <w:rPr>
          <w:lang w:val="en-NZ"/>
        </w:rPr>
        <w:t>That the submission</w:t>
      </w:r>
      <w:r w:rsidR="00DC47EE" w:rsidRPr="0021270B">
        <w:rPr>
          <w:lang w:val="en-NZ"/>
        </w:rPr>
        <w:t>s</w:t>
      </w:r>
      <w:r w:rsidRPr="0021270B">
        <w:rPr>
          <w:lang w:val="en-NZ"/>
        </w:rPr>
        <w:t xml:space="preserve"> be declined.</w:t>
      </w:r>
    </w:p>
    <w:p w:rsidR="0041591D" w:rsidRPr="009023DD" w:rsidRDefault="0041591D" w:rsidP="009575F9">
      <w:pPr>
        <w:pBdr>
          <w:bottom w:val="single" w:sz="4" w:space="1" w:color="auto"/>
        </w:pBdr>
        <w:tabs>
          <w:tab w:val="left" w:pos="5595"/>
        </w:tabs>
        <w:rPr>
          <w:sz w:val="10"/>
          <w:szCs w:val="10"/>
          <w:lang w:val="en-NZ"/>
        </w:rPr>
      </w:pPr>
      <w:r w:rsidRPr="009023DD">
        <w:rPr>
          <w:sz w:val="10"/>
          <w:szCs w:val="10"/>
          <w:lang w:val="en-NZ"/>
        </w:rPr>
        <w:tab/>
      </w:r>
    </w:p>
    <w:p w:rsidR="00E640A4" w:rsidRPr="009023DD" w:rsidRDefault="00E640A4" w:rsidP="00536A68">
      <w:pPr>
        <w:rPr>
          <w:sz w:val="20"/>
          <w:lang w:val="en-NZ"/>
        </w:rPr>
      </w:pPr>
    </w:p>
    <w:p w:rsidR="004D4A82" w:rsidRPr="009023DD" w:rsidRDefault="004D4A82" w:rsidP="00A047DE">
      <w:pPr>
        <w:jc w:val="left"/>
        <w:rPr>
          <w:sz w:val="20"/>
          <w:lang w:val="en-NZ"/>
        </w:rPr>
      </w:pPr>
    </w:p>
    <w:p w:rsidR="004D4A82" w:rsidRPr="0021270B" w:rsidRDefault="004D4A82" w:rsidP="00E11524">
      <w:pPr>
        <w:pStyle w:val="Heading5"/>
        <w:rPr>
          <w:lang w:val="en-NZ"/>
        </w:rPr>
      </w:pPr>
      <w:bookmarkStart w:id="40" w:name="_Toc427238233"/>
      <w:r w:rsidRPr="0021270B">
        <w:rPr>
          <w:lang w:val="en-NZ"/>
        </w:rPr>
        <w:t>Issue:</w:t>
      </w:r>
      <w:r w:rsidRPr="0021270B">
        <w:rPr>
          <w:lang w:val="en-NZ"/>
        </w:rPr>
        <w:tab/>
        <w:t>Reconsidering exemptions specified by regulations</w:t>
      </w:r>
      <w:bookmarkEnd w:id="40"/>
    </w:p>
    <w:p w:rsidR="004D4A82" w:rsidRPr="009023DD" w:rsidRDefault="004D4A82" w:rsidP="004D4A82">
      <w:pPr>
        <w:rPr>
          <w:sz w:val="20"/>
          <w:lang w:val="en-NZ"/>
        </w:rPr>
      </w:pPr>
    </w:p>
    <w:p w:rsidR="004D4A82" w:rsidRPr="009023DD" w:rsidRDefault="004D4A82" w:rsidP="004D4A82">
      <w:pPr>
        <w:rPr>
          <w:sz w:val="20"/>
          <w:lang w:val="en-NZ"/>
        </w:rPr>
      </w:pPr>
    </w:p>
    <w:p w:rsidR="004D4A82" w:rsidRPr="0021270B" w:rsidRDefault="004D4A82" w:rsidP="004D4A82">
      <w:pPr>
        <w:keepNext/>
        <w:outlineLvl w:val="1"/>
        <w:rPr>
          <w:b/>
          <w:lang w:val="en-NZ"/>
        </w:rPr>
      </w:pPr>
      <w:r w:rsidRPr="0021270B">
        <w:rPr>
          <w:b/>
          <w:lang w:val="en-NZ"/>
        </w:rPr>
        <w:t>Submission</w:t>
      </w:r>
    </w:p>
    <w:p w:rsidR="004D4A82" w:rsidRPr="0021270B" w:rsidRDefault="004D4A82" w:rsidP="004D4A82">
      <w:pPr>
        <w:rPr>
          <w:i/>
        </w:rPr>
      </w:pPr>
      <w:r w:rsidRPr="0021270B">
        <w:rPr>
          <w:i/>
        </w:rPr>
        <w:t>(EY)</w:t>
      </w:r>
    </w:p>
    <w:p w:rsidR="004D4A82" w:rsidRPr="009023DD" w:rsidRDefault="004D4A82" w:rsidP="004D4A82">
      <w:pPr>
        <w:rPr>
          <w:sz w:val="20"/>
        </w:rPr>
      </w:pPr>
    </w:p>
    <w:p w:rsidR="004D4A82" w:rsidRPr="0021270B" w:rsidRDefault="004D4A82" w:rsidP="004D4A82">
      <w:r w:rsidRPr="0021270B">
        <w:t>Regulations can be made on the recommendation of the Minister. Clarification is required as to which Minister is intended in this context</w:t>
      </w:r>
      <w:r w:rsidR="002E353D" w:rsidRPr="0021270B">
        <w:t>.</w:t>
      </w:r>
    </w:p>
    <w:p w:rsidR="004D4A82" w:rsidRPr="009023DD" w:rsidRDefault="004D4A82" w:rsidP="004D4A82">
      <w:pPr>
        <w:rPr>
          <w:sz w:val="20"/>
        </w:rPr>
      </w:pPr>
    </w:p>
    <w:p w:rsidR="004D4A82" w:rsidRPr="0021270B" w:rsidRDefault="004D4A82" w:rsidP="004D4A82">
      <w:r w:rsidRPr="0021270B">
        <w:rPr>
          <w:b/>
        </w:rPr>
        <w:t>Comment</w:t>
      </w:r>
    </w:p>
    <w:p w:rsidR="004D4A82" w:rsidRPr="009023DD" w:rsidRDefault="004D4A82" w:rsidP="004D4A82">
      <w:pPr>
        <w:rPr>
          <w:sz w:val="20"/>
        </w:rPr>
      </w:pPr>
    </w:p>
    <w:p w:rsidR="002E353D" w:rsidRPr="0021270B" w:rsidRDefault="002E353D" w:rsidP="004D4A82">
      <w:r w:rsidRPr="0021270B">
        <w:t>The Bill will be amended to make it clear that the regulations will be made by the Minister for Land Information. These regulations will be made after consultation with the Minister of Revenue.</w:t>
      </w:r>
    </w:p>
    <w:p w:rsidR="002E353D" w:rsidRPr="009023DD" w:rsidRDefault="002E353D" w:rsidP="004D4A82">
      <w:pPr>
        <w:rPr>
          <w:sz w:val="20"/>
        </w:rPr>
      </w:pPr>
    </w:p>
    <w:p w:rsidR="004D4A82" w:rsidRPr="0021270B" w:rsidRDefault="004D4A82" w:rsidP="004D4A82">
      <w:pPr>
        <w:rPr>
          <w:lang w:val="en-NZ"/>
        </w:rPr>
      </w:pPr>
      <w:r w:rsidRPr="0021270B">
        <w:rPr>
          <w:b/>
        </w:rPr>
        <w:t>Recommendation</w:t>
      </w:r>
    </w:p>
    <w:p w:rsidR="004D4A82" w:rsidRPr="009023DD" w:rsidRDefault="004D4A82" w:rsidP="00536A68">
      <w:pPr>
        <w:rPr>
          <w:color w:val="FF0000"/>
          <w:sz w:val="20"/>
          <w:lang w:val="en-NZ"/>
        </w:rPr>
      </w:pPr>
    </w:p>
    <w:p w:rsidR="004D4A82" w:rsidRPr="0021270B" w:rsidRDefault="002E353D" w:rsidP="00536A68">
      <w:pPr>
        <w:rPr>
          <w:lang w:val="en-NZ"/>
        </w:rPr>
      </w:pPr>
      <w:r w:rsidRPr="0021270B">
        <w:rPr>
          <w:lang w:val="en-NZ"/>
        </w:rPr>
        <w:t>That the submissions be accepted.</w:t>
      </w:r>
    </w:p>
    <w:p w:rsidR="008D5919" w:rsidRPr="0021270B" w:rsidRDefault="00781D8A" w:rsidP="00DC47EE">
      <w:pPr>
        <w:pStyle w:val="Heading1"/>
      </w:pPr>
      <w:bookmarkStart w:id="41" w:name="_Toc427238234"/>
      <w:r>
        <w:lastRenderedPageBreak/>
        <w:t>Provision of t</w:t>
      </w:r>
      <w:r w:rsidR="00936097" w:rsidRPr="0021270B">
        <w:t>ax information</w:t>
      </w:r>
      <w:bookmarkEnd w:id="41"/>
    </w:p>
    <w:p w:rsidR="008D5919" w:rsidRPr="0021270B" w:rsidRDefault="008D5919" w:rsidP="008D5919">
      <w:pPr>
        <w:rPr>
          <w:lang w:val="en-NZ"/>
        </w:rPr>
      </w:pPr>
    </w:p>
    <w:p w:rsidR="002E353D" w:rsidRPr="0021270B" w:rsidRDefault="002E353D" w:rsidP="008D5919">
      <w:pPr>
        <w:rPr>
          <w:lang w:val="en-NZ"/>
        </w:rPr>
      </w:pPr>
    </w:p>
    <w:p w:rsidR="00C767F5" w:rsidRPr="0021270B" w:rsidRDefault="00C767F5" w:rsidP="00C767F5">
      <w:pPr>
        <w:pStyle w:val="Heading5"/>
        <w:ind w:left="794" w:hanging="794"/>
        <w:rPr>
          <w:lang w:val="en-NZ"/>
        </w:rPr>
      </w:pPr>
      <w:bookmarkStart w:id="42" w:name="_Toc427238235"/>
      <w:r w:rsidRPr="0021270B">
        <w:rPr>
          <w:lang w:val="en-NZ"/>
        </w:rPr>
        <w:t>Issue:</w:t>
      </w:r>
      <w:r w:rsidRPr="0021270B">
        <w:rPr>
          <w:lang w:val="en-NZ"/>
        </w:rPr>
        <w:tab/>
      </w:r>
      <w:r w:rsidR="00420217" w:rsidRPr="0021270B">
        <w:rPr>
          <w:lang w:val="en-NZ"/>
        </w:rPr>
        <w:t>IRD number application process</w:t>
      </w:r>
      <w:bookmarkEnd w:id="42"/>
    </w:p>
    <w:p w:rsidR="00C767F5" w:rsidRPr="0021270B" w:rsidRDefault="00C767F5" w:rsidP="00C767F5">
      <w:pPr>
        <w:rPr>
          <w:lang w:val="en-NZ"/>
        </w:rPr>
      </w:pPr>
    </w:p>
    <w:p w:rsidR="00C767F5" w:rsidRPr="0021270B" w:rsidRDefault="00C767F5" w:rsidP="00C767F5">
      <w:pPr>
        <w:rPr>
          <w:lang w:val="en-NZ"/>
        </w:rPr>
      </w:pPr>
    </w:p>
    <w:p w:rsidR="00C767F5" w:rsidRPr="0021270B" w:rsidRDefault="00C767F5" w:rsidP="00C767F5">
      <w:pPr>
        <w:pStyle w:val="Heading2"/>
        <w:rPr>
          <w:lang w:val="en-NZ"/>
        </w:rPr>
      </w:pPr>
      <w:r w:rsidRPr="0021270B">
        <w:rPr>
          <w:lang w:val="en-NZ"/>
        </w:rPr>
        <w:t>Submission</w:t>
      </w:r>
    </w:p>
    <w:p w:rsidR="00C767F5" w:rsidRPr="0021270B" w:rsidRDefault="001C72A5" w:rsidP="00C767F5">
      <w:pPr>
        <w:tabs>
          <w:tab w:val="left" w:pos="5295"/>
        </w:tabs>
        <w:rPr>
          <w:i/>
          <w:lang w:val="en-NZ"/>
        </w:rPr>
      </w:pPr>
      <w:r w:rsidRPr="0021270B">
        <w:rPr>
          <w:i/>
          <w:lang w:val="en-NZ"/>
        </w:rPr>
        <w:t>(</w:t>
      </w:r>
      <w:r w:rsidR="009F01B9" w:rsidRPr="0021270B">
        <w:rPr>
          <w:i/>
          <w:lang w:val="en-NZ"/>
        </w:rPr>
        <w:t>Chartered Accountants Australia and New Zealand</w:t>
      </w:r>
      <w:r w:rsidRPr="0021270B">
        <w:rPr>
          <w:i/>
          <w:lang w:val="en-NZ"/>
        </w:rPr>
        <w:t>)</w:t>
      </w:r>
    </w:p>
    <w:p w:rsidR="009F01B9" w:rsidRPr="0021270B" w:rsidRDefault="009F01B9" w:rsidP="00C767F5">
      <w:pPr>
        <w:tabs>
          <w:tab w:val="left" w:pos="5295"/>
        </w:tabs>
        <w:rPr>
          <w:lang w:val="en-NZ"/>
        </w:rPr>
      </w:pPr>
    </w:p>
    <w:p w:rsidR="009F01B9" w:rsidRPr="0021270B" w:rsidRDefault="00DC47EE" w:rsidP="009F01B9">
      <w:pPr>
        <w:rPr>
          <w:b/>
          <w:bCs/>
        </w:rPr>
      </w:pPr>
      <w:r w:rsidRPr="0021270B">
        <w:t>The</w:t>
      </w:r>
      <w:r w:rsidR="009F01B9" w:rsidRPr="0021270B">
        <w:t xml:space="preserve"> process for obtaining a New Zealand IRD number will need to be kept simple, fast and efficient. </w:t>
      </w:r>
    </w:p>
    <w:p w:rsidR="00C767F5" w:rsidRPr="0021270B" w:rsidRDefault="00C767F5" w:rsidP="00C767F5">
      <w:pPr>
        <w:rPr>
          <w:lang w:val="en-NZ"/>
        </w:rPr>
      </w:pPr>
    </w:p>
    <w:p w:rsidR="00C767F5" w:rsidRPr="0021270B" w:rsidRDefault="00C767F5" w:rsidP="00C767F5">
      <w:pPr>
        <w:pStyle w:val="Heading2"/>
        <w:rPr>
          <w:lang w:val="en-NZ"/>
        </w:rPr>
      </w:pPr>
      <w:r w:rsidRPr="0021270B">
        <w:rPr>
          <w:lang w:val="en-NZ"/>
        </w:rPr>
        <w:t>Comment</w:t>
      </w:r>
    </w:p>
    <w:p w:rsidR="00C767F5" w:rsidRPr="0021270B" w:rsidRDefault="00C767F5" w:rsidP="00C767F5">
      <w:pPr>
        <w:rPr>
          <w:lang w:val="en-NZ"/>
        </w:rPr>
      </w:pPr>
    </w:p>
    <w:p w:rsidR="005659E6" w:rsidRPr="0021270B" w:rsidRDefault="005659E6" w:rsidP="005659E6">
      <w:pPr>
        <w:rPr>
          <w:lang w:val="en-NZ"/>
        </w:rPr>
      </w:pPr>
      <w:r w:rsidRPr="0021270B">
        <w:rPr>
          <w:lang w:val="en-NZ"/>
        </w:rPr>
        <w:t xml:space="preserve">Once a completed application is received, the current timelines for Inland Revenue </w:t>
      </w:r>
      <w:r w:rsidR="0001173B" w:rsidRPr="0021270B">
        <w:rPr>
          <w:lang w:val="en-NZ"/>
        </w:rPr>
        <w:t>to issue an IRD number is 8</w:t>
      </w:r>
      <w:r w:rsidR="00DC47EE" w:rsidRPr="0021270B">
        <w:rPr>
          <w:lang w:val="en-NZ"/>
        </w:rPr>
        <w:t>–</w:t>
      </w:r>
      <w:r w:rsidRPr="0021270B">
        <w:rPr>
          <w:lang w:val="en-NZ"/>
        </w:rPr>
        <w:t xml:space="preserve">10 working days.  </w:t>
      </w:r>
    </w:p>
    <w:p w:rsidR="005659E6" w:rsidRPr="0021270B" w:rsidRDefault="005659E6" w:rsidP="005659E6">
      <w:pPr>
        <w:rPr>
          <w:lang w:val="en-NZ"/>
        </w:rPr>
      </w:pPr>
    </w:p>
    <w:p w:rsidR="005659E6" w:rsidRPr="0021270B" w:rsidRDefault="005659E6" w:rsidP="005659E6">
      <w:pPr>
        <w:rPr>
          <w:lang w:val="en-NZ"/>
        </w:rPr>
      </w:pPr>
      <w:r w:rsidRPr="0021270B">
        <w:rPr>
          <w:lang w:val="en-NZ"/>
        </w:rPr>
        <w:t xml:space="preserve">Inland Revenue </w:t>
      </w:r>
      <w:r w:rsidR="00CC5B13" w:rsidRPr="0021270B">
        <w:rPr>
          <w:lang w:val="en-NZ"/>
        </w:rPr>
        <w:t xml:space="preserve">plans to </w:t>
      </w:r>
      <w:r w:rsidRPr="0021270B">
        <w:rPr>
          <w:lang w:val="en-NZ"/>
        </w:rPr>
        <w:t>increase its resources in this area to ensure that it continues to meet the current time</w:t>
      </w:r>
      <w:r w:rsidR="00DC47EE" w:rsidRPr="0021270B">
        <w:rPr>
          <w:lang w:val="en-NZ"/>
        </w:rPr>
        <w:t>frames</w:t>
      </w:r>
      <w:r w:rsidRPr="0021270B">
        <w:rPr>
          <w:lang w:val="en-NZ"/>
        </w:rPr>
        <w:t>.</w:t>
      </w:r>
    </w:p>
    <w:p w:rsidR="005659E6" w:rsidRPr="0021270B" w:rsidRDefault="005659E6" w:rsidP="005659E6">
      <w:pPr>
        <w:rPr>
          <w:lang w:val="en-NZ"/>
        </w:rPr>
      </w:pPr>
    </w:p>
    <w:p w:rsidR="005659E6" w:rsidRPr="0021270B" w:rsidRDefault="0001173B" w:rsidP="005659E6">
      <w:pPr>
        <w:rPr>
          <w:lang w:val="en-NZ"/>
        </w:rPr>
      </w:pPr>
      <w:r w:rsidRPr="0021270B">
        <w:rPr>
          <w:lang w:val="en-NZ"/>
        </w:rPr>
        <w:t>As part of Inland Revenue</w:t>
      </w:r>
      <w:r w:rsidR="005641C1">
        <w:rPr>
          <w:lang w:val="en-NZ"/>
        </w:rPr>
        <w:t>’</w:t>
      </w:r>
      <w:r w:rsidRPr="0021270B">
        <w:rPr>
          <w:lang w:val="en-NZ"/>
        </w:rPr>
        <w:t>s business transformation work</w:t>
      </w:r>
      <w:r w:rsidR="00DC47EE" w:rsidRPr="0021270B">
        <w:rPr>
          <w:lang w:val="en-NZ"/>
        </w:rPr>
        <w:t>,</w:t>
      </w:r>
      <w:r w:rsidRPr="0021270B">
        <w:rPr>
          <w:lang w:val="en-NZ"/>
        </w:rPr>
        <w:t xml:space="preserve"> a key business objective is to encourage as many customers as possible to deal with us through digital channels. Any future improvements for people obtaining an IRD number would be part of </w:t>
      </w:r>
      <w:r w:rsidR="00CE7998" w:rsidRPr="0021270B">
        <w:rPr>
          <w:lang w:val="en-NZ"/>
        </w:rPr>
        <w:t>this work</w:t>
      </w:r>
      <w:r w:rsidR="00E400E5" w:rsidRPr="0021270B">
        <w:rPr>
          <w:lang w:val="en-NZ"/>
        </w:rPr>
        <w:t>.</w:t>
      </w:r>
    </w:p>
    <w:p w:rsidR="00C767F5" w:rsidRPr="0021270B" w:rsidRDefault="00C767F5" w:rsidP="00AB1AF4">
      <w:pPr>
        <w:jc w:val="left"/>
        <w:rPr>
          <w:lang w:val="en-NZ"/>
        </w:rPr>
      </w:pPr>
    </w:p>
    <w:p w:rsidR="00C767F5" w:rsidRPr="0021270B" w:rsidRDefault="00C767F5" w:rsidP="00C767F5">
      <w:pPr>
        <w:pStyle w:val="Heading2"/>
        <w:rPr>
          <w:lang w:val="en-NZ"/>
        </w:rPr>
      </w:pPr>
      <w:r w:rsidRPr="0021270B">
        <w:rPr>
          <w:lang w:val="en-NZ"/>
        </w:rPr>
        <w:t>Recommendation</w:t>
      </w:r>
    </w:p>
    <w:p w:rsidR="00C767F5" w:rsidRPr="0021270B" w:rsidRDefault="00C767F5" w:rsidP="00C767F5">
      <w:pPr>
        <w:rPr>
          <w:lang w:val="en-NZ"/>
        </w:rPr>
      </w:pPr>
    </w:p>
    <w:p w:rsidR="00C767F5" w:rsidRPr="0021270B" w:rsidRDefault="00C767F5" w:rsidP="00C767F5">
      <w:pPr>
        <w:rPr>
          <w:lang w:val="en-NZ"/>
        </w:rPr>
      </w:pPr>
      <w:r w:rsidRPr="0021270B">
        <w:rPr>
          <w:lang w:val="en-NZ"/>
        </w:rPr>
        <w:t xml:space="preserve">That the submission be </w:t>
      </w:r>
      <w:r w:rsidR="00685F09" w:rsidRPr="0021270B">
        <w:rPr>
          <w:lang w:val="en-NZ"/>
        </w:rPr>
        <w:t>noted</w:t>
      </w:r>
      <w:r w:rsidR="005659E6" w:rsidRPr="0021270B">
        <w:rPr>
          <w:lang w:val="en-NZ"/>
        </w:rPr>
        <w:t>.</w:t>
      </w:r>
    </w:p>
    <w:p w:rsidR="00C767F5" w:rsidRPr="0021270B" w:rsidRDefault="00C767F5" w:rsidP="00C767F5">
      <w:pPr>
        <w:pBdr>
          <w:bottom w:val="single" w:sz="4" w:space="1" w:color="auto"/>
        </w:pBdr>
        <w:rPr>
          <w:lang w:val="en-NZ"/>
        </w:rPr>
      </w:pPr>
    </w:p>
    <w:p w:rsidR="008D5919" w:rsidRPr="0021270B" w:rsidRDefault="008D5919" w:rsidP="008D5919">
      <w:pPr>
        <w:rPr>
          <w:lang w:val="en-NZ"/>
        </w:rPr>
      </w:pPr>
    </w:p>
    <w:p w:rsidR="00E640A4" w:rsidRPr="0021270B" w:rsidRDefault="00E640A4" w:rsidP="008D5919">
      <w:pPr>
        <w:rPr>
          <w:lang w:val="en-NZ"/>
        </w:rPr>
      </w:pPr>
    </w:p>
    <w:p w:rsidR="009D2629" w:rsidRPr="0021270B" w:rsidRDefault="009D2629" w:rsidP="009575F9">
      <w:pPr>
        <w:pStyle w:val="Heading5"/>
        <w:rPr>
          <w:lang w:val="en-NZ"/>
        </w:rPr>
      </w:pPr>
      <w:bookmarkStart w:id="43" w:name="_Toc427238236"/>
      <w:r w:rsidRPr="0021270B">
        <w:rPr>
          <w:lang w:val="en-NZ"/>
        </w:rPr>
        <w:t>Issue:</w:t>
      </w:r>
      <w:r w:rsidRPr="0021270B">
        <w:rPr>
          <w:lang w:val="en-NZ"/>
        </w:rPr>
        <w:tab/>
        <w:t>Online IRD number application</w:t>
      </w:r>
      <w:bookmarkEnd w:id="43"/>
    </w:p>
    <w:p w:rsidR="009D2629" w:rsidRPr="0021270B" w:rsidRDefault="009D2629" w:rsidP="009D2629">
      <w:pPr>
        <w:rPr>
          <w:lang w:val="en-NZ"/>
        </w:rPr>
      </w:pPr>
    </w:p>
    <w:p w:rsidR="009D2629" w:rsidRPr="0021270B" w:rsidRDefault="009D2629" w:rsidP="009D2629">
      <w:pPr>
        <w:rPr>
          <w:lang w:val="en-NZ"/>
        </w:rPr>
      </w:pPr>
    </w:p>
    <w:p w:rsidR="009D2629" w:rsidRPr="0021270B" w:rsidRDefault="009D2629" w:rsidP="009D2629">
      <w:pPr>
        <w:keepNext/>
        <w:outlineLvl w:val="1"/>
        <w:rPr>
          <w:b/>
          <w:lang w:val="en-NZ"/>
        </w:rPr>
      </w:pPr>
      <w:r w:rsidRPr="0021270B">
        <w:rPr>
          <w:b/>
          <w:lang w:val="en-NZ"/>
        </w:rPr>
        <w:t>Submission</w:t>
      </w:r>
    </w:p>
    <w:p w:rsidR="009D2629" w:rsidRPr="0021270B" w:rsidRDefault="00685F09" w:rsidP="009D2629">
      <w:pPr>
        <w:tabs>
          <w:tab w:val="left" w:pos="5295"/>
        </w:tabs>
        <w:rPr>
          <w:i/>
          <w:lang w:val="en-NZ"/>
        </w:rPr>
      </w:pPr>
      <w:r w:rsidRPr="0021270B">
        <w:rPr>
          <w:i/>
          <w:lang w:val="en-NZ"/>
        </w:rPr>
        <w:t>(</w:t>
      </w:r>
      <w:r w:rsidR="009D2629" w:rsidRPr="0021270B">
        <w:rPr>
          <w:i/>
          <w:lang w:val="en-NZ"/>
        </w:rPr>
        <w:t>Auckland District Law Society</w:t>
      </w:r>
      <w:r w:rsidRPr="0021270B">
        <w:rPr>
          <w:i/>
          <w:lang w:val="en-NZ"/>
        </w:rPr>
        <w:t>)</w:t>
      </w:r>
    </w:p>
    <w:p w:rsidR="009D2629" w:rsidRPr="0021270B" w:rsidRDefault="009D2629" w:rsidP="009D2629">
      <w:pPr>
        <w:tabs>
          <w:tab w:val="left" w:pos="5295"/>
        </w:tabs>
        <w:rPr>
          <w:lang w:val="en-NZ"/>
        </w:rPr>
      </w:pPr>
    </w:p>
    <w:p w:rsidR="009D2629" w:rsidRPr="0021270B" w:rsidRDefault="009D2629" w:rsidP="009D2629">
      <w:r w:rsidRPr="0021270B">
        <w:t>Inland Revenue</w:t>
      </w:r>
      <w:r w:rsidR="006E3116" w:rsidRPr="0021270B">
        <w:t xml:space="preserve"> should</w:t>
      </w:r>
      <w:r w:rsidRPr="0021270B">
        <w:t xml:space="preserve"> make available the option </w:t>
      </w:r>
      <w:r w:rsidR="006E3116" w:rsidRPr="0021270B">
        <w:t>to apply</w:t>
      </w:r>
      <w:r w:rsidRPr="0021270B">
        <w:t xml:space="preserve"> for an IRD number online</w:t>
      </w:r>
      <w:r w:rsidR="006E3116" w:rsidRPr="0021270B">
        <w:t>.</w:t>
      </w:r>
    </w:p>
    <w:p w:rsidR="009D2629" w:rsidRPr="0021270B" w:rsidRDefault="009D2629" w:rsidP="009D2629">
      <w:pPr>
        <w:rPr>
          <w:lang w:val="en-NZ"/>
        </w:rPr>
      </w:pPr>
    </w:p>
    <w:p w:rsidR="009D2629" w:rsidRPr="0021270B" w:rsidRDefault="009D2629" w:rsidP="009D2629">
      <w:pPr>
        <w:keepNext/>
        <w:outlineLvl w:val="1"/>
        <w:rPr>
          <w:b/>
          <w:lang w:val="en-NZ"/>
        </w:rPr>
      </w:pPr>
      <w:r w:rsidRPr="0021270B">
        <w:rPr>
          <w:b/>
          <w:lang w:val="en-NZ"/>
        </w:rPr>
        <w:t>Comment</w:t>
      </w:r>
    </w:p>
    <w:p w:rsidR="009D2629" w:rsidRPr="0021270B" w:rsidRDefault="009D2629" w:rsidP="009D2629">
      <w:pPr>
        <w:rPr>
          <w:lang w:val="en-NZ"/>
        </w:rPr>
      </w:pPr>
    </w:p>
    <w:p w:rsidR="0001173B" w:rsidRPr="0021270B" w:rsidRDefault="00F54E1F" w:rsidP="0001173B">
      <w:pPr>
        <w:rPr>
          <w:lang w:val="en-NZ"/>
        </w:rPr>
      </w:pPr>
      <w:r w:rsidRPr="0021270B">
        <w:rPr>
          <w:lang w:val="en-NZ"/>
        </w:rPr>
        <w:t>A</w:t>
      </w:r>
      <w:r w:rsidR="0001173B" w:rsidRPr="0021270B">
        <w:rPr>
          <w:lang w:val="en-NZ"/>
        </w:rPr>
        <w:t>s part of Inland Revenue</w:t>
      </w:r>
      <w:r w:rsidR="005641C1">
        <w:rPr>
          <w:lang w:val="en-NZ"/>
        </w:rPr>
        <w:t>’</w:t>
      </w:r>
      <w:r w:rsidR="0001173B" w:rsidRPr="0021270B">
        <w:rPr>
          <w:lang w:val="en-NZ"/>
        </w:rPr>
        <w:t xml:space="preserve">s business transformation work a key business objective is to ensure that </w:t>
      </w:r>
      <w:r w:rsidR="000035B9" w:rsidRPr="0021270B">
        <w:rPr>
          <w:lang w:val="en-NZ"/>
        </w:rPr>
        <w:t xml:space="preserve">officials </w:t>
      </w:r>
      <w:r w:rsidR="0001173B" w:rsidRPr="0021270B">
        <w:rPr>
          <w:lang w:val="en-NZ"/>
        </w:rPr>
        <w:t>encourage as many customers as possible to deal with us through digital channels. Any future improvements for people obtaining an IRD number would be part of Inland Revenue</w:t>
      </w:r>
      <w:r w:rsidR="005641C1">
        <w:rPr>
          <w:lang w:val="en-NZ"/>
        </w:rPr>
        <w:t>’</w:t>
      </w:r>
      <w:r w:rsidR="0001173B" w:rsidRPr="0021270B">
        <w:rPr>
          <w:lang w:val="en-NZ"/>
        </w:rPr>
        <w:t>s business transformation work</w:t>
      </w:r>
      <w:r w:rsidR="00685F09" w:rsidRPr="0021270B">
        <w:rPr>
          <w:lang w:val="en-NZ"/>
        </w:rPr>
        <w:t>.</w:t>
      </w:r>
    </w:p>
    <w:p w:rsidR="009D2629" w:rsidRPr="0021270B" w:rsidRDefault="009D2629" w:rsidP="009D2629">
      <w:pPr>
        <w:jc w:val="left"/>
        <w:rPr>
          <w:lang w:val="en-NZ"/>
        </w:rPr>
      </w:pPr>
    </w:p>
    <w:p w:rsidR="009D2629" w:rsidRPr="0021270B" w:rsidRDefault="009D2629" w:rsidP="009D2629">
      <w:pPr>
        <w:keepNext/>
        <w:outlineLvl w:val="1"/>
        <w:rPr>
          <w:b/>
          <w:lang w:val="en-NZ"/>
        </w:rPr>
      </w:pPr>
      <w:r w:rsidRPr="0021270B">
        <w:rPr>
          <w:b/>
          <w:lang w:val="en-NZ"/>
        </w:rPr>
        <w:t>Recommendation</w:t>
      </w:r>
    </w:p>
    <w:p w:rsidR="009D2629" w:rsidRPr="0021270B" w:rsidRDefault="009D2629" w:rsidP="009D2629">
      <w:pPr>
        <w:rPr>
          <w:lang w:val="en-NZ"/>
        </w:rPr>
      </w:pPr>
    </w:p>
    <w:p w:rsidR="009D2629" w:rsidRPr="0021270B" w:rsidRDefault="009D2629" w:rsidP="009D2629">
      <w:pPr>
        <w:rPr>
          <w:lang w:val="en-NZ"/>
        </w:rPr>
      </w:pPr>
      <w:r w:rsidRPr="0021270B">
        <w:rPr>
          <w:lang w:val="en-NZ"/>
        </w:rPr>
        <w:t>That the submission be noted.</w:t>
      </w:r>
    </w:p>
    <w:p w:rsidR="009D2629" w:rsidRPr="0021270B" w:rsidRDefault="009D2629" w:rsidP="00622084">
      <w:pPr>
        <w:pBdr>
          <w:bottom w:val="single" w:sz="4" w:space="1" w:color="auto"/>
        </w:pBdr>
        <w:rPr>
          <w:lang w:val="en-NZ"/>
        </w:rPr>
      </w:pPr>
    </w:p>
    <w:p w:rsidR="009D2629" w:rsidRPr="0021270B" w:rsidRDefault="009D2629" w:rsidP="009D2629">
      <w:pPr>
        <w:rPr>
          <w:lang w:val="en-NZ"/>
        </w:rPr>
      </w:pPr>
    </w:p>
    <w:p w:rsidR="009F01B9" w:rsidRPr="0021270B" w:rsidRDefault="009F01B9" w:rsidP="009575F9">
      <w:pPr>
        <w:pStyle w:val="Heading5"/>
        <w:rPr>
          <w:lang w:val="en-NZ"/>
        </w:rPr>
      </w:pPr>
      <w:bookmarkStart w:id="44" w:name="_Toc427238237"/>
      <w:r w:rsidRPr="0021270B">
        <w:rPr>
          <w:lang w:val="en-NZ"/>
        </w:rPr>
        <w:lastRenderedPageBreak/>
        <w:t>Issue:</w:t>
      </w:r>
      <w:r w:rsidRPr="0021270B">
        <w:rPr>
          <w:lang w:val="en-NZ"/>
        </w:rPr>
        <w:tab/>
        <w:t xml:space="preserve">Validation of </w:t>
      </w:r>
      <w:r w:rsidR="006E3116" w:rsidRPr="0021270B">
        <w:rPr>
          <w:lang w:val="en-NZ"/>
        </w:rPr>
        <w:t xml:space="preserve">residence </w:t>
      </w:r>
      <w:r w:rsidRPr="0021270B">
        <w:rPr>
          <w:lang w:val="en-NZ"/>
        </w:rPr>
        <w:t>status</w:t>
      </w:r>
      <w:bookmarkEnd w:id="44"/>
    </w:p>
    <w:p w:rsidR="009F01B9" w:rsidRPr="0021270B" w:rsidRDefault="009F01B9" w:rsidP="009F01B9">
      <w:pPr>
        <w:rPr>
          <w:lang w:val="en-NZ"/>
        </w:rPr>
      </w:pPr>
    </w:p>
    <w:p w:rsidR="009F01B9" w:rsidRPr="0021270B" w:rsidRDefault="009F01B9" w:rsidP="009F01B9">
      <w:pPr>
        <w:rPr>
          <w:lang w:val="en-NZ"/>
        </w:rPr>
      </w:pPr>
    </w:p>
    <w:p w:rsidR="009F01B9" w:rsidRPr="0021270B" w:rsidRDefault="009F01B9" w:rsidP="009F01B9">
      <w:pPr>
        <w:keepNext/>
        <w:outlineLvl w:val="1"/>
        <w:rPr>
          <w:b/>
          <w:lang w:val="en-NZ"/>
        </w:rPr>
      </w:pPr>
      <w:r w:rsidRPr="0021270B">
        <w:rPr>
          <w:b/>
          <w:lang w:val="en-NZ"/>
        </w:rPr>
        <w:t>Submission</w:t>
      </w:r>
    </w:p>
    <w:p w:rsidR="009F01B9" w:rsidRPr="0021270B" w:rsidRDefault="001C72A5" w:rsidP="009F01B9">
      <w:pPr>
        <w:tabs>
          <w:tab w:val="left" w:pos="5295"/>
        </w:tabs>
        <w:rPr>
          <w:i/>
          <w:lang w:val="en-NZ"/>
        </w:rPr>
      </w:pPr>
      <w:r w:rsidRPr="0021270B">
        <w:rPr>
          <w:i/>
          <w:lang w:val="en-NZ"/>
        </w:rPr>
        <w:t>(</w:t>
      </w:r>
      <w:r w:rsidR="009F01B9" w:rsidRPr="0021270B">
        <w:rPr>
          <w:i/>
          <w:lang w:val="en-NZ"/>
        </w:rPr>
        <w:t>Chartered Accountants Australia and New Zealand</w:t>
      </w:r>
      <w:r w:rsidRPr="0021270B">
        <w:rPr>
          <w:i/>
          <w:lang w:val="en-NZ"/>
        </w:rPr>
        <w:t>)</w:t>
      </w:r>
    </w:p>
    <w:p w:rsidR="009F01B9" w:rsidRPr="0021270B" w:rsidRDefault="009F01B9" w:rsidP="009F01B9">
      <w:pPr>
        <w:tabs>
          <w:tab w:val="left" w:pos="5295"/>
        </w:tabs>
        <w:rPr>
          <w:lang w:val="en-NZ"/>
        </w:rPr>
      </w:pPr>
    </w:p>
    <w:p w:rsidR="009F01B9" w:rsidRPr="0021270B" w:rsidRDefault="009F01B9" w:rsidP="009F01B9">
      <w:pPr>
        <w:rPr>
          <w:b/>
          <w:bCs/>
        </w:rPr>
      </w:pPr>
      <w:r w:rsidRPr="0021270B">
        <w:t>Inland Revenue</w:t>
      </w:r>
      <w:r w:rsidR="00685F09" w:rsidRPr="0021270B">
        <w:t xml:space="preserve"> should</w:t>
      </w:r>
      <w:r w:rsidRPr="0021270B">
        <w:t xml:space="preserve"> have a system for validating a person</w:t>
      </w:r>
      <w:r w:rsidR="005641C1">
        <w:t>’</w:t>
      </w:r>
      <w:r w:rsidRPr="0021270B">
        <w:t>s residenc</w:t>
      </w:r>
      <w:r w:rsidR="006E3116" w:rsidRPr="0021270B">
        <w:t>e</w:t>
      </w:r>
      <w:r w:rsidRPr="0021270B">
        <w:t xml:space="preserve"> status before exchanging information with a foreign jurisdiction</w:t>
      </w:r>
      <w:r w:rsidR="005641C1">
        <w:t>’</w:t>
      </w:r>
      <w:r w:rsidRPr="0021270B">
        <w:t>s tax authority.</w:t>
      </w:r>
    </w:p>
    <w:p w:rsidR="009F01B9" w:rsidRPr="0021270B" w:rsidRDefault="009F01B9" w:rsidP="009F01B9">
      <w:pPr>
        <w:rPr>
          <w:lang w:val="en-NZ"/>
        </w:rPr>
      </w:pPr>
    </w:p>
    <w:p w:rsidR="009F01B9" w:rsidRPr="0021270B" w:rsidRDefault="009F01B9" w:rsidP="009F01B9">
      <w:pPr>
        <w:keepNext/>
        <w:outlineLvl w:val="1"/>
        <w:rPr>
          <w:b/>
          <w:lang w:val="en-NZ"/>
        </w:rPr>
      </w:pPr>
      <w:r w:rsidRPr="0021270B">
        <w:rPr>
          <w:b/>
          <w:lang w:val="en-NZ"/>
        </w:rPr>
        <w:t>Comment</w:t>
      </w:r>
    </w:p>
    <w:p w:rsidR="009F01B9" w:rsidRPr="0021270B" w:rsidRDefault="009F01B9" w:rsidP="009F01B9">
      <w:pPr>
        <w:rPr>
          <w:lang w:val="en-NZ"/>
        </w:rPr>
      </w:pPr>
    </w:p>
    <w:p w:rsidR="009F01B9" w:rsidRPr="0021270B" w:rsidRDefault="008D424A" w:rsidP="009F01B9">
      <w:pPr>
        <w:rPr>
          <w:lang w:val="en-NZ"/>
        </w:rPr>
      </w:pPr>
      <w:r w:rsidRPr="0021270B">
        <w:rPr>
          <w:lang w:val="en-NZ"/>
        </w:rPr>
        <w:t>Inland Revenue does not</w:t>
      </w:r>
      <w:r w:rsidR="00501991" w:rsidRPr="0021270B">
        <w:rPr>
          <w:lang w:val="en-NZ"/>
        </w:rPr>
        <w:t xml:space="preserve"> need to validate a person</w:t>
      </w:r>
      <w:r w:rsidR="005641C1">
        <w:rPr>
          <w:lang w:val="en-NZ"/>
        </w:rPr>
        <w:t>’</w:t>
      </w:r>
      <w:r w:rsidR="00501991" w:rsidRPr="0021270B">
        <w:rPr>
          <w:lang w:val="en-NZ"/>
        </w:rPr>
        <w:t>s residenc</w:t>
      </w:r>
      <w:r w:rsidR="006E3116" w:rsidRPr="0021270B">
        <w:rPr>
          <w:lang w:val="en-NZ"/>
        </w:rPr>
        <w:t>e</w:t>
      </w:r>
      <w:r w:rsidR="00501991" w:rsidRPr="0021270B">
        <w:rPr>
          <w:lang w:val="en-NZ"/>
        </w:rPr>
        <w:t xml:space="preserve"> status before exchanging information with a foreign tax authority. This is because </w:t>
      </w:r>
      <w:r w:rsidR="00E86785" w:rsidRPr="0021270B">
        <w:rPr>
          <w:lang w:val="en-NZ"/>
        </w:rPr>
        <w:t xml:space="preserve">the standard for exchanging information under double tax agreements with other countries is </w:t>
      </w:r>
      <w:r w:rsidR="00685F09" w:rsidRPr="0021270B">
        <w:rPr>
          <w:lang w:val="en-NZ"/>
        </w:rPr>
        <w:t xml:space="preserve">whether the information would be </w:t>
      </w:r>
      <w:r w:rsidR="00E86785" w:rsidRPr="0021270B">
        <w:rPr>
          <w:lang w:val="en-NZ"/>
        </w:rPr>
        <w:t>“foreseeably relevant”. If a foreign tax information number has been used by a person in the past, then information relating to that person can justifiably be exchanged with other tax authorities under this standard without validation of the tax residenc</w:t>
      </w:r>
      <w:r w:rsidR="006E3116" w:rsidRPr="0021270B">
        <w:rPr>
          <w:lang w:val="en-NZ"/>
        </w:rPr>
        <w:t>e</w:t>
      </w:r>
      <w:r w:rsidR="00E86785" w:rsidRPr="0021270B">
        <w:rPr>
          <w:lang w:val="en-NZ"/>
        </w:rPr>
        <w:t xml:space="preserve"> status of that person. Officials note that safeguards are built into exchange of information processes to </w:t>
      </w:r>
      <w:r w:rsidR="00685F09" w:rsidRPr="0021270B">
        <w:rPr>
          <w:lang w:val="en-NZ"/>
        </w:rPr>
        <w:t xml:space="preserve">maintain </w:t>
      </w:r>
      <w:r w:rsidR="00E86785" w:rsidRPr="0021270B">
        <w:rPr>
          <w:lang w:val="en-NZ"/>
        </w:rPr>
        <w:t>data protection and secrecy.</w:t>
      </w:r>
    </w:p>
    <w:p w:rsidR="009F01B9" w:rsidRPr="0021270B" w:rsidRDefault="009F01B9" w:rsidP="009F01B9">
      <w:pPr>
        <w:rPr>
          <w:lang w:val="en-NZ"/>
        </w:rPr>
      </w:pPr>
    </w:p>
    <w:p w:rsidR="009F01B9" w:rsidRPr="0021270B" w:rsidRDefault="009F01B9" w:rsidP="009F01B9">
      <w:pPr>
        <w:keepNext/>
        <w:outlineLvl w:val="1"/>
        <w:rPr>
          <w:b/>
          <w:lang w:val="en-NZ"/>
        </w:rPr>
      </w:pPr>
      <w:r w:rsidRPr="0021270B">
        <w:rPr>
          <w:b/>
          <w:lang w:val="en-NZ"/>
        </w:rPr>
        <w:t>Recommendation</w:t>
      </w:r>
    </w:p>
    <w:p w:rsidR="009F01B9" w:rsidRPr="0021270B" w:rsidRDefault="009F01B9" w:rsidP="009F01B9">
      <w:pPr>
        <w:rPr>
          <w:lang w:val="en-NZ"/>
        </w:rPr>
      </w:pPr>
    </w:p>
    <w:p w:rsidR="009F01B9" w:rsidRPr="0021270B" w:rsidRDefault="009F01B9" w:rsidP="009F01B9">
      <w:pPr>
        <w:rPr>
          <w:lang w:val="en-NZ"/>
        </w:rPr>
      </w:pPr>
      <w:r w:rsidRPr="0021270B">
        <w:rPr>
          <w:lang w:val="en-NZ"/>
        </w:rPr>
        <w:t xml:space="preserve">That the submission be </w:t>
      </w:r>
      <w:r w:rsidR="00E86785" w:rsidRPr="0021270B">
        <w:rPr>
          <w:lang w:val="en-NZ"/>
        </w:rPr>
        <w:t>declined</w:t>
      </w:r>
      <w:r w:rsidRPr="0021270B">
        <w:rPr>
          <w:lang w:val="en-NZ"/>
        </w:rPr>
        <w:t>.</w:t>
      </w:r>
    </w:p>
    <w:p w:rsidR="009F01B9" w:rsidRPr="0021270B" w:rsidRDefault="009F01B9" w:rsidP="009F01B9">
      <w:pPr>
        <w:pBdr>
          <w:bottom w:val="single" w:sz="4" w:space="1" w:color="auto"/>
        </w:pBdr>
        <w:rPr>
          <w:lang w:val="en-NZ"/>
        </w:rPr>
      </w:pPr>
    </w:p>
    <w:p w:rsidR="009F01B9" w:rsidRPr="0021270B" w:rsidRDefault="009F01B9" w:rsidP="009F01B9">
      <w:pPr>
        <w:rPr>
          <w:lang w:val="en-NZ"/>
        </w:rPr>
      </w:pPr>
    </w:p>
    <w:p w:rsidR="00E640A4" w:rsidRPr="0021270B" w:rsidRDefault="00E640A4" w:rsidP="009F01B9">
      <w:pPr>
        <w:rPr>
          <w:lang w:val="en-NZ"/>
        </w:rPr>
      </w:pPr>
    </w:p>
    <w:p w:rsidR="00887655" w:rsidRPr="0021270B" w:rsidRDefault="00887655" w:rsidP="009575F9">
      <w:pPr>
        <w:pStyle w:val="Heading5"/>
        <w:rPr>
          <w:lang w:val="en-NZ"/>
        </w:rPr>
      </w:pPr>
      <w:bookmarkStart w:id="45" w:name="_Toc427238238"/>
      <w:r w:rsidRPr="0021270B">
        <w:rPr>
          <w:lang w:val="en-NZ"/>
        </w:rPr>
        <w:t>Issue:</w:t>
      </w:r>
      <w:r w:rsidRPr="0021270B">
        <w:rPr>
          <w:lang w:val="en-NZ"/>
        </w:rPr>
        <w:tab/>
        <w:t>Application date</w:t>
      </w:r>
      <w:bookmarkEnd w:id="45"/>
      <w:r w:rsidRPr="0021270B">
        <w:rPr>
          <w:lang w:val="en-NZ"/>
        </w:rPr>
        <w:t xml:space="preserve"> </w:t>
      </w:r>
    </w:p>
    <w:p w:rsidR="00887655" w:rsidRPr="0021270B" w:rsidRDefault="00887655" w:rsidP="00887655">
      <w:pPr>
        <w:rPr>
          <w:lang w:val="en-NZ"/>
        </w:rPr>
      </w:pPr>
    </w:p>
    <w:p w:rsidR="00887655" w:rsidRPr="0021270B" w:rsidRDefault="00887655" w:rsidP="00887655">
      <w:pPr>
        <w:rPr>
          <w:lang w:val="en-NZ"/>
        </w:rPr>
      </w:pPr>
    </w:p>
    <w:p w:rsidR="00887655" w:rsidRPr="0021270B" w:rsidRDefault="00887655" w:rsidP="00887655">
      <w:pPr>
        <w:keepNext/>
        <w:outlineLvl w:val="1"/>
        <w:rPr>
          <w:b/>
          <w:lang w:val="en-NZ"/>
        </w:rPr>
      </w:pPr>
      <w:r w:rsidRPr="0021270B">
        <w:rPr>
          <w:b/>
          <w:lang w:val="en-NZ"/>
        </w:rPr>
        <w:t>Submission</w:t>
      </w:r>
    </w:p>
    <w:p w:rsidR="00887655" w:rsidRPr="0021270B" w:rsidRDefault="001C72A5" w:rsidP="00887655">
      <w:pPr>
        <w:tabs>
          <w:tab w:val="left" w:pos="5295"/>
        </w:tabs>
        <w:rPr>
          <w:i/>
          <w:lang w:val="en-NZ"/>
        </w:rPr>
      </w:pPr>
      <w:r w:rsidRPr="0021270B">
        <w:rPr>
          <w:i/>
          <w:lang w:val="en-NZ"/>
        </w:rPr>
        <w:t>(</w:t>
      </w:r>
      <w:r w:rsidR="00887655" w:rsidRPr="0021270B">
        <w:rPr>
          <w:i/>
          <w:lang w:val="en-NZ"/>
        </w:rPr>
        <w:t>New Zealand Law Society</w:t>
      </w:r>
      <w:r w:rsidRPr="0021270B">
        <w:rPr>
          <w:i/>
          <w:lang w:val="en-NZ"/>
        </w:rPr>
        <w:t>)</w:t>
      </w:r>
    </w:p>
    <w:p w:rsidR="00887655" w:rsidRPr="0021270B" w:rsidRDefault="00887655" w:rsidP="00887655">
      <w:pPr>
        <w:tabs>
          <w:tab w:val="left" w:pos="5295"/>
        </w:tabs>
        <w:rPr>
          <w:lang w:val="en-NZ"/>
        </w:rPr>
      </w:pPr>
    </w:p>
    <w:p w:rsidR="00887655" w:rsidRPr="0021270B" w:rsidRDefault="00887655" w:rsidP="00887655">
      <w:r w:rsidRPr="0021270B">
        <w:t>The requirement to provide a tax statement should only apply to transfers of land under contracts entered into on or after 1 October 2015.</w:t>
      </w:r>
    </w:p>
    <w:p w:rsidR="00887655" w:rsidRPr="0021270B" w:rsidRDefault="00887655" w:rsidP="00887655"/>
    <w:p w:rsidR="00887655" w:rsidRPr="0021270B" w:rsidRDefault="00887655" w:rsidP="00887655">
      <w:pPr>
        <w:keepNext/>
        <w:outlineLvl w:val="1"/>
        <w:rPr>
          <w:b/>
          <w:lang w:val="en-NZ"/>
        </w:rPr>
      </w:pPr>
      <w:r w:rsidRPr="0021270B">
        <w:rPr>
          <w:b/>
          <w:lang w:val="en-NZ"/>
        </w:rPr>
        <w:t>Comment</w:t>
      </w:r>
    </w:p>
    <w:p w:rsidR="00887655" w:rsidRPr="0021270B" w:rsidRDefault="00887655" w:rsidP="00887655">
      <w:pPr>
        <w:rPr>
          <w:lang w:val="en-NZ"/>
        </w:rPr>
      </w:pPr>
    </w:p>
    <w:p w:rsidR="0001173B" w:rsidRPr="0021270B" w:rsidRDefault="008105F1" w:rsidP="00887655">
      <w:pPr>
        <w:rPr>
          <w:lang w:val="en-NZ"/>
        </w:rPr>
      </w:pPr>
      <w:r w:rsidRPr="0021270B">
        <w:rPr>
          <w:lang w:val="en-NZ"/>
        </w:rPr>
        <w:t xml:space="preserve">Officials consider that, for simplicity, the best policy is for any transfers of land where registration is done on or after 1 October 2015 to be subject to the new requirement to provide a tax statement. Thus, where the contract for transfer of land is concluded before this date, the parties to the transfer may still be required to provide tax statements upon registration. </w:t>
      </w:r>
      <w:r w:rsidR="0001173B" w:rsidRPr="0021270B">
        <w:rPr>
          <w:lang w:val="en-NZ"/>
        </w:rPr>
        <w:t>An information campaign is planned to inform people of the changes</w:t>
      </w:r>
      <w:r w:rsidR="00CE7998" w:rsidRPr="0021270B">
        <w:rPr>
          <w:lang w:val="en-NZ"/>
        </w:rPr>
        <w:t xml:space="preserve"> as early as possible</w:t>
      </w:r>
      <w:r w:rsidR="0001173B" w:rsidRPr="0021270B">
        <w:rPr>
          <w:lang w:val="en-NZ"/>
        </w:rPr>
        <w:t>.</w:t>
      </w:r>
    </w:p>
    <w:p w:rsidR="00887655" w:rsidRPr="0021270B" w:rsidRDefault="00887655" w:rsidP="00887655">
      <w:pPr>
        <w:rPr>
          <w:lang w:val="en-NZ"/>
        </w:rPr>
      </w:pPr>
    </w:p>
    <w:p w:rsidR="00887655" w:rsidRPr="0021270B" w:rsidRDefault="00887655" w:rsidP="00887655">
      <w:pPr>
        <w:keepNext/>
        <w:outlineLvl w:val="1"/>
        <w:rPr>
          <w:b/>
          <w:lang w:val="en-NZ"/>
        </w:rPr>
      </w:pPr>
      <w:r w:rsidRPr="0021270B">
        <w:rPr>
          <w:b/>
          <w:lang w:val="en-NZ"/>
        </w:rPr>
        <w:t>Recommendation</w:t>
      </w:r>
    </w:p>
    <w:p w:rsidR="00887655" w:rsidRPr="0021270B" w:rsidRDefault="00887655" w:rsidP="00887655">
      <w:pPr>
        <w:rPr>
          <w:lang w:val="en-NZ"/>
        </w:rPr>
      </w:pPr>
    </w:p>
    <w:p w:rsidR="00887655" w:rsidRPr="0021270B" w:rsidRDefault="00887655" w:rsidP="00887655">
      <w:pPr>
        <w:rPr>
          <w:lang w:val="en-NZ"/>
        </w:rPr>
      </w:pPr>
      <w:r w:rsidRPr="0021270B">
        <w:rPr>
          <w:lang w:val="en-NZ"/>
        </w:rPr>
        <w:t xml:space="preserve">That the submission be </w:t>
      </w:r>
      <w:r w:rsidR="000C2BF6" w:rsidRPr="0021270B">
        <w:rPr>
          <w:lang w:val="en-NZ"/>
        </w:rPr>
        <w:t>declined</w:t>
      </w:r>
      <w:r w:rsidRPr="0021270B">
        <w:rPr>
          <w:lang w:val="en-NZ"/>
        </w:rPr>
        <w:t>.</w:t>
      </w:r>
    </w:p>
    <w:p w:rsidR="00887655" w:rsidRPr="0021270B" w:rsidRDefault="00887655" w:rsidP="00887655">
      <w:pPr>
        <w:pBdr>
          <w:bottom w:val="single" w:sz="4" w:space="1" w:color="auto"/>
        </w:pBdr>
        <w:rPr>
          <w:lang w:val="en-NZ"/>
        </w:rPr>
      </w:pPr>
    </w:p>
    <w:p w:rsidR="00887655" w:rsidRPr="0021270B" w:rsidRDefault="00887655" w:rsidP="00887655">
      <w:pPr>
        <w:rPr>
          <w:lang w:val="en-NZ"/>
        </w:rPr>
      </w:pPr>
    </w:p>
    <w:p w:rsidR="00E640A4" w:rsidRPr="0021270B" w:rsidRDefault="00E640A4" w:rsidP="00887655">
      <w:pPr>
        <w:rPr>
          <w:lang w:val="en-NZ"/>
        </w:rPr>
      </w:pPr>
    </w:p>
    <w:p w:rsidR="009F01B9" w:rsidRPr="0021270B" w:rsidRDefault="009F01B9" w:rsidP="009575F9">
      <w:pPr>
        <w:pStyle w:val="Heading5"/>
        <w:rPr>
          <w:lang w:val="en-NZ"/>
        </w:rPr>
      </w:pPr>
      <w:bookmarkStart w:id="46" w:name="_Toc427238239"/>
      <w:r w:rsidRPr="0021270B">
        <w:rPr>
          <w:lang w:val="en-NZ"/>
        </w:rPr>
        <w:lastRenderedPageBreak/>
        <w:t>Issue:</w:t>
      </w:r>
      <w:r w:rsidRPr="0021270B">
        <w:rPr>
          <w:lang w:val="en-NZ"/>
        </w:rPr>
        <w:tab/>
      </w:r>
      <w:r w:rsidR="00B31D95" w:rsidRPr="0021270B">
        <w:rPr>
          <w:lang w:val="en-NZ"/>
        </w:rPr>
        <w:t xml:space="preserve">Non-active trust </w:t>
      </w:r>
      <w:r w:rsidR="00F54E1F" w:rsidRPr="0021270B">
        <w:rPr>
          <w:lang w:val="en-NZ"/>
        </w:rPr>
        <w:t>compliance costs</w:t>
      </w:r>
      <w:bookmarkEnd w:id="46"/>
    </w:p>
    <w:p w:rsidR="009F01B9" w:rsidRPr="0021270B" w:rsidRDefault="009F01B9" w:rsidP="009F01B9">
      <w:pPr>
        <w:rPr>
          <w:lang w:val="en-NZ"/>
        </w:rPr>
      </w:pPr>
    </w:p>
    <w:p w:rsidR="009F01B9" w:rsidRPr="0021270B" w:rsidRDefault="009F01B9" w:rsidP="009F01B9">
      <w:pPr>
        <w:rPr>
          <w:lang w:val="en-NZ"/>
        </w:rPr>
      </w:pPr>
    </w:p>
    <w:p w:rsidR="009F01B9" w:rsidRPr="0021270B" w:rsidRDefault="009F01B9" w:rsidP="009F01B9">
      <w:pPr>
        <w:keepNext/>
        <w:outlineLvl w:val="1"/>
        <w:rPr>
          <w:b/>
          <w:lang w:val="en-NZ"/>
        </w:rPr>
      </w:pPr>
      <w:r w:rsidRPr="0021270B">
        <w:rPr>
          <w:b/>
          <w:lang w:val="en-NZ"/>
        </w:rPr>
        <w:t>Submission</w:t>
      </w:r>
    </w:p>
    <w:p w:rsidR="009F01B9" w:rsidRPr="0021270B" w:rsidRDefault="001C72A5" w:rsidP="009F01B9">
      <w:pPr>
        <w:tabs>
          <w:tab w:val="left" w:pos="5295"/>
        </w:tabs>
        <w:rPr>
          <w:i/>
          <w:lang w:val="en-NZ"/>
        </w:rPr>
      </w:pPr>
      <w:r w:rsidRPr="0021270B">
        <w:rPr>
          <w:i/>
          <w:lang w:val="en-NZ"/>
        </w:rPr>
        <w:t>(</w:t>
      </w:r>
      <w:r w:rsidR="009F01B9" w:rsidRPr="0021270B">
        <w:rPr>
          <w:i/>
          <w:lang w:val="en-NZ"/>
        </w:rPr>
        <w:t>Chartered Accountants Australia and New Zealand</w:t>
      </w:r>
      <w:r w:rsidR="00B31D95" w:rsidRPr="0021270B">
        <w:rPr>
          <w:i/>
          <w:lang w:val="en-NZ"/>
        </w:rPr>
        <w:t xml:space="preserve">, </w:t>
      </w:r>
      <w:r w:rsidR="00685F09" w:rsidRPr="0021270B">
        <w:rPr>
          <w:i/>
          <w:lang w:val="en-NZ"/>
        </w:rPr>
        <w:t xml:space="preserve">EY, </w:t>
      </w:r>
      <w:r w:rsidR="00B31D95" w:rsidRPr="0021270B">
        <w:rPr>
          <w:i/>
          <w:lang w:val="en-NZ"/>
        </w:rPr>
        <w:t>PricewaterhouseCoopers</w:t>
      </w:r>
      <w:r w:rsidRPr="0021270B">
        <w:rPr>
          <w:i/>
          <w:lang w:val="en-NZ"/>
        </w:rPr>
        <w:t>)</w:t>
      </w:r>
    </w:p>
    <w:p w:rsidR="009F01B9" w:rsidRPr="0021270B" w:rsidRDefault="009F01B9" w:rsidP="009F01B9">
      <w:pPr>
        <w:tabs>
          <w:tab w:val="left" w:pos="5295"/>
        </w:tabs>
        <w:rPr>
          <w:lang w:val="en-NZ"/>
        </w:rPr>
      </w:pPr>
    </w:p>
    <w:p w:rsidR="001D1D05" w:rsidRPr="0021270B" w:rsidRDefault="001D1D05" w:rsidP="001D1D05">
      <w:r w:rsidRPr="0021270B">
        <w:t>Trusts that are required to obtain an IRD number due to the proposed changes should not have to file a tax return for years in which they derive no income.</w:t>
      </w:r>
      <w:r w:rsidR="00A22D6F" w:rsidRPr="0021270B">
        <w:t xml:space="preserve"> </w:t>
      </w:r>
      <w:r w:rsidR="00A22D6F" w:rsidRPr="0021270B">
        <w:rPr>
          <w:i/>
        </w:rPr>
        <w:t>(Chartered Accounts Australia and New Zealand</w:t>
      </w:r>
      <w:r w:rsidR="003F7D6F" w:rsidRPr="0021270B">
        <w:rPr>
          <w:i/>
        </w:rPr>
        <w:t xml:space="preserve">, </w:t>
      </w:r>
      <w:r w:rsidR="00C96C7E" w:rsidRPr="0021270B">
        <w:rPr>
          <w:i/>
        </w:rPr>
        <w:t>EY</w:t>
      </w:r>
      <w:r w:rsidR="00A22D6F" w:rsidRPr="0021270B">
        <w:rPr>
          <w:i/>
        </w:rPr>
        <w:t>)</w:t>
      </w:r>
    </w:p>
    <w:p w:rsidR="00A22D6F" w:rsidRPr="0021270B" w:rsidRDefault="00A22D6F" w:rsidP="001D1D05"/>
    <w:p w:rsidR="00A22D6F" w:rsidRPr="0021270B" w:rsidRDefault="00685F09" w:rsidP="001D1D05">
      <w:pPr>
        <w:rPr>
          <w:i/>
        </w:rPr>
      </w:pPr>
      <w:r w:rsidRPr="0021270B">
        <w:t>A</w:t>
      </w:r>
      <w:r w:rsidR="00A22D6F" w:rsidRPr="0021270B">
        <w:t xml:space="preserve"> non-active trust declaration similar to the non-active company declaration</w:t>
      </w:r>
      <w:r w:rsidRPr="0021270B">
        <w:t xml:space="preserve"> should be </w:t>
      </w:r>
      <w:r w:rsidR="00A22D6F" w:rsidRPr="0021270B">
        <w:t xml:space="preserve">introduced. </w:t>
      </w:r>
      <w:r w:rsidRPr="0021270B">
        <w:t>Trustee</w:t>
      </w:r>
      <w:r w:rsidR="00F54E1F" w:rsidRPr="0021270B">
        <w:t>s</w:t>
      </w:r>
      <w:r w:rsidR="00A22D6F" w:rsidRPr="0021270B">
        <w:t xml:space="preserve"> </w:t>
      </w:r>
      <w:r w:rsidRPr="0021270B">
        <w:t xml:space="preserve">should be </w:t>
      </w:r>
      <w:r w:rsidR="00A22D6F" w:rsidRPr="0021270B">
        <w:t>made aware of the extra tax obligations that arise once a trust has an IRD number and also the required criteria for a non-active trust declaration</w:t>
      </w:r>
      <w:r w:rsidRPr="0021270B">
        <w:t>,</w:t>
      </w:r>
      <w:r w:rsidR="00A22D6F" w:rsidRPr="0021270B">
        <w:t xml:space="preserve"> if introduced.</w:t>
      </w:r>
      <w:r w:rsidRPr="0021270B">
        <w:t xml:space="preserve"> </w:t>
      </w:r>
      <w:r w:rsidRPr="0021270B">
        <w:rPr>
          <w:i/>
        </w:rPr>
        <w:t>(PricewaterhouseCoopers</w:t>
      </w:r>
      <w:r w:rsidR="008D1E27" w:rsidRPr="0021270B">
        <w:rPr>
          <w:i/>
        </w:rPr>
        <w:t>, Chartered Accountants Australia and New Zealand</w:t>
      </w:r>
      <w:r w:rsidRPr="0021270B">
        <w:rPr>
          <w:i/>
        </w:rPr>
        <w:t>)</w:t>
      </w:r>
    </w:p>
    <w:p w:rsidR="00B31D95" w:rsidRPr="0021270B" w:rsidRDefault="00B31D95" w:rsidP="001D1D05"/>
    <w:p w:rsidR="009F01B9" w:rsidRPr="0021270B" w:rsidRDefault="009F01B9" w:rsidP="009F01B9">
      <w:pPr>
        <w:keepNext/>
        <w:outlineLvl w:val="1"/>
        <w:rPr>
          <w:b/>
          <w:lang w:val="en-NZ"/>
        </w:rPr>
      </w:pPr>
      <w:r w:rsidRPr="0021270B">
        <w:rPr>
          <w:b/>
          <w:lang w:val="en-NZ"/>
        </w:rPr>
        <w:t>Comment</w:t>
      </w:r>
    </w:p>
    <w:p w:rsidR="00F54E1F" w:rsidRPr="0021270B" w:rsidRDefault="00F54E1F" w:rsidP="009F01B9">
      <w:pPr>
        <w:keepNext/>
        <w:outlineLvl w:val="1"/>
        <w:rPr>
          <w:b/>
          <w:lang w:val="en-NZ"/>
        </w:rPr>
      </w:pPr>
    </w:p>
    <w:p w:rsidR="00F54E1F" w:rsidRPr="0021270B" w:rsidRDefault="00F54E1F" w:rsidP="009F01B9">
      <w:pPr>
        <w:keepNext/>
        <w:outlineLvl w:val="1"/>
        <w:rPr>
          <w:lang w:val="en-NZ"/>
        </w:rPr>
      </w:pPr>
      <w:r w:rsidRPr="0021270B">
        <w:rPr>
          <w:lang w:val="en-NZ"/>
        </w:rPr>
        <w:t>All trusts, including trusts that only hold a family home, will be required to provide an IRD number under this proposal.</w:t>
      </w:r>
    </w:p>
    <w:p w:rsidR="00F54E1F" w:rsidRPr="0021270B" w:rsidRDefault="00F54E1F" w:rsidP="009F01B9">
      <w:pPr>
        <w:keepNext/>
        <w:outlineLvl w:val="1"/>
        <w:rPr>
          <w:lang w:val="en-NZ"/>
        </w:rPr>
      </w:pPr>
    </w:p>
    <w:p w:rsidR="004E72A0" w:rsidRPr="0021270B" w:rsidRDefault="00F54E1F" w:rsidP="00F54E1F">
      <w:pPr>
        <w:keepNext/>
        <w:outlineLvl w:val="1"/>
        <w:rPr>
          <w:lang w:val="en-NZ"/>
        </w:rPr>
      </w:pPr>
      <w:r w:rsidRPr="0021270B">
        <w:rPr>
          <w:lang w:val="en-NZ"/>
        </w:rPr>
        <w:t>Any tax implications will be considered as part of the second stage (which</w:t>
      </w:r>
      <w:r w:rsidR="005641C1">
        <w:rPr>
          <w:lang w:val="en-NZ"/>
        </w:rPr>
        <w:t xml:space="preserve"> will include the “</w:t>
      </w:r>
      <w:r w:rsidRPr="0021270B">
        <w:rPr>
          <w:lang w:val="en-NZ"/>
        </w:rPr>
        <w:t>bright-line</w:t>
      </w:r>
      <w:r w:rsidR="005641C1">
        <w:rPr>
          <w:lang w:val="en-NZ"/>
        </w:rPr>
        <w:t>”</w:t>
      </w:r>
      <w:r w:rsidRPr="0021270B">
        <w:rPr>
          <w:lang w:val="en-NZ"/>
        </w:rPr>
        <w:t xml:space="preserve"> test) of the property law reform process. This will include clarification that trusts</w:t>
      </w:r>
      <w:r w:rsidR="004E72A0" w:rsidRPr="0021270B">
        <w:rPr>
          <w:lang w:val="en-NZ"/>
        </w:rPr>
        <w:t xml:space="preserve"> </w:t>
      </w:r>
      <w:r w:rsidR="00D05591" w:rsidRPr="0021270B">
        <w:rPr>
          <w:lang w:val="en-NZ"/>
        </w:rPr>
        <w:t>do</w:t>
      </w:r>
      <w:r w:rsidR="004E72A0" w:rsidRPr="0021270B">
        <w:rPr>
          <w:lang w:val="en-NZ"/>
        </w:rPr>
        <w:t xml:space="preserve"> not generate income</w:t>
      </w:r>
      <w:r w:rsidR="00D05591" w:rsidRPr="0021270B">
        <w:rPr>
          <w:lang w:val="en-NZ"/>
        </w:rPr>
        <w:t xml:space="preserve"> (for example, because their only asset is the family home)</w:t>
      </w:r>
      <w:r w:rsidRPr="0021270B">
        <w:rPr>
          <w:lang w:val="en-NZ"/>
        </w:rPr>
        <w:t xml:space="preserve"> will not be required to file.</w:t>
      </w:r>
    </w:p>
    <w:p w:rsidR="008D1E27" w:rsidRPr="0021270B" w:rsidRDefault="008D1E27" w:rsidP="004E72A0">
      <w:pPr>
        <w:rPr>
          <w:lang w:val="en-NZ"/>
        </w:rPr>
      </w:pPr>
    </w:p>
    <w:p w:rsidR="008D1E27" w:rsidRPr="0021270B" w:rsidRDefault="000035B9" w:rsidP="004E72A0">
      <w:pPr>
        <w:rPr>
          <w:lang w:val="en-NZ"/>
        </w:rPr>
      </w:pPr>
      <w:r w:rsidRPr="0021270B">
        <w:rPr>
          <w:lang w:val="en-NZ"/>
        </w:rPr>
        <w:t>Officials</w:t>
      </w:r>
      <w:r w:rsidR="00594223" w:rsidRPr="0021270B">
        <w:rPr>
          <w:lang w:val="en-NZ"/>
        </w:rPr>
        <w:t xml:space="preserve"> understand that an administrative practice has allowed </w:t>
      </w:r>
      <w:r w:rsidR="00D05591" w:rsidRPr="0021270B">
        <w:rPr>
          <w:lang w:val="en-NZ"/>
        </w:rPr>
        <w:t>non-active trusts to not file</w:t>
      </w:r>
      <w:r w:rsidR="00594223" w:rsidRPr="0021270B">
        <w:rPr>
          <w:lang w:val="en-NZ"/>
        </w:rPr>
        <w:t xml:space="preserve"> and will ensu</w:t>
      </w:r>
      <w:r w:rsidR="00E15975" w:rsidRPr="0021270B">
        <w:rPr>
          <w:lang w:val="en-NZ"/>
        </w:rPr>
        <w:t>re that this practice continues until that stage of reform is completed.</w:t>
      </w:r>
    </w:p>
    <w:p w:rsidR="009F01B9" w:rsidRPr="0021270B" w:rsidRDefault="009F01B9" w:rsidP="009F01B9">
      <w:pPr>
        <w:rPr>
          <w:lang w:val="en-NZ"/>
        </w:rPr>
      </w:pPr>
    </w:p>
    <w:p w:rsidR="009F01B9" w:rsidRPr="0021270B" w:rsidRDefault="009F01B9" w:rsidP="009F01B9">
      <w:pPr>
        <w:keepNext/>
        <w:outlineLvl w:val="1"/>
        <w:rPr>
          <w:b/>
          <w:lang w:val="en-NZ"/>
        </w:rPr>
      </w:pPr>
      <w:r w:rsidRPr="0021270B">
        <w:rPr>
          <w:b/>
          <w:lang w:val="en-NZ"/>
        </w:rPr>
        <w:t>Recommendation</w:t>
      </w:r>
    </w:p>
    <w:p w:rsidR="009F01B9" w:rsidRPr="0021270B" w:rsidRDefault="009F01B9" w:rsidP="009F01B9">
      <w:pPr>
        <w:rPr>
          <w:lang w:val="en-NZ"/>
        </w:rPr>
      </w:pPr>
    </w:p>
    <w:p w:rsidR="009F01B9" w:rsidRPr="0021270B" w:rsidRDefault="009F01B9" w:rsidP="009F01B9">
      <w:pPr>
        <w:rPr>
          <w:lang w:val="en-NZ"/>
        </w:rPr>
      </w:pPr>
      <w:r w:rsidRPr="0021270B">
        <w:rPr>
          <w:lang w:val="en-NZ"/>
        </w:rPr>
        <w:t xml:space="preserve">That the submission be </w:t>
      </w:r>
      <w:r w:rsidR="007E24FC" w:rsidRPr="0021270B">
        <w:rPr>
          <w:lang w:val="en-NZ"/>
        </w:rPr>
        <w:t>declined and considered as part of the second stage of the property law reform process</w:t>
      </w:r>
      <w:r w:rsidRPr="0021270B">
        <w:rPr>
          <w:lang w:val="en-NZ"/>
        </w:rPr>
        <w:t>.</w:t>
      </w:r>
    </w:p>
    <w:p w:rsidR="001D1D05" w:rsidRPr="0021270B" w:rsidRDefault="001D1D05" w:rsidP="001D1D05">
      <w:pPr>
        <w:pBdr>
          <w:bottom w:val="single" w:sz="4" w:space="1" w:color="auto"/>
        </w:pBdr>
        <w:rPr>
          <w:lang w:val="en-NZ"/>
        </w:rPr>
      </w:pPr>
    </w:p>
    <w:p w:rsidR="00E640A4" w:rsidRPr="0021270B" w:rsidRDefault="00E640A4" w:rsidP="00D33065">
      <w:pPr>
        <w:keepNext/>
        <w:tabs>
          <w:tab w:val="left" w:pos="794"/>
        </w:tabs>
        <w:outlineLvl w:val="4"/>
      </w:pPr>
    </w:p>
    <w:p w:rsidR="00E640A4" w:rsidRPr="0021270B" w:rsidRDefault="00E640A4" w:rsidP="00D33065">
      <w:pPr>
        <w:keepNext/>
        <w:tabs>
          <w:tab w:val="left" w:pos="794"/>
        </w:tabs>
        <w:outlineLvl w:val="4"/>
      </w:pPr>
    </w:p>
    <w:p w:rsidR="00D33065" w:rsidRPr="0021270B" w:rsidRDefault="00D33065" w:rsidP="00E11524">
      <w:pPr>
        <w:pStyle w:val="Heading5"/>
      </w:pPr>
      <w:bookmarkStart w:id="47" w:name="_Toc427238240"/>
      <w:r w:rsidRPr="0021270B">
        <w:t>Issue:</w:t>
      </w:r>
      <w:r w:rsidRPr="0021270B">
        <w:tab/>
        <w:t>Exemption for death and relationship property transfers</w:t>
      </w:r>
      <w:bookmarkEnd w:id="47"/>
    </w:p>
    <w:p w:rsidR="001D1D05" w:rsidRPr="0021270B" w:rsidRDefault="001D1D05" w:rsidP="001D1D05">
      <w:pPr>
        <w:rPr>
          <w:lang w:val="en-NZ"/>
        </w:rPr>
      </w:pPr>
    </w:p>
    <w:p w:rsidR="00D33065" w:rsidRPr="0021270B" w:rsidRDefault="00D33065" w:rsidP="001D1D05">
      <w:pPr>
        <w:rPr>
          <w:lang w:val="en-NZ"/>
        </w:rPr>
      </w:pPr>
    </w:p>
    <w:p w:rsidR="00D33065" w:rsidRPr="0021270B" w:rsidRDefault="00D33065" w:rsidP="001D1D05">
      <w:pPr>
        <w:rPr>
          <w:lang w:val="en-NZ"/>
        </w:rPr>
      </w:pPr>
      <w:r w:rsidRPr="0021270B">
        <w:rPr>
          <w:b/>
          <w:lang w:val="en-NZ"/>
        </w:rPr>
        <w:t>Submission</w:t>
      </w:r>
    </w:p>
    <w:p w:rsidR="00D33065" w:rsidRPr="0021270B" w:rsidRDefault="00D33065" w:rsidP="001D1D05">
      <w:pPr>
        <w:rPr>
          <w:lang w:val="en-NZ"/>
        </w:rPr>
      </w:pPr>
      <w:r w:rsidRPr="0021270B">
        <w:rPr>
          <w:i/>
          <w:lang w:val="en-NZ"/>
        </w:rPr>
        <w:t>(EY)</w:t>
      </w:r>
    </w:p>
    <w:p w:rsidR="00D33065" w:rsidRPr="0021270B" w:rsidRDefault="00D33065" w:rsidP="001D1D05">
      <w:pPr>
        <w:rPr>
          <w:lang w:val="en-NZ"/>
        </w:rPr>
      </w:pPr>
    </w:p>
    <w:p w:rsidR="00D33065" w:rsidRPr="0021270B" w:rsidRDefault="00D33065" w:rsidP="001D1D05">
      <w:pPr>
        <w:rPr>
          <w:lang w:val="en-NZ"/>
        </w:rPr>
      </w:pPr>
      <w:r w:rsidRPr="0021270B">
        <w:rPr>
          <w:lang w:val="en-NZ"/>
        </w:rPr>
        <w:t>Death and relationship property transfers should be exempt or addressed specifically in relation to the requirement to provide tax information.</w:t>
      </w:r>
    </w:p>
    <w:p w:rsidR="00D33065" w:rsidRPr="0021270B" w:rsidRDefault="00D33065" w:rsidP="001D1D05">
      <w:pPr>
        <w:rPr>
          <w:lang w:val="en-NZ"/>
        </w:rPr>
      </w:pPr>
    </w:p>
    <w:p w:rsidR="00D33065" w:rsidRPr="0021270B" w:rsidRDefault="00D33065" w:rsidP="001D1D05">
      <w:pPr>
        <w:rPr>
          <w:lang w:val="en-NZ"/>
        </w:rPr>
      </w:pPr>
      <w:r w:rsidRPr="0021270B">
        <w:rPr>
          <w:b/>
          <w:lang w:val="en-NZ"/>
        </w:rPr>
        <w:t>Comments</w:t>
      </w:r>
    </w:p>
    <w:p w:rsidR="00D33065" w:rsidRPr="0021270B" w:rsidRDefault="00D33065" w:rsidP="001D1D05">
      <w:pPr>
        <w:rPr>
          <w:lang w:val="en-NZ"/>
        </w:rPr>
      </w:pPr>
    </w:p>
    <w:p w:rsidR="00D33065" w:rsidRPr="0021270B" w:rsidRDefault="00D33065" w:rsidP="001D1D05">
      <w:pPr>
        <w:rPr>
          <w:lang w:val="en-NZ"/>
        </w:rPr>
      </w:pPr>
      <w:r w:rsidRPr="0021270B">
        <w:rPr>
          <w:lang w:val="en-NZ"/>
        </w:rPr>
        <w:t>Officials note that in some cases the information collection provisions will not entirely align with the proposed bright</w:t>
      </w:r>
      <w:r w:rsidR="00B34BD1" w:rsidRPr="0021270B">
        <w:rPr>
          <w:lang w:val="en-NZ"/>
        </w:rPr>
        <w:t>-</w:t>
      </w:r>
      <w:r w:rsidRPr="0021270B">
        <w:rPr>
          <w:lang w:val="en-NZ"/>
        </w:rPr>
        <w:t>line rule. This bill relates to information collection only and not to core taxing provisions.</w:t>
      </w:r>
    </w:p>
    <w:p w:rsidR="000035B9" w:rsidRPr="0021270B" w:rsidRDefault="000035B9" w:rsidP="001D1D05">
      <w:pPr>
        <w:rPr>
          <w:lang w:val="en-NZ"/>
        </w:rPr>
      </w:pPr>
      <w:r w:rsidRPr="0021270B">
        <w:rPr>
          <w:lang w:val="en-NZ"/>
        </w:rPr>
        <w:lastRenderedPageBreak/>
        <w:t>Officials note that the legislation makes provision for transactions to be exempt via Regulations where it is impractical, there are high compliance costs, or there is a low risk of tax avoidance. As part of developing regulations officials will consider whether death and relationship property transfers should be exempt.</w:t>
      </w:r>
    </w:p>
    <w:p w:rsidR="00D33065" w:rsidRPr="0021270B" w:rsidRDefault="00D33065" w:rsidP="001D1D05">
      <w:pPr>
        <w:rPr>
          <w:lang w:val="en-NZ"/>
        </w:rPr>
      </w:pPr>
    </w:p>
    <w:p w:rsidR="00D33065" w:rsidRPr="0021270B" w:rsidRDefault="00D33065" w:rsidP="00D33065">
      <w:pPr>
        <w:keepNext/>
        <w:outlineLvl w:val="1"/>
        <w:rPr>
          <w:b/>
        </w:rPr>
      </w:pPr>
      <w:r w:rsidRPr="0021270B">
        <w:rPr>
          <w:b/>
        </w:rPr>
        <w:t>Recommendation</w:t>
      </w:r>
    </w:p>
    <w:p w:rsidR="00D33065" w:rsidRPr="0021270B" w:rsidRDefault="00D33065" w:rsidP="001D1D05">
      <w:pPr>
        <w:rPr>
          <w:lang w:val="en-NZ"/>
        </w:rPr>
      </w:pPr>
    </w:p>
    <w:p w:rsidR="00D33065" w:rsidRPr="0021270B" w:rsidRDefault="000035B9" w:rsidP="001D1D05">
      <w:pPr>
        <w:rPr>
          <w:lang w:val="en-NZ"/>
        </w:rPr>
      </w:pPr>
      <w:r w:rsidRPr="0021270B">
        <w:rPr>
          <w:lang w:val="en-NZ"/>
        </w:rPr>
        <w:t>That the submission be d</w:t>
      </w:r>
      <w:r w:rsidR="00D33065" w:rsidRPr="0021270B">
        <w:rPr>
          <w:lang w:val="en-NZ"/>
        </w:rPr>
        <w:t>eclined</w:t>
      </w:r>
    </w:p>
    <w:p w:rsidR="00D33065" w:rsidRPr="0021270B" w:rsidRDefault="00D33065" w:rsidP="009575F9">
      <w:pPr>
        <w:pBdr>
          <w:bottom w:val="single" w:sz="4" w:space="1" w:color="auto"/>
        </w:pBdr>
        <w:rPr>
          <w:lang w:val="en-NZ"/>
        </w:rPr>
      </w:pPr>
    </w:p>
    <w:p w:rsidR="00D33065" w:rsidRPr="0021270B" w:rsidRDefault="00D33065" w:rsidP="001D1D05">
      <w:pPr>
        <w:rPr>
          <w:lang w:val="en-NZ"/>
        </w:rPr>
      </w:pPr>
    </w:p>
    <w:p w:rsidR="00E640A4" w:rsidRPr="0021270B" w:rsidRDefault="00E640A4" w:rsidP="001D1D05">
      <w:pPr>
        <w:rPr>
          <w:lang w:val="en-NZ"/>
        </w:rPr>
      </w:pPr>
    </w:p>
    <w:p w:rsidR="006A52C6" w:rsidRPr="0021270B" w:rsidRDefault="006A52C6" w:rsidP="009575F9">
      <w:pPr>
        <w:pStyle w:val="Heading5"/>
        <w:rPr>
          <w:lang w:val="en-NZ"/>
        </w:rPr>
      </w:pPr>
      <w:bookmarkStart w:id="48" w:name="_Toc427238241"/>
      <w:r w:rsidRPr="0021270B">
        <w:rPr>
          <w:lang w:val="en-NZ"/>
        </w:rPr>
        <w:t>Issue:</w:t>
      </w:r>
      <w:r w:rsidRPr="0021270B">
        <w:rPr>
          <w:lang w:val="en-NZ"/>
        </w:rPr>
        <w:tab/>
        <w:t>Fast-tracking IRD number application process for trusts</w:t>
      </w:r>
      <w:bookmarkEnd w:id="48"/>
    </w:p>
    <w:p w:rsidR="006A52C6" w:rsidRPr="0021270B" w:rsidRDefault="006A52C6" w:rsidP="006A52C6">
      <w:pPr>
        <w:rPr>
          <w:lang w:val="en-NZ"/>
        </w:rPr>
      </w:pPr>
    </w:p>
    <w:p w:rsidR="006A52C6" w:rsidRPr="0021270B" w:rsidRDefault="006A52C6" w:rsidP="006A52C6">
      <w:pPr>
        <w:rPr>
          <w:lang w:val="en-NZ"/>
        </w:rPr>
      </w:pPr>
    </w:p>
    <w:p w:rsidR="006A52C6" w:rsidRPr="0021270B" w:rsidRDefault="006A52C6" w:rsidP="006A52C6">
      <w:pPr>
        <w:keepNext/>
        <w:outlineLvl w:val="1"/>
        <w:rPr>
          <w:b/>
          <w:lang w:val="en-NZ"/>
        </w:rPr>
      </w:pPr>
      <w:r w:rsidRPr="0021270B">
        <w:rPr>
          <w:b/>
          <w:lang w:val="en-NZ"/>
        </w:rPr>
        <w:t>Submission</w:t>
      </w:r>
    </w:p>
    <w:p w:rsidR="006A52C6" w:rsidRPr="0021270B" w:rsidRDefault="001C72A5" w:rsidP="006A52C6">
      <w:pPr>
        <w:tabs>
          <w:tab w:val="left" w:pos="5295"/>
        </w:tabs>
        <w:rPr>
          <w:i/>
          <w:lang w:val="en-NZ"/>
        </w:rPr>
      </w:pPr>
      <w:r w:rsidRPr="0021270B">
        <w:rPr>
          <w:i/>
          <w:lang w:val="en-NZ"/>
        </w:rPr>
        <w:t>(</w:t>
      </w:r>
      <w:r w:rsidR="006A52C6" w:rsidRPr="0021270B">
        <w:rPr>
          <w:i/>
          <w:lang w:val="en-NZ"/>
        </w:rPr>
        <w:t>New Zealand Law Society</w:t>
      </w:r>
      <w:r w:rsidRPr="0021270B">
        <w:rPr>
          <w:i/>
          <w:lang w:val="en-NZ"/>
        </w:rPr>
        <w:t>)</w:t>
      </w:r>
    </w:p>
    <w:p w:rsidR="006A52C6" w:rsidRPr="0021270B" w:rsidRDefault="006A52C6" w:rsidP="006A52C6">
      <w:pPr>
        <w:tabs>
          <w:tab w:val="left" w:pos="5295"/>
        </w:tabs>
        <w:rPr>
          <w:lang w:val="en-NZ"/>
        </w:rPr>
      </w:pPr>
    </w:p>
    <w:p w:rsidR="002E3B66" w:rsidRPr="0021270B" w:rsidRDefault="006A52C6" w:rsidP="009D2629">
      <w:r w:rsidRPr="0021270B">
        <w:t>Inland Revenue should allow the IRD number application process for trusts to be fast-tracked.</w:t>
      </w:r>
    </w:p>
    <w:p w:rsidR="006A52C6" w:rsidRPr="0021270B" w:rsidRDefault="006A52C6" w:rsidP="006A52C6"/>
    <w:p w:rsidR="006A52C6" w:rsidRPr="0021270B" w:rsidRDefault="006A52C6" w:rsidP="006A52C6">
      <w:pPr>
        <w:keepNext/>
        <w:outlineLvl w:val="1"/>
        <w:rPr>
          <w:b/>
          <w:lang w:val="en-NZ"/>
        </w:rPr>
      </w:pPr>
      <w:r w:rsidRPr="0021270B">
        <w:rPr>
          <w:b/>
          <w:lang w:val="en-NZ"/>
        </w:rPr>
        <w:t>Comment</w:t>
      </w:r>
    </w:p>
    <w:p w:rsidR="006A52C6" w:rsidRPr="0021270B" w:rsidRDefault="006A52C6" w:rsidP="006A52C6">
      <w:pPr>
        <w:rPr>
          <w:lang w:val="en-NZ"/>
        </w:rPr>
      </w:pPr>
    </w:p>
    <w:p w:rsidR="009D2629" w:rsidRPr="0021270B" w:rsidRDefault="00167C0D" w:rsidP="009D2629">
      <w:pPr>
        <w:rPr>
          <w:lang w:val="en-NZ"/>
        </w:rPr>
      </w:pPr>
      <w:r w:rsidRPr="0021270B">
        <w:rPr>
          <w:lang w:val="en-NZ"/>
        </w:rPr>
        <w:t>T</w:t>
      </w:r>
      <w:r w:rsidR="009D2629" w:rsidRPr="0021270B">
        <w:rPr>
          <w:lang w:val="en-NZ"/>
        </w:rPr>
        <w:t xml:space="preserve">he current application process is between </w:t>
      </w:r>
      <w:r w:rsidR="00685F09" w:rsidRPr="0021270B">
        <w:rPr>
          <w:lang w:val="en-NZ"/>
        </w:rPr>
        <w:t>8–</w:t>
      </w:r>
      <w:r w:rsidR="009D2629" w:rsidRPr="0021270B">
        <w:rPr>
          <w:lang w:val="en-NZ"/>
        </w:rPr>
        <w:t>10 working days upon rec</w:t>
      </w:r>
      <w:r w:rsidRPr="0021270B">
        <w:rPr>
          <w:lang w:val="en-NZ"/>
        </w:rPr>
        <w:t>eiving a completed application.</w:t>
      </w:r>
      <w:r w:rsidR="009D2629" w:rsidRPr="0021270B">
        <w:rPr>
          <w:lang w:val="en-NZ"/>
        </w:rPr>
        <w:t xml:space="preserve"> </w:t>
      </w:r>
      <w:r w:rsidR="00685F09" w:rsidRPr="0021270B">
        <w:rPr>
          <w:lang w:val="en-NZ"/>
        </w:rPr>
        <w:t>As part of the application process, t</w:t>
      </w:r>
      <w:r w:rsidR="009D2629" w:rsidRPr="0021270B">
        <w:rPr>
          <w:lang w:val="en-NZ"/>
        </w:rPr>
        <w:t xml:space="preserve">rusts are required to provide the trust deed and the names of the trustees.  </w:t>
      </w:r>
    </w:p>
    <w:p w:rsidR="009D2629" w:rsidRPr="0021270B" w:rsidRDefault="009D2629" w:rsidP="009D2629">
      <w:pPr>
        <w:rPr>
          <w:lang w:val="en-NZ"/>
        </w:rPr>
      </w:pPr>
    </w:p>
    <w:p w:rsidR="006A52C6" w:rsidRPr="0021270B" w:rsidRDefault="009D2629" w:rsidP="009D2629">
      <w:pPr>
        <w:rPr>
          <w:lang w:val="en-NZ"/>
        </w:rPr>
      </w:pPr>
      <w:r w:rsidRPr="0021270B">
        <w:rPr>
          <w:lang w:val="en-NZ"/>
        </w:rPr>
        <w:t>Officials do not consider that there is a reason to prioritise applications for trusts over other taxpayers.</w:t>
      </w:r>
    </w:p>
    <w:p w:rsidR="009D2629" w:rsidRPr="0021270B" w:rsidRDefault="009D2629" w:rsidP="006A52C6">
      <w:pPr>
        <w:rPr>
          <w:lang w:val="en-NZ"/>
        </w:rPr>
      </w:pPr>
    </w:p>
    <w:p w:rsidR="006A52C6" w:rsidRPr="0021270B" w:rsidRDefault="006A52C6" w:rsidP="006A52C6">
      <w:pPr>
        <w:keepNext/>
        <w:outlineLvl w:val="1"/>
        <w:rPr>
          <w:b/>
          <w:lang w:val="en-NZ"/>
        </w:rPr>
      </w:pPr>
      <w:r w:rsidRPr="0021270B">
        <w:rPr>
          <w:b/>
          <w:lang w:val="en-NZ"/>
        </w:rPr>
        <w:t>Recommendation</w:t>
      </w:r>
    </w:p>
    <w:p w:rsidR="006A52C6" w:rsidRPr="0021270B" w:rsidRDefault="006A52C6" w:rsidP="006A52C6">
      <w:pPr>
        <w:rPr>
          <w:lang w:val="en-NZ"/>
        </w:rPr>
      </w:pPr>
    </w:p>
    <w:p w:rsidR="006A52C6" w:rsidRPr="0021270B" w:rsidRDefault="006A52C6" w:rsidP="006A52C6">
      <w:pPr>
        <w:rPr>
          <w:lang w:val="en-NZ"/>
        </w:rPr>
      </w:pPr>
      <w:r w:rsidRPr="0021270B">
        <w:rPr>
          <w:lang w:val="en-NZ"/>
        </w:rPr>
        <w:t xml:space="preserve">That the submission be </w:t>
      </w:r>
      <w:r w:rsidR="009D2629" w:rsidRPr="0021270B">
        <w:rPr>
          <w:lang w:val="en-NZ"/>
        </w:rPr>
        <w:t>declined</w:t>
      </w:r>
      <w:r w:rsidRPr="0021270B">
        <w:rPr>
          <w:lang w:val="en-NZ"/>
        </w:rPr>
        <w:t>.</w:t>
      </w:r>
    </w:p>
    <w:p w:rsidR="006A52C6" w:rsidRPr="0021270B" w:rsidRDefault="006A52C6" w:rsidP="006A52C6">
      <w:pPr>
        <w:pBdr>
          <w:bottom w:val="single" w:sz="4" w:space="1" w:color="auto"/>
        </w:pBdr>
        <w:rPr>
          <w:lang w:val="en-NZ"/>
        </w:rPr>
      </w:pPr>
    </w:p>
    <w:p w:rsidR="006A52C6" w:rsidRPr="0021270B" w:rsidRDefault="006A52C6" w:rsidP="001D1D05">
      <w:pPr>
        <w:rPr>
          <w:lang w:val="en-NZ"/>
        </w:rPr>
      </w:pPr>
    </w:p>
    <w:p w:rsidR="00E640A4" w:rsidRPr="0021270B" w:rsidRDefault="00E640A4" w:rsidP="001D1D05">
      <w:pPr>
        <w:rPr>
          <w:lang w:val="en-NZ"/>
        </w:rPr>
      </w:pPr>
    </w:p>
    <w:p w:rsidR="006A52C6" w:rsidRPr="0021270B" w:rsidRDefault="006A52C6" w:rsidP="009575F9">
      <w:pPr>
        <w:pStyle w:val="Heading5"/>
        <w:rPr>
          <w:lang w:val="en-NZ"/>
        </w:rPr>
      </w:pPr>
      <w:bookmarkStart w:id="49" w:name="_Toc427238242"/>
      <w:r w:rsidRPr="0021270B">
        <w:rPr>
          <w:lang w:val="en-NZ"/>
        </w:rPr>
        <w:t>Issue:</w:t>
      </w:r>
      <w:r w:rsidRPr="0021270B">
        <w:rPr>
          <w:lang w:val="en-NZ"/>
        </w:rPr>
        <w:tab/>
        <w:t>Change of trustees as an exempt transfer</w:t>
      </w:r>
      <w:bookmarkEnd w:id="49"/>
    </w:p>
    <w:p w:rsidR="006A52C6" w:rsidRPr="0021270B" w:rsidRDefault="006A52C6" w:rsidP="006A52C6">
      <w:pPr>
        <w:tabs>
          <w:tab w:val="left" w:pos="3480"/>
        </w:tabs>
        <w:rPr>
          <w:lang w:val="en-NZ"/>
        </w:rPr>
      </w:pPr>
      <w:r w:rsidRPr="0021270B">
        <w:rPr>
          <w:lang w:val="en-NZ"/>
        </w:rPr>
        <w:tab/>
      </w:r>
    </w:p>
    <w:p w:rsidR="006A52C6" w:rsidRPr="0021270B" w:rsidRDefault="006A52C6" w:rsidP="006A52C6">
      <w:pPr>
        <w:rPr>
          <w:lang w:val="en-NZ"/>
        </w:rPr>
      </w:pPr>
    </w:p>
    <w:p w:rsidR="006A52C6" w:rsidRPr="0021270B" w:rsidRDefault="006A52C6" w:rsidP="006A52C6">
      <w:pPr>
        <w:keepNext/>
        <w:outlineLvl w:val="1"/>
        <w:rPr>
          <w:b/>
          <w:lang w:val="en-NZ"/>
        </w:rPr>
      </w:pPr>
      <w:r w:rsidRPr="0021270B">
        <w:rPr>
          <w:b/>
          <w:lang w:val="en-NZ"/>
        </w:rPr>
        <w:t>Submission</w:t>
      </w:r>
    </w:p>
    <w:p w:rsidR="006A52C6" w:rsidRPr="0021270B" w:rsidRDefault="001C72A5" w:rsidP="006A52C6">
      <w:pPr>
        <w:tabs>
          <w:tab w:val="left" w:pos="5295"/>
        </w:tabs>
        <w:rPr>
          <w:i/>
          <w:lang w:val="en-NZ"/>
        </w:rPr>
      </w:pPr>
      <w:r w:rsidRPr="0021270B">
        <w:rPr>
          <w:i/>
          <w:lang w:val="en-NZ"/>
        </w:rPr>
        <w:t>(</w:t>
      </w:r>
      <w:r w:rsidR="002E3B66" w:rsidRPr="0021270B">
        <w:rPr>
          <w:i/>
          <w:lang w:val="en-NZ"/>
        </w:rPr>
        <w:t>Auckland District Law Society</w:t>
      </w:r>
      <w:r w:rsidR="00685F09" w:rsidRPr="0021270B">
        <w:rPr>
          <w:i/>
          <w:lang w:val="en-NZ"/>
        </w:rPr>
        <w:t>, New Zealand Law Society</w:t>
      </w:r>
      <w:r w:rsidRPr="0021270B">
        <w:rPr>
          <w:i/>
          <w:lang w:val="en-NZ"/>
        </w:rPr>
        <w:t>)</w:t>
      </w:r>
    </w:p>
    <w:p w:rsidR="006A52C6" w:rsidRPr="0021270B" w:rsidRDefault="006A52C6" w:rsidP="006A52C6">
      <w:pPr>
        <w:tabs>
          <w:tab w:val="left" w:pos="5295"/>
        </w:tabs>
        <w:rPr>
          <w:lang w:val="en-NZ"/>
        </w:rPr>
      </w:pPr>
    </w:p>
    <w:p w:rsidR="006A52C6" w:rsidRPr="0021270B" w:rsidRDefault="009873F7" w:rsidP="006A52C6">
      <w:r w:rsidRPr="0021270B">
        <w:t xml:space="preserve">Land transactions that are the result of a change </w:t>
      </w:r>
      <w:r w:rsidR="00685F09" w:rsidRPr="0021270B">
        <w:t>in the</w:t>
      </w:r>
      <w:r w:rsidRPr="0021270B">
        <w:t xml:space="preserve"> trustees </w:t>
      </w:r>
      <w:r w:rsidR="00685F09" w:rsidRPr="0021270B">
        <w:t xml:space="preserve">of </w:t>
      </w:r>
      <w:r w:rsidRPr="0021270B">
        <w:t>a trust should be exempt transfers</w:t>
      </w:r>
      <w:r w:rsidR="006A52C6" w:rsidRPr="0021270B">
        <w:t>.</w:t>
      </w:r>
    </w:p>
    <w:p w:rsidR="006A52C6" w:rsidRPr="0021270B" w:rsidRDefault="006A52C6" w:rsidP="006A52C6"/>
    <w:p w:rsidR="006A52C6" w:rsidRPr="0021270B" w:rsidRDefault="006A52C6" w:rsidP="006A52C6">
      <w:pPr>
        <w:keepNext/>
        <w:outlineLvl w:val="1"/>
        <w:rPr>
          <w:b/>
          <w:lang w:val="en-NZ"/>
        </w:rPr>
      </w:pPr>
      <w:r w:rsidRPr="0021270B">
        <w:rPr>
          <w:b/>
          <w:lang w:val="en-NZ"/>
        </w:rPr>
        <w:t>Comment</w:t>
      </w:r>
    </w:p>
    <w:p w:rsidR="006A52C6" w:rsidRPr="0021270B" w:rsidRDefault="006A52C6" w:rsidP="006A52C6">
      <w:pPr>
        <w:rPr>
          <w:lang w:val="en-NZ"/>
        </w:rPr>
      </w:pPr>
    </w:p>
    <w:p w:rsidR="009D2629" w:rsidRPr="0021270B" w:rsidRDefault="009A0F5B" w:rsidP="009D2629">
      <w:pPr>
        <w:rPr>
          <w:lang w:val="en-NZ"/>
        </w:rPr>
      </w:pPr>
      <w:r w:rsidRPr="0021270B">
        <w:rPr>
          <w:lang w:val="en-NZ"/>
        </w:rPr>
        <w:t>A land transfer transaction is already required where there is a change in trustee.  There is therefore no additional on</w:t>
      </w:r>
      <w:r w:rsidR="00685F09" w:rsidRPr="0021270B">
        <w:rPr>
          <w:lang w:val="en-NZ"/>
        </w:rPr>
        <w:t>-</w:t>
      </w:r>
      <w:r w:rsidRPr="0021270B">
        <w:rPr>
          <w:lang w:val="en-NZ"/>
        </w:rPr>
        <w:t>going compliance cost from this requirement as the same IRD number will be used and it will already be known.</w:t>
      </w:r>
    </w:p>
    <w:p w:rsidR="009D2629" w:rsidRPr="0021270B" w:rsidRDefault="009D2629" w:rsidP="009D2629">
      <w:pPr>
        <w:rPr>
          <w:lang w:val="en-NZ"/>
        </w:rPr>
      </w:pPr>
    </w:p>
    <w:p w:rsidR="006A52C6" w:rsidRPr="0021270B" w:rsidRDefault="009D2629" w:rsidP="009D2629">
      <w:pPr>
        <w:rPr>
          <w:lang w:val="en-NZ"/>
        </w:rPr>
      </w:pPr>
      <w:r w:rsidRPr="0021270B">
        <w:rPr>
          <w:lang w:val="en-NZ"/>
        </w:rPr>
        <w:lastRenderedPageBreak/>
        <w:t>Further, it is possible that a change in trustees could result in a change in the tax residence of a trust for overseas tax purposes.  For example, adding a new trustee who is considered to be tax resident in another country may, in certain cases, result in the trust itself becoming tax resident in the other country for the purposes of that country</w:t>
      </w:r>
      <w:r w:rsidR="005641C1">
        <w:rPr>
          <w:lang w:val="en-NZ"/>
        </w:rPr>
        <w:t>’</w:t>
      </w:r>
      <w:r w:rsidRPr="0021270B">
        <w:rPr>
          <w:lang w:val="en-NZ"/>
        </w:rPr>
        <w:t>s laws.  The policy intent is that</w:t>
      </w:r>
      <w:r w:rsidR="00C1486B" w:rsidRPr="0021270B">
        <w:rPr>
          <w:lang w:val="en-NZ"/>
        </w:rPr>
        <w:t xml:space="preserve"> in this situation,</w:t>
      </w:r>
      <w:r w:rsidRPr="0021270B">
        <w:rPr>
          <w:lang w:val="en-NZ"/>
        </w:rPr>
        <w:t xml:space="preserve"> any new </w:t>
      </w:r>
      <w:r w:rsidR="00C1486B" w:rsidRPr="0021270B">
        <w:rPr>
          <w:lang w:val="en-NZ"/>
        </w:rPr>
        <w:t xml:space="preserve">foreign tax information number </w:t>
      </w:r>
      <w:r w:rsidRPr="0021270B">
        <w:rPr>
          <w:lang w:val="en-NZ"/>
        </w:rPr>
        <w:t>should be captured.</w:t>
      </w:r>
    </w:p>
    <w:p w:rsidR="006A52C6" w:rsidRPr="0021270B" w:rsidRDefault="006A52C6" w:rsidP="006A52C6">
      <w:pPr>
        <w:rPr>
          <w:lang w:val="en-NZ"/>
        </w:rPr>
      </w:pPr>
    </w:p>
    <w:p w:rsidR="006A52C6" w:rsidRPr="0021270B" w:rsidRDefault="006A52C6" w:rsidP="006A52C6">
      <w:pPr>
        <w:keepNext/>
        <w:outlineLvl w:val="1"/>
        <w:rPr>
          <w:b/>
          <w:lang w:val="en-NZ"/>
        </w:rPr>
      </w:pPr>
      <w:r w:rsidRPr="0021270B">
        <w:rPr>
          <w:b/>
          <w:lang w:val="en-NZ"/>
        </w:rPr>
        <w:t>Recommendation</w:t>
      </w:r>
    </w:p>
    <w:p w:rsidR="006A52C6" w:rsidRPr="0021270B" w:rsidRDefault="006A52C6" w:rsidP="006A52C6">
      <w:pPr>
        <w:rPr>
          <w:lang w:val="en-NZ"/>
        </w:rPr>
      </w:pPr>
    </w:p>
    <w:p w:rsidR="006A52C6" w:rsidRPr="0021270B" w:rsidRDefault="006A52C6" w:rsidP="006A52C6">
      <w:pPr>
        <w:rPr>
          <w:lang w:val="en-NZ"/>
        </w:rPr>
      </w:pPr>
      <w:r w:rsidRPr="0021270B">
        <w:rPr>
          <w:lang w:val="en-NZ"/>
        </w:rPr>
        <w:t xml:space="preserve">That the submission be </w:t>
      </w:r>
      <w:r w:rsidR="009D2629" w:rsidRPr="0021270B">
        <w:rPr>
          <w:lang w:val="en-NZ"/>
        </w:rPr>
        <w:t>declined</w:t>
      </w:r>
      <w:r w:rsidRPr="0021270B">
        <w:rPr>
          <w:lang w:val="en-NZ"/>
        </w:rPr>
        <w:t>.</w:t>
      </w:r>
    </w:p>
    <w:p w:rsidR="006A52C6" w:rsidRPr="0021270B" w:rsidRDefault="006A52C6" w:rsidP="006A52C6">
      <w:pPr>
        <w:pBdr>
          <w:bottom w:val="single" w:sz="4" w:space="1" w:color="auto"/>
        </w:pBdr>
        <w:rPr>
          <w:lang w:val="en-NZ"/>
        </w:rPr>
      </w:pPr>
    </w:p>
    <w:p w:rsidR="006A52C6" w:rsidRPr="0021270B" w:rsidRDefault="006A52C6" w:rsidP="001D1D05">
      <w:pPr>
        <w:rPr>
          <w:lang w:val="en-NZ"/>
        </w:rPr>
      </w:pPr>
    </w:p>
    <w:p w:rsidR="00E640A4" w:rsidRPr="0021270B" w:rsidRDefault="00E640A4" w:rsidP="001D1D05">
      <w:pPr>
        <w:rPr>
          <w:lang w:val="en-NZ"/>
        </w:rPr>
      </w:pPr>
    </w:p>
    <w:p w:rsidR="00285AA4" w:rsidRPr="0021270B" w:rsidRDefault="00285AA4" w:rsidP="009575F9">
      <w:pPr>
        <w:pStyle w:val="Heading5"/>
        <w:rPr>
          <w:lang w:val="en-NZ"/>
        </w:rPr>
      </w:pPr>
      <w:bookmarkStart w:id="50" w:name="_Toc427238243"/>
      <w:r w:rsidRPr="0021270B">
        <w:rPr>
          <w:lang w:val="en-NZ"/>
        </w:rPr>
        <w:t>Issue:</w:t>
      </w:r>
      <w:r w:rsidRPr="0021270B">
        <w:rPr>
          <w:lang w:val="en-NZ"/>
        </w:rPr>
        <w:tab/>
        <w:t>Mortgagee sale or power of sale conferred by statute</w:t>
      </w:r>
      <w:bookmarkEnd w:id="50"/>
    </w:p>
    <w:p w:rsidR="00285AA4" w:rsidRPr="0021270B" w:rsidRDefault="00285AA4" w:rsidP="00285AA4">
      <w:pPr>
        <w:tabs>
          <w:tab w:val="left" w:pos="3480"/>
        </w:tabs>
        <w:rPr>
          <w:lang w:val="en-NZ"/>
        </w:rPr>
      </w:pPr>
      <w:r w:rsidRPr="0021270B">
        <w:rPr>
          <w:lang w:val="en-NZ"/>
        </w:rPr>
        <w:tab/>
      </w:r>
    </w:p>
    <w:p w:rsidR="00285AA4" w:rsidRPr="0021270B" w:rsidRDefault="00285AA4" w:rsidP="00285AA4">
      <w:pPr>
        <w:rPr>
          <w:lang w:val="en-NZ"/>
        </w:rPr>
      </w:pPr>
    </w:p>
    <w:p w:rsidR="00285AA4" w:rsidRPr="0021270B" w:rsidRDefault="00285AA4" w:rsidP="00285AA4">
      <w:pPr>
        <w:keepNext/>
        <w:outlineLvl w:val="1"/>
        <w:rPr>
          <w:b/>
          <w:lang w:val="en-NZ"/>
        </w:rPr>
      </w:pPr>
      <w:r w:rsidRPr="0021270B">
        <w:rPr>
          <w:b/>
          <w:lang w:val="en-NZ"/>
        </w:rPr>
        <w:t>Submission</w:t>
      </w:r>
    </w:p>
    <w:p w:rsidR="00285AA4" w:rsidRPr="0021270B" w:rsidRDefault="001C72A5" w:rsidP="00285AA4">
      <w:pPr>
        <w:tabs>
          <w:tab w:val="left" w:pos="5295"/>
        </w:tabs>
        <w:rPr>
          <w:i/>
          <w:lang w:val="en-NZ"/>
        </w:rPr>
      </w:pPr>
      <w:r w:rsidRPr="0021270B">
        <w:rPr>
          <w:i/>
          <w:lang w:val="en-NZ"/>
        </w:rPr>
        <w:t>(</w:t>
      </w:r>
      <w:r w:rsidR="00285AA4" w:rsidRPr="0021270B">
        <w:rPr>
          <w:i/>
          <w:lang w:val="en-NZ"/>
        </w:rPr>
        <w:t>New Zealand Law Society</w:t>
      </w:r>
      <w:r w:rsidRPr="0021270B">
        <w:rPr>
          <w:i/>
          <w:lang w:val="en-NZ"/>
        </w:rPr>
        <w:t>)</w:t>
      </w:r>
    </w:p>
    <w:p w:rsidR="00285AA4" w:rsidRPr="0021270B" w:rsidRDefault="00285AA4" w:rsidP="00285AA4">
      <w:pPr>
        <w:tabs>
          <w:tab w:val="left" w:pos="5295"/>
        </w:tabs>
        <w:rPr>
          <w:lang w:val="en-NZ"/>
        </w:rPr>
      </w:pPr>
    </w:p>
    <w:p w:rsidR="00285AA4" w:rsidRPr="0021270B" w:rsidRDefault="00285AA4" w:rsidP="00285AA4">
      <w:r w:rsidRPr="0021270B">
        <w:t>There should be no obligation to provide a tax statement where a transfer of land is pursuant to a mortgagee sale or power of sale conferred by statute. This is because the transferor</w:t>
      </w:r>
      <w:r w:rsidR="005641C1">
        <w:t>’</w:t>
      </w:r>
      <w:r w:rsidRPr="0021270B">
        <w:t>s tax information is not relevant as they are the mortgagee, and the mortgagor</w:t>
      </w:r>
      <w:r w:rsidR="005641C1">
        <w:t>’</w:t>
      </w:r>
      <w:r w:rsidRPr="0021270B">
        <w:t>s tax information may not be available to the mortgagee.</w:t>
      </w:r>
    </w:p>
    <w:p w:rsidR="00285AA4" w:rsidRPr="0021270B" w:rsidRDefault="00285AA4" w:rsidP="00285AA4"/>
    <w:p w:rsidR="00285AA4" w:rsidRPr="0021270B" w:rsidRDefault="00285AA4" w:rsidP="00285AA4">
      <w:pPr>
        <w:keepNext/>
        <w:outlineLvl w:val="1"/>
        <w:rPr>
          <w:b/>
          <w:lang w:val="en-NZ"/>
        </w:rPr>
      </w:pPr>
      <w:r w:rsidRPr="0021270B">
        <w:rPr>
          <w:b/>
          <w:lang w:val="en-NZ"/>
        </w:rPr>
        <w:t>Comment</w:t>
      </w:r>
    </w:p>
    <w:p w:rsidR="00285AA4" w:rsidRPr="0021270B" w:rsidRDefault="00285AA4" w:rsidP="00285AA4">
      <w:pPr>
        <w:rPr>
          <w:lang w:val="en-NZ"/>
        </w:rPr>
      </w:pPr>
    </w:p>
    <w:p w:rsidR="00285AA4" w:rsidRPr="0021270B" w:rsidRDefault="00C75AC4" w:rsidP="00285AA4">
      <w:pPr>
        <w:rPr>
          <w:lang w:val="en-NZ"/>
        </w:rPr>
      </w:pPr>
      <w:r w:rsidRPr="0021270B">
        <w:rPr>
          <w:lang w:val="en-NZ"/>
        </w:rPr>
        <w:t>T</w:t>
      </w:r>
      <w:r w:rsidR="009A0F5B" w:rsidRPr="0021270B">
        <w:rPr>
          <w:lang w:val="en-NZ"/>
        </w:rPr>
        <w:t xml:space="preserve">his </w:t>
      </w:r>
      <w:r w:rsidRPr="0021270B">
        <w:rPr>
          <w:lang w:val="en-NZ"/>
        </w:rPr>
        <w:t xml:space="preserve">is </w:t>
      </w:r>
      <w:r w:rsidR="009A0F5B" w:rsidRPr="0021270B">
        <w:rPr>
          <w:lang w:val="en-NZ"/>
        </w:rPr>
        <w:t xml:space="preserve">an issue for consideration under the </w:t>
      </w:r>
      <w:r w:rsidR="0041591D" w:rsidRPr="0021270B">
        <w:rPr>
          <w:lang w:val="en-NZ"/>
        </w:rPr>
        <w:t>proposed regulation-making power</w:t>
      </w:r>
      <w:r w:rsidRPr="0021270B">
        <w:rPr>
          <w:lang w:val="en-NZ"/>
        </w:rPr>
        <w:t>. Officials will consult with stakeholders as part of the regulation-making process.</w:t>
      </w:r>
    </w:p>
    <w:p w:rsidR="0001173B" w:rsidRPr="0021270B" w:rsidRDefault="0001173B" w:rsidP="00285AA4">
      <w:pPr>
        <w:rPr>
          <w:lang w:val="en-NZ"/>
        </w:rPr>
      </w:pPr>
    </w:p>
    <w:p w:rsidR="00285AA4" w:rsidRPr="0021270B" w:rsidRDefault="00285AA4" w:rsidP="00285AA4">
      <w:pPr>
        <w:keepNext/>
        <w:outlineLvl w:val="1"/>
        <w:rPr>
          <w:b/>
          <w:lang w:val="en-NZ"/>
        </w:rPr>
      </w:pPr>
      <w:r w:rsidRPr="0021270B">
        <w:rPr>
          <w:b/>
          <w:lang w:val="en-NZ"/>
        </w:rPr>
        <w:t>Recommendation</w:t>
      </w:r>
    </w:p>
    <w:p w:rsidR="00285AA4" w:rsidRPr="0021270B" w:rsidRDefault="00285AA4" w:rsidP="00285AA4">
      <w:pPr>
        <w:rPr>
          <w:lang w:val="en-NZ"/>
        </w:rPr>
      </w:pPr>
    </w:p>
    <w:p w:rsidR="00285AA4" w:rsidRPr="0021270B" w:rsidRDefault="00285AA4" w:rsidP="00285AA4">
      <w:pPr>
        <w:rPr>
          <w:lang w:val="en-NZ"/>
        </w:rPr>
      </w:pPr>
      <w:r w:rsidRPr="0021270B">
        <w:rPr>
          <w:lang w:val="en-NZ"/>
        </w:rPr>
        <w:t xml:space="preserve">That the submission be </w:t>
      </w:r>
      <w:r w:rsidR="0001173B" w:rsidRPr="0021270B">
        <w:rPr>
          <w:lang w:val="en-NZ"/>
        </w:rPr>
        <w:t>decline</w:t>
      </w:r>
      <w:r w:rsidR="00C75AC4" w:rsidRPr="0021270B">
        <w:rPr>
          <w:lang w:val="en-NZ"/>
        </w:rPr>
        <w:t>d.</w:t>
      </w:r>
    </w:p>
    <w:p w:rsidR="00E640A4" w:rsidRPr="0021270B" w:rsidRDefault="00E640A4" w:rsidP="00285AA4">
      <w:pPr>
        <w:pBdr>
          <w:bottom w:val="single" w:sz="4" w:space="1" w:color="auto"/>
        </w:pBdr>
        <w:rPr>
          <w:lang w:val="en-NZ"/>
        </w:rPr>
      </w:pPr>
    </w:p>
    <w:p w:rsidR="00E640A4" w:rsidRPr="0021270B" w:rsidRDefault="00E640A4" w:rsidP="00285AA4">
      <w:pPr>
        <w:rPr>
          <w:lang w:val="en-NZ"/>
        </w:rPr>
      </w:pPr>
    </w:p>
    <w:p w:rsidR="00285AA4" w:rsidRPr="0021270B" w:rsidRDefault="00285AA4" w:rsidP="001D1D05">
      <w:pPr>
        <w:rPr>
          <w:lang w:val="en-NZ"/>
        </w:rPr>
      </w:pPr>
    </w:p>
    <w:p w:rsidR="001D1D05" w:rsidRPr="0021270B" w:rsidRDefault="001D1D05" w:rsidP="009575F9">
      <w:pPr>
        <w:pStyle w:val="Heading5"/>
      </w:pPr>
      <w:bookmarkStart w:id="51" w:name="_Toc427238244"/>
      <w:r w:rsidRPr="0021270B">
        <w:t>Issue:</w:t>
      </w:r>
      <w:r w:rsidRPr="0021270B">
        <w:tab/>
        <w:t>Determining tax residenc</w:t>
      </w:r>
      <w:r w:rsidR="006E3116" w:rsidRPr="0021270B">
        <w:t>e</w:t>
      </w:r>
      <w:bookmarkEnd w:id="51"/>
    </w:p>
    <w:p w:rsidR="001D1D05" w:rsidRPr="0021270B" w:rsidRDefault="001D1D05" w:rsidP="001D1D05">
      <w:pPr>
        <w:rPr>
          <w:lang w:val="en-NZ"/>
        </w:rPr>
      </w:pPr>
    </w:p>
    <w:p w:rsidR="001D1D05" w:rsidRPr="0021270B" w:rsidRDefault="001D1D05" w:rsidP="001D1D05">
      <w:pPr>
        <w:rPr>
          <w:lang w:val="en-NZ"/>
        </w:rPr>
      </w:pPr>
    </w:p>
    <w:p w:rsidR="001D1D05" w:rsidRPr="0021270B" w:rsidRDefault="001D1D05" w:rsidP="001D1D05">
      <w:pPr>
        <w:keepNext/>
        <w:outlineLvl w:val="1"/>
        <w:rPr>
          <w:b/>
          <w:lang w:val="en-NZ"/>
        </w:rPr>
      </w:pPr>
      <w:r w:rsidRPr="0021270B">
        <w:rPr>
          <w:b/>
          <w:lang w:val="en-NZ"/>
        </w:rPr>
        <w:t>Submission</w:t>
      </w:r>
    </w:p>
    <w:p w:rsidR="001D1D05" w:rsidRPr="0021270B" w:rsidRDefault="001C72A5" w:rsidP="001D1D05">
      <w:pPr>
        <w:tabs>
          <w:tab w:val="left" w:pos="5295"/>
        </w:tabs>
        <w:rPr>
          <w:i/>
          <w:lang w:val="en-NZ"/>
        </w:rPr>
      </w:pPr>
      <w:r w:rsidRPr="0021270B">
        <w:rPr>
          <w:i/>
          <w:lang w:val="en-NZ"/>
        </w:rPr>
        <w:t>(</w:t>
      </w:r>
      <w:r w:rsidR="001D1D05" w:rsidRPr="0021270B">
        <w:rPr>
          <w:i/>
          <w:lang w:val="en-NZ"/>
        </w:rPr>
        <w:t>Chartered Accountants Australia and New Zealand</w:t>
      </w:r>
      <w:r w:rsidR="003F662D" w:rsidRPr="0021270B">
        <w:rPr>
          <w:i/>
          <w:lang w:val="en-NZ"/>
        </w:rPr>
        <w:t>, EY</w:t>
      </w:r>
      <w:r w:rsidRPr="0021270B">
        <w:rPr>
          <w:i/>
          <w:lang w:val="en-NZ"/>
        </w:rPr>
        <w:t>)</w:t>
      </w:r>
    </w:p>
    <w:p w:rsidR="001D1D05" w:rsidRPr="0021270B" w:rsidRDefault="001D1D05" w:rsidP="001D1D05">
      <w:pPr>
        <w:tabs>
          <w:tab w:val="left" w:pos="5295"/>
        </w:tabs>
        <w:rPr>
          <w:lang w:val="en-NZ"/>
        </w:rPr>
      </w:pPr>
    </w:p>
    <w:p w:rsidR="001D1D05" w:rsidRPr="0021270B" w:rsidRDefault="001D1D05" w:rsidP="001D1D05">
      <w:r w:rsidRPr="0021270B">
        <w:t>Inland Revenue should release some guidance as to how people determine their tax residenc</w:t>
      </w:r>
      <w:r w:rsidR="006E3116" w:rsidRPr="0021270B">
        <w:t>e</w:t>
      </w:r>
      <w:r w:rsidRPr="0021270B">
        <w:t xml:space="preserve"> (for the purpose of providing a foreign tax information number).</w:t>
      </w:r>
    </w:p>
    <w:p w:rsidR="001D1D05" w:rsidRPr="0021270B" w:rsidRDefault="001D1D05" w:rsidP="001D1D05">
      <w:pPr>
        <w:rPr>
          <w:lang w:val="en-NZ"/>
        </w:rPr>
      </w:pPr>
    </w:p>
    <w:p w:rsidR="001D1D05" w:rsidRPr="0021270B" w:rsidRDefault="001D1D05" w:rsidP="001D1D05">
      <w:pPr>
        <w:keepNext/>
        <w:outlineLvl w:val="1"/>
        <w:rPr>
          <w:b/>
          <w:lang w:val="en-NZ"/>
        </w:rPr>
      </w:pPr>
      <w:r w:rsidRPr="0021270B">
        <w:rPr>
          <w:b/>
          <w:lang w:val="en-NZ"/>
        </w:rPr>
        <w:t>Comment</w:t>
      </w:r>
    </w:p>
    <w:p w:rsidR="001D1D05" w:rsidRPr="0021270B" w:rsidRDefault="001D1D05" w:rsidP="001D1D05">
      <w:pPr>
        <w:rPr>
          <w:lang w:val="en-NZ"/>
        </w:rPr>
      </w:pPr>
    </w:p>
    <w:p w:rsidR="009D2629" w:rsidRPr="0021270B" w:rsidRDefault="009D2629" w:rsidP="009D2629">
      <w:pPr>
        <w:rPr>
          <w:lang w:val="en-NZ"/>
        </w:rPr>
      </w:pPr>
      <w:r w:rsidRPr="0021270B">
        <w:rPr>
          <w:lang w:val="en-NZ"/>
        </w:rPr>
        <w:t xml:space="preserve">A person will need to provide their </w:t>
      </w:r>
      <w:r w:rsidR="00901A39" w:rsidRPr="0021270B">
        <w:rPr>
          <w:lang w:val="en-NZ"/>
        </w:rPr>
        <w:t>foreign tax information number</w:t>
      </w:r>
      <w:r w:rsidR="006E3116" w:rsidRPr="0021270B">
        <w:rPr>
          <w:lang w:val="en-NZ"/>
        </w:rPr>
        <w:t>,</w:t>
      </w:r>
      <w:r w:rsidRPr="0021270B">
        <w:rPr>
          <w:lang w:val="en-NZ"/>
        </w:rPr>
        <w:t xml:space="preserve"> if they are currently</w:t>
      </w:r>
      <w:r w:rsidR="00583E49" w:rsidRPr="0021270B">
        <w:rPr>
          <w:lang w:val="en-NZ"/>
        </w:rPr>
        <w:t xml:space="preserve"> treated as tax</w:t>
      </w:r>
      <w:r w:rsidRPr="0021270B">
        <w:rPr>
          <w:lang w:val="en-NZ"/>
        </w:rPr>
        <w:t xml:space="preserve"> resident in another jurisdiction under that jurisdiction</w:t>
      </w:r>
      <w:r w:rsidR="005641C1">
        <w:rPr>
          <w:lang w:val="en-NZ"/>
        </w:rPr>
        <w:t>’</w:t>
      </w:r>
      <w:r w:rsidRPr="0021270B">
        <w:rPr>
          <w:lang w:val="en-NZ"/>
        </w:rPr>
        <w:t xml:space="preserve">s tax laws.  Where a person is tax resident in a jurisdiction, the jurisdiction is entitled to tax them on their worldwide income. </w:t>
      </w:r>
    </w:p>
    <w:p w:rsidR="009D2629" w:rsidRPr="0021270B" w:rsidRDefault="009D2629" w:rsidP="009D2629">
      <w:pPr>
        <w:rPr>
          <w:lang w:val="en-NZ"/>
        </w:rPr>
      </w:pPr>
    </w:p>
    <w:p w:rsidR="009D2629" w:rsidRPr="0021270B" w:rsidRDefault="009D2629" w:rsidP="009D2629">
      <w:pPr>
        <w:rPr>
          <w:lang w:val="en-NZ"/>
        </w:rPr>
      </w:pPr>
      <w:r w:rsidRPr="0021270B">
        <w:rPr>
          <w:lang w:val="en-NZ"/>
        </w:rPr>
        <w:lastRenderedPageBreak/>
        <w:t>Most jurisdictions</w:t>
      </w:r>
      <w:r w:rsidR="005641C1">
        <w:rPr>
          <w:lang w:val="en-NZ"/>
        </w:rPr>
        <w:t>’</w:t>
      </w:r>
      <w:r w:rsidRPr="0021270B">
        <w:rPr>
          <w:lang w:val="en-NZ"/>
        </w:rPr>
        <w:t xml:space="preserve"> rules relating to tax residenc</w:t>
      </w:r>
      <w:r w:rsidR="006E3116" w:rsidRPr="0021270B">
        <w:rPr>
          <w:lang w:val="en-NZ"/>
        </w:rPr>
        <w:t>e</w:t>
      </w:r>
      <w:r w:rsidRPr="0021270B">
        <w:rPr>
          <w:lang w:val="en-NZ"/>
        </w:rPr>
        <w:t xml:space="preserve"> provide that a person will  be resident if they have a significant presence in that jurisdiction (common examples are  having a house in that jurisdiction at the time, or spending more than six months in that jurisdiction during the relevant period). Accordingly, </w:t>
      </w:r>
      <w:r w:rsidR="00583E49" w:rsidRPr="0021270B">
        <w:rPr>
          <w:lang w:val="en-NZ"/>
        </w:rPr>
        <w:t xml:space="preserve">officials </w:t>
      </w:r>
      <w:r w:rsidRPr="0021270B">
        <w:rPr>
          <w:lang w:val="en-NZ"/>
        </w:rPr>
        <w:t>expect the person will have already had contact with the relevant tax authority.</w:t>
      </w:r>
    </w:p>
    <w:p w:rsidR="009D2629" w:rsidRPr="0021270B" w:rsidRDefault="009D2629" w:rsidP="009D2629">
      <w:pPr>
        <w:rPr>
          <w:lang w:val="en-NZ"/>
        </w:rPr>
      </w:pPr>
    </w:p>
    <w:p w:rsidR="009D2629" w:rsidRPr="0021270B" w:rsidRDefault="009A0F5B" w:rsidP="009D2629">
      <w:pPr>
        <w:rPr>
          <w:lang w:val="en-NZ"/>
        </w:rPr>
      </w:pPr>
      <w:r w:rsidRPr="0021270B">
        <w:rPr>
          <w:lang w:val="en-NZ"/>
        </w:rPr>
        <w:t xml:space="preserve">Officials will ensure that </w:t>
      </w:r>
      <w:r w:rsidR="0041591D" w:rsidRPr="0021270B">
        <w:rPr>
          <w:lang w:val="en-NZ"/>
        </w:rPr>
        <w:t xml:space="preserve">Inland Revenue </w:t>
      </w:r>
      <w:r w:rsidR="009D2629" w:rsidRPr="0021270B">
        <w:rPr>
          <w:lang w:val="en-NZ"/>
        </w:rPr>
        <w:t xml:space="preserve">guidance </w:t>
      </w:r>
      <w:r w:rsidR="00901A39" w:rsidRPr="0021270B">
        <w:rPr>
          <w:lang w:val="en-NZ"/>
        </w:rPr>
        <w:t>makes</w:t>
      </w:r>
      <w:r w:rsidR="009D2629" w:rsidRPr="0021270B">
        <w:rPr>
          <w:lang w:val="en-NZ"/>
        </w:rPr>
        <w:t xml:space="preserve"> it clear that the person should contact the relevant overseas jurisdiction</w:t>
      </w:r>
      <w:r w:rsidR="005641C1">
        <w:rPr>
          <w:lang w:val="en-NZ"/>
        </w:rPr>
        <w:t>’</w:t>
      </w:r>
      <w:r w:rsidR="009D2629" w:rsidRPr="0021270B">
        <w:rPr>
          <w:lang w:val="en-NZ"/>
        </w:rPr>
        <w:t>s tax authority for assistance in determining whether they are tax resident, if they are uncertain.</w:t>
      </w:r>
    </w:p>
    <w:p w:rsidR="001D1D05" w:rsidRPr="0021270B" w:rsidRDefault="00C57CDE" w:rsidP="00C57CDE">
      <w:pPr>
        <w:tabs>
          <w:tab w:val="left" w:pos="1590"/>
        </w:tabs>
        <w:rPr>
          <w:lang w:val="en-NZ"/>
        </w:rPr>
      </w:pPr>
      <w:r w:rsidRPr="0021270B">
        <w:rPr>
          <w:lang w:val="en-NZ"/>
        </w:rPr>
        <w:tab/>
      </w:r>
    </w:p>
    <w:p w:rsidR="001D1D05" w:rsidRPr="0021270B" w:rsidRDefault="001D1D05" w:rsidP="001D1D05">
      <w:pPr>
        <w:keepNext/>
        <w:outlineLvl w:val="1"/>
        <w:rPr>
          <w:b/>
          <w:lang w:val="en-NZ"/>
        </w:rPr>
      </w:pPr>
      <w:r w:rsidRPr="0021270B">
        <w:rPr>
          <w:b/>
          <w:lang w:val="en-NZ"/>
        </w:rPr>
        <w:t>Recommendation</w:t>
      </w:r>
    </w:p>
    <w:p w:rsidR="001D1D05" w:rsidRPr="0021270B" w:rsidRDefault="001D1D05" w:rsidP="001D1D05">
      <w:pPr>
        <w:rPr>
          <w:lang w:val="en-NZ"/>
        </w:rPr>
      </w:pPr>
    </w:p>
    <w:p w:rsidR="001D1D05" w:rsidRPr="0021270B" w:rsidRDefault="001D1D05" w:rsidP="00970C58">
      <w:pPr>
        <w:rPr>
          <w:lang w:val="en-NZ"/>
        </w:rPr>
      </w:pPr>
      <w:r w:rsidRPr="0021270B">
        <w:rPr>
          <w:lang w:val="en-NZ"/>
        </w:rPr>
        <w:t xml:space="preserve">That the submission be </w:t>
      </w:r>
      <w:r w:rsidR="00C57CDE" w:rsidRPr="0021270B">
        <w:rPr>
          <w:lang w:val="en-NZ"/>
        </w:rPr>
        <w:t>declined</w:t>
      </w:r>
      <w:r w:rsidRPr="0021270B">
        <w:rPr>
          <w:lang w:val="en-NZ"/>
        </w:rPr>
        <w:t>.</w:t>
      </w:r>
    </w:p>
    <w:p w:rsidR="00970C58" w:rsidRPr="0021270B" w:rsidRDefault="00C75AC4" w:rsidP="00C75AC4">
      <w:pPr>
        <w:pBdr>
          <w:bottom w:val="single" w:sz="4" w:space="1" w:color="auto"/>
        </w:pBdr>
        <w:tabs>
          <w:tab w:val="left" w:pos="4740"/>
        </w:tabs>
        <w:rPr>
          <w:lang w:val="en-NZ"/>
        </w:rPr>
      </w:pPr>
      <w:r w:rsidRPr="0021270B">
        <w:rPr>
          <w:lang w:val="en-NZ"/>
        </w:rPr>
        <w:tab/>
      </w:r>
    </w:p>
    <w:p w:rsidR="00970C58" w:rsidRPr="0021270B" w:rsidRDefault="00970C58" w:rsidP="00970C58">
      <w:pPr>
        <w:rPr>
          <w:lang w:val="en-NZ"/>
        </w:rPr>
      </w:pPr>
    </w:p>
    <w:p w:rsidR="00E640A4" w:rsidRPr="0021270B" w:rsidRDefault="00E640A4" w:rsidP="00970C58">
      <w:pPr>
        <w:rPr>
          <w:lang w:val="en-NZ"/>
        </w:rPr>
      </w:pPr>
    </w:p>
    <w:p w:rsidR="00970C58" w:rsidRPr="0021270B" w:rsidRDefault="00970C58" w:rsidP="009575F9">
      <w:pPr>
        <w:pStyle w:val="Heading5"/>
        <w:rPr>
          <w:lang w:val="en-NZ"/>
        </w:rPr>
      </w:pPr>
      <w:bookmarkStart w:id="52" w:name="_Toc427238245"/>
      <w:r w:rsidRPr="0021270B">
        <w:rPr>
          <w:lang w:val="en-NZ"/>
        </w:rPr>
        <w:t>Issue:</w:t>
      </w:r>
      <w:r w:rsidRPr="0021270B">
        <w:rPr>
          <w:lang w:val="en-NZ"/>
        </w:rPr>
        <w:tab/>
        <w:t>Passport basis instead of tax residenc</w:t>
      </w:r>
      <w:r w:rsidR="006E3116" w:rsidRPr="0021270B">
        <w:rPr>
          <w:lang w:val="en-NZ"/>
        </w:rPr>
        <w:t>e</w:t>
      </w:r>
      <w:r w:rsidR="00901A39" w:rsidRPr="0021270B">
        <w:rPr>
          <w:lang w:val="en-NZ"/>
        </w:rPr>
        <w:t xml:space="preserve"> basis</w:t>
      </w:r>
      <w:bookmarkEnd w:id="52"/>
    </w:p>
    <w:p w:rsidR="00970C58" w:rsidRPr="0021270B" w:rsidRDefault="00970C58" w:rsidP="00970C58">
      <w:pPr>
        <w:rPr>
          <w:lang w:val="en-NZ"/>
        </w:rPr>
      </w:pPr>
    </w:p>
    <w:p w:rsidR="00970C58" w:rsidRPr="0021270B" w:rsidRDefault="00970C58" w:rsidP="00970C58">
      <w:pPr>
        <w:rPr>
          <w:lang w:val="en-NZ"/>
        </w:rPr>
      </w:pPr>
    </w:p>
    <w:p w:rsidR="00970C58" w:rsidRPr="0021270B" w:rsidRDefault="00970C58" w:rsidP="00970C58">
      <w:pPr>
        <w:keepNext/>
        <w:outlineLvl w:val="1"/>
        <w:rPr>
          <w:b/>
          <w:lang w:val="en-NZ"/>
        </w:rPr>
      </w:pPr>
      <w:r w:rsidRPr="0021270B">
        <w:rPr>
          <w:b/>
          <w:lang w:val="en-NZ"/>
        </w:rPr>
        <w:t>Submission</w:t>
      </w:r>
    </w:p>
    <w:p w:rsidR="00970C58" w:rsidRPr="0021270B" w:rsidRDefault="001C72A5" w:rsidP="00970C58">
      <w:pPr>
        <w:tabs>
          <w:tab w:val="left" w:pos="5295"/>
        </w:tabs>
        <w:rPr>
          <w:i/>
          <w:lang w:val="en-NZ"/>
        </w:rPr>
      </w:pPr>
      <w:r w:rsidRPr="0021270B">
        <w:rPr>
          <w:i/>
          <w:lang w:val="en-NZ"/>
        </w:rPr>
        <w:t>(</w:t>
      </w:r>
      <w:r w:rsidR="00970C58" w:rsidRPr="0021270B">
        <w:rPr>
          <w:i/>
          <w:lang w:val="en-NZ"/>
        </w:rPr>
        <w:t>PricewaterhouseCoopers</w:t>
      </w:r>
      <w:r w:rsidRPr="0021270B">
        <w:rPr>
          <w:i/>
          <w:lang w:val="en-NZ"/>
        </w:rPr>
        <w:t>)</w:t>
      </w:r>
    </w:p>
    <w:p w:rsidR="00970C58" w:rsidRPr="0021270B" w:rsidRDefault="00970C58" w:rsidP="00970C58">
      <w:pPr>
        <w:tabs>
          <w:tab w:val="left" w:pos="5295"/>
        </w:tabs>
        <w:rPr>
          <w:lang w:val="en-NZ"/>
        </w:rPr>
      </w:pPr>
    </w:p>
    <w:p w:rsidR="00970C58" w:rsidRPr="0021270B" w:rsidRDefault="00970C58" w:rsidP="00970C58">
      <w:pPr>
        <w:rPr>
          <w:bCs/>
        </w:rPr>
      </w:pPr>
      <w:r w:rsidRPr="0021270B">
        <w:rPr>
          <w:bCs/>
        </w:rPr>
        <w:t xml:space="preserve">For simplicity, the requirement to provide </w:t>
      </w:r>
      <w:proofErr w:type="gramStart"/>
      <w:r w:rsidRPr="0021270B">
        <w:rPr>
          <w:bCs/>
        </w:rPr>
        <w:t>a foreign</w:t>
      </w:r>
      <w:proofErr w:type="gramEnd"/>
      <w:r w:rsidRPr="0021270B">
        <w:rPr>
          <w:bCs/>
        </w:rPr>
        <w:t xml:space="preserve"> tax information number if an individual is tax resident in another country should be replaced with a passport basis. That is, if an individual has a passport in another country, they will be required to provide information from that jurisdiction.</w:t>
      </w:r>
    </w:p>
    <w:p w:rsidR="00970C58" w:rsidRPr="0021270B" w:rsidRDefault="00970C58" w:rsidP="00970C58">
      <w:pPr>
        <w:tabs>
          <w:tab w:val="left" w:pos="3210"/>
        </w:tabs>
        <w:rPr>
          <w:lang w:val="en-NZ"/>
        </w:rPr>
      </w:pPr>
      <w:r w:rsidRPr="0021270B">
        <w:rPr>
          <w:lang w:val="en-NZ"/>
        </w:rPr>
        <w:tab/>
      </w:r>
    </w:p>
    <w:p w:rsidR="00970C58" w:rsidRPr="0021270B" w:rsidRDefault="00970C58" w:rsidP="00970C58">
      <w:pPr>
        <w:keepNext/>
        <w:outlineLvl w:val="1"/>
        <w:rPr>
          <w:b/>
          <w:lang w:val="en-NZ"/>
        </w:rPr>
      </w:pPr>
      <w:r w:rsidRPr="0021270B">
        <w:rPr>
          <w:b/>
          <w:lang w:val="en-NZ"/>
        </w:rPr>
        <w:t>Comment</w:t>
      </w:r>
    </w:p>
    <w:p w:rsidR="002A799F" w:rsidRPr="0021270B" w:rsidRDefault="002A799F" w:rsidP="00970C58">
      <w:pPr>
        <w:keepNext/>
        <w:outlineLvl w:val="1"/>
        <w:rPr>
          <w:b/>
          <w:lang w:val="en-NZ"/>
        </w:rPr>
      </w:pPr>
    </w:p>
    <w:p w:rsidR="002A799F" w:rsidRPr="0021270B" w:rsidRDefault="002A799F" w:rsidP="00970C58">
      <w:pPr>
        <w:keepNext/>
        <w:outlineLvl w:val="1"/>
        <w:rPr>
          <w:lang w:val="en-NZ"/>
        </w:rPr>
      </w:pPr>
      <w:r w:rsidRPr="0021270B">
        <w:rPr>
          <w:lang w:val="en-NZ"/>
        </w:rPr>
        <w:t>The information that is being collected is to be used for tax purposes, and therefore should be on the basis of tax residency.</w:t>
      </w:r>
    </w:p>
    <w:p w:rsidR="00970C58" w:rsidRPr="0021270B" w:rsidRDefault="00970C58" w:rsidP="00970C58">
      <w:pPr>
        <w:rPr>
          <w:lang w:val="en-NZ"/>
        </w:rPr>
      </w:pPr>
    </w:p>
    <w:p w:rsidR="00970C58" w:rsidRPr="0021270B" w:rsidRDefault="00970C58" w:rsidP="00970C58">
      <w:pPr>
        <w:keepNext/>
        <w:outlineLvl w:val="1"/>
        <w:rPr>
          <w:b/>
          <w:lang w:val="en-NZ"/>
        </w:rPr>
      </w:pPr>
      <w:r w:rsidRPr="0021270B">
        <w:rPr>
          <w:b/>
          <w:lang w:val="en-NZ"/>
        </w:rPr>
        <w:t>Recommendation</w:t>
      </w:r>
    </w:p>
    <w:p w:rsidR="00970C58" w:rsidRPr="0021270B" w:rsidRDefault="00970C58" w:rsidP="00970C58">
      <w:pPr>
        <w:rPr>
          <w:lang w:val="en-NZ"/>
        </w:rPr>
      </w:pPr>
    </w:p>
    <w:p w:rsidR="00970C58" w:rsidRPr="0021270B" w:rsidRDefault="00970C58" w:rsidP="00970C58">
      <w:pPr>
        <w:rPr>
          <w:lang w:val="en-NZ"/>
        </w:rPr>
      </w:pPr>
      <w:r w:rsidRPr="0021270B">
        <w:rPr>
          <w:lang w:val="en-NZ"/>
        </w:rPr>
        <w:t xml:space="preserve">That the submission be </w:t>
      </w:r>
      <w:r w:rsidR="00DB5128" w:rsidRPr="0021270B">
        <w:rPr>
          <w:lang w:val="en-NZ"/>
        </w:rPr>
        <w:t>declined</w:t>
      </w:r>
      <w:r w:rsidRPr="0021270B">
        <w:rPr>
          <w:lang w:val="en-NZ"/>
        </w:rPr>
        <w:t>.</w:t>
      </w:r>
    </w:p>
    <w:p w:rsidR="00731A4E" w:rsidRPr="0021270B" w:rsidRDefault="00731A4E" w:rsidP="009575F9">
      <w:pPr>
        <w:pBdr>
          <w:bottom w:val="single" w:sz="4" w:space="1" w:color="auto"/>
        </w:pBdr>
        <w:rPr>
          <w:lang w:val="en-NZ"/>
        </w:rPr>
      </w:pPr>
    </w:p>
    <w:p w:rsidR="00731A4E" w:rsidRPr="0021270B" w:rsidRDefault="00731A4E" w:rsidP="00970C58">
      <w:pPr>
        <w:rPr>
          <w:lang w:val="en-NZ"/>
        </w:rPr>
      </w:pPr>
    </w:p>
    <w:p w:rsidR="00E640A4" w:rsidRPr="0021270B" w:rsidRDefault="00E640A4" w:rsidP="00970C58">
      <w:pPr>
        <w:rPr>
          <w:lang w:val="en-NZ"/>
        </w:rPr>
      </w:pPr>
    </w:p>
    <w:p w:rsidR="00731A4E" w:rsidRPr="0021270B" w:rsidRDefault="00731A4E" w:rsidP="00E11524">
      <w:pPr>
        <w:pStyle w:val="Heading5"/>
      </w:pPr>
      <w:bookmarkStart w:id="53" w:name="_Toc427238246"/>
      <w:r w:rsidRPr="0021270B">
        <w:t xml:space="preserve">Issue: </w:t>
      </w:r>
      <w:r w:rsidRPr="0021270B">
        <w:tab/>
        <w:t>Transfer to an offshore person</w:t>
      </w:r>
      <w:bookmarkEnd w:id="53"/>
    </w:p>
    <w:p w:rsidR="00731A4E" w:rsidRPr="0021270B" w:rsidRDefault="00731A4E" w:rsidP="00970C58">
      <w:pPr>
        <w:rPr>
          <w:lang w:val="en-NZ"/>
        </w:rPr>
      </w:pPr>
    </w:p>
    <w:p w:rsidR="00731A4E" w:rsidRPr="0021270B" w:rsidRDefault="00731A4E" w:rsidP="00970C58">
      <w:pPr>
        <w:rPr>
          <w:lang w:val="en-NZ"/>
        </w:rPr>
      </w:pPr>
    </w:p>
    <w:p w:rsidR="00731A4E" w:rsidRPr="0021270B" w:rsidRDefault="00731A4E" w:rsidP="00970C58">
      <w:pPr>
        <w:rPr>
          <w:lang w:val="en-NZ"/>
        </w:rPr>
      </w:pPr>
      <w:r w:rsidRPr="0021270B">
        <w:rPr>
          <w:b/>
          <w:lang w:val="en-NZ"/>
        </w:rPr>
        <w:t>Submission</w:t>
      </w:r>
    </w:p>
    <w:p w:rsidR="00731A4E" w:rsidRPr="0021270B" w:rsidRDefault="00731A4E" w:rsidP="00970C58">
      <w:pPr>
        <w:rPr>
          <w:lang w:val="en-NZ"/>
        </w:rPr>
      </w:pPr>
      <w:r w:rsidRPr="0021270B">
        <w:rPr>
          <w:i/>
          <w:lang w:val="en-NZ"/>
        </w:rPr>
        <w:t>(EY)</w:t>
      </w:r>
    </w:p>
    <w:p w:rsidR="00731A4E" w:rsidRPr="0021270B" w:rsidRDefault="00731A4E" w:rsidP="00970C58">
      <w:pPr>
        <w:rPr>
          <w:lang w:val="en-NZ"/>
        </w:rPr>
      </w:pPr>
    </w:p>
    <w:p w:rsidR="002A799F" w:rsidRPr="0021270B" w:rsidRDefault="002A799F" w:rsidP="009575F9">
      <w:r w:rsidRPr="0021270B">
        <w:t xml:space="preserve">The legislation is not clear as to whether a transfer </w:t>
      </w:r>
      <w:r w:rsidR="0018453E" w:rsidRPr="0021270B">
        <w:t>to an offshore person intending to use the property as their main home is exempt.</w:t>
      </w:r>
    </w:p>
    <w:p w:rsidR="002A799F" w:rsidRPr="0021270B" w:rsidRDefault="002A799F" w:rsidP="009575F9"/>
    <w:p w:rsidR="00731A4E" w:rsidRPr="0021270B" w:rsidRDefault="00731A4E" w:rsidP="009575F9">
      <w:r w:rsidRPr="0021270B">
        <w:rPr>
          <w:b/>
        </w:rPr>
        <w:t>Comments</w:t>
      </w:r>
    </w:p>
    <w:p w:rsidR="00731A4E" w:rsidRPr="0021270B" w:rsidRDefault="00731A4E" w:rsidP="009575F9"/>
    <w:p w:rsidR="00731A4E" w:rsidRPr="0021270B" w:rsidRDefault="00731A4E" w:rsidP="00970C58">
      <w:r w:rsidRPr="0021270B">
        <w:t xml:space="preserve">The submitter queries whether transfers to an offshore person made by a person who qualifies for the main home exemption will be exempt. The </w:t>
      </w:r>
      <w:r w:rsidR="0018453E" w:rsidRPr="0021270B">
        <w:t>Bill</w:t>
      </w:r>
      <w:r w:rsidR="005641C1">
        <w:t>’</w:t>
      </w:r>
      <w:r w:rsidR="0018453E" w:rsidRPr="0021270B">
        <w:t>s</w:t>
      </w:r>
      <w:r w:rsidRPr="0021270B">
        <w:t xml:space="preserve"> intention is that, in </w:t>
      </w:r>
      <w:r w:rsidRPr="0021270B">
        <w:lastRenderedPageBreak/>
        <w:t>such a case, the transferor</w:t>
      </w:r>
      <w:r w:rsidR="005641C1">
        <w:t>’</w:t>
      </w:r>
      <w:r w:rsidRPr="0021270B">
        <w:t>s transaction</w:t>
      </w:r>
      <w:r w:rsidR="0018453E" w:rsidRPr="0021270B">
        <w:t xml:space="preserve"> would be exempt, but that</w:t>
      </w:r>
      <w:r w:rsidRPr="0021270B">
        <w:t xml:space="preserve"> the offshore person</w:t>
      </w:r>
      <w:r w:rsidR="005641C1">
        <w:t>’</w:t>
      </w:r>
      <w:r w:rsidRPr="0021270B">
        <w:t>s transaction would not be exempt. Officials consider that the current drafting achieves this intention.</w:t>
      </w:r>
    </w:p>
    <w:p w:rsidR="005D7BAA" w:rsidRPr="0021270B" w:rsidRDefault="005D7BAA" w:rsidP="00970C58"/>
    <w:p w:rsidR="005D7BAA" w:rsidRPr="0021270B" w:rsidRDefault="005D7BAA" w:rsidP="00970C58">
      <w:r w:rsidRPr="0021270B">
        <w:rPr>
          <w:b/>
        </w:rPr>
        <w:t>Recommendation</w:t>
      </w:r>
    </w:p>
    <w:p w:rsidR="005D7BAA" w:rsidRPr="0021270B" w:rsidRDefault="005D7BAA" w:rsidP="00970C58"/>
    <w:p w:rsidR="005D7BAA" w:rsidRPr="0021270B" w:rsidRDefault="005D7BAA" w:rsidP="00970C58">
      <w:pPr>
        <w:rPr>
          <w:lang w:val="en-NZ"/>
        </w:rPr>
      </w:pPr>
      <w:r w:rsidRPr="0021270B">
        <w:t>That the submission be declined.</w:t>
      </w:r>
    </w:p>
    <w:p w:rsidR="00970C58" w:rsidRPr="0021270B" w:rsidRDefault="00970C58" w:rsidP="00970C58">
      <w:pPr>
        <w:pBdr>
          <w:bottom w:val="single" w:sz="4" w:space="1" w:color="auto"/>
        </w:pBdr>
        <w:rPr>
          <w:lang w:val="en-NZ"/>
        </w:rPr>
      </w:pPr>
    </w:p>
    <w:p w:rsidR="00970C58" w:rsidRPr="0021270B" w:rsidRDefault="00970C58" w:rsidP="00970C58">
      <w:pPr>
        <w:keepNext/>
        <w:tabs>
          <w:tab w:val="left" w:pos="794"/>
        </w:tabs>
        <w:ind w:left="794" w:hanging="794"/>
        <w:outlineLvl w:val="4"/>
        <w:rPr>
          <w:lang w:val="en-NZ"/>
        </w:rPr>
      </w:pPr>
    </w:p>
    <w:p w:rsidR="00E640A4" w:rsidRPr="0021270B" w:rsidRDefault="00E640A4" w:rsidP="00970C58">
      <w:pPr>
        <w:keepNext/>
        <w:tabs>
          <w:tab w:val="left" w:pos="794"/>
        </w:tabs>
        <w:ind w:left="794" w:hanging="794"/>
        <w:outlineLvl w:val="4"/>
        <w:rPr>
          <w:lang w:val="en-NZ"/>
        </w:rPr>
      </w:pPr>
    </w:p>
    <w:p w:rsidR="00970C58" w:rsidRPr="0021270B" w:rsidRDefault="00970C58" w:rsidP="009575F9">
      <w:pPr>
        <w:pStyle w:val="Heading5"/>
        <w:rPr>
          <w:lang w:val="en-NZ"/>
        </w:rPr>
      </w:pPr>
      <w:bookmarkStart w:id="54" w:name="_Toc427238247"/>
      <w:r w:rsidRPr="0021270B">
        <w:rPr>
          <w:lang w:val="en-NZ"/>
        </w:rPr>
        <w:t>Issue:</w:t>
      </w:r>
      <w:r w:rsidRPr="0021270B">
        <w:rPr>
          <w:lang w:val="en-NZ"/>
        </w:rPr>
        <w:tab/>
        <w:t>Foreign tax information provision from multiple jurisdictions</w:t>
      </w:r>
      <w:bookmarkEnd w:id="54"/>
    </w:p>
    <w:p w:rsidR="00970C58" w:rsidRPr="0021270B" w:rsidRDefault="00970C58" w:rsidP="00970C58">
      <w:pPr>
        <w:rPr>
          <w:lang w:val="en-NZ"/>
        </w:rPr>
      </w:pPr>
    </w:p>
    <w:p w:rsidR="00970C58" w:rsidRPr="0021270B" w:rsidRDefault="00970C58" w:rsidP="00970C58">
      <w:pPr>
        <w:rPr>
          <w:lang w:val="en-NZ"/>
        </w:rPr>
      </w:pPr>
    </w:p>
    <w:p w:rsidR="00970C58" w:rsidRPr="0021270B" w:rsidRDefault="00970C58" w:rsidP="00970C58">
      <w:pPr>
        <w:keepNext/>
        <w:outlineLvl w:val="1"/>
        <w:rPr>
          <w:b/>
          <w:lang w:val="en-NZ"/>
        </w:rPr>
      </w:pPr>
      <w:r w:rsidRPr="0021270B">
        <w:rPr>
          <w:b/>
          <w:lang w:val="en-NZ"/>
        </w:rPr>
        <w:t>Submission</w:t>
      </w:r>
    </w:p>
    <w:p w:rsidR="00970C58" w:rsidRPr="0021270B" w:rsidRDefault="001C72A5" w:rsidP="00970C58">
      <w:pPr>
        <w:tabs>
          <w:tab w:val="left" w:pos="5295"/>
        </w:tabs>
        <w:rPr>
          <w:i/>
          <w:lang w:val="en-NZ"/>
        </w:rPr>
      </w:pPr>
      <w:r w:rsidRPr="0021270B">
        <w:rPr>
          <w:i/>
          <w:lang w:val="en-NZ"/>
        </w:rPr>
        <w:t>(</w:t>
      </w:r>
      <w:r w:rsidR="00901A39" w:rsidRPr="0021270B">
        <w:rPr>
          <w:i/>
          <w:lang w:val="en-NZ"/>
        </w:rPr>
        <w:t xml:space="preserve">EY, </w:t>
      </w:r>
      <w:r w:rsidR="00970C58" w:rsidRPr="0021270B">
        <w:rPr>
          <w:i/>
          <w:lang w:val="en-NZ"/>
        </w:rPr>
        <w:t>PricewaterhouseCoopers</w:t>
      </w:r>
      <w:r w:rsidRPr="0021270B">
        <w:rPr>
          <w:i/>
          <w:lang w:val="en-NZ"/>
        </w:rPr>
        <w:t>)</w:t>
      </w:r>
    </w:p>
    <w:p w:rsidR="00970C58" w:rsidRPr="0021270B" w:rsidRDefault="00970C58" w:rsidP="00970C58">
      <w:pPr>
        <w:tabs>
          <w:tab w:val="left" w:pos="5295"/>
        </w:tabs>
        <w:rPr>
          <w:lang w:val="en-NZ"/>
        </w:rPr>
      </w:pPr>
    </w:p>
    <w:p w:rsidR="00970C58" w:rsidRPr="0021270B" w:rsidRDefault="00970C58" w:rsidP="00970C58">
      <w:pPr>
        <w:rPr>
          <w:bCs/>
        </w:rPr>
      </w:pPr>
      <w:r w:rsidRPr="0021270B">
        <w:rPr>
          <w:bCs/>
        </w:rPr>
        <w:t>Foreign tax information should be sought for all jurisdictions in which a non-in</w:t>
      </w:r>
      <w:r w:rsidR="009D2629" w:rsidRPr="0021270B">
        <w:rPr>
          <w:bCs/>
        </w:rPr>
        <w:t>dividual person is tax resident</w:t>
      </w:r>
      <w:r w:rsidRPr="0021270B">
        <w:rPr>
          <w:bCs/>
        </w:rPr>
        <w:t xml:space="preserve">. </w:t>
      </w:r>
      <w:r w:rsidR="00D726B3" w:rsidRPr="0021270B">
        <w:rPr>
          <w:bCs/>
        </w:rPr>
        <w:t>The current drafting tends towards only requiring foreign tax information from one foreign jurisdiction.</w:t>
      </w:r>
    </w:p>
    <w:p w:rsidR="00970C58" w:rsidRPr="0021270B" w:rsidRDefault="00970C58" w:rsidP="00970C58">
      <w:pPr>
        <w:tabs>
          <w:tab w:val="left" w:pos="3210"/>
        </w:tabs>
        <w:rPr>
          <w:lang w:val="en-NZ"/>
        </w:rPr>
      </w:pPr>
      <w:r w:rsidRPr="0021270B">
        <w:rPr>
          <w:lang w:val="en-NZ"/>
        </w:rPr>
        <w:tab/>
      </w:r>
    </w:p>
    <w:p w:rsidR="00970C58" w:rsidRPr="0021270B" w:rsidRDefault="00970C58" w:rsidP="00970C58">
      <w:pPr>
        <w:keepNext/>
        <w:outlineLvl w:val="1"/>
        <w:rPr>
          <w:b/>
          <w:lang w:val="en-NZ"/>
        </w:rPr>
      </w:pPr>
      <w:r w:rsidRPr="0021270B">
        <w:rPr>
          <w:b/>
          <w:lang w:val="en-NZ"/>
        </w:rPr>
        <w:t>Comment</w:t>
      </w:r>
    </w:p>
    <w:p w:rsidR="00970C58" w:rsidRPr="0021270B" w:rsidRDefault="00DB5128" w:rsidP="00DB5128">
      <w:pPr>
        <w:tabs>
          <w:tab w:val="left" w:pos="1665"/>
        </w:tabs>
        <w:rPr>
          <w:lang w:val="en-NZ"/>
        </w:rPr>
      </w:pPr>
      <w:r w:rsidRPr="0021270B">
        <w:rPr>
          <w:lang w:val="en-NZ"/>
        </w:rPr>
        <w:tab/>
      </w:r>
    </w:p>
    <w:p w:rsidR="00970C58" w:rsidRPr="0021270B" w:rsidRDefault="00464C61" w:rsidP="00970C58">
      <w:pPr>
        <w:rPr>
          <w:lang w:val="en-NZ"/>
        </w:rPr>
      </w:pPr>
      <w:r w:rsidRPr="0021270B">
        <w:rPr>
          <w:lang w:val="en-NZ"/>
        </w:rPr>
        <w:t xml:space="preserve">The </w:t>
      </w:r>
      <w:r w:rsidR="00282359" w:rsidRPr="0021270B">
        <w:rPr>
          <w:lang w:val="en-NZ"/>
        </w:rPr>
        <w:t>Bill</w:t>
      </w:r>
      <w:r w:rsidR="005641C1">
        <w:rPr>
          <w:lang w:val="en-NZ"/>
        </w:rPr>
        <w:t>’</w:t>
      </w:r>
      <w:r w:rsidR="00282359" w:rsidRPr="0021270B">
        <w:rPr>
          <w:lang w:val="en-NZ"/>
        </w:rPr>
        <w:t>s</w:t>
      </w:r>
      <w:r w:rsidRPr="0021270B">
        <w:rPr>
          <w:lang w:val="en-NZ"/>
        </w:rPr>
        <w:t xml:space="preserve"> intent is that a person who is tax resident in more than one jurisdiction will have to provide all </w:t>
      </w:r>
      <w:r w:rsidR="001C72A5" w:rsidRPr="0021270B">
        <w:rPr>
          <w:lang w:val="en-NZ"/>
        </w:rPr>
        <w:t xml:space="preserve">of </w:t>
      </w:r>
      <w:r w:rsidRPr="0021270B">
        <w:rPr>
          <w:lang w:val="en-NZ"/>
        </w:rPr>
        <w:t xml:space="preserve">their </w:t>
      </w:r>
      <w:r w:rsidR="00E92C0C" w:rsidRPr="0021270B">
        <w:rPr>
          <w:lang w:val="en-NZ"/>
        </w:rPr>
        <w:t>foreign tax information numbers</w:t>
      </w:r>
      <w:r w:rsidRPr="0021270B">
        <w:rPr>
          <w:lang w:val="en-NZ"/>
        </w:rPr>
        <w:t>. Officials consider that the drafting currently achieves this policy intent.</w:t>
      </w:r>
    </w:p>
    <w:p w:rsidR="00464C61" w:rsidRPr="0021270B" w:rsidRDefault="00464C61" w:rsidP="00970C58">
      <w:pPr>
        <w:rPr>
          <w:lang w:val="en-NZ"/>
        </w:rPr>
      </w:pPr>
    </w:p>
    <w:p w:rsidR="00970C58" w:rsidRPr="0021270B" w:rsidRDefault="00970C58" w:rsidP="00970C58">
      <w:pPr>
        <w:keepNext/>
        <w:outlineLvl w:val="1"/>
        <w:rPr>
          <w:b/>
          <w:lang w:val="en-NZ"/>
        </w:rPr>
      </w:pPr>
      <w:r w:rsidRPr="0021270B">
        <w:rPr>
          <w:b/>
          <w:lang w:val="en-NZ"/>
        </w:rPr>
        <w:t>Recommendation</w:t>
      </w:r>
    </w:p>
    <w:p w:rsidR="00970C58" w:rsidRPr="0021270B" w:rsidRDefault="00970C58" w:rsidP="00970C58">
      <w:pPr>
        <w:rPr>
          <w:lang w:val="en-NZ"/>
        </w:rPr>
      </w:pPr>
    </w:p>
    <w:p w:rsidR="00970C58" w:rsidRPr="0021270B" w:rsidRDefault="00970C58" w:rsidP="00970C58">
      <w:pPr>
        <w:rPr>
          <w:lang w:val="en-NZ"/>
        </w:rPr>
      </w:pPr>
      <w:r w:rsidRPr="0021270B">
        <w:rPr>
          <w:lang w:val="en-NZ"/>
        </w:rPr>
        <w:t>That the submission</w:t>
      </w:r>
      <w:r w:rsidR="00E92C0C" w:rsidRPr="0021270B">
        <w:rPr>
          <w:lang w:val="en-NZ"/>
        </w:rPr>
        <w:t>s</w:t>
      </w:r>
      <w:r w:rsidRPr="0021270B">
        <w:rPr>
          <w:lang w:val="en-NZ"/>
        </w:rPr>
        <w:t xml:space="preserve"> be</w:t>
      </w:r>
      <w:r w:rsidR="00282359" w:rsidRPr="0021270B">
        <w:rPr>
          <w:lang w:val="en-NZ"/>
        </w:rPr>
        <w:t xml:space="preserve"> noted</w:t>
      </w:r>
      <w:r w:rsidRPr="0021270B">
        <w:rPr>
          <w:lang w:val="en-NZ"/>
        </w:rPr>
        <w:t>.</w:t>
      </w:r>
    </w:p>
    <w:p w:rsidR="0021247E" w:rsidRPr="0021270B" w:rsidRDefault="0021247E" w:rsidP="0021247E">
      <w:pPr>
        <w:pBdr>
          <w:bottom w:val="single" w:sz="4" w:space="1" w:color="auto"/>
        </w:pBdr>
        <w:rPr>
          <w:lang w:val="en-NZ"/>
        </w:rPr>
      </w:pPr>
    </w:p>
    <w:p w:rsidR="0021247E" w:rsidRPr="0021270B" w:rsidRDefault="0021247E" w:rsidP="0021247E">
      <w:pPr>
        <w:rPr>
          <w:lang w:val="en-NZ"/>
        </w:rPr>
      </w:pPr>
    </w:p>
    <w:p w:rsidR="00E640A4" w:rsidRPr="0021270B" w:rsidRDefault="00E640A4" w:rsidP="0021247E">
      <w:pPr>
        <w:rPr>
          <w:lang w:val="en-NZ"/>
        </w:rPr>
      </w:pPr>
    </w:p>
    <w:p w:rsidR="001D1D05" w:rsidRPr="0021270B" w:rsidRDefault="001D1D05" w:rsidP="009575F9">
      <w:pPr>
        <w:pStyle w:val="Heading5"/>
        <w:rPr>
          <w:lang w:val="en-NZ"/>
        </w:rPr>
      </w:pPr>
      <w:bookmarkStart w:id="55" w:name="_Toc427238248"/>
      <w:r w:rsidRPr="0021270B">
        <w:rPr>
          <w:lang w:val="en-NZ"/>
        </w:rPr>
        <w:t>Issue:</w:t>
      </w:r>
      <w:r w:rsidRPr="0021270B">
        <w:rPr>
          <w:lang w:val="en-NZ"/>
        </w:rPr>
        <w:tab/>
        <w:t>Form of tax statement</w:t>
      </w:r>
      <w:r w:rsidR="00E92C0C" w:rsidRPr="0021270B">
        <w:rPr>
          <w:lang w:val="en-NZ"/>
        </w:rPr>
        <w:t xml:space="preserve"> should be standardised</w:t>
      </w:r>
      <w:bookmarkEnd w:id="55"/>
    </w:p>
    <w:p w:rsidR="001D1D05" w:rsidRPr="0021270B" w:rsidRDefault="001D1D05" w:rsidP="001D1D05">
      <w:pPr>
        <w:rPr>
          <w:lang w:val="en-NZ"/>
        </w:rPr>
      </w:pPr>
    </w:p>
    <w:p w:rsidR="001D1D05" w:rsidRPr="0021270B" w:rsidRDefault="001D1D05" w:rsidP="001D1D05">
      <w:pPr>
        <w:rPr>
          <w:lang w:val="en-NZ"/>
        </w:rPr>
      </w:pPr>
    </w:p>
    <w:p w:rsidR="001D1D05" w:rsidRPr="0021270B" w:rsidRDefault="001D1D05" w:rsidP="001D1D05">
      <w:pPr>
        <w:keepNext/>
        <w:outlineLvl w:val="1"/>
        <w:rPr>
          <w:b/>
          <w:lang w:val="en-NZ"/>
        </w:rPr>
      </w:pPr>
      <w:r w:rsidRPr="0021270B">
        <w:rPr>
          <w:b/>
          <w:lang w:val="en-NZ"/>
        </w:rPr>
        <w:t>Submission</w:t>
      </w:r>
    </w:p>
    <w:p w:rsidR="001D1D05" w:rsidRPr="0021270B" w:rsidRDefault="00672EE5" w:rsidP="001D1D05">
      <w:pPr>
        <w:tabs>
          <w:tab w:val="left" w:pos="5295"/>
        </w:tabs>
        <w:rPr>
          <w:i/>
          <w:lang w:val="en-NZ"/>
        </w:rPr>
      </w:pPr>
      <w:r w:rsidRPr="0021270B">
        <w:rPr>
          <w:i/>
          <w:lang w:val="en-NZ"/>
        </w:rPr>
        <w:t>(</w:t>
      </w:r>
      <w:r w:rsidR="001D1D05" w:rsidRPr="0021270B">
        <w:rPr>
          <w:i/>
          <w:lang w:val="en-NZ"/>
        </w:rPr>
        <w:t>Chartered Accountants Australia and New Zealand</w:t>
      </w:r>
      <w:r w:rsidR="00887655" w:rsidRPr="0021270B">
        <w:rPr>
          <w:i/>
          <w:lang w:val="en-NZ"/>
        </w:rPr>
        <w:t>, New Zealand Law Society</w:t>
      </w:r>
      <w:r w:rsidRPr="0021270B">
        <w:rPr>
          <w:i/>
          <w:lang w:val="en-NZ"/>
        </w:rPr>
        <w:t>)</w:t>
      </w:r>
    </w:p>
    <w:p w:rsidR="001D1D05" w:rsidRPr="0021270B" w:rsidRDefault="001D1D05" w:rsidP="001D1D05">
      <w:pPr>
        <w:tabs>
          <w:tab w:val="left" w:pos="5295"/>
        </w:tabs>
        <w:rPr>
          <w:lang w:val="en-NZ"/>
        </w:rPr>
      </w:pPr>
    </w:p>
    <w:p w:rsidR="001D1D05" w:rsidRPr="0021270B" w:rsidRDefault="00E92C0C" w:rsidP="001D1D05">
      <w:pPr>
        <w:rPr>
          <w:iCs/>
        </w:rPr>
      </w:pPr>
      <w:r w:rsidRPr="0021270B">
        <w:rPr>
          <w:iCs/>
        </w:rPr>
        <w:t>There should be</w:t>
      </w:r>
      <w:r w:rsidR="001D1D05" w:rsidRPr="0021270B">
        <w:rPr>
          <w:iCs/>
        </w:rPr>
        <w:t xml:space="preserve"> a standard form tax statement agreed to by Inland Revenue a</w:t>
      </w:r>
      <w:r w:rsidR="00887655" w:rsidRPr="0021270B">
        <w:rPr>
          <w:iCs/>
        </w:rPr>
        <w:t>nd Land Information New Zealand.</w:t>
      </w:r>
    </w:p>
    <w:p w:rsidR="001D1D05" w:rsidRPr="0021270B" w:rsidRDefault="001D1D05" w:rsidP="00420217">
      <w:pPr>
        <w:tabs>
          <w:tab w:val="left" w:pos="6765"/>
        </w:tabs>
        <w:rPr>
          <w:lang w:val="en-NZ"/>
        </w:rPr>
      </w:pPr>
    </w:p>
    <w:p w:rsidR="001D1D05" w:rsidRPr="0021270B" w:rsidRDefault="001D1D05" w:rsidP="001D1D05">
      <w:pPr>
        <w:keepNext/>
        <w:outlineLvl w:val="1"/>
        <w:rPr>
          <w:b/>
          <w:lang w:val="en-NZ"/>
        </w:rPr>
      </w:pPr>
      <w:r w:rsidRPr="0021270B">
        <w:rPr>
          <w:b/>
          <w:lang w:val="en-NZ"/>
        </w:rPr>
        <w:t>Comment</w:t>
      </w:r>
    </w:p>
    <w:p w:rsidR="001D1D05" w:rsidRPr="0021270B" w:rsidRDefault="001D1D05" w:rsidP="001D1D05">
      <w:pPr>
        <w:rPr>
          <w:lang w:val="en-NZ"/>
        </w:rPr>
      </w:pPr>
    </w:p>
    <w:p w:rsidR="001D1D05" w:rsidRPr="0021270B" w:rsidRDefault="00A60C46" w:rsidP="001D1D05">
      <w:pPr>
        <w:rPr>
          <w:lang w:val="en-NZ"/>
        </w:rPr>
      </w:pPr>
      <w:r w:rsidRPr="0021270B">
        <w:rPr>
          <w:lang w:val="en-NZ"/>
        </w:rPr>
        <w:t xml:space="preserve">The Bill sets out clearly what information is required to be included on the tax statement. </w:t>
      </w:r>
      <w:r w:rsidR="00E92C0C" w:rsidRPr="0021270B">
        <w:rPr>
          <w:lang w:val="en-NZ"/>
        </w:rPr>
        <w:t>Land Information New Zealand and Inland Revenue</w:t>
      </w:r>
      <w:r w:rsidRPr="0021270B">
        <w:rPr>
          <w:lang w:val="en-NZ"/>
        </w:rPr>
        <w:t xml:space="preserve"> intend to produce a standard form. </w:t>
      </w:r>
    </w:p>
    <w:p w:rsidR="00A60C46" w:rsidRPr="0021270B" w:rsidRDefault="00A04071" w:rsidP="00A04071">
      <w:pPr>
        <w:tabs>
          <w:tab w:val="left" w:pos="4830"/>
        </w:tabs>
        <w:rPr>
          <w:lang w:val="en-NZ"/>
        </w:rPr>
      </w:pPr>
      <w:r w:rsidRPr="0021270B">
        <w:rPr>
          <w:lang w:val="en-NZ"/>
        </w:rPr>
        <w:tab/>
      </w:r>
    </w:p>
    <w:p w:rsidR="001D1D05" w:rsidRPr="0021270B" w:rsidRDefault="001D1D05" w:rsidP="001D1D05">
      <w:pPr>
        <w:keepNext/>
        <w:outlineLvl w:val="1"/>
        <w:rPr>
          <w:b/>
          <w:lang w:val="en-NZ"/>
        </w:rPr>
      </w:pPr>
      <w:r w:rsidRPr="0021270B">
        <w:rPr>
          <w:b/>
          <w:lang w:val="en-NZ"/>
        </w:rPr>
        <w:t>Recommendation</w:t>
      </w:r>
    </w:p>
    <w:p w:rsidR="001D1D05" w:rsidRPr="0021270B" w:rsidRDefault="001D1D05" w:rsidP="001D1D05">
      <w:pPr>
        <w:rPr>
          <w:lang w:val="en-NZ"/>
        </w:rPr>
      </w:pPr>
    </w:p>
    <w:p w:rsidR="001D1D05" w:rsidRPr="0021270B" w:rsidRDefault="00A60C46" w:rsidP="001D1D05">
      <w:pPr>
        <w:rPr>
          <w:lang w:val="en-NZ"/>
        </w:rPr>
      </w:pPr>
      <w:r w:rsidRPr="0021270B">
        <w:rPr>
          <w:lang w:val="en-NZ"/>
        </w:rPr>
        <w:t>That the submission</w:t>
      </w:r>
      <w:r w:rsidR="00E92C0C" w:rsidRPr="0021270B">
        <w:rPr>
          <w:lang w:val="en-NZ"/>
        </w:rPr>
        <w:t>s</w:t>
      </w:r>
      <w:r w:rsidRPr="0021270B">
        <w:rPr>
          <w:lang w:val="en-NZ"/>
        </w:rPr>
        <w:t xml:space="preserve"> be accepted.</w:t>
      </w:r>
    </w:p>
    <w:p w:rsidR="001D1D05" w:rsidRPr="0021270B" w:rsidRDefault="001D1D05" w:rsidP="003C6964">
      <w:pPr>
        <w:pBdr>
          <w:bottom w:val="single" w:sz="4" w:space="1" w:color="auto"/>
        </w:pBdr>
        <w:rPr>
          <w:lang w:val="en-NZ"/>
        </w:rPr>
      </w:pPr>
    </w:p>
    <w:p w:rsidR="00A60C46" w:rsidRPr="0021270B" w:rsidRDefault="00A60C46" w:rsidP="009575F9">
      <w:pPr>
        <w:pStyle w:val="Heading5"/>
        <w:rPr>
          <w:lang w:val="en-NZ"/>
        </w:rPr>
      </w:pPr>
      <w:bookmarkStart w:id="56" w:name="_Toc427238249"/>
      <w:r w:rsidRPr="0021270B">
        <w:rPr>
          <w:lang w:val="en-NZ"/>
        </w:rPr>
        <w:lastRenderedPageBreak/>
        <w:t>Issue:</w:t>
      </w:r>
      <w:r w:rsidRPr="0021270B">
        <w:rPr>
          <w:lang w:val="en-NZ"/>
        </w:rPr>
        <w:tab/>
        <w:t>Form of tax statement</w:t>
      </w:r>
      <w:r w:rsidR="00E92C0C" w:rsidRPr="0021270B">
        <w:rPr>
          <w:lang w:val="en-NZ"/>
        </w:rPr>
        <w:t xml:space="preserve"> should be published in the Gazette</w:t>
      </w:r>
      <w:bookmarkEnd w:id="56"/>
    </w:p>
    <w:p w:rsidR="00A60C46" w:rsidRPr="0021270B" w:rsidRDefault="00A60C46" w:rsidP="00A60C46">
      <w:pPr>
        <w:rPr>
          <w:lang w:val="en-NZ"/>
        </w:rPr>
      </w:pPr>
    </w:p>
    <w:p w:rsidR="00A60C46" w:rsidRPr="0021270B" w:rsidRDefault="00A60C46" w:rsidP="00A60C46">
      <w:pPr>
        <w:rPr>
          <w:lang w:val="en-NZ"/>
        </w:rPr>
      </w:pPr>
    </w:p>
    <w:p w:rsidR="00A60C46" w:rsidRPr="0021270B" w:rsidRDefault="00A60C46" w:rsidP="00A60C46">
      <w:pPr>
        <w:keepNext/>
        <w:outlineLvl w:val="1"/>
        <w:rPr>
          <w:b/>
          <w:lang w:val="en-NZ"/>
        </w:rPr>
      </w:pPr>
      <w:r w:rsidRPr="0021270B">
        <w:rPr>
          <w:b/>
          <w:lang w:val="en-NZ"/>
        </w:rPr>
        <w:t>Submission</w:t>
      </w:r>
    </w:p>
    <w:p w:rsidR="00A60C46" w:rsidRPr="0021270B" w:rsidRDefault="00672EE5" w:rsidP="00A60C46">
      <w:pPr>
        <w:tabs>
          <w:tab w:val="left" w:pos="5295"/>
        </w:tabs>
        <w:rPr>
          <w:i/>
          <w:lang w:val="en-NZ"/>
        </w:rPr>
      </w:pPr>
      <w:r w:rsidRPr="0021270B">
        <w:rPr>
          <w:i/>
          <w:lang w:val="en-NZ"/>
        </w:rPr>
        <w:t>(</w:t>
      </w:r>
      <w:r w:rsidR="00A60C46" w:rsidRPr="0021270B">
        <w:rPr>
          <w:i/>
          <w:lang w:val="en-NZ"/>
        </w:rPr>
        <w:t>New Zealand Law Society</w:t>
      </w:r>
      <w:r w:rsidRPr="0021270B">
        <w:rPr>
          <w:i/>
          <w:lang w:val="en-NZ"/>
        </w:rPr>
        <w:t>)</w:t>
      </w:r>
    </w:p>
    <w:p w:rsidR="00A60C46" w:rsidRPr="0021270B" w:rsidRDefault="00A60C46" w:rsidP="00A60C46">
      <w:pPr>
        <w:tabs>
          <w:tab w:val="left" w:pos="5295"/>
        </w:tabs>
        <w:rPr>
          <w:lang w:val="en-NZ"/>
        </w:rPr>
      </w:pPr>
    </w:p>
    <w:p w:rsidR="00A60C46" w:rsidRPr="0021270B" w:rsidRDefault="00A60C46" w:rsidP="00A60C46">
      <w:pPr>
        <w:rPr>
          <w:bCs/>
          <w:iCs/>
        </w:rPr>
      </w:pPr>
      <w:r w:rsidRPr="0021270B">
        <w:rPr>
          <w:bCs/>
          <w:iCs/>
        </w:rPr>
        <w:t xml:space="preserve">The standard form of the tax statement could be </w:t>
      </w:r>
      <w:proofErr w:type="gramStart"/>
      <w:r w:rsidRPr="0021270B">
        <w:rPr>
          <w:bCs/>
          <w:iCs/>
        </w:rPr>
        <w:t>Gazetted</w:t>
      </w:r>
      <w:proofErr w:type="gramEnd"/>
      <w:r w:rsidRPr="0021270B">
        <w:rPr>
          <w:bCs/>
          <w:iCs/>
        </w:rPr>
        <w:t>.</w:t>
      </w:r>
    </w:p>
    <w:p w:rsidR="00A60C46" w:rsidRPr="0021270B" w:rsidRDefault="00A60C46" w:rsidP="00A60C46">
      <w:pPr>
        <w:tabs>
          <w:tab w:val="left" w:pos="6765"/>
        </w:tabs>
        <w:rPr>
          <w:lang w:val="en-NZ"/>
        </w:rPr>
      </w:pPr>
    </w:p>
    <w:p w:rsidR="00A60C46" w:rsidRPr="0021270B" w:rsidRDefault="00A60C46" w:rsidP="00A60C46">
      <w:pPr>
        <w:keepNext/>
        <w:outlineLvl w:val="1"/>
        <w:rPr>
          <w:b/>
          <w:lang w:val="en-NZ"/>
        </w:rPr>
      </w:pPr>
      <w:r w:rsidRPr="0021270B">
        <w:rPr>
          <w:b/>
          <w:lang w:val="en-NZ"/>
        </w:rPr>
        <w:t>Comment</w:t>
      </w:r>
    </w:p>
    <w:p w:rsidR="00A60C46" w:rsidRPr="0021270B" w:rsidRDefault="00A60C46" w:rsidP="00A60C46">
      <w:pPr>
        <w:rPr>
          <w:lang w:val="en-NZ"/>
        </w:rPr>
      </w:pPr>
    </w:p>
    <w:p w:rsidR="00A60C46" w:rsidRPr="0021270B" w:rsidRDefault="00E92C0C" w:rsidP="00A60C46">
      <w:pPr>
        <w:rPr>
          <w:lang w:val="en-NZ"/>
        </w:rPr>
      </w:pPr>
      <w:r w:rsidRPr="0021270B">
        <w:rPr>
          <w:lang w:val="en-NZ"/>
        </w:rPr>
        <w:t>Publishing the form in the New Zealand Gazette</w:t>
      </w:r>
      <w:r w:rsidR="00A60C46" w:rsidRPr="0021270B">
        <w:rPr>
          <w:lang w:val="en-NZ"/>
        </w:rPr>
        <w:t xml:space="preserve"> would require everyone to use that form as gazetted, and officials believe that is unnecessarily restrictive.</w:t>
      </w:r>
    </w:p>
    <w:p w:rsidR="00A60C46" w:rsidRPr="0021270B" w:rsidRDefault="00A60C46" w:rsidP="00A60C46">
      <w:pPr>
        <w:rPr>
          <w:lang w:val="en-NZ"/>
        </w:rPr>
      </w:pPr>
    </w:p>
    <w:p w:rsidR="00A60C46" w:rsidRPr="0021270B" w:rsidRDefault="00A60C46" w:rsidP="00A60C46">
      <w:pPr>
        <w:keepNext/>
        <w:outlineLvl w:val="1"/>
        <w:rPr>
          <w:b/>
          <w:lang w:val="en-NZ"/>
        </w:rPr>
      </w:pPr>
      <w:r w:rsidRPr="0021270B">
        <w:rPr>
          <w:b/>
          <w:lang w:val="en-NZ"/>
        </w:rPr>
        <w:t>Recommendation</w:t>
      </w:r>
    </w:p>
    <w:p w:rsidR="00A60C46" w:rsidRPr="0021270B" w:rsidRDefault="00A60C46" w:rsidP="00A60C46">
      <w:pPr>
        <w:rPr>
          <w:lang w:val="en-NZ"/>
        </w:rPr>
      </w:pPr>
    </w:p>
    <w:p w:rsidR="00A60C46" w:rsidRPr="0021270B" w:rsidRDefault="00A60C46" w:rsidP="00A60C46">
      <w:pPr>
        <w:rPr>
          <w:lang w:val="en-NZ"/>
        </w:rPr>
      </w:pPr>
      <w:r w:rsidRPr="0021270B">
        <w:rPr>
          <w:lang w:val="en-NZ"/>
        </w:rPr>
        <w:t>That the submission be declined.</w:t>
      </w:r>
    </w:p>
    <w:p w:rsidR="00A60C46" w:rsidRPr="0021270B" w:rsidRDefault="00A60C46" w:rsidP="00A60C46">
      <w:pPr>
        <w:pBdr>
          <w:bottom w:val="single" w:sz="4" w:space="1" w:color="auto"/>
        </w:pBdr>
        <w:rPr>
          <w:lang w:val="en-NZ"/>
        </w:rPr>
      </w:pPr>
    </w:p>
    <w:p w:rsidR="00E640A4" w:rsidRPr="0021270B" w:rsidRDefault="00E640A4" w:rsidP="00A60C46">
      <w:pPr>
        <w:rPr>
          <w:lang w:val="en-NZ"/>
        </w:rPr>
      </w:pPr>
    </w:p>
    <w:p w:rsidR="001D1D05" w:rsidRPr="0021270B" w:rsidRDefault="001D1D05" w:rsidP="001D1D05">
      <w:pPr>
        <w:rPr>
          <w:lang w:val="en-NZ"/>
        </w:rPr>
      </w:pPr>
    </w:p>
    <w:p w:rsidR="001D1D05" w:rsidRPr="0021270B" w:rsidRDefault="001D1D05" w:rsidP="009575F9">
      <w:pPr>
        <w:pStyle w:val="Heading5"/>
        <w:rPr>
          <w:lang w:val="en-NZ"/>
        </w:rPr>
      </w:pPr>
      <w:bookmarkStart w:id="57" w:name="_Toc427238250"/>
      <w:r w:rsidRPr="0021270B">
        <w:rPr>
          <w:lang w:val="en-NZ"/>
        </w:rPr>
        <w:t>Issue:</w:t>
      </w:r>
      <w:r w:rsidRPr="0021270B">
        <w:rPr>
          <w:lang w:val="en-NZ"/>
        </w:rPr>
        <w:tab/>
        <w:t>Country code</w:t>
      </w:r>
      <w:r w:rsidR="00C00046" w:rsidRPr="0021270B">
        <w:rPr>
          <w:lang w:val="en-NZ"/>
        </w:rPr>
        <w:t xml:space="preserve"> availability</w:t>
      </w:r>
      <w:bookmarkEnd w:id="57"/>
    </w:p>
    <w:p w:rsidR="001D1D05" w:rsidRPr="0021270B" w:rsidRDefault="001D1D05" w:rsidP="001D1D05">
      <w:pPr>
        <w:rPr>
          <w:lang w:val="en-NZ"/>
        </w:rPr>
      </w:pPr>
    </w:p>
    <w:p w:rsidR="001D1D05" w:rsidRPr="0021270B" w:rsidRDefault="001D1D05" w:rsidP="001D1D05">
      <w:pPr>
        <w:rPr>
          <w:lang w:val="en-NZ"/>
        </w:rPr>
      </w:pPr>
    </w:p>
    <w:p w:rsidR="001D1D05" w:rsidRPr="0021270B" w:rsidRDefault="001D1D05" w:rsidP="001D1D05">
      <w:pPr>
        <w:keepNext/>
        <w:outlineLvl w:val="1"/>
        <w:rPr>
          <w:b/>
          <w:lang w:val="en-NZ"/>
        </w:rPr>
      </w:pPr>
      <w:r w:rsidRPr="0021270B">
        <w:rPr>
          <w:b/>
          <w:lang w:val="en-NZ"/>
        </w:rPr>
        <w:t>Submission</w:t>
      </w:r>
    </w:p>
    <w:p w:rsidR="001D1D05" w:rsidRPr="0021270B" w:rsidRDefault="00672EE5" w:rsidP="001D1D05">
      <w:pPr>
        <w:tabs>
          <w:tab w:val="left" w:pos="5295"/>
        </w:tabs>
        <w:rPr>
          <w:i/>
          <w:lang w:val="en-NZ"/>
        </w:rPr>
      </w:pPr>
      <w:r w:rsidRPr="0021270B">
        <w:rPr>
          <w:i/>
          <w:lang w:val="en-NZ"/>
        </w:rPr>
        <w:t>(</w:t>
      </w:r>
      <w:r w:rsidR="001D1D05" w:rsidRPr="0021270B">
        <w:rPr>
          <w:i/>
          <w:lang w:val="en-NZ"/>
        </w:rPr>
        <w:t>Chartered Accountants Australia and New Zealand</w:t>
      </w:r>
      <w:r w:rsidRPr="0021270B">
        <w:rPr>
          <w:i/>
          <w:lang w:val="en-NZ"/>
        </w:rPr>
        <w:t>)</w:t>
      </w:r>
    </w:p>
    <w:p w:rsidR="001D1D05" w:rsidRPr="0021270B" w:rsidRDefault="001D1D05" w:rsidP="001D1D05">
      <w:pPr>
        <w:tabs>
          <w:tab w:val="left" w:pos="5295"/>
        </w:tabs>
        <w:rPr>
          <w:lang w:val="en-NZ"/>
        </w:rPr>
      </w:pPr>
    </w:p>
    <w:p w:rsidR="001D1D05" w:rsidRPr="0021270B" w:rsidRDefault="001D1D05" w:rsidP="001D1D05">
      <w:pPr>
        <w:rPr>
          <w:b/>
          <w:bCs/>
        </w:rPr>
      </w:pPr>
      <w:r w:rsidRPr="0021270B">
        <w:t>Country codes should be made publicly available on the websites of Inland Revenue and Land Information New Zealand.</w:t>
      </w:r>
    </w:p>
    <w:p w:rsidR="001D1D05" w:rsidRPr="0021270B" w:rsidRDefault="001D1D05" w:rsidP="001D1D05">
      <w:pPr>
        <w:rPr>
          <w:lang w:val="en-NZ"/>
        </w:rPr>
      </w:pPr>
    </w:p>
    <w:p w:rsidR="001D1D05" w:rsidRPr="0021270B" w:rsidRDefault="001D1D05" w:rsidP="001D1D05">
      <w:pPr>
        <w:keepNext/>
        <w:outlineLvl w:val="1"/>
        <w:rPr>
          <w:b/>
          <w:lang w:val="en-NZ"/>
        </w:rPr>
      </w:pPr>
      <w:r w:rsidRPr="0021270B">
        <w:rPr>
          <w:b/>
          <w:lang w:val="en-NZ"/>
        </w:rPr>
        <w:t>Comment</w:t>
      </w:r>
    </w:p>
    <w:p w:rsidR="001D1D05" w:rsidRPr="0021270B" w:rsidRDefault="001D1D05" w:rsidP="001D1D05">
      <w:pPr>
        <w:rPr>
          <w:lang w:val="en-NZ"/>
        </w:rPr>
      </w:pPr>
    </w:p>
    <w:p w:rsidR="001D1D05" w:rsidRPr="0021270B" w:rsidRDefault="00464C61" w:rsidP="001D1D05">
      <w:pPr>
        <w:rPr>
          <w:lang w:val="en-NZ"/>
        </w:rPr>
      </w:pPr>
      <w:r w:rsidRPr="0021270B">
        <w:rPr>
          <w:lang w:val="en-NZ"/>
        </w:rPr>
        <w:t>Officials will ensure that the country codes are publicly available</w:t>
      </w:r>
      <w:r w:rsidR="00583E49" w:rsidRPr="0021270B">
        <w:rPr>
          <w:lang w:val="en-NZ"/>
        </w:rPr>
        <w:t xml:space="preserve">, including on appropriate </w:t>
      </w:r>
      <w:r w:rsidRPr="0021270B">
        <w:rPr>
          <w:lang w:val="en-NZ"/>
        </w:rPr>
        <w:t>websites.</w:t>
      </w:r>
    </w:p>
    <w:p w:rsidR="00464C61" w:rsidRPr="0021270B" w:rsidRDefault="00464C61" w:rsidP="001D1D05">
      <w:pPr>
        <w:rPr>
          <w:lang w:val="en-NZ"/>
        </w:rPr>
      </w:pPr>
    </w:p>
    <w:p w:rsidR="001D1D05" w:rsidRPr="0021270B" w:rsidRDefault="001D1D05" w:rsidP="001D1D05">
      <w:pPr>
        <w:keepNext/>
        <w:outlineLvl w:val="1"/>
        <w:rPr>
          <w:b/>
          <w:lang w:val="en-NZ"/>
        </w:rPr>
      </w:pPr>
      <w:r w:rsidRPr="0021270B">
        <w:rPr>
          <w:b/>
          <w:lang w:val="en-NZ"/>
        </w:rPr>
        <w:t>Recommendation</w:t>
      </w:r>
    </w:p>
    <w:p w:rsidR="001D1D05" w:rsidRPr="0021270B" w:rsidRDefault="001D1D05" w:rsidP="001D1D05">
      <w:pPr>
        <w:rPr>
          <w:lang w:val="en-NZ"/>
        </w:rPr>
      </w:pPr>
    </w:p>
    <w:p w:rsidR="001D1D05" w:rsidRPr="0021270B" w:rsidRDefault="001D1D05" w:rsidP="001D1D05">
      <w:pPr>
        <w:rPr>
          <w:lang w:val="en-NZ"/>
        </w:rPr>
      </w:pPr>
      <w:r w:rsidRPr="0021270B">
        <w:rPr>
          <w:lang w:val="en-NZ"/>
        </w:rPr>
        <w:t>That the submission be</w:t>
      </w:r>
      <w:r w:rsidR="00464C61" w:rsidRPr="0021270B">
        <w:rPr>
          <w:lang w:val="en-NZ"/>
        </w:rPr>
        <w:t xml:space="preserve"> accepted</w:t>
      </w:r>
      <w:r w:rsidRPr="0021270B">
        <w:rPr>
          <w:lang w:val="en-NZ"/>
        </w:rPr>
        <w:t>.</w:t>
      </w:r>
    </w:p>
    <w:p w:rsidR="001D1D05" w:rsidRPr="0021270B" w:rsidRDefault="001D1D05" w:rsidP="001D1D05">
      <w:pPr>
        <w:pBdr>
          <w:bottom w:val="single" w:sz="4" w:space="1" w:color="auto"/>
        </w:pBdr>
        <w:rPr>
          <w:lang w:val="en-NZ"/>
        </w:rPr>
      </w:pPr>
    </w:p>
    <w:p w:rsidR="001D1D05" w:rsidRPr="0021270B" w:rsidRDefault="001D1D05" w:rsidP="001D1D05">
      <w:pPr>
        <w:rPr>
          <w:lang w:val="en-NZ"/>
        </w:rPr>
      </w:pPr>
    </w:p>
    <w:p w:rsidR="00E640A4" w:rsidRPr="0021270B" w:rsidRDefault="00E640A4" w:rsidP="001D1D05">
      <w:pPr>
        <w:rPr>
          <w:lang w:val="en-NZ"/>
        </w:rPr>
      </w:pPr>
    </w:p>
    <w:p w:rsidR="001D1D05" w:rsidRPr="0021270B" w:rsidRDefault="001D1D05" w:rsidP="009575F9">
      <w:pPr>
        <w:pStyle w:val="Heading5"/>
        <w:rPr>
          <w:lang w:val="en-NZ"/>
        </w:rPr>
      </w:pPr>
      <w:bookmarkStart w:id="58" w:name="_Toc427238251"/>
      <w:r w:rsidRPr="0021270B">
        <w:rPr>
          <w:lang w:val="en-NZ"/>
        </w:rPr>
        <w:t>Issue:</w:t>
      </w:r>
      <w:r w:rsidRPr="0021270B">
        <w:rPr>
          <w:lang w:val="en-NZ"/>
        </w:rPr>
        <w:tab/>
      </w:r>
      <w:r w:rsidR="00930139" w:rsidRPr="0021270B">
        <w:rPr>
          <w:lang w:val="en-NZ"/>
        </w:rPr>
        <w:t xml:space="preserve">Remove </w:t>
      </w:r>
      <w:r w:rsidR="0027683B" w:rsidRPr="0021270B">
        <w:rPr>
          <w:lang w:val="en-NZ"/>
        </w:rPr>
        <w:t>certifiers</w:t>
      </w:r>
      <w:r w:rsidR="005641C1">
        <w:rPr>
          <w:lang w:val="en-NZ"/>
        </w:rPr>
        <w:t>’</w:t>
      </w:r>
      <w:r w:rsidR="0027683B" w:rsidRPr="0021270B">
        <w:rPr>
          <w:lang w:val="en-NZ"/>
        </w:rPr>
        <w:t xml:space="preserve"> </w:t>
      </w:r>
      <w:r w:rsidR="00930139" w:rsidRPr="0021270B">
        <w:rPr>
          <w:lang w:val="en-NZ"/>
        </w:rPr>
        <w:t>r</w:t>
      </w:r>
      <w:r w:rsidRPr="0021270B">
        <w:rPr>
          <w:lang w:val="en-NZ"/>
        </w:rPr>
        <w:t>etention period for holding of tax statement</w:t>
      </w:r>
      <w:bookmarkEnd w:id="58"/>
    </w:p>
    <w:p w:rsidR="001D1D05" w:rsidRPr="0021270B" w:rsidRDefault="001D1D05" w:rsidP="001D1D05">
      <w:pPr>
        <w:rPr>
          <w:lang w:val="en-NZ"/>
        </w:rPr>
      </w:pPr>
    </w:p>
    <w:p w:rsidR="001D1D05" w:rsidRPr="0021270B" w:rsidRDefault="001D1D05" w:rsidP="001D1D05">
      <w:pPr>
        <w:rPr>
          <w:lang w:val="en-NZ"/>
        </w:rPr>
      </w:pPr>
    </w:p>
    <w:p w:rsidR="001D1D05" w:rsidRPr="0021270B" w:rsidRDefault="001D1D05" w:rsidP="001D1D05">
      <w:pPr>
        <w:keepNext/>
        <w:outlineLvl w:val="1"/>
        <w:rPr>
          <w:b/>
          <w:lang w:val="en-NZ"/>
        </w:rPr>
      </w:pPr>
      <w:r w:rsidRPr="0021270B">
        <w:rPr>
          <w:b/>
          <w:lang w:val="en-NZ"/>
        </w:rPr>
        <w:t>Submission</w:t>
      </w:r>
    </w:p>
    <w:p w:rsidR="001D1D05" w:rsidRPr="0021270B" w:rsidRDefault="00672EE5" w:rsidP="001D1D05">
      <w:pPr>
        <w:tabs>
          <w:tab w:val="left" w:pos="5295"/>
        </w:tabs>
        <w:rPr>
          <w:i/>
          <w:lang w:val="en-NZ"/>
        </w:rPr>
      </w:pPr>
      <w:r w:rsidRPr="0021270B">
        <w:rPr>
          <w:i/>
          <w:lang w:val="en-NZ"/>
        </w:rPr>
        <w:t>(</w:t>
      </w:r>
      <w:r w:rsidR="00E92C0C" w:rsidRPr="0021270B">
        <w:rPr>
          <w:i/>
          <w:lang w:val="en-NZ"/>
        </w:rPr>
        <w:t xml:space="preserve">Chapman Tripp, </w:t>
      </w:r>
      <w:r w:rsidR="001D1D05" w:rsidRPr="0021270B">
        <w:rPr>
          <w:i/>
          <w:lang w:val="en-NZ"/>
        </w:rPr>
        <w:t>Chartered Accountants Australia and New Zealand</w:t>
      </w:r>
      <w:r w:rsidRPr="0021270B">
        <w:rPr>
          <w:i/>
          <w:lang w:val="en-NZ"/>
        </w:rPr>
        <w:t>)</w:t>
      </w:r>
    </w:p>
    <w:p w:rsidR="001D1D05" w:rsidRPr="0021270B" w:rsidRDefault="001D1D05" w:rsidP="001D1D05">
      <w:pPr>
        <w:tabs>
          <w:tab w:val="left" w:pos="5295"/>
        </w:tabs>
        <w:rPr>
          <w:lang w:val="en-NZ"/>
        </w:rPr>
      </w:pPr>
    </w:p>
    <w:p w:rsidR="001D1D05" w:rsidRPr="0021270B" w:rsidRDefault="00E92C0C" w:rsidP="001D1D05">
      <w:r w:rsidRPr="0021270B">
        <w:t>The</w:t>
      </w:r>
      <w:r w:rsidR="001D1D05" w:rsidRPr="0021270B">
        <w:t xml:space="preserve"> ten year retention period obligation for tax statements</w:t>
      </w:r>
      <w:r w:rsidR="0046631A" w:rsidRPr="0021270B">
        <w:t xml:space="preserve"> on certifiers</w:t>
      </w:r>
      <w:r w:rsidR="001D1D05" w:rsidRPr="0021270B">
        <w:t xml:space="preserve"> should be completely removed.</w:t>
      </w:r>
    </w:p>
    <w:p w:rsidR="001D1D05" w:rsidRPr="0021270B" w:rsidRDefault="001D1D05" w:rsidP="001D1D05"/>
    <w:p w:rsidR="009023DD" w:rsidRDefault="009023DD">
      <w:pPr>
        <w:jc w:val="left"/>
        <w:rPr>
          <w:b/>
          <w:lang w:val="en-NZ"/>
        </w:rPr>
      </w:pPr>
      <w:r>
        <w:rPr>
          <w:b/>
          <w:lang w:val="en-NZ"/>
        </w:rPr>
        <w:br w:type="page"/>
      </w:r>
    </w:p>
    <w:p w:rsidR="001D1D05" w:rsidRPr="0021270B" w:rsidRDefault="001D1D05" w:rsidP="001D1D05">
      <w:pPr>
        <w:keepNext/>
        <w:outlineLvl w:val="1"/>
        <w:rPr>
          <w:b/>
          <w:lang w:val="en-NZ"/>
        </w:rPr>
      </w:pPr>
      <w:r w:rsidRPr="0021270B">
        <w:rPr>
          <w:b/>
          <w:lang w:val="en-NZ"/>
        </w:rPr>
        <w:lastRenderedPageBreak/>
        <w:t>Comment</w:t>
      </w:r>
    </w:p>
    <w:p w:rsidR="001D1D05" w:rsidRPr="009023DD" w:rsidRDefault="001D1D05" w:rsidP="001D1D05">
      <w:pPr>
        <w:rPr>
          <w:sz w:val="20"/>
          <w:lang w:val="en-NZ"/>
        </w:rPr>
      </w:pPr>
    </w:p>
    <w:p w:rsidR="001D1D05" w:rsidRPr="0021270B" w:rsidRDefault="009A0F5B" w:rsidP="001D1D05">
      <w:pPr>
        <w:rPr>
          <w:lang w:val="en-NZ"/>
        </w:rPr>
      </w:pPr>
      <w:r w:rsidRPr="0021270B">
        <w:rPr>
          <w:lang w:val="en-NZ"/>
        </w:rPr>
        <w:t>The ten year retention is required for all other land transfer requirements.  Further, t</w:t>
      </w:r>
      <w:r w:rsidR="00C410E0" w:rsidRPr="0021270B">
        <w:rPr>
          <w:lang w:val="en-NZ"/>
        </w:rPr>
        <w:t>he retention period should be preserved as stated in the Bill</w:t>
      </w:r>
      <w:r w:rsidR="00E92C0C" w:rsidRPr="0021270B">
        <w:rPr>
          <w:lang w:val="en-NZ"/>
        </w:rPr>
        <w:t>,</w:t>
      </w:r>
      <w:r w:rsidR="00C410E0" w:rsidRPr="0021270B">
        <w:rPr>
          <w:lang w:val="en-NZ"/>
        </w:rPr>
        <w:t xml:space="preserve"> because tax statements must be available for prosecution purposes under the Tax Administration Act 1994.</w:t>
      </w:r>
    </w:p>
    <w:p w:rsidR="001D1D05" w:rsidRPr="009023DD" w:rsidRDefault="001D1D05" w:rsidP="001D1D05">
      <w:pPr>
        <w:rPr>
          <w:sz w:val="20"/>
          <w:lang w:val="en-NZ"/>
        </w:rPr>
      </w:pPr>
    </w:p>
    <w:p w:rsidR="001D1D05" w:rsidRPr="0021270B" w:rsidRDefault="001D1D05" w:rsidP="001D1D05">
      <w:pPr>
        <w:keepNext/>
        <w:outlineLvl w:val="1"/>
        <w:rPr>
          <w:b/>
          <w:lang w:val="en-NZ"/>
        </w:rPr>
      </w:pPr>
      <w:r w:rsidRPr="0021270B">
        <w:rPr>
          <w:b/>
          <w:lang w:val="en-NZ"/>
        </w:rPr>
        <w:t>Recommendation</w:t>
      </w:r>
    </w:p>
    <w:p w:rsidR="001D1D05" w:rsidRPr="0021270B" w:rsidRDefault="001D1D05" w:rsidP="001D1D05">
      <w:pPr>
        <w:rPr>
          <w:lang w:val="en-NZ"/>
        </w:rPr>
      </w:pPr>
    </w:p>
    <w:p w:rsidR="001D1D05" w:rsidRPr="0021270B" w:rsidRDefault="001D1D05" w:rsidP="001D1D05">
      <w:pPr>
        <w:rPr>
          <w:lang w:val="en-NZ"/>
        </w:rPr>
      </w:pPr>
      <w:r w:rsidRPr="0021270B">
        <w:rPr>
          <w:lang w:val="en-NZ"/>
        </w:rPr>
        <w:t xml:space="preserve">That the submission be </w:t>
      </w:r>
      <w:r w:rsidR="00C410E0" w:rsidRPr="0021270B">
        <w:rPr>
          <w:lang w:val="en-NZ"/>
        </w:rPr>
        <w:t>declined</w:t>
      </w:r>
      <w:r w:rsidRPr="0021270B">
        <w:rPr>
          <w:lang w:val="en-NZ"/>
        </w:rPr>
        <w:t>.</w:t>
      </w:r>
    </w:p>
    <w:p w:rsidR="008613FD" w:rsidRPr="009023DD" w:rsidRDefault="008613FD" w:rsidP="008613FD">
      <w:pPr>
        <w:pBdr>
          <w:bottom w:val="single" w:sz="4" w:space="1" w:color="auto"/>
        </w:pBdr>
        <w:rPr>
          <w:sz w:val="20"/>
          <w:lang w:val="en-NZ"/>
        </w:rPr>
      </w:pPr>
    </w:p>
    <w:p w:rsidR="008613FD" w:rsidRPr="009023DD" w:rsidRDefault="008613FD" w:rsidP="008613FD">
      <w:pPr>
        <w:rPr>
          <w:sz w:val="20"/>
          <w:lang w:val="en-NZ"/>
        </w:rPr>
      </w:pPr>
    </w:p>
    <w:p w:rsidR="00E640A4" w:rsidRPr="009023DD" w:rsidRDefault="00E640A4" w:rsidP="008613FD">
      <w:pPr>
        <w:rPr>
          <w:sz w:val="20"/>
          <w:lang w:val="en-NZ"/>
        </w:rPr>
      </w:pPr>
    </w:p>
    <w:p w:rsidR="008613FD" w:rsidRPr="0021270B" w:rsidRDefault="008613FD" w:rsidP="009575F9">
      <w:pPr>
        <w:pStyle w:val="Heading5"/>
        <w:rPr>
          <w:lang w:val="en-NZ"/>
        </w:rPr>
      </w:pPr>
      <w:bookmarkStart w:id="59" w:name="_Toc427238252"/>
      <w:r w:rsidRPr="0021270B">
        <w:rPr>
          <w:lang w:val="en-NZ"/>
        </w:rPr>
        <w:t>Issue:</w:t>
      </w:r>
      <w:r w:rsidRPr="0021270B">
        <w:rPr>
          <w:lang w:val="en-NZ"/>
        </w:rPr>
        <w:tab/>
      </w:r>
      <w:r w:rsidR="00930139" w:rsidRPr="0021270B">
        <w:rPr>
          <w:lang w:val="en-NZ"/>
        </w:rPr>
        <w:t>Reduce retention</w:t>
      </w:r>
      <w:r w:rsidRPr="0021270B">
        <w:rPr>
          <w:lang w:val="en-NZ"/>
        </w:rPr>
        <w:t xml:space="preserve"> period for holding of tax statement</w:t>
      </w:r>
      <w:bookmarkEnd w:id="59"/>
    </w:p>
    <w:p w:rsidR="008613FD" w:rsidRPr="009023DD" w:rsidRDefault="008613FD" w:rsidP="008613FD">
      <w:pPr>
        <w:rPr>
          <w:sz w:val="20"/>
          <w:lang w:val="en-NZ"/>
        </w:rPr>
      </w:pPr>
    </w:p>
    <w:p w:rsidR="008613FD" w:rsidRPr="009023DD" w:rsidRDefault="008613FD" w:rsidP="008613FD">
      <w:pPr>
        <w:rPr>
          <w:sz w:val="20"/>
          <w:lang w:val="en-NZ"/>
        </w:rPr>
      </w:pPr>
    </w:p>
    <w:p w:rsidR="008613FD" w:rsidRPr="0021270B" w:rsidRDefault="008613FD" w:rsidP="008613FD">
      <w:pPr>
        <w:keepNext/>
        <w:outlineLvl w:val="1"/>
        <w:rPr>
          <w:b/>
          <w:lang w:val="en-NZ"/>
        </w:rPr>
      </w:pPr>
      <w:r w:rsidRPr="0021270B">
        <w:rPr>
          <w:b/>
          <w:lang w:val="en-NZ"/>
        </w:rPr>
        <w:t>Submission</w:t>
      </w:r>
    </w:p>
    <w:p w:rsidR="008613FD" w:rsidRPr="0021270B" w:rsidRDefault="00672EE5" w:rsidP="008613FD">
      <w:pPr>
        <w:tabs>
          <w:tab w:val="left" w:pos="5295"/>
        </w:tabs>
        <w:rPr>
          <w:i/>
          <w:lang w:val="en-NZ"/>
        </w:rPr>
      </w:pPr>
      <w:r w:rsidRPr="0021270B">
        <w:rPr>
          <w:i/>
          <w:lang w:val="en-NZ"/>
        </w:rPr>
        <w:t>(</w:t>
      </w:r>
      <w:r w:rsidR="008613FD" w:rsidRPr="0021270B">
        <w:rPr>
          <w:i/>
          <w:lang w:val="en-NZ"/>
        </w:rPr>
        <w:t>Chartered Accountants Australia and New Zealand</w:t>
      </w:r>
      <w:r w:rsidRPr="0021270B">
        <w:rPr>
          <w:i/>
          <w:lang w:val="en-NZ"/>
        </w:rPr>
        <w:t>)</w:t>
      </w:r>
    </w:p>
    <w:p w:rsidR="008613FD" w:rsidRPr="009023DD" w:rsidRDefault="008613FD" w:rsidP="008613FD">
      <w:pPr>
        <w:tabs>
          <w:tab w:val="left" w:pos="5295"/>
        </w:tabs>
        <w:rPr>
          <w:sz w:val="20"/>
          <w:lang w:val="en-NZ"/>
        </w:rPr>
      </w:pPr>
    </w:p>
    <w:p w:rsidR="008613FD" w:rsidRPr="0021270B" w:rsidRDefault="00B91DDE" w:rsidP="008613FD">
      <w:r w:rsidRPr="0021270B">
        <w:t>T</w:t>
      </w:r>
      <w:r w:rsidR="008613FD" w:rsidRPr="0021270B">
        <w:t>he retention period should be reduced to seven years to align with the retention period for tax records.</w:t>
      </w:r>
    </w:p>
    <w:p w:rsidR="008613FD" w:rsidRPr="009023DD" w:rsidRDefault="008613FD" w:rsidP="008613FD">
      <w:pPr>
        <w:rPr>
          <w:sz w:val="20"/>
          <w:lang w:val="en-NZ"/>
        </w:rPr>
      </w:pPr>
    </w:p>
    <w:p w:rsidR="008613FD" w:rsidRPr="0021270B" w:rsidRDefault="008613FD" w:rsidP="008613FD">
      <w:pPr>
        <w:keepNext/>
        <w:outlineLvl w:val="1"/>
        <w:rPr>
          <w:b/>
          <w:lang w:val="en-NZ"/>
        </w:rPr>
      </w:pPr>
      <w:r w:rsidRPr="0021270B">
        <w:rPr>
          <w:b/>
          <w:lang w:val="en-NZ"/>
        </w:rPr>
        <w:t>Comment</w:t>
      </w:r>
    </w:p>
    <w:p w:rsidR="008613FD" w:rsidRPr="009023DD" w:rsidRDefault="008613FD" w:rsidP="008613FD">
      <w:pPr>
        <w:rPr>
          <w:sz w:val="20"/>
          <w:lang w:val="en-NZ"/>
        </w:rPr>
      </w:pPr>
    </w:p>
    <w:p w:rsidR="008613FD" w:rsidRPr="0021270B" w:rsidRDefault="00AA0A59" w:rsidP="008613FD">
      <w:pPr>
        <w:rPr>
          <w:lang w:val="en-NZ"/>
        </w:rPr>
      </w:pPr>
      <w:r w:rsidRPr="0021270B">
        <w:rPr>
          <w:lang w:val="en-NZ"/>
        </w:rPr>
        <w:t xml:space="preserve">The reduction of the retention period to seven years would </w:t>
      </w:r>
      <w:r w:rsidR="00E92C0C" w:rsidRPr="0021270B">
        <w:rPr>
          <w:lang w:val="en-NZ"/>
        </w:rPr>
        <w:t xml:space="preserve">result in a misalignment </w:t>
      </w:r>
      <w:r w:rsidRPr="0021270B">
        <w:rPr>
          <w:lang w:val="en-NZ"/>
        </w:rPr>
        <w:t>with other land transfer documentation retention periods</w:t>
      </w:r>
      <w:r w:rsidR="00E92C0C" w:rsidRPr="0021270B">
        <w:rPr>
          <w:lang w:val="en-NZ"/>
        </w:rPr>
        <w:t>,</w:t>
      </w:r>
      <w:r w:rsidRPr="0021270B">
        <w:rPr>
          <w:lang w:val="en-NZ"/>
        </w:rPr>
        <w:t xml:space="preserve"> which are (generally) specified to be ten years.</w:t>
      </w:r>
    </w:p>
    <w:p w:rsidR="008613FD" w:rsidRPr="0021270B" w:rsidRDefault="008613FD" w:rsidP="00AA0A59">
      <w:pPr>
        <w:tabs>
          <w:tab w:val="left" w:pos="2085"/>
        </w:tabs>
        <w:rPr>
          <w:lang w:val="en-NZ"/>
        </w:rPr>
      </w:pPr>
    </w:p>
    <w:p w:rsidR="008613FD" w:rsidRPr="0021270B" w:rsidRDefault="008613FD" w:rsidP="008613FD">
      <w:pPr>
        <w:keepNext/>
        <w:outlineLvl w:val="1"/>
        <w:rPr>
          <w:b/>
          <w:lang w:val="en-NZ"/>
        </w:rPr>
      </w:pPr>
      <w:r w:rsidRPr="0021270B">
        <w:rPr>
          <w:b/>
          <w:lang w:val="en-NZ"/>
        </w:rPr>
        <w:t>Recommendation</w:t>
      </w:r>
    </w:p>
    <w:p w:rsidR="008613FD" w:rsidRPr="009023DD" w:rsidRDefault="008613FD" w:rsidP="008613FD">
      <w:pPr>
        <w:rPr>
          <w:sz w:val="20"/>
          <w:lang w:val="en-NZ"/>
        </w:rPr>
      </w:pPr>
    </w:p>
    <w:p w:rsidR="008613FD" w:rsidRPr="0021270B" w:rsidRDefault="008613FD" w:rsidP="001D1D05">
      <w:pPr>
        <w:rPr>
          <w:lang w:val="en-NZ"/>
        </w:rPr>
      </w:pPr>
      <w:r w:rsidRPr="0021270B">
        <w:rPr>
          <w:lang w:val="en-NZ"/>
        </w:rPr>
        <w:t xml:space="preserve">That the submission be </w:t>
      </w:r>
      <w:r w:rsidR="00AA0A59" w:rsidRPr="0021270B">
        <w:rPr>
          <w:lang w:val="en-NZ"/>
        </w:rPr>
        <w:t>declined</w:t>
      </w:r>
      <w:r w:rsidRPr="0021270B">
        <w:rPr>
          <w:lang w:val="en-NZ"/>
        </w:rPr>
        <w:t>.</w:t>
      </w:r>
    </w:p>
    <w:p w:rsidR="00276F15" w:rsidRPr="009023DD" w:rsidRDefault="00276F15" w:rsidP="00276F15">
      <w:pPr>
        <w:pBdr>
          <w:bottom w:val="single" w:sz="4" w:space="1" w:color="auto"/>
        </w:pBdr>
        <w:rPr>
          <w:sz w:val="20"/>
          <w:lang w:val="en-NZ"/>
        </w:rPr>
      </w:pPr>
    </w:p>
    <w:p w:rsidR="00276F15" w:rsidRPr="009023DD" w:rsidRDefault="00276F15" w:rsidP="00276F15">
      <w:pPr>
        <w:rPr>
          <w:sz w:val="20"/>
          <w:lang w:val="en-NZ"/>
        </w:rPr>
      </w:pPr>
    </w:p>
    <w:p w:rsidR="00E640A4" w:rsidRPr="009023DD" w:rsidRDefault="00E640A4" w:rsidP="00276F15">
      <w:pPr>
        <w:rPr>
          <w:sz w:val="20"/>
          <w:lang w:val="en-NZ"/>
        </w:rPr>
      </w:pPr>
    </w:p>
    <w:p w:rsidR="00276F15" w:rsidRPr="0021270B" w:rsidRDefault="00276F15" w:rsidP="009575F9">
      <w:pPr>
        <w:pStyle w:val="Heading5"/>
        <w:rPr>
          <w:lang w:val="en-NZ"/>
        </w:rPr>
      </w:pPr>
      <w:bookmarkStart w:id="60" w:name="_Toc427238253"/>
      <w:r w:rsidRPr="0021270B">
        <w:rPr>
          <w:lang w:val="en-NZ"/>
        </w:rPr>
        <w:t>Issue:</w:t>
      </w:r>
      <w:r w:rsidRPr="0021270B">
        <w:rPr>
          <w:lang w:val="en-NZ"/>
        </w:rPr>
        <w:tab/>
        <w:t>Removal of certifier obligation to provide Commissioner of Inland Revenue with tax statements</w:t>
      </w:r>
      <w:bookmarkEnd w:id="60"/>
    </w:p>
    <w:p w:rsidR="00276F15" w:rsidRPr="009023DD" w:rsidRDefault="00276F15" w:rsidP="00276F15">
      <w:pPr>
        <w:tabs>
          <w:tab w:val="left" w:pos="2820"/>
        </w:tabs>
        <w:rPr>
          <w:sz w:val="20"/>
          <w:lang w:val="en-NZ"/>
        </w:rPr>
      </w:pPr>
    </w:p>
    <w:p w:rsidR="00276F15" w:rsidRPr="009023DD" w:rsidRDefault="00276F15" w:rsidP="00276F15">
      <w:pPr>
        <w:rPr>
          <w:sz w:val="20"/>
          <w:lang w:val="en-NZ"/>
        </w:rPr>
      </w:pPr>
    </w:p>
    <w:p w:rsidR="00276F15" w:rsidRPr="0021270B" w:rsidRDefault="00276F15" w:rsidP="00276F15">
      <w:pPr>
        <w:keepNext/>
        <w:outlineLvl w:val="1"/>
        <w:rPr>
          <w:b/>
          <w:lang w:val="en-NZ"/>
        </w:rPr>
      </w:pPr>
      <w:r w:rsidRPr="0021270B">
        <w:rPr>
          <w:b/>
          <w:lang w:val="en-NZ"/>
        </w:rPr>
        <w:t>Submission</w:t>
      </w:r>
    </w:p>
    <w:p w:rsidR="00276F15" w:rsidRPr="0021270B" w:rsidRDefault="00672EE5" w:rsidP="00276F15">
      <w:pPr>
        <w:tabs>
          <w:tab w:val="left" w:pos="5295"/>
        </w:tabs>
        <w:rPr>
          <w:i/>
          <w:lang w:val="en-NZ"/>
        </w:rPr>
      </w:pPr>
      <w:r w:rsidRPr="0021270B">
        <w:rPr>
          <w:i/>
          <w:lang w:val="en-NZ"/>
        </w:rPr>
        <w:t>(</w:t>
      </w:r>
      <w:r w:rsidR="00276F15" w:rsidRPr="0021270B">
        <w:rPr>
          <w:i/>
          <w:lang w:val="en-NZ"/>
        </w:rPr>
        <w:t>Chapman Tripp</w:t>
      </w:r>
      <w:r w:rsidRPr="0021270B">
        <w:rPr>
          <w:i/>
          <w:lang w:val="en-NZ"/>
        </w:rPr>
        <w:t>)</w:t>
      </w:r>
    </w:p>
    <w:p w:rsidR="00276F15" w:rsidRPr="009023DD" w:rsidRDefault="00276F15" w:rsidP="00276F15">
      <w:pPr>
        <w:tabs>
          <w:tab w:val="left" w:pos="1755"/>
        </w:tabs>
        <w:rPr>
          <w:sz w:val="20"/>
          <w:lang w:val="en-NZ"/>
        </w:rPr>
      </w:pPr>
    </w:p>
    <w:p w:rsidR="00276F15" w:rsidRPr="0021270B" w:rsidRDefault="00276F15" w:rsidP="00276F15">
      <w:r w:rsidRPr="0021270B">
        <w:t xml:space="preserve">Certifiers should not be required to give a copy of a tax statement to the </w:t>
      </w:r>
      <w:r w:rsidR="00B07BC7" w:rsidRPr="0021270B">
        <w:t>Commissioner of Inland Revenue upon request. This information will already be provided to Land Information New Zealand.</w:t>
      </w:r>
    </w:p>
    <w:p w:rsidR="00276F15" w:rsidRPr="009023DD" w:rsidRDefault="00276F15" w:rsidP="00276F15">
      <w:pPr>
        <w:rPr>
          <w:sz w:val="20"/>
          <w:lang w:val="en-NZ"/>
        </w:rPr>
      </w:pPr>
    </w:p>
    <w:p w:rsidR="00276F15" w:rsidRPr="0021270B" w:rsidRDefault="00276F15" w:rsidP="00276F15">
      <w:pPr>
        <w:keepNext/>
        <w:outlineLvl w:val="1"/>
        <w:rPr>
          <w:b/>
          <w:lang w:val="en-NZ"/>
        </w:rPr>
      </w:pPr>
      <w:r w:rsidRPr="0021270B">
        <w:rPr>
          <w:b/>
          <w:lang w:val="en-NZ"/>
        </w:rPr>
        <w:t>Comment</w:t>
      </w:r>
    </w:p>
    <w:p w:rsidR="00276F15" w:rsidRPr="009023DD" w:rsidRDefault="00276F15" w:rsidP="00276F15">
      <w:pPr>
        <w:rPr>
          <w:sz w:val="20"/>
          <w:lang w:val="en-NZ"/>
        </w:rPr>
      </w:pPr>
    </w:p>
    <w:p w:rsidR="00276F15" w:rsidRPr="0021270B" w:rsidRDefault="00464C61" w:rsidP="00276F15">
      <w:pPr>
        <w:rPr>
          <w:lang w:val="en-NZ"/>
        </w:rPr>
      </w:pPr>
      <w:r w:rsidRPr="0021270B">
        <w:rPr>
          <w:lang w:val="en-NZ"/>
        </w:rPr>
        <w:t xml:space="preserve">The information that will be provided to </w:t>
      </w:r>
      <w:r w:rsidR="00E92C0C" w:rsidRPr="0021270B">
        <w:rPr>
          <w:lang w:val="en-NZ"/>
        </w:rPr>
        <w:t xml:space="preserve">Land Information New Zealand </w:t>
      </w:r>
      <w:r w:rsidRPr="0021270B">
        <w:rPr>
          <w:lang w:val="en-NZ"/>
        </w:rPr>
        <w:t>is the summary of the tax information, not the tax statement itself.  In situations where a tax investigation is necessary, the tax statement may be required by Inland Revenue for evidentiary purposes.</w:t>
      </w:r>
    </w:p>
    <w:p w:rsidR="00AB1AF4" w:rsidRPr="009023DD" w:rsidRDefault="00AB1AF4" w:rsidP="00276F15">
      <w:pPr>
        <w:rPr>
          <w:sz w:val="20"/>
          <w:lang w:val="en-NZ"/>
        </w:rPr>
      </w:pPr>
    </w:p>
    <w:p w:rsidR="00276F15" w:rsidRPr="0021270B" w:rsidRDefault="00276F15" w:rsidP="00276F15">
      <w:pPr>
        <w:keepNext/>
        <w:outlineLvl w:val="1"/>
        <w:rPr>
          <w:b/>
          <w:lang w:val="en-NZ"/>
        </w:rPr>
      </w:pPr>
      <w:r w:rsidRPr="0021270B">
        <w:rPr>
          <w:b/>
          <w:lang w:val="en-NZ"/>
        </w:rPr>
        <w:t>Recommendation</w:t>
      </w:r>
    </w:p>
    <w:p w:rsidR="00276F15" w:rsidRPr="009023DD" w:rsidRDefault="00276F15" w:rsidP="00276F15">
      <w:pPr>
        <w:rPr>
          <w:sz w:val="20"/>
          <w:lang w:val="en-NZ"/>
        </w:rPr>
      </w:pPr>
    </w:p>
    <w:p w:rsidR="00B07BC7" w:rsidRPr="0021270B" w:rsidRDefault="00276F15" w:rsidP="00B306BD">
      <w:pPr>
        <w:rPr>
          <w:lang w:val="en-NZ"/>
        </w:rPr>
      </w:pPr>
      <w:r w:rsidRPr="0021270B">
        <w:rPr>
          <w:lang w:val="en-NZ"/>
        </w:rPr>
        <w:t xml:space="preserve">That the submission be </w:t>
      </w:r>
      <w:r w:rsidR="00AA0A59" w:rsidRPr="0021270B">
        <w:rPr>
          <w:lang w:val="en-NZ"/>
        </w:rPr>
        <w:t>declined</w:t>
      </w:r>
      <w:r w:rsidRPr="0021270B">
        <w:rPr>
          <w:lang w:val="en-NZ"/>
        </w:rPr>
        <w:t>.</w:t>
      </w:r>
    </w:p>
    <w:p w:rsidR="00B306BD" w:rsidRPr="0021270B" w:rsidRDefault="00B306BD" w:rsidP="003C6964">
      <w:pPr>
        <w:pBdr>
          <w:bottom w:val="single" w:sz="4" w:space="1" w:color="auto"/>
        </w:pBdr>
        <w:rPr>
          <w:lang w:val="en-NZ"/>
        </w:rPr>
      </w:pPr>
    </w:p>
    <w:p w:rsidR="00B306BD" w:rsidRPr="0021270B" w:rsidRDefault="00B306BD" w:rsidP="00E11524">
      <w:pPr>
        <w:pStyle w:val="Heading5"/>
        <w:rPr>
          <w:lang w:val="en-NZ"/>
        </w:rPr>
      </w:pPr>
      <w:bookmarkStart w:id="61" w:name="_Toc427238254"/>
      <w:r w:rsidRPr="0021270B">
        <w:rPr>
          <w:lang w:val="en-NZ"/>
        </w:rPr>
        <w:lastRenderedPageBreak/>
        <w:t>Issue:</w:t>
      </w:r>
      <w:r w:rsidRPr="0021270B">
        <w:rPr>
          <w:lang w:val="en-NZ"/>
        </w:rPr>
        <w:tab/>
        <w:t>Retention by electronic means</w:t>
      </w:r>
      <w:bookmarkEnd w:id="61"/>
    </w:p>
    <w:p w:rsidR="00B306BD" w:rsidRPr="0021270B" w:rsidRDefault="00B306BD" w:rsidP="00B306BD">
      <w:pPr>
        <w:tabs>
          <w:tab w:val="left" w:pos="2820"/>
        </w:tabs>
        <w:rPr>
          <w:lang w:val="en-NZ"/>
        </w:rPr>
      </w:pPr>
    </w:p>
    <w:p w:rsidR="00B306BD" w:rsidRPr="0021270B" w:rsidRDefault="00B306BD" w:rsidP="00B306BD">
      <w:pPr>
        <w:rPr>
          <w:lang w:val="en-NZ"/>
        </w:rPr>
      </w:pPr>
    </w:p>
    <w:p w:rsidR="00B306BD" w:rsidRPr="0021270B" w:rsidRDefault="00B306BD" w:rsidP="00B306BD">
      <w:pPr>
        <w:keepNext/>
        <w:outlineLvl w:val="1"/>
        <w:rPr>
          <w:b/>
          <w:lang w:val="en-NZ"/>
        </w:rPr>
      </w:pPr>
      <w:r w:rsidRPr="0021270B">
        <w:rPr>
          <w:b/>
          <w:lang w:val="en-NZ"/>
        </w:rPr>
        <w:t>Submission</w:t>
      </w:r>
    </w:p>
    <w:p w:rsidR="00B306BD" w:rsidRPr="0021270B" w:rsidRDefault="00672EE5" w:rsidP="00B306BD">
      <w:pPr>
        <w:tabs>
          <w:tab w:val="left" w:pos="5295"/>
        </w:tabs>
        <w:rPr>
          <w:i/>
          <w:lang w:val="en-NZ"/>
        </w:rPr>
      </w:pPr>
      <w:r w:rsidRPr="0021270B">
        <w:rPr>
          <w:i/>
          <w:lang w:val="en-NZ"/>
        </w:rPr>
        <w:t>(</w:t>
      </w:r>
      <w:r w:rsidR="00E92C0C" w:rsidRPr="0021270B">
        <w:rPr>
          <w:i/>
          <w:lang w:val="en-NZ"/>
        </w:rPr>
        <w:t xml:space="preserve">Auckland District Law Society, </w:t>
      </w:r>
      <w:r w:rsidR="00B306BD" w:rsidRPr="0021270B">
        <w:rPr>
          <w:i/>
          <w:lang w:val="en-NZ"/>
        </w:rPr>
        <w:t>New Zealand Law Society</w:t>
      </w:r>
      <w:r w:rsidRPr="0021270B">
        <w:rPr>
          <w:i/>
          <w:lang w:val="en-NZ"/>
        </w:rPr>
        <w:t>)</w:t>
      </w:r>
    </w:p>
    <w:p w:rsidR="00B306BD" w:rsidRPr="0021270B" w:rsidRDefault="00B306BD" w:rsidP="00B306BD">
      <w:pPr>
        <w:tabs>
          <w:tab w:val="left" w:pos="1755"/>
        </w:tabs>
        <w:rPr>
          <w:lang w:val="en-NZ"/>
        </w:rPr>
      </w:pPr>
    </w:p>
    <w:p w:rsidR="00B306BD" w:rsidRPr="0021270B" w:rsidRDefault="00B306BD" w:rsidP="00B306BD">
      <w:r w:rsidRPr="0021270B">
        <w:t>Retention of tax statements should be able to be done electronically as an additional option.</w:t>
      </w:r>
    </w:p>
    <w:p w:rsidR="00B306BD" w:rsidRPr="0021270B" w:rsidRDefault="00B306BD" w:rsidP="00B306BD">
      <w:pPr>
        <w:rPr>
          <w:lang w:val="en-NZ"/>
        </w:rPr>
      </w:pPr>
    </w:p>
    <w:p w:rsidR="00B306BD" w:rsidRPr="0021270B" w:rsidRDefault="00B306BD" w:rsidP="00B306BD">
      <w:pPr>
        <w:keepNext/>
        <w:outlineLvl w:val="1"/>
        <w:rPr>
          <w:b/>
          <w:lang w:val="en-NZ"/>
        </w:rPr>
      </w:pPr>
      <w:r w:rsidRPr="0021270B">
        <w:rPr>
          <w:b/>
          <w:lang w:val="en-NZ"/>
        </w:rPr>
        <w:t>Comment</w:t>
      </w:r>
    </w:p>
    <w:p w:rsidR="00B306BD" w:rsidRPr="0021270B" w:rsidRDefault="00B306BD" w:rsidP="00B306BD">
      <w:pPr>
        <w:rPr>
          <w:lang w:val="en-NZ"/>
        </w:rPr>
      </w:pPr>
    </w:p>
    <w:p w:rsidR="00B306BD" w:rsidRPr="0021270B" w:rsidRDefault="00456926" w:rsidP="00B306BD">
      <w:pPr>
        <w:rPr>
          <w:lang w:val="en-NZ"/>
        </w:rPr>
      </w:pPr>
      <w:r w:rsidRPr="0021270B">
        <w:rPr>
          <w:lang w:val="en-NZ"/>
        </w:rPr>
        <w:t>The Electronic Transactions Act 2002 already provides that electronic retention can be done instead of physical retention. The Bill does not overrule the relevant part of that Act, nor is it intended that electronic retention is disallowed.</w:t>
      </w:r>
    </w:p>
    <w:p w:rsidR="00B306BD" w:rsidRPr="0021270B" w:rsidRDefault="00B306BD" w:rsidP="00B306BD">
      <w:pPr>
        <w:rPr>
          <w:lang w:val="en-NZ"/>
        </w:rPr>
      </w:pPr>
    </w:p>
    <w:p w:rsidR="00B306BD" w:rsidRPr="0021270B" w:rsidRDefault="00B306BD" w:rsidP="00B306BD">
      <w:pPr>
        <w:keepNext/>
        <w:outlineLvl w:val="1"/>
        <w:rPr>
          <w:b/>
          <w:lang w:val="en-NZ"/>
        </w:rPr>
      </w:pPr>
      <w:r w:rsidRPr="0021270B">
        <w:rPr>
          <w:b/>
          <w:lang w:val="en-NZ"/>
        </w:rPr>
        <w:t>Recommendation</w:t>
      </w:r>
    </w:p>
    <w:p w:rsidR="00B306BD" w:rsidRPr="0021270B" w:rsidRDefault="00B306BD" w:rsidP="00B306BD">
      <w:pPr>
        <w:rPr>
          <w:lang w:val="en-NZ"/>
        </w:rPr>
      </w:pPr>
    </w:p>
    <w:p w:rsidR="00B306BD" w:rsidRPr="0021270B" w:rsidRDefault="00B306BD" w:rsidP="00B306BD">
      <w:pPr>
        <w:rPr>
          <w:lang w:val="en-NZ"/>
        </w:rPr>
      </w:pPr>
      <w:r w:rsidRPr="0021270B">
        <w:rPr>
          <w:lang w:val="en-NZ"/>
        </w:rPr>
        <w:t>That the submission</w:t>
      </w:r>
      <w:r w:rsidR="00E92C0C" w:rsidRPr="0021270B">
        <w:rPr>
          <w:lang w:val="en-NZ"/>
        </w:rPr>
        <w:t>s</w:t>
      </w:r>
      <w:r w:rsidRPr="0021270B">
        <w:rPr>
          <w:lang w:val="en-NZ"/>
        </w:rPr>
        <w:t xml:space="preserve"> be </w:t>
      </w:r>
      <w:r w:rsidR="00456926" w:rsidRPr="0021270B">
        <w:rPr>
          <w:lang w:val="en-NZ"/>
        </w:rPr>
        <w:t>noted</w:t>
      </w:r>
      <w:r w:rsidRPr="0021270B">
        <w:rPr>
          <w:lang w:val="en-NZ"/>
        </w:rPr>
        <w:t>.</w:t>
      </w:r>
    </w:p>
    <w:p w:rsidR="00B306BD" w:rsidRPr="0021270B" w:rsidRDefault="00B306BD" w:rsidP="00B07BC7">
      <w:pPr>
        <w:pBdr>
          <w:bottom w:val="single" w:sz="4" w:space="1" w:color="auto"/>
        </w:pBdr>
        <w:rPr>
          <w:lang w:val="en-NZ"/>
        </w:rPr>
      </w:pPr>
    </w:p>
    <w:p w:rsidR="00E640A4" w:rsidRDefault="00E640A4" w:rsidP="00E640A4">
      <w:pPr>
        <w:rPr>
          <w:lang w:val="en-NZ"/>
        </w:rPr>
      </w:pPr>
    </w:p>
    <w:p w:rsidR="009023DD" w:rsidRPr="0021270B" w:rsidRDefault="009023DD" w:rsidP="00E640A4">
      <w:pPr>
        <w:rPr>
          <w:lang w:val="en-NZ"/>
        </w:rPr>
      </w:pPr>
    </w:p>
    <w:p w:rsidR="00B07BC7" w:rsidRPr="0021270B" w:rsidRDefault="00B07BC7" w:rsidP="009575F9">
      <w:pPr>
        <w:pStyle w:val="Heading5"/>
        <w:rPr>
          <w:lang w:val="en-NZ"/>
        </w:rPr>
      </w:pPr>
      <w:bookmarkStart w:id="62" w:name="_Toc427238255"/>
      <w:r w:rsidRPr="0021270B">
        <w:rPr>
          <w:lang w:val="en-NZ"/>
        </w:rPr>
        <w:t>Issue:</w:t>
      </w:r>
      <w:r w:rsidRPr="0021270B">
        <w:rPr>
          <w:lang w:val="en-NZ"/>
        </w:rPr>
        <w:tab/>
        <w:t>No certification of tax statement accuracy and no liability for incorrect information</w:t>
      </w:r>
      <w:bookmarkEnd w:id="62"/>
    </w:p>
    <w:p w:rsidR="00B07BC7" w:rsidRPr="0021270B" w:rsidRDefault="00B07BC7" w:rsidP="00B07BC7">
      <w:pPr>
        <w:tabs>
          <w:tab w:val="left" w:pos="2820"/>
        </w:tabs>
        <w:rPr>
          <w:lang w:val="en-NZ"/>
        </w:rPr>
      </w:pPr>
    </w:p>
    <w:p w:rsidR="00B07BC7" w:rsidRPr="0021270B" w:rsidRDefault="00B07BC7" w:rsidP="00B07BC7">
      <w:pPr>
        <w:rPr>
          <w:lang w:val="en-NZ"/>
        </w:rPr>
      </w:pPr>
    </w:p>
    <w:p w:rsidR="00B07BC7" w:rsidRPr="0021270B" w:rsidRDefault="00B07BC7" w:rsidP="00B07BC7">
      <w:pPr>
        <w:keepNext/>
        <w:outlineLvl w:val="1"/>
        <w:rPr>
          <w:b/>
          <w:lang w:val="en-NZ"/>
        </w:rPr>
      </w:pPr>
      <w:r w:rsidRPr="0021270B">
        <w:rPr>
          <w:b/>
          <w:lang w:val="en-NZ"/>
        </w:rPr>
        <w:t>Submission</w:t>
      </w:r>
    </w:p>
    <w:p w:rsidR="00B07BC7" w:rsidRPr="0021270B" w:rsidRDefault="00672EE5" w:rsidP="00B07BC7">
      <w:pPr>
        <w:tabs>
          <w:tab w:val="left" w:pos="5295"/>
        </w:tabs>
        <w:rPr>
          <w:lang w:val="en-NZ"/>
        </w:rPr>
      </w:pPr>
      <w:r w:rsidRPr="0021270B">
        <w:rPr>
          <w:i/>
          <w:lang w:val="en-NZ"/>
        </w:rPr>
        <w:t>(</w:t>
      </w:r>
      <w:r w:rsidR="0067356F" w:rsidRPr="0021270B">
        <w:rPr>
          <w:i/>
          <w:lang w:val="en-NZ"/>
        </w:rPr>
        <w:t xml:space="preserve">Auckland District Law Society, </w:t>
      </w:r>
      <w:r w:rsidR="00B07BC7" w:rsidRPr="0021270B">
        <w:rPr>
          <w:i/>
          <w:lang w:val="en-NZ"/>
        </w:rPr>
        <w:t>Chapman Tripp</w:t>
      </w:r>
      <w:r w:rsidR="00285AA4" w:rsidRPr="0021270B">
        <w:rPr>
          <w:i/>
          <w:lang w:val="en-NZ"/>
        </w:rPr>
        <w:t>, New Zealand Law Society</w:t>
      </w:r>
      <w:r w:rsidR="00EC318F" w:rsidRPr="0021270B">
        <w:rPr>
          <w:i/>
          <w:lang w:val="en-NZ"/>
        </w:rPr>
        <w:t>, Real Estate Institute of New Zealand</w:t>
      </w:r>
      <w:r w:rsidRPr="0021270B">
        <w:rPr>
          <w:i/>
          <w:lang w:val="en-NZ"/>
        </w:rPr>
        <w:t>)</w:t>
      </w:r>
    </w:p>
    <w:p w:rsidR="00B07BC7" w:rsidRPr="0021270B" w:rsidRDefault="00B07BC7" w:rsidP="00B07BC7">
      <w:pPr>
        <w:tabs>
          <w:tab w:val="left" w:pos="1755"/>
        </w:tabs>
        <w:rPr>
          <w:lang w:val="en-NZ"/>
        </w:rPr>
      </w:pPr>
    </w:p>
    <w:p w:rsidR="00EC318F" w:rsidRPr="0021270B" w:rsidRDefault="00B07BC7" w:rsidP="00B07BC7">
      <w:r w:rsidRPr="0021270B">
        <w:t>It is submitted that an explicit provision be included in the Bill to ensure that Certifiers do not certify the accuracy of the tax statement information provided to Land Information New Zealand. Further to this, the Bill should state that there will be no liability for incorrect information provided by Certifiers.</w:t>
      </w:r>
      <w:r w:rsidR="00EC318F" w:rsidRPr="0021270B">
        <w:t xml:space="preserve"> </w:t>
      </w:r>
      <w:r w:rsidR="00EC318F" w:rsidRPr="0021270B">
        <w:rPr>
          <w:i/>
        </w:rPr>
        <w:t>(Chapman Tripp, New Zealand Law Society)</w:t>
      </w:r>
    </w:p>
    <w:p w:rsidR="00EC318F" w:rsidRPr="0021270B" w:rsidRDefault="00EC318F" w:rsidP="00B07BC7"/>
    <w:p w:rsidR="00EC318F" w:rsidRPr="0021270B" w:rsidRDefault="00EC318F" w:rsidP="00B07BC7">
      <w:pPr>
        <w:rPr>
          <w:i/>
        </w:rPr>
      </w:pPr>
      <w:r w:rsidRPr="0021270B">
        <w:t>The liability for providing false or misleading tax information</w:t>
      </w:r>
      <w:r w:rsidR="0067356F" w:rsidRPr="0021270B">
        <w:t xml:space="preserve"> should</w:t>
      </w:r>
      <w:r w:rsidRPr="0021270B">
        <w:t xml:space="preserve"> </w:t>
      </w:r>
      <w:r w:rsidR="004B12A1" w:rsidRPr="0021270B">
        <w:t>be</w:t>
      </w:r>
      <w:r w:rsidRPr="0021270B">
        <w:t xml:space="preserve"> limited to transferees and transferors.</w:t>
      </w:r>
      <w:r w:rsidR="0067356F" w:rsidRPr="0021270B">
        <w:t xml:space="preserve"> </w:t>
      </w:r>
      <w:r w:rsidR="0067356F" w:rsidRPr="0021270B">
        <w:rPr>
          <w:i/>
        </w:rPr>
        <w:t>(Real Estate Institute of New Zealand)</w:t>
      </w:r>
    </w:p>
    <w:p w:rsidR="002E3B66" w:rsidRPr="0021270B" w:rsidRDefault="002E3B66" w:rsidP="00B07BC7"/>
    <w:p w:rsidR="002E3B66" w:rsidRPr="0021270B" w:rsidRDefault="002E3B66" w:rsidP="00B07BC7">
      <w:r w:rsidRPr="0021270B">
        <w:t xml:space="preserve">The </w:t>
      </w:r>
      <w:r w:rsidR="000F7C28" w:rsidRPr="0021270B">
        <w:t>references to certifiers and chie</w:t>
      </w:r>
      <w:r w:rsidR="00EF35AB" w:rsidRPr="0021270B">
        <w:t>f executives should be removed altogether.</w:t>
      </w:r>
      <w:r w:rsidR="0067356F" w:rsidRPr="0021270B">
        <w:t xml:space="preserve"> </w:t>
      </w:r>
      <w:r w:rsidR="0067356F" w:rsidRPr="0021270B">
        <w:rPr>
          <w:i/>
        </w:rPr>
        <w:t>(Auckland District Law Society)</w:t>
      </w:r>
    </w:p>
    <w:p w:rsidR="00B07BC7" w:rsidRPr="0021270B" w:rsidRDefault="00B07BC7" w:rsidP="00B07BC7">
      <w:pPr>
        <w:rPr>
          <w:lang w:val="en-NZ"/>
        </w:rPr>
      </w:pPr>
    </w:p>
    <w:p w:rsidR="00B07BC7" w:rsidRPr="0021270B" w:rsidRDefault="00B07BC7" w:rsidP="00B07BC7">
      <w:pPr>
        <w:keepNext/>
        <w:outlineLvl w:val="1"/>
        <w:rPr>
          <w:b/>
          <w:lang w:val="en-NZ"/>
        </w:rPr>
      </w:pPr>
      <w:r w:rsidRPr="0021270B">
        <w:rPr>
          <w:b/>
          <w:lang w:val="en-NZ"/>
        </w:rPr>
        <w:t>Comment</w:t>
      </w:r>
    </w:p>
    <w:p w:rsidR="00B07BC7" w:rsidRPr="0021270B" w:rsidRDefault="00B07BC7" w:rsidP="00456926">
      <w:pPr>
        <w:tabs>
          <w:tab w:val="left" w:pos="2010"/>
        </w:tabs>
        <w:rPr>
          <w:lang w:val="en-NZ"/>
        </w:rPr>
      </w:pPr>
    </w:p>
    <w:p w:rsidR="00C85C95" w:rsidRPr="0021270B" w:rsidRDefault="00B91DDE" w:rsidP="00C85C95">
      <w:pPr>
        <w:rPr>
          <w:lang w:val="en-NZ"/>
        </w:rPr>
      </w:pPr>
      <w:r w:rsidRPr="0021270B">
        <w:rPr>
          <w:lang w:val="en-NZ"/>
        </w:rPr>
        <w:t>The Bill provides</w:t>
      </w:r>
      <w:r w:rsidR="00C85C95" w:rsidRPr="0021270B">
        <w:rPr>
          <w:lang w:val="en-NZ"/>
        </w:rPr>
        <w:t xml:space="preserve"> for an offence</w:t>
      </w:r>
      <w:r w:rsidRPr="0021270B">
        <w:rPr>
          <w:lang w:val="en-NZ"/>
        </w:rPr>
        <w:t xml:space="preserve"> to apply</w:t>
      </w:r>
      <w:r w:rsidR="00C85C95" w:rsidRPr="0021270B">
        <w:rPr>
          <w:lang w:val="en-NZ"/>
        </w:rPr>
        <w:t xml:space="preserve"> to a person who knowingly gives false information.  As the person who gives the tax statement is either the transferee or the transferor, the offence contained in the bill would not apply to certifiers</w:t>
      </w:r>
      <w:r w:rsidR="00583E49" w:rsidRPr="0021270B">
        <w:rPr>
          <w:lang w:val="en-NZ"/>
        </w:rPr>
        <w:t xml:space="preserve"> such as a conveyancing lawyer</w:t>
      </w:r>
      <w:r w:rsidR="00C85C95" w:rsidRPr="0021270B">
        <w:rPr>
          <w:lang w:val="en-NZ"/>
        </w:rPr>
        <w:t>.</w:t>
      </w:r>
    </w:p>
    <w:p w:rsidR="00C85C95" w:rsidRPr="0021270B" w:rsidRDefault="00C85C95" w:rsidP="00C85C95">
      <w:pPr>
        <w:rPr>
          <w:lang w:val="en-NZ"/>
        </w:rPr>
      </w:pPr>
    </w:p>
    <w:p w:rsidR="00C85C95" w:rsidRPr="0021270B" w:rsidRDefault="00C85C95" w:rsidP="00C85C95">
      <w:pPr>
        <w:rPr>
          <w:lang w:val="en-NZ"/>
        </w:rPr>
      </w:pPr>
      <w:r w:rsidRPr="0021270B">
        <w:rPr>
          <w:lang w:val="en-NZ"/>
        </w:rPr>
        <w:t xml:space="preserve">However, it should be noted that, under existing provisions of the Tax Administration Act 1994, a person who knowingly provides a false or misleading tax statement to any </w:t>
      </w:r>
      <w:r w:rsidRPr="0021270B">
        <w:rPr>
          <w:lang w:val="en-NZ"/>
        </w:rPr>
        <w:lastRenderedPageBreak/>
        <w:t>person could be liable for similar penalties.  This could include a certifier who knowingly provides false information to</w:t>
      </w:r>
      <w:r w:rsidR="0067356F" w:rsidRPr="0021270B">
        <w:rPr>
          <w:lang w:val="en-NZ"/>
        </w:rPr>
        <w:t xml:space="preserve"> Land Information New Zealand</w:t>
      </w:r>
      <w:r w:rsidRPr="0021270B">
        <w:rPr>
          <w:lang w:val="en-NZ"/>
        </w:rPr>
        <w:t>.</w:t>
      </w:r>
    </w:p>
    <w:p w:rsidR="00C85C95" w:rsidRPr="009023DD" w:rsidRDefault="00C85C95" w:rsidP="00C85C95">
      <w:pPr>
        <w:rPr>
          <w:sz w:val="20"/>
          <w:lang w:val="en-NZ"/>
        </w:rPr>
      </w:pPr>
    </w:p>
    <w:p w:rsidR="00464C61" w:rsidRPr="0021270B" w:rsidRDefault="00C85C95" w:rsidP="00C85C95">
      <w:pPr>
        <w:rPr>
          <w:lang w:val="en-NZ"/>
        </w:rPr>
      </w:pPr>
      <w:r w:rsidRPr="0021270B">
        <w:rPr>
          <w:lang w:val="en-NZ"/>
        </w:rPr>
        <w:t>A transferee, transferor, or certifier will not be liable (under existing law or under the proposals in the bill) for unintentionally providing incorrect information.  The bill provides a process for information to be corrected.</w:t>
      </w:r>
    </w:p>
    <w:p w:rsidR="00C85C95" w:rsidRPr="009023DD" w:rsidRDefault="00C85C95" w:rsidP="00C85C95">
      <w:pPr>
        <w:rPr>
          <w:sz w:val="20"/>
          <w:lang w:val="en-NZ"/>
        </w:rPr>
      </w:pPr>
    </w:p>
    <w:p w:rsidR="00B07BC7" w:rsidRPr="0021270B" w:rsidRDefault="00B07BC7" w:rsidP="00B07BC7">
      <w:pPr>
        <w:keepNext/>
        <w:outlineLvl w:val="1"/>
        <w:rPr>
          <w:b/>
          <w:lang w:val="en-NZ"/>
        </w:rPr>
      </w:pPr>
      <w:r w:rsidRPr="0021270B">
        <w:rPr>
          <w:b/>
          <w:lang w:val="en-NZ"/>
        </w:rPr>
        <w:t>Recommendation</w:t>
      </w:r>
    </w:p>
    <w:p w:rsidR="00B07BC7" w:rsidRPr="009023DD" w:rsidRDefault="00B07BC7" w:rsidP="00B07BC7">
      <w:pPr>
        <w:rPr>
          <w:sz w:val="20"/>
          <w:lang w:val="en-NZ"/>
        </w:rPr>
      </w:pPr>
    </w:p>
    <w:p w:rsidR="008613FD" w:rsidRPr="0021270B" w:rsidRDefault="00B07BC7" w:rsidP="001D1D05">
      <w:pPr>
        <w:rPr>
          <w:lang w:val="en-NZ"/>
        </w:rPr>
      </w:pPr>
      <w:r w:rsidRPr="0021270B">
        <w:rPr>
          <w:lang w:val="en-NZ"/>
        </w:rPr>
        <w:t>That the submission</w:t>
      </w:r>
      <w:r w:rsidR="0067356F" w:rsidRPr="0021270B">
        <w:rPr>
          <w:lang w:val="en-NZ"/>
        </w:rPr>
        <w:t>s</w:t>
      </w:r>
      <w:r w:rsidRPr="0021270B">
        <w:rPr>
          <w:lang w:val="en-NZ"/>
        </w:rPr>
        <w:t xml:space="preserve"> be</w:t>
      </w:r>
      <w:r w:rsidR="00AB1AF4" w:rsidRPr="0021270B">
        <w:rPr>
          <w:lang w:val="en-NZ"/>
        </w:rPr>
        <w:t xml:space="preserve"> </w:t>
      </w:r>
      <w:r w:rsidR="005A56B1" w:rsidRPr="0021270B">
        <w:rPr>
          <w:lang w:val="en-NZ"/>
        </w:rPr>
        <w:t>noted</w:t>
      </w:r>
      <w:r w:rsidRPr="0021270B">
        <w:rPr>
          <w:lang w:val="en-NZ"/>
        </w:rPr>
        <w:t>.</w:t>
      </w:r>
    </w:p>
    <w:p w:rsidR="00B306BD" w:rsidRPr="009023DD" w:rsidRDefault="00B306BD" w:rsidP="00B306BD">
      <w:pPr>
        <w:pBdr>
          <w:bottom w:val="single" w:sz="4" w:space="1" w:color="auto"/>
        </w:pBdr>
        <w:rPr>
          <w:sz w:val="20"/>
          <w:lang w:val="en-NZ"/>
        </w:rPr>
      </w:pPr>
    </w:p>
    <w:p w:rsidR="00B306BD" w:rsidRPr="009023DD" w:rsidRDefault="00B306BD" w:rsidP="00B306BD">
      <w:pPr>
        <w:rPr>
          <w:sz w:val="20"/>
          <w:lang w:val="en-NZ"/>
        </w:rPr>
      </w:pPr>
    </w:p>
    <w:p w:rsidR="00E640A4" w:rsidRPr="009023DD" w:rsidRDefault="00E640A4" w:rsidP="00B306BD">
      <w:pPr>
        <w:rPr>
          <w:sz w:val="20"/>
          <w:lang w:val="en-NZ"/>
        </w:rPr>
      </w:pPr>
    </w:p>
    <w:p w:rsidR="00B17E00" w:rsidRPr="0021270B" w:rsidRDefault="00B17E00" w:rsidP="009575F9">
      <w:pPr>
        <w:pStyle w:val="Heading5"/>
        <w:rPr>
          <w:lang w:val="en-NZ"/>
        </w:rPr>
      </w:pPr>
      <w:bookmarkStart w:id="63" w:name="_Toc427238256"/>
      <w:r w:rsidRPr="0021270B">
        <w:rPr>
          <w:lang w:val="en-NZ"/>
        </w:rPr>
        <w:t>Issue:</w:t>
      </w:r>
      <w:r w:rsidRPr="0021270B">
        <w:rPr>
          <w:lang w:val="en-NZ"/>
        </w:rPr>
        <w:tab/>
        <w:t>Definition of “chief executive”</w:t>
      </w:r>
      <w:bookmarkEnd w:id="63"/>
    </w:p>
    <w:p w:rsidR="00B17E00" w:rsidRPr="009023DD" w:rsidRDefault="00B17E00" w:rsidP="00B17E00">
      <w:pPr>
        <w:tabs>
          <w:tab w:val="left" w:pos="2820"/>
        </w:tabs>
        <w:rPr>
          <w:sz w:val="20"/>
          <w:lang w:val="en-NZ"/>
        </w:rPr>
      </w:pPr>
    </w:p>
    <w:p w:rsidR="00B17E00" w:rsidRPr="009023DD" w:rsidRDefault="00B17E00" w:rsidP="00B17E00">
      <w:pPr>
        <w:rPr>
          <w:sz w:val="20"/>
          <w:lang w:val="en-NZ"/>
        </w:rPr>
      </w:pPr>
    </w:p>
    <w:p w:rsidR="00B17E00" w:rsidRPr="0021270B" w:rsidRDefault="00B17E00" w:rsidP="00B17E00">
      <w:pPr>
        <w:keepNext/>
        <w:outlineLvl w:val="1"/>
        <w:rPr>
          <w:b/>
          <w:lang w:val="en-NZ"/>
        </w:rPr>
      </w:pPr>
      <w:r w:rsidRPr="0021270B">
        <w:rPr>
          <w:b/>
          <w:lang w:val="en-NZ"/>
        </w:rPr>
        <w:t>Submission</w:t>
      </w:r>
    </w:p>
    <w:p w:rsidR="00B17E00" w:rsidRPr="0021270B" w:rsidRDefault="00672EE5" w:rsidP="00B17E00">
      <w:pPr>
        <w:tabs>
          <w:tab w:val="left" w:pos="5295"/>
        </w:tabs>
        <w:rPr>
          <w:i/>
          <w:lang w:val="en-NZ"/>
        </w:rPr>
      </w:pPr>
      <w:r w:rsidRPr="0021270B">
        <w:rPr>
          <w:i/>
          <w:lang w:val="en-NZ"/>
        </w:rPr>
        <w:t>(</w:t>
      </w:r>
      <w:r w:rsidR="0067356F" w:rsidRPr="0021270B">
        <w:rPr>
          <w:i/>
          <w:lang w:val="en-NZ"/>
        </w:rPr>
        <w:t xml:space="preserve">Auckland District Law Society, </w:t>
      </w:r>
      <w:r w:rsidR="00B17E00" w:rsidRPr="0021270B">
        <w:rPr>
          <w:i/>
          <w:lang w:val="en-NZ"/>
        </w:rPr>
        <w:t>New Zealand Law Society</w:t>
      </w:r>
      <w:r w:rsidRPr="0021270B">
        <w:rPr>
          <w:i/>
          <w:lang w:val="en-NZ"/>
        </w:rPr>
        <w:t>)</w:t>
      </w:r>
    </w:p>
    <w:p w:rsidR="00B17E00" w:rsidRPr="009023DD" w:rsidRDefault="00B17E00" w:rsidP="00B17E00">
      <w:pPr>
        <w:tabs>
          <w:tab w:val="left" w:pos="1755"/>
        </w:tabs>
        <w:rPr>
          <w:sz w:val="20"/>
          <w:lang w:val="en-NZ"/>
        </w:rPr>
      </w:pPr>
    </w:p>
    <w:p w:rsidR="00B17E00" w:rsidRPr="0021270B" w:rsidRDefault="00B17E00" w:rsidP="00B17E00">
      <w:r w:rsidRPr="0021270B">
        <w:t>“Chief executive” should be defined.</w:t>
      </w:r>
    </w:p>
    <w:p w:rsidR="00B17E00" w:rsidRPr="009023DD" w:rsidRDefault="00B17E00" w:rsidP="00B17E00">
      <w:pPr>
        <w:rPr>
          <w:sz w:val="20"/>
        </w:rPr>
      </w:pPr>
    </w:p>
    <w:p w:rsidR="00B17E00" w:rsidRPr="0021270B" w:rsidRDefault="00B17E00" w:rsidP="00B17E00">
      <w:pPr>
        <w:keepNext/>
        <w:outlineLvl w:val="1"/>
        <w:rPr>
          <w:b/>
          <w:lang w:val="en-NZ"/>
        </w:rPr>
      </w:pPr>
      <w:r w:rsidRPr="0021270B">
        <w:rPr>
          <w:b/>
          <w:lang w:val="en-NZ"/>
        </w:rPr>
        <w:t>Comment</w:t>
      </w:r>
    </w:p>
    <w:p w:rsidR="00B17E00" w:rsidRPr="009023DD" w:rsidRDefault="00B17E00" w:rsidP="00B17E00">
      <w:pPr>
        <w:rPr>
          <w:sz w:val="20"/>
          <w:lang w:val="en-NZ"/>
        </w:rPr>
      </w:pPr>
    </w:p>
    <w:p w:rsidR="00B17E00" w:rsidRPr="0021270B" w:rsidRDefault="00A60C46" w:rsidP="00B17E00">
      <w:pPr>
        <w:rPr>
          <w:lang w:val="en-NZ"/>
        </w:rPr>
      </w:pPr>
      <w:r w:rsidRPr="0021270B">
        <w:rPr>
          <w:lang w:val="en-NZ"/>
        </w:rPr>
        <w:t>The references to Chief Executive will form part of the Land Transfer Act</w:t>
      </w:r>
      <w:r w:rsidR="00AD56EC" w:rsidRPr="0021270B">
        <w:rPr>
          <w:lang w:val="en-NZ"/>
        </w:rPr>
        <w:t xml:space="preserve"> 1952</w:t>
      </w:r>
      <w:r w:rsidRPr="0021270B">
        <w:rPr>
          <w:lang w:val="en-NZ"/>
        </w:rPr>
        <w:t xml:space="preserve">. That Act currently only defines </w:t>
      </w:r>
      <w:r w:rsidR="00AD56EC" w:rsidRPr="0021270B">
        <w:rPr>
          <w:lang w:val="en-NZ"/>
        </w:rPr>
        <w:t>“</w:t>
      </w:r>
      <w:r w:rsidRPr="0021270B">
        <w:rPr>
          <w:lang w:val="en-NZ"/>
        </w:rPr>
        <w:t>department</w:t>
      </w:r>
      <w:r w:rsidR="00AD56EC" w:rsidRPr="0021270B">
        <w:rPr>
          <w:lang w:val="en-NZ"/>
        </w:rPr>
        <w:t xml:space="preserve">”, </w:t>
      </w:r>
      <w:r w:rsidRPr="0021270B">
        <w:rPr>
          <w:lang w:val="en-NZ"/>
        </w:rPr>
        <w:t xml:space="preserve">which is Land Information New Zealand. </w:t>
      </w:r>
      <w:r w:rsidR="00583E49" w:rsidRPr="0021270B">
        <w:rPr>
          <w:lang w:val="en-NZ"/>
        </w:rPr>
        <w:t xml:space="preserve">Officials </w:t>
      </w:r>
      <w:r w:rsidRPr="0021270B">
        <w:rPr>
          <w:lang w:val="en-NZ"/>
        </w:rPr>
        <w:t xml:space="preserve">agree that as currently drafted this may create confusion. </w:t>
      </w:r>
      <w:r w:rsidR="00583E49" w:rsidRPr="0021270B">
        <w:rPr>
          <w:lang w:val="en-NZ"/>
        </w:rPr>
        <w:t xml:space="preserve">Officials </w:t>
      </w:r>
      <w:r w:rsidRPr="0021270B">
        <w:rPr>
          <w:lang w:val="en-NZ"/>
        </w:rPr>
        <w:t xml:space="preserve">recommend amending the Bill to add the words </w:t>
      </w:r>
      <w:r w:rsidR="00AD56EC" w:rsidRPr="0021270B">
        <w:rPr>
          <w:lang w:val="en-NZ"/>
        </w:rPr>
        <w:t>“</w:t>
      </w:r>
      <w:r w:rsidRPr="0021270B">
        <w:rPr>
          <w:lang w:val="en-NZ"/>
        </w:rPr>
        <w:t>of the department</w:t>
      </w:r>
      <w:r w:rsidR="00AD56EC" w:rsidRPr="0021270B">
        <w:rPr>
          <w:lang w:val="en-NZ"/>
        </w:rPr>
        <w:t>”</w:t>
      </w:r>
      <w:r w:rsidRPr="0021270B">
        <w:rPr>
          <w:lang w:val="en-NZ"/>
        </w:rPr>
        <w:t xml:space="preserve"> after </w:t>
      </w:r>
      <w:r w:rsidR="00AD56EC" w:rsidRPr="0021270B">
        <w:rPr>
          <w:lang w:val="en-NZ"/>
        </w:rPr>
        <w:t>“</w:t>
      </w:r>
      <w:r w:rsidRPr="0021270B">
        <w:rPr>
          <w:lang w:val="en-NZ"/>
        </w:rPr>
        <w:t>Chief Executive</w:t>
      </w:r>
      <w:r w:rsidR="00AD56EC" w:rsidRPr="0021270B">
        <w:rPr>
          <w:lang w:val="en-NZ"/>
        </w:rPr>
        <w:t>”</w:t>
      </w:r>
      <w:r w:rsidRPr="0021270B">
        <w:rPr>
          <w:lang w:val="en-NZ"/>
        </w:rPr>
        <w:t>. This addition, in combination with the existing provisions in the Land Transfer Act</w:t>
      </w:r>
      <w:r w:rsidR="00AD56EC" w:rsidRPr="0021270B">
        <w:rPr>
          <w:lang w:val="en-NZ"/>
        </w:rPr>
        <w:t xml:space="preserve"> 1952</w:t>
      </w:r>
      <w:r w:rsidRPr="0021270B">
        <w:rPr>
          <w:lang w:val="en-NZ"/>
        </w:rPr>
        <w:t>, will make it clear who the Chief Executive is.</w:t>
      </w:r>
    </w:p>
    <w:p w:rsidR="00464C61" w:rsidRPr="009023DD" w:rsidRDefault="00464C61" w:rsidP="00B17E00">
      <w:pPr>
        <w:rPr>
          <w:sz w:val="20"/>
          <w:lang w:val="en-NZ"/>
        </w:rPr>
      </w:pPr>
    </w:p>
    <w:p w:rsidR="00B17E00" w:rsidRPr="0021270B" w:rsidRDefault="00B17E00" w:rsidP="00B17E00">
      <w:pPr>
        <w:keepNext/>
        <w:outlineLvl w:val="1"/>
        <w:rPr>
          <w:b/>
          <w:lang w:val="en-NZ"/>
        </w:rPr>
      </w:pPr>
      <w:r w:rsidRPr="0021270B">
        <w:rPr>
          <w:b/>
          <w:lang w:val="en-NZ"/>
        </w:rPr>
        <w:t>Recommendation</w:t>
      </w:r>
    </w:p>
    <w:p w:rsidR="00B17E00" w:rsidRPr="009023DD" w:rsidRDefault="00B17E00" w:rsidP="00B17E00">
      <w:pPr>
        <w:rPr>
          <w:sz w:val="20"/>
          <w:lang w:val="en-NZ"/>
        </w:rPr>
      </w:pPr>
    </w:p>
    <w:p w:rsidR="001D1D05" w:rsidRPr="0021270B" w:rsidRDefault="00B17E00" w:rsidP="001D1D05">
      <w:pPr>
        <w:rPr>
          <w:lang w:val="en-NZ"/>
        </w:rPr>
      </w:pPr>
      <w:r w:rsidRPr="0021270B">
        <w:rPr>
          <w:lang w:val="en-NZ"/>
        </w:rPr>
        <w:t>That the submission</w:t>
      </w:r>
      <w:r w:rsidR="00AD56EC" w:rsidRPr="0021270B">
        <w:rPr>
          <w:lang w:val="en-NZ"/>
        </w:rPr>
        <w:t>s</w:t>
      </w:r>
      <w:r w:rsidRPr="0021270B">
        <w:rPr>
          <w:lang w:val="en-NZ"/>
        </w:rPr>
        <w:t xml:space="preserve"> be </w:t>
      </w:r>
      <w:r w:rsidR="00A60C46" w:rsidRPr="0021270B">
        <w:rPr>
          <w:lang w:val="en-NZ"/>
        </w:rPr>
        <w:t>accepted</w:t>
      </w:r>
      <w:r w:rsidR="00AD56EC" w:rsidRPr="0021270B">
        <w:rPr>
          <w:lang w:val="en-NZ"/>
        </w:rPr>
        <w:t>.</w:t>
      </w:r>
    </w:p>
    <w:p w:rsidR="0036175A" w:rsidRPr="009023DD" w:rsidRDefault="0036175A" w:rsidP="0036175A">
      <w:pPr>
        <w:pBdr>
          <w:bottom w:val="single" w:sz="4" w:space="1" w:color="auto"/>
        </w:pBdr>
        <w:rPr>
          <w:sz w:val="20"/>
          <w:lang w:val="en-NZ"/>
        </w:rPr>
      </w:pPr>
    </w:p>
    <w:p w:rsidR="0036175A" w:rsidRPr="009023DD" w:rsidRDefault="0036175A" w:rsidP="0036175A">
      <w:pPr>
        <w:rPr>
          <w:sz w:val="20"/>
          <w:lang w:val="en-NZ"/>
        </w:rPr>
      </w:pPr>
    </w:p>
    <w:p w:rsidR="00E640A4" w:rsidRPr="009023DD" w:rsidRDefault="00E640A4" w:rsidP="0036175A">
      <w:pPr>
        <w:rPr>
          <w:sz w:val="20"/>
          <w:lang w:val="en-NZ"/>
        </w:rPr>
      </w:pPr>
    </w:p>
    <w:p w:rsidR="0036175A" w:rsidRPr="0021270B" w:rsidRDefault="0036175A" w:rsidP="009575F9">
      <w:pPr>
        <w:pStyle w:val="Heading5"/>
        <w:rPr>
          <w:lang w:val="en-NZ"/>
        </w:rPr>
      </w:pPr>
      <w:bookmarkStart w:id="64" w:name="_Toc427238257"/>
      <w:r w:rsidRPr="0021270B">
        <w:rPr>
          <w:lang w:val="en-NZ"/>
        </w:rPr>
        <w:t>Issue:</w:t>
      </w:r>
      <w:r w:rsidRPr="0021270B">
        <w:rPr>
          <w:lang w:val="en-NZ"/>
        </w:rPr>
        <w:tab/>
        <w:t>“Nominee” by reference to the Income Tax Act 2007</w:t>
      </w:r>
      <w:bookmarkEnd w:id="64"/>
    </w:p>
    <w:p w:rsidR="0036175A" w:rsidRPr="009023DD" w:rsidRDefault="0036175A" w:rsidP="0036175A">
      <w:pPr>
        <w:tabs>
          <w:tab w:val="left" w:pos="2820"/>
        </w:tabs>
        <w:rPr>
          <w:sz w:val="20"/>
          <w:lang w:val="en-NZ"/>
        </w:rPr>
      </w:pPr>
    </w:p>
    <w:p w:rsidR="0036175A" w:rsidRPr="009023DD" w:rsidRDefault="0036175A" w:rsidP="0036175A">
      <w:pPr>
        <w:rPr>
          <w:sz w:val="20"/>
          <w:lang w:val="en-NZ"/>
        </w:rPr>
      </w:pPr>
    </w:p>
    <w:p w:rsidR="0036175A" w:rsidRPr="0021270B" w:rsidRDefault="0036175A" w:rsidP="0036175A">
      <w:pPr>
        <w:keepNext/>
        <w:outlineLvl w:val="1"/>
        <w:rPr>
          <w:b/>
          <w:lang w:val="en-NZ"/>
        </w:rPr>
      </w:pPr>
      <w:r w:rsidRPr="0021270B">
        <w:rPr>
          <w:b/>
          <w:lang w:val="en-NZ"/>
        </w:rPr>
        <w:t>Submission</w:t>
      </w:r>
    </w:p>
    <w:p w:rsidR="0036175A" w:rsidRPr="0021270B" w:rsidRDefault="00672EE5" w:rsidP="0036175A">
      <w:pPr>
        <w:tabs>
          <w:tab w:val="left" w:pos="5295"/>
        </w:tabs>
        <w:rPr>
          <w:i/>
          <w:lang w:val="en-NZ"/>
        </w:rPr>
      </w:pPr>
      <w:r w:rsidRPr="0021270B">
        <w:rPr>
          <w:i/>
          <w:lang w:val="en-NZ"/>
        </w:rPr>
        <w:t>(</w:t>
      </w:r>
      <w:r w:rsidR="0036175A" w:rsidRPr="0021270B">
        <w:rPr>
          <w:i/>
          <w:lang w:val="en-NZ"/>
        </w:rPr>
        <w:t>New Zealand Law Society</w:t>
      </w:r>
      <w:r w:rsidRPr="0021270B">
        <w:rPr>
          <w:i/>
          <w:lang w:val="en-NZ"/>
        </w:rPr>
        <w:t>)</w:t>
      </w:r>
    </w:p>
    <w:p w:rsidR="0036175A" w:rsidRPr="009023DD" w:rsidRDefault="0036175A" w:rsidP="0036175A">
      <w:pPr>
        <w:tabs>
          <w:tab w:val="left" w:pos="1755"/>
        </w:tabs>
        <w:rPr>
          <w:sz w:val="20"/>
          <w:lang w:val="en-NZ"/>
        </w:rPr>
      </w:pPr>
    </w:p>
    <w:p w:rsidR="0036175A" w:rsidRPr="0021270B" w:rsidRDefault="0036175A" w:rsidP="0036175A">
      <w:r w:rsidRPr="0021270B">
        <w:t>The meaning of the term “nominee” should be clarified by refer</w:t>
      </w:r>
      <w:r w:rsidR="00052AD1" w:rsidRPr="0021270B">
        <w:t>ence to the Income Tax Act 2007.</w:t>
      </w:r>
    </w:p>
    <w:p w:rsidR="0036175A" w:rsidRPr="009023DD" w:rsidRDefault="0036175A" w:rsidP="0036175A">
      <w:pPr>
        <w:rPr>
          <w:sz w:val="20"/>
        </w:rPr>
      </w:pPr>
    </w:p>
    <w:p w:rsidR="0036175A" w:rsidRPr="0021270B" w:rsidRDefault="0036175A" w:rsidP="0036175A">
      <w:pPr>
        <w:keepNext/>
        <w:outlineLvl w:val="1"/>
        <w:rPr>
          <w:b/>
          <w:lang w:val="en-NZ"/>
        </w:rPr>
      </w:pPr>
      <w:r w:rsidRPr="0021270B">
        <w:rPr>
          <w:b/>
          <w:lang w:val="en-NZ"/>
        </w:rPr>
        <w:t>Comment</w:t>
      </w:r>
    </w:p>
    <w:p w:rsidR="0036175A" w:rsidRPr="009023DD" w:rsidRDefault="0036175A" w:rsidP="0036175A">
      <w:pPr>
        <w:rPr>
          <w:sz w:val="20"/>
          <w:lang w:val="en-NZ"/>
        </w:rPr>
      </w:pPr>
    </w:p>
    <w:p w:rsidR="0036175A" w:rsidRPr="0021270B" w:rsidRDefault="00456926" w:rsidP="0036175A">
      <w:pPr>
        <w:rPr>
          <w:lang w:val="en-NZ"/>
        </w:rPr>
      </w:pPr>
      <w:r w:rsidRPr="0021270B">
        <w:rPr>
          <w:lang w:val="en-NZ"/>
        </w:rPr>
        <w:t xml:space="preserve">Officials accept that the term </w:t>
      </w:r>
      <w:r w:rsidR="00AD56EC" w:rsidRPr="0021270B">
        <w:rPr>
          <w:lang w:val="en-NZ"/>
        </w:rPr>
        <w:t>“</w:t>
      </w:r>
      <w:r w:rsidRPr="0021270B">
        <w:rPr>
          <w:lang w:val="en-NZ"/>
        </w:rPr>
        <w:t>nominee</w:t>
      </w:r>
      <w:r w:rsidR="00AD56EC" w:rsidRPr="0021270B">
        <w:rPr>
          <w:lang w:val="en-NZ"/>
        </w:rPr>
        <w:t>”</w:t>
      </w:r>
      <w:r w:rsidRPr="0021270B">
        <w:rPr>
          <w:lang w:val="en-NZ"/>
        </w:rPr>
        <w:t xml:space="preserve"> can have different meanings in different areas of law and that it is </w:t>
      </w:r>
      <w:r w:rsidR="00C85C95" w:rsidRPr="0021270B">
        <w:rPr>
          <w:lang w:val="en-NZ"/>
        </w:rPr>
        <w:t>sensible</w:t>
      </w:r>
      <w:r w:rsidRPr="0021270B">
        <w:rPr>
          <w:lang w:val="en-NZ"/>
        </w:rPr>
        <w:t xml:space="preserve"> to clarify that, in this case, the </w:t>
      </w:r>
      <w:r w:rsidR="003B65B9" w:rsidRPr="0021270B">
        <w:rPr>
          <w:lang w:val="en-NZ"/>
        </w:rPr>
        <w:t>term has a meaning that matches the one that can be found in the Income Tax Act 2007</w:t>
      </w:r>
      <w:r w:rsidR="0036175A" w:rsidRPr="0021270B">
        <w:rPr>
          <w:lang w:val="en-NZ"/>
        </w:rPr>
        <w:t>.</w:t>
      </w:r>
    </w:p>
    <w:p w:rsidR="0036175A" w:rsidRPr="009023DD" w:rsidRDefault="0036175A" w:rsidP="0036175A">
      <w:pPr>
        <w:rPr>
          <w:sz w:val="20"/>
          <w:lang w:val="en-NZ"/>
        </w:rPr>
      </w:pPr>
    </w:p>
    <w:p w:rsidR="0036175A" w:rsidRPr="0021270B" w:rsidRDefault="0036175A" w:rsidP="0036175A">
      <w:pPr>
        <w:keepNext/>
        <w:outlineLvl w:val="1"/>
        <w:rPr>
          <w:b/>
          <w:lang w:val="en-NZ"/>
        </w:rPr>
      </w:pPr>
      <w:r w:rsidRPr="0021270B">
        <w:rPr>
          <w:b/>
          <w:lang w:val="en-NZ"/>
        </w:rPr>
        <w:t>Recommendation</w:t>
      </w:r>
    </w:p>
    <w:p w:rsidR="0036175A" w:rsidRPr="009023DD" w:rsidRDefault="0036175A" w:rsidP="0036175A">
      <w:pPr>
        <w:rPr>
          <w:sz w:val="20"/>
          <w:lang w:val="en-NZ"/>
        </w:rPr>
      </w:pPr>
    </w:p>
    <w:p w:rsidR="0036175A" w:rsidRPr="0021270B" w:rsidRDefault="0036175A" w:rsidP="004849A5">
      <w:pPr>
        <w:rPr>
          <w:lang w:val="en-NZ"/>
        </w:rPr>
      </w:pPr>
      <w:r w:rsidRPr="0021270B">
        <w:rPr>
          <w:lang w:val="en-NZ"/>
        </w:rPr>
        <w:t xml:space="preserve">That the submission be </w:t>
      </w:r>
      <w:r w:rsidR="00456926" w:rsidRPr="0021270B">
        <w:rPr>
          <w:lang w:val="en-NZ"/>
        </w:rPr>
        <w:t>accepted</w:t>
      </w:r>
      <w:r w:rsidRPr="0021270B">
        <w:rPr>
          <w:lang w:val="en-NZ"/>
        </w:rPr>
        <w:t>.</w:t>
      </w:r>
    </w:p>
    <w:p w:rsidR="00050AF0" w:rsidRPr="009023DD" w:rsidRDefault="00050AF0" w:rsidP="003C6964">
      <w:pPr>
        <w:pBdr>
          <w:bottom w:val="single" w:sz="4" w:space="1" w:color="auto"/>
        </w:pBdr>
        <w:rPr>
          <w:sz w:val="20"/>
          <w:lang w:val="en-NZ"/>
        </w:rPr>
      </w:pPr>
    </w:p>
    <w:p w:rsidR="00206CEF" w:rsidRPr="0021270B" w:rsidRDefault="00206CEF" w:rsidP="00E11524">
      <w:pPr>
        <w:pStyle w:val="Heading5"/>
        <w:rPr>
          <w:lang w:val="en-NZ"/>
        </w:rPr>
      </w:pPr>
      <w:bookmarkStart w:id="65" w:name="_Toc427238258"/>
      <w:r w:rsidRPr="0021270B">
        <w:rPr>
          <w:lang w:val="en-NZ"/>
        </w:rPr>
        <w:lastRenderedPageBreak/>
        <w:t>Issue:</w:t>
      </w:r>
      <w:r w:rsidRPr="0021270B">
        <w:rPr>
          <w:lang w:val="en-NZ"/>
        </w:rPr>
        <w:tab/>
        <w:t>Focus on person who makes the nomination rather than nominee</w:t>
      </w:r>
      <w:bookmarkEnd w:id="65"/>
    </w:p>
    <w:p w:rsidR="00206CEF" w:rsidRPr="0021270B" w:rsidRDefault="00206CEF" w:rsidP="00206CEF">
      <w:pPr>
        <w:tabs>
          <w:tab w:val="left" w:pos="2820"/>
        </w:tabs>
        <w:rPr>
          <w:lang w:val="en-NZ"/>
        </w:rPr>
      </w:pPr>
    </w:p>
    <w:p w:rsidR="00206CEF" w:rsidRPr="0021270B" w:rsidRDefault="00206CEF" w:rsidP="00206CEF">
      <w:pPr>
        <w:rPr>
          <w:lang w:val="en-NZ"/>
        </w:rPr>
      </w:pPr>
    </w:p>
    <w:p w:rsidR="00206CEF" w:rsidRPr="0021270B" w:rsidRDefault="00206CEF" w:rsidP="00206CEF">
      <w:pPr>
        <w:keepNext/>
        <w:outlineLvl w:val="1"/>
        <w:rPr>
          <w:b/>
          <w:lang w:val="en-NZ"/>
        </w:rPr>
      </w:pPr>
      <w:r w:rsidRPr="0021270B">
        <w:rPr>
          <w:b/>
          <w:lang w:val="en-NZ"/>
        </w:rPr>
        <w:t>Submission</w:t>
      </w:r>
    </w:p>
    <w:p w:rsidR="00206CEF" w:rsidRPr="0021270B" w:rsidRDefault="00206CEF" w:rsidP="00206CEF">
      <w:pPr>
        <w:tabs>
          <w:tab w:val="left" w:pos="5295"/>
        </w:tabs>
        <w:rPr>
          <w:i/>
          <w:lang w:val="en-NZ"/>
        </w:rPr>
      </w:pPr>
      <w:r w:rsidRPr="0021270B">
        <w:rPr>
          <w:i/>
          <w:lang w:val="en-NZ"/>
        </w:rPr>
        <w:t>(Chapman Tripp)</w:t>
      </w:r>
    </w:p>
    <w:p w:rsidR="00206CEF" w:rsidRPr="0021270B" w:rsidRDefault="00206CEF" w:rsidP="00206CEF">
      <w:pPr>
        <w:tabs>
          <w:tab w:val="left" w:pos="1755"/>
        </w:tabs>
        <w:rPr>
          <w:lang w:val="en-NZ"/>
        </w:rPr>
      </w:pPr>
    </w:p>
    <w:p w:rsidR="00206CEF" w:rsidRPr="0021270B" w:rsidRDefault="00206CEF" w:rsidP="00206CEF">
      <w:r w:rsidRPr="0021270B">
        <w:t>In situations where a nominee is a transferor or transferee of land, it is crucial that the Bill</w:t>
      </w:r>
      <w:r w:rsidR="005641C1">
        <w:t>’</w:t>
      </w:r>
      <w:r w:rsidRPr="0021270B">
        <w:t>s focus is on the person who makes the nomination rather than the nominee in order to collect the right information.</w:t>
      </w:r>
    </w:p>
    <w:p w:rsidR="00206CEF" w:rsidRPr="0021270B" w:rsidRDefault="00206CEF" w:rsidP="00206CEF"/>
    <w:p w:rsidR="00206CEF" w:rsidRPr="0021270B" w:rsidRDefault="00206CEF" w:rsidP="00206CEF">
      <w:pPr>
        <w:keepNext/>
        <w:outlineLvl w:val="1"/>
        <w:rPr>
          <w:b/>
          <w:lang w:val="en-NZ"/>
        </w:rPr>
      </w:pPr>
      <w:r w:rsidRPr="0021270B">
        <w:rPr>
          <w:b/>
          <w:lang w:val="en-NZ"/>
        </w:rPr>
        <w:t>Comment</w:t>
      </w:r>
    </w:p>
    <w:p w:rsidR="00206CEF" w:rsidRPr="0021270B" w:rsidRDefault="00206CEF" w:rsidP="00206CEF">
      <w:pPr>
        <w:rPr>
          <w:lang w:val="en-NZ"/>
        </w:rPr>
      </w:pPr>
    </w:p>
    <w:p w:rsidR="00206CEF" w:rsidRPr="0021270B" w:rsidRDefault="00206CEF" w:rsidP="00206CEF">
      <w:pPr>
        <w:rPr>
          <w:lang w:val="en-NZ"/>
        </w:rPr>
      </w:pPr>
      <w:r w:rsidRPr="0021270B">
        <w:rPr>
          <w:lang w:val="en-NZ"/>
        </w:rPr>
        <w:t>Officials note that the Bill as currently drafted reflects this focus on the person who makes the nomination.</w:t>
      </w:r>
    </w:p>
    <w:p w:rsidR="00206CEF" w:rsidRPr="0021270B" w:rsidRDefault="00206CEF" w:rsidP="00206CEF">
      <w:pPr>
        <w:rPr>
          <w:lang w:val="en-NZ"/>
        </w:rPr>
      </w:pPr>
    </w:p>
    <w:p w:rsidR="00206CEF" w:rsidRPr="0021270B" w:rsidRDefault="00206CEF" w:rsidP="00206CEF">
      <w:pPr>
        <w:keepNext/>
        <w:outlineLvl w:val="1"/>
        <w:rPr>
          <w:b/>
          <w:lang w:val="en-NZ"/>
        </w:rPr>
      </w:pPr>
      <w:r w:rsidRPr="0021270B">
        <w:rPr>
          <w:b/>
          <w:lang w:val="en-NZ"/>
        </w:rPr>
        <w:t>Recommendation</w:t>
      </w:r>
    </w:p>
    <w:p w:rsidR="00206CEF" w:rsidRPr="0021270B" w:rsidRDefault="00206CEF" w:rsidP="00206CEF">
      <w:pPr>
        <w:rPr>
          <w:lang w:val="en-NZ"/>
        </w:rPr>
      </w:pPr>
    </w:p>
    <w:p w:rsidR="00206CEF" w:rsidRPr="0021270B" w:rsidRDefault="00206CEF" w:rsidP="00206CEF">
      <w:pPr>
        <w:rPr>
          <w:lang w:val="en-NZ"/>
        </w:rPr>
      </w:pPr>
      <w:r w:rsidRPr="0021270B">
        <w:rPr>
          <w:lang w:val="en-NZ"/>
        </w:rPr>
        <w:t>That the submission be noted.</w:t>
      </w:r>
    </w:p>
    <w:p w:rsidR="00206CEF" w:rsidRPr="0021270B" w:rsidRDefault="00206CEF" w:rsidP="00206CEF">
      <w:pPr>
        <w:pBdr>
          <w:bottom w:val="single" w:sz="4" w:space="1" w:color="auto"/>
        </w:pBdr>
        <w:rPr>
          <w:lang w:val="en-NZ"/>
        </w:rPr>
      </w:pPr>
    </w:p>
    <w:p w:rsidR="00206CEF" w:rsidRPr="0021270B" w:rsidRDefault="00206CEF" w:rsidP="00206CEF">
      <w:pPr>
        <w:rPr>
          <w:lang w:val="en-NZ"/>
        </w:rPr>
      </w:pPr>
    </w:p>
    <w:p w:rsidR="00E640A4" w:rsidRPr="0021270B" w:rsidRDefault="00E640A4" w:rsidP="00206CEF">
      <w:pPr>
        <w:rPr>
          <w:lang w:val="en-NZ"/>
        </w:rPr>
      </w:pPr>
    </w:p>
    <w:p w:rsidR="00050AF0" w:rsidRPr="0021270B" w:rsidRDefault="00050AF0" w:rsidP="009575F9">
      <w:pPr>
        <w:pStyle w:val="Heading5"/>
        <w:rPr>
          <w:lang w:val="en-NZ"/>
        </w:rPr>
      </w:pPr>
      <w:bookmarkStart w:id="66" w:name="_Toc427238259"/>
      <w:r w:rsidRPr="0021270B">
        <w:rPr>
          <w:lang w:val="en-NZ"/>
        </w:rPr>
        <w:t>Issue:</w:t>
      </w:r>
      <w:r w:rsidRPr="0021270B">
        <w:rPr>
          <w:lang w:val="en-NZ"/>
        </w:rPr>
        <w:tab/>
        <w:t>Information sharing concerns</w:t>
      </w:r>
      <w:bookmarkEnd w:id="66"/>
    </w:p>
    <w:p w:rsidR="00050AF0" w:rsidRPr="0021270B" w:rsidRDefault="00050AF0" w:rsidP="00050AF0">
      <w:pPr>
        <w:tabs>
          <w:tab w:val="left" w:pos="2820"/>
        </w:tabs>
        <w:rPr>
          <w:lang w:val="en-NZ"/>
        </w:rPr>
      </w:pPr>
    </w:p>
    <w:p w:rsidR="00050AF0" w:rsidRPr="0021270B" w:rsidRDefault="00050AF0" w:rsidP="00050AF0">
      <w:pPr>
        <w:rPr>
          <w:lang w:val="en-NZ"/>
        </w:rPr>
      </w:pPr>
    </w:p>
    <w:p w:rsidR="00050AF0" w:rsidRPr="0021270B" w:rsidRDefault="00050AF0" w:rsidP="00050AF0">
      <w:pPr>
        <w:keepNext/>
        <w:outlineLvl w:val="1"/>
        <w:rPr>
          <w:b/>
          <w:lang w:val="en-NZ"/>
        </w:rPr>
      </w:pPr>
      <w:r w:rsidRPr="0021270B">
        <w:rPr>
          <w:b/>
          <w:lang w:val="en-NZ"/>
        </w:rPr>
        <w:t>Submission</w:t>
      </w:r>
    </w:p>
    <w:p w:rsidR="00050AF0" w:rsidRPr="0021270B" w:rsidRDefault="00050AF0" w:rsidP="00050AF0">
      <w:pPr>
        <w:tabs>
          <w:tab w:val="left" w:pos="5295"/>
        </w:tabs>
        <w:rPr>
          <w:i/>
          <w:lang w:val="en-NZ"/>
        </w:rPr>
      </w:pPr>
      <w:r w:rsidRPr="0021270B">
        <w:rPr>
          <w:i/>
          <w:lang w:val="en-NZ"/>
        </w:rPr>
        <w:t>(Office of the Privacy Commissioner)</w:t>
      </w:r>
    </w:p>
    <w:p w:rsidR="00050AF0" w:rsidRPr="0021270B" w:rsidRDefault="00050AF0" w:rsidP="00050AF0">
      <w:pPr>
        <w:tabs>
          <w:tab w:val="left" w:pos="1755"/>
        </w:tabs>
        <w:rPr>
          <w:lang w:val="en-NZ"/>
        </w:rPr>
      </w:pPr>
    </w:p>
    <w:p w:rsidR="00BA1EB1" w:rsidRPr="0021270B" w:rsidRDefault="00050AF0" w:rsidP="00050AF0">
      <w:r w:rsidRPr="0021270B">
        <w:t>The Bill</w:t>
      </w:r>
      <w:r w:rsidR="00AD56EC" w:rsidRPr="0021270B">
        <w:t xml:space="preserve"> </w:t>
      </w:r>
      <w:r w:rsidR="005D2B8D" w:rsidRPr="0021270B">
        <w:t>as introduced</w:t>
      </w:r>
      <w:r w:rsidR="00BA1EB1" w:rsidRPr="0021270B">
        <w:t xml:space="preserve"> addresse</w:t>
      </w:r>
      <w:r w:rsidR="005D2B8D" w:rsidRPr="0021270B">
        <w:t>d</w:t>
      </w:r>
      <w:r w:rsidR="00BA1EB1" w:rsidRPr="0021270B">
        <w:t xml:space="preserve"> concerns raised by the Office of the Privacy Commissioner that the legislation could allow for the sharing of any information between Inland Revenue and Land Information New Zealand beyond the stated policy objectives. Amendments were made to limit information sharing between Inland Revenue and Land Information New Zealand to the extent necessary to meet the stated policy objective of assessing tax liability on property transactions.</w:t>
      </w:r>
    </w:p>
    <w:p w:rsidR="00050AF0" w:rsidRPr="0021270B" w:rsidRDefault="00050AF0" w:rsidP="00050AF0"/>
    <w:p w:rsidR="00050AF0" w:rsidRPr="0021270B" w:rsidRDefault="00050AF0" w:rsidP="00050AF0">
      <w:pPr>
        <w:keepNext/>
        <w:outlineLvl w:val="1"/>
        <w:rPr>
          <w:b/>
          <w:lang w:val="en-NZ"/>
        </w:rPr>
      </w:pPr>
      <w:r w:rsidRPr="0021270B">
        <w:rPr>
          <w:b/>
          <w:lang w:val="en-NZ"/>
        </w:rPr>
        <w:t>Comment</w:t>
      </w:r>
    </w:p>
    <w:p w:rsidR="00050AF0" w:rsidRPr="0021270B" w:rsidRDefault="00050AF0" w:rsidP="00050AF0">
      <w:pPr>
        <w:rPr>
          <w:lang w:val="en-NZ"/>
        </w:rPr>
      </w:pPr>
    </w:p>
    <w:p w:rsidR="00050AF0" w:rsidRPr="0021270B" w:rsidRDefault="005D2B8D" w:rsidP="00050AF0">
      <w:pPr>
        <w:rPr>
          <w:lang w:val="en-NZ"/>
        </w:rPr>
      </w:pPr>
      <w:r w:rsidRPr="0021270B">
        <w:rPr>
          <w:lang w:val="en-NZ"/>
        </w:rPr>
        <w:t>Officials are aware of the need to consider privacy issues and the use of information collected under the Bill. There is a proposed amendment to allow information to be used by Government departments for housing policy. This information will be provided in aggregate form by Land Information New Zealand and will not allow for the identification of particular individuals or entities. Inland Revenue will have access to individualised information, but only for the purposes of tax compliance.</w:t>
      </w:r>
    </w:p>
    <w:p w:rsidR="00050AF0" w:rsidRPr="0021270B" w:rsidRDefault="00050AF0" w:rsidP="00050AF0">
      <w:pPr>
        <w:rPr>
          <w:lang w:val="en-NZ"/>
        </w:rPr>
      </w:pPr>
    </w:p>
    <w:p w:rsidR="00050AF0" w:rsidRPr="0021270B" w:rsidRDefault="00050AF0" w:rsidP="00050AF0">
      <w:pPr>
        <w:keepNext/>
        <w:outlineLvl w:val="1"/>
        <w:rPr>
          <w:b/>
          <w:lang w:val="en-NZ"/>
        </w:rPr>
      </w:pPr>
      <w:r w:rsidRPr="0021270B">
        <w:rPr>
          <w:b/>
          <w:lang w:val="en-NZ"/>
        </w:rPr>
        <w:t>Recommendation</w:t>
      </w:r>
    </w:p>
    <w:p w:rsidR="00050AF0" w:rsidRPr="0021270B" w:rsidRDefault="00050AF0" w:rsidP="00050AF0">
      <w:pPr>
        <w:rPr>
          <w:lang w:val="en-NZ"/>
        </w:rPr>
      </w:pPr>
    </w:p>
    <w:p w:rsidR="00050AF0" w:rsidRPr="0021270B" w:rsidRDefault="00050AF0" w:rsidP="00050AF0">
      <w:pPr>
        <w:rPr>
          <w:lang w:val="en-NZ"/>
        </w:rPr>
      </w:pPr>
      <w:r w:rsidRPr="0021270B">
        <w:rPr>
          <w:lang w:val="en-NZ"/>
        </w:rPr>
        <w:t>That the submission be noted.</w:t>
      </w:r>
    </w:p>
    <w:p w:rsidR="004A50D8" w:rsidRPr="0021270B" w:rsidRDefault="004A50D8" w:rsidP="003C6964">
      <w:pPr>
        <w:pBdr>
          <w:bottom w:val="single" w:sz="4" w:space="1" w:color="auto"/>
        </w:pBdr>
        <w:rPr>
          <w:lang w:val="en-NZ"/>
        </w:rPr>
      </w:pPr>
    </w:p>
    <w:p w:rsidR="009023DD" w:rsidRDefault="009023DD">
      <w:pPr>
        <w:jc w:val="left"/>
        <w:rPr>
          <w:b/>
          <w:sz w:val="26"/>
        </w:rPr>
      </w:pPr>
      <w:r>
        <w:br w:type="page"/>
      </w:r>
    </w:p>
    <w:p w:rsidR="004A50D8" w:rsidRPr="0021270B" w:rsidRDefault="004A50D8" w:rsidP="009575F9">
      <w:pPr>
        <w:pStyle w:val="Heading5"/>
      </w:pPr>
      <w:bookmarkStart w:id="67" w:name="_Toc427238260"/>
      <w:r w:rsidRPr="0021270B">
        <w:lastRenderedPageBreak/>
        <w:t>Issue:</w:t>
      </w:r>
      <w:r w:rsidRPr="0021270B">
        <w:tab/>
        <w:t>Requiring information through IRD number application process</w:t>
      </w:r>
      <w:bookmarkEnd w:id="67"/>
    </w:p>
    <w:p w:rsidR="004A50D8" w:rsidRPr="0021270B" w:rsidRDefault="004A50D8" w:rsidP="00050AF0">
      <w:pPr>
        <w:rPr>
          <w:lang w:val="en-NZ"/>
        </w:rPr>
      </w:pPr>
    </w:p>
    <w:p w:rsidR="008D5919" w:rsidRPr="0021270B" w:rsidRDefault="008D5919" w:rsidP="008D5919">
      <w:pPr>
        <w:rPr>
          <w:lang w:val="en-NZ"/>
        </w:rPr>
      </w:pPr>
    </w:p>
    <w:p w:rsidR="007E69C1" w:rsidRPr="0021270B" w:rsidRDefault="004A50D8" w:rsidP="00536A68">
      <w:pPr>
        <w:rPr>
          <w:b/>
          <w:lang w:val="en-NZ"/>
        </w:rPr>
      </w:pPr>
      <w:r w:rsidRPr="0021270B">
        <w:rPr>
          <w:b/>
          <w:lang w:val="en-NZ"/>
        </w:rPr>
        <w:t>Submission</w:t>
      </w:r>
    </w:p>
    <w:p w:rsidR="004A50D8" w:rsidRPr="0021270B" w:rsidRDefault="004A50D8" w:rsidP="00536A68">
      <w:pPr>
        <w:rPr>
          <w:i/>
          <w:lang w:val="en-NZ"/>
        </w:rPr>
      </w:pPr>
      <w:r w:rsidRPr="0021270B">
        <w:rPr>
          <w:i/>
          <w:lang w:val="en-NZ"/>
        </w:rPr>
        <w:t>(EY)</w:t>
      </w:r>
    </w:p>
    <w:p w:rsidR="004A50D8" w:rsidRPr="0021270B" w:rsidRDefault="004A50D8" w:rsidP="00536A68">
      <w:pPr>
        <w:rPr>
          <w:lang w:val="en-NZ"/>
        </w:rPr>
      </w:pPr>
    </w:p>
    <w:p w:rsidR="004A50D8" w:rsidRPr="0021270B" w:rsidRDefault="004A50D8" w:rsidP="00536A68">
      <w:pPr>
        <w:rPr>
          <w:lang w:val="en-NZ"/>
        </w:rPr>
      </w:pPr>
      <w:r w:rsidRPr="0021270B">
        <w:rPr>
          <w:lang w:val="en-NZ"/>
        </w:rPr>
        <w:t xml:space="preserve">If New Zealand entities are established by other individuals or entities which might fall within an “overseas” category, </w:t>
      </w:r>
      <w:r w:rsidR="00583E49" w:rsidRPr="0021270B">
        <w:rPr>
          <w:lang w:val="en-NZ"/>
        </w:rPr>
        <w:t>officials</w:t>
      </w:r>
      <w:r w:rsidRPr="0021270B">
        <w:rPr>
          <w:lang w:val="en-NZ"/>
        </w:rPr>
        <w:t xml:space="preserve"> suggest any similar information required of those owners or controllers should be sought as part of the CIR</w:t>
      </w:r>
      <w:r w:rsidR="005641C1">
        <w:rPr>
          <w:lang w:val="en-NZ"/>
        </w:rPr>
        <w:t>’</w:t>
      </w:r>
      <w:r w:rsidRPr="0021270B">
        <w:rPr>
          <w:lang w:val="en-NZ"/>
        </w:rPr>
        <w:t>s process for allocating an IRD number to the entity, rather than as part of the LTA property transfer process.</w:t>
      </w:r>
    </w:p>
    <w:p w:rsidR="004A50D8" w:rsidRPr="0021270B" w:rsidRDefault="004A50D8" w:rsidP="00536A68">
      <w:pPr>
        <w:rPr>
          <w:lang w:val="en-NZ"/>
        </w:rPr>
      </w:pPr>
    </w:p>
    <w:p w:rsidR="004A50D8" w:rsidRPr="0021270B" w:rsidRDefault="00023273" w:rsidP="00536A68">
      <w:pPr>
        <w:rPr>
          <w:lang w:val="en-NZ"/>
        </w:rPr>
      </w:pPr>
      <w:r w:rsidRPr="0021270B">
        <w:rPr>
          <w:b/>
          <w:lang w:val="en-NZ"/>
        </w:rPr>
        <w:t>Comments</w:t>
      </w:r>
    </w:p>
    <w:p w:rsidR="00023273" w:rsidRPr="0021270B" w:rsidRDefault="00023273" w:rsidP="00536A68">
      <w:pPr>
        <w:rPr>
          <w:lang w:val="en-NZ"/>
        </w:rPr>
      </w:pPr>
    </w:p>
    <w:p w:rsidR="00023273" w:rsidRPr="0021270B" w:rsidRDefault="00023273" w:rsidP="009575F9">
      <w:r w:rsidRPr="0021270B">
        <w:t>Requiring information as part of the land transfer process gives Inland Revenue the information it needs to help enforce tax rules relating to income from property and property transactions.</w:t>
      </w:r>
    </w:p>
    <w:p w:rsidR="00023273" w:rsidRPr="0021270B" w:rsidRDefault="00023273" w:rsidP="009575F9"/>
    <w:p w:rsidR="00023273" w:rsidRPr="0021270B" w:rsidRDefault="00023273" w:rsidP="00023273">
      <w:pPr>
        <w:keepNext/>
        <w:outlineLvl w:val="1"/>
        <w:rPr>
          <w:b/>
        </w:rPr>
      </w:pPr>
      <w:r w:rsidRPr="0021270B">
        <w:rPr>
          <w:b/>
        </w:rPr>
        <w:t>Recommendation</w:t>
      </w:r>
    </w:p>
    <w:p w:rsidR="00023273" w:rsidRPr="0021270B" w:rsidRDefault="00023273" w:rsidP="009575F9"/>
    <w:p w:rsidR="003B6D6D" w:rsidRPr="0021270B" w:rsidRDefault="00023273" w:rsidP="00536A68">
      <w:pPr>
        <w:rPr>
          <w:lang w:val="en-NZ"/>
        </w:rPr>
      </w:pPr>
      <w:r w:rsidRPr="0021270B">
        <w:t>That the submission be declined.</w:t>
      </w:r>
    </w:p>
    <w:p w:rsidR="00EA1CDD" w:rsidRPr="0021270B" w:rsidRDefault="00EA1CDD" w:rsidP="009575F9">
      <w:pPr>
        <w:pBdr>
          <w:bottom w:val="single" w:sz="4" w:space="1" w:color="auto"/>
        </w:pBdr>
        <w:rPr>
          <w:lang w:val="en-NZ"/>
        </w:rPr>
      </w:pPr>
    </w:p>
    <w:p w:rsidR="00EA1CDD" w:rsidRPr="0021270B" w:rsidRDefault="00EA1CDD" w:rsidP="00536A68">
      <w:pPr>
        <w:rPr>
          <w:lang w:val="en-NZ"/>
        </w:rPr>
      </w:pPr>
    </w:p>
    <w:p w:rsidR="00E640A4" w:rsidRPr="0021270B" w:rsidRDefault="00E640A4" w:rsidP="00536A68">
      <w:pPr>
        <w:rPr>
          <w:lang w:val="en-NZ"/>
        </w:rPr>
      </w:pPr>
    </w:p>
    <w:p w:rsidR="00EA1CDD" w:rsidRPr="0021270B" w:rsidRDefault="00EA1CDD" w:rsidP="00E11524">
      <w:pPr>
        <w:pStyle w:val="Heading5"/>
      </w:pPr>
      <w:bookmarkStart w:id="68" w:name="_Toc427238261"/>
      <w:r w:rsidRPr="0021270B">
        <w:t>Issue:</w:t>
      </w:r>
      <w:r w:rsidRPr="0021270B">
        <w:tab/>
        <w:t>No further information in tax statement</w:t>
      </w:r>
      <w:bookmarkEnd w:id="68"/>
    </w:p>
    <w:p w:rsidR="00EA1CDD" w:rsidRPr="0021270B" w:rsidRDefault="00EA1CDD" w:rsidP="00536A68">
      <w:pPr>
        <w:rPr>
          <w:lang w:val="en-NZ"/>
        </w:rPr>
      </w:pPr>
    </w:p>
    <w:p w:rsidR="00EA1CDD" w:rsidRPr="0021270B" w:rsidRDefault="00EA1CDD" w:rsidP="00536A68">
      <w:pPr>
        <w:rPr>
          <w:lang w:val="en-NZ"/>
        </w:rPr>
      </w:pPr>
    </w:p>
    <w:p w:rsidR="00EA1CDD" w:rsidRPr="0021270B" w:rsidRDefault="00EA1CDD" w:rsidP="00536A68">
      <w:pPr>
        <w:rPr>
          <w:b/>
          <w:lang w:val="en-NZ"/>
        </w:rPr>
      </w:pPr>
      <w:r w:rsidRPr="0021270B">
        <w:rPr>
          <w:b/>
          <w:lang w:val="en-NZ"/>
        </w:rPr>
        <w:t>Submission</w:t>
      </w:r>
    </w:p>
    <w:p w:rsidR="00EA1CDD" w:rsidRPr="0021270B" w:rsidRDefault="00EA1CDD" w:rsidP="00536A68">
      <w:pPr>
        <w:rPr>
          <w:lang w:val="en-NZ"/>
        </w:rPr>
      </w:pPr>
      <w:r w:rsidRPr="0021270B">
        <w:rPr>
          <w:i/>
          <w:lang w:val="en-NZ"/>
        </w:rPr>
        <w:t>(EY)</w:t>
      </w:r>
    </w:p>
    <w:p w:rsidR="00EA1CDD" w:rsidRPr="0021270B" w:rsidRDefault="00EA1CDD" w:rsidP="00536A68">
      <w:pPr>
        <w:rPr>
          <w:lang w:val="en-NZ"/>
        </w:rPr>
      </w:pPr>
    </w:p>
    <w:p w:rsidR="00EA1CDD" w:rsidRPr="0021270B" w:rsidRDefault="00EA1CDD" w:rsidP="00536A68">
      <w:pPr>
        <w:rPr>
          <w:lang w:val="en-NZ"/>
        </w:rPr>
      </w:pPr>
      <w:r w:rsidRPr="0021270B">
        <w:rPr>
          <w:lang w:val="en-NZ"/>
        </w:rPr>
        <w:t>There should be no information as to the person</w:t>
      </w:r>
      <w:r w:rsidR="005641C1">
        <w:rPr>
          <w:lang w:val="en-NZ"/>
        </w:rPr>
        <w:t>’</w:t>
      </w:r>
      <w:r w:rsidRPr="0021270B">
        <w:rPr>
          <w:lang w:val="en-NZ"/>
        </w:rPr>
        <w:t>s residence or the use or characterisation of the property disclosed as part of the tax statement.</w:t>
      </w:r>
    </w:p>
    <w:p w:rsidR="00EA1CDD" w:rsidRPr="0021270B" w:rsidRDefault="00EA1CDD" w:rsidP="00536A68">
      <w:pPr>
        <w:rPr>
          <w:lang w:val="en-NZ"/>
        </w:rPr>
      </w:pPr>
    </w:p>
    <w:p w:rsidR="00EA1CDD" w:rsidRPr="0021270B" w:rsidRDefault="00EA1CDD" w:rsidP="00536A68">
      <w:pPr>
        <w:rPr>
          <w:b/>
          <w:lang w:val="en-NZ"/>
        </w:rPr>
      </w:pPr>
      <w:r w:rsidRPr="0021270B">
        <w:rPr>
          <w:b/>
          <w:lang w:val="en-NZ"/>
        </w:rPr>
        <w:t>Comment</w:t>
      </w:r>
    </w:p>
    <w:p w:rsidR="00EA1CDD" w:rsidRPr="0021270B" w:rsidRDefault="00EA1CDD" w:rsidP="00536A68">
      <w:pPr>
        <w:rPr>
          <w:b/>
          <w:lang w:val="en-NZ"/>
        </w:rPr>
      </w:pPr>
    </w:p>
    <w:p w:rsidR="00EA1CDD" w:rsidRPr="0021270B" w:rsidRDefault="00EA1CDD" w:rsidP="00536A68">
      <w:pPr>
        <w:rPr>
          <w:lang w:val="en-NZ"/>
        </w:rPr>
      </w:pPr>
      <w:r w:rsidRPr="0021270B">
        <w:rPr>
          <w:lang w:val="en-NZ"/>
        </w:rPr>
        <w:t>The information provided on the tax statement will be relevant for tax purposes and therefore officials consider that it should be collected.</w:t>
      </w:r>
    </w:p>
    <w:p w:rsidR="00EA1CDD" w:rsidRPr="0021270B" w:rsidRDefault="00EA1CDD" w:rsidP="00536A68">
      <w:pPr>
        <w:rPr>
          <w:lang w:val="en-NZ"/>
        </w:rPr>
      </w:pPr>
    </w:p>
    <w:p w:rsidR="00EA1CDD" w:rsidRPr="0021270B" w:rsidRDefault="00EA1CDD" w:rsidP="00536A68">
      <w:pPr>
        <w:rPr>
          <w:b/>
          <w:lang w:val="en-NZ"/>
        </w:rPr>
      </w:pPr>
      <w:r w:rsidRPr="0021270B">
        <w:rPr>
          <w:b/>
          <w:lang w:val="en-NZ"/>
        </w:rPr>
        <w:t>Recommendation</w:t>
      </w:r>
    </w:p>
    <w:p w:rsidR="00EA1CDD" w:rsidRPr="0021270B" w:rsidRDefault="00EA1CDD" w:rsidP="00536A68">
      <w:pPr>
        <w:rPr>
          <w:lang w:val="en-NZ"/>
        </w:rPr>
      </w:pPr>
    </w:p>
    <w:p w:rsidR="00EA1CDD" w:rsidRPr="0021270B" w:rsidRDefault="00EA1CDD" w:rsidP="00536A68">
      <w:pPr>
        <w:rPr>
          <w:lang w:val="en-NZ"/>
        </w:rPr>
      </w:pPr>
      <w:r w:rsidRPr="0021270B">
        <w:rPr>
          <w:lang w:val="en-NZ"/>
        </w:rPr>
        <w:t>That the submission be declined.</w:t>
      </w:r>
    </w:p>
    <w:p w:rsidR="00EA1CDD" w:rsidRPr="0021270B" w:rsidRDefault="00EA1CDD" w:rsidP="00536A68">
      <w:pPr>
        <w:rPr>
          <w:lang w:val="en-NZ"/>
        </w:rPr>
      </w:pPr>
    </w:p>
    <w:p w:rsidR="009023DD" w:rsidRDefault="009023DD">
      <w:pPr>
        <w:jc w:val="left"/>
        <w:rPr>
          <w:b/>
          <w:caps/>
          <w:sz w:val="26"/>
          <w:lang w:val="en-NZ"/>
        </w:rPr>
      </w:pPr>
      <w:r>
        <w:br w:type="page"/>
      </w:r>
    </w:p>
    <w:p w:rsidR="00F66040" w:rsidRPr="0021270B" w:rsidRDefault="00781D8A" w:rsidP="00E11524">
      <w:pPr>
        <w:pStyle w:val="Heading1"/>
      </w:pPr>
      <w:bookmarkStart w:id="69" w:name="_Toc427238262"/>
      <w:r>
        <w:lastRenderedPageBreak/>
        <w:t>Bank account r</w:t>
      </w:r>
      <w:r w:rsidR="00F66040" w:rsidRPr="0021270B">
        <w:t>equirement</w:t>
      </w:r>
      <w:bookmarkEnd w:id="69"/>
    </w:p>
    <w:p w:rsidR="00F66040" w:rsidRPr="009023DD" w:rsidRDefault="00F66040" w:rsidP="00F66040">
      <w:pPr>
        <w:rPr>
          <w:sz w:val="20"/>
          <w:lang w:val="en-NZ"/>
        </w:rPr>
      </w:pPr>
    </w:p>
    <w:p w:rsidR="00F66040" w:rsidRPr="009023DD" w:rsidRDefault="00F66040" w:rsidP="00F66040">
      <w:pPr>
        <w:rPr>
          <w:sz w:val="20"/>
          <w:lang w:val="en-NZ"/>
        </w:rPr>
      </w:pPr>
    </w:p>
    <w:p w:rsidR="00F66040" w:rsidRPr="0021270B" w:rsidRDefault="00F66040" w:rsidP="00E11524">
      <w:pPr>
        <w:pStyle w:val="Heading5"/>
        <w:rPr>
          <w:lang w:val="en-NZ"/>
        </w:rPr>
      </w:pPr>
      <w:bookmarkStart w:id="70" w:name="_Toc427238263"/>
      <w:r w:rsidRPr="0021270B">
        <w:rPr>
          <w:lang w:val="en-NZ"/>
        </w:rPr>
        <w:t>Issue:</w:t>
      </w:r>
      <w:r w:rsidRPr="0021270B">
        <w:rPr>
          <w:lang w:val="en-NZ"/>
        </w:rPr>
        <w:tab/>
      </w:r>
      <w:r w:rsidRPr="0021270B">
        <w:t>Bank</w:t>
      </w:r>
      <w:r w:rsidRPr="0021270B">
        <w:rPr>
          <w:lang w:val="en-NZ"/>
        </w:rPr>
        <w:t xml:space="preserve"> account number prerequisite</w:t>
      </w:r>
      <w:bookmarkEnd w:id="70"/>
    </w:p>
    <w:p w:rsidR="00F66040" w:rsidRPr="009023DD" w:rsidRDefault="00F66040" w:rsidP="00F66040">
      <w:pPr>
        <w:rPr>
          <w:sz w:val="20"/>
          <w:lang w:val="en-NZ"/>
        </w:rPr>
      </w:pPr>
    </w:p>
    <w:p w:rsidR="00F66040" w:rsidRPr="009023DD" w:rsidRDefault="00F66040" w:rsidP="00F66040">
      <w:pPr>
        <w:rPr>
          <w:sz w:val="20"/>
          <w:lang w:val="en-NZ"/>
        </w:rPr>
      </w:pPr>
    </w:p>
    <w:p w:rsidR="00F66040" w:rsidRPr="0021270B" w:rsidRDefault="00F66040" w:rsidP="00F66040">
      <w:pPr>
        <w:keepNext/>
        <w:outlineLvl w:val="1"/>
        <w:rPr>
          <w:b/>
          <w:lang w:val="en-NZ"/>
        </w:rPr>
      </w:pPr>
      <w:r w:rsidRPr="0021270B">
        <w:rPr>
          <w:b/>
          <w:lang w:val="en-NZ"/>
        </w:rPr>
        <w:t>Submission</w:t>
      </w:r>
    </w:p>
    <w:p w:rsidR="00F66040" w:rsidRPr="0021270B" w:rsidRDefault="00672EE5" w:rsidP="00F66040">
      <w:pPr>
        <w:rPr>
          <w:bCs/>
          <w:i/>
        </w:rPr>
      </w:pPr>
      <w:r w:rsidRPr="0021270B">
        <w:rPr>
          <w:bCs/>
          <w:i/>
        </w:rPr>
        <w:t>(</w:t>
      </w:r>
      <w:r w:rsidR="00F66040" w:rsidRPr="0021270B">
        <w:rPr>
          <w:bCs/>
          <w:i/>
        </w:rPr>
        <w:t>EY</w:t>
      </w:r>
      <w:r w:rsidRPr="0021270B">
        <w:rPr>
          <w:bCs/>
          <w:i/>
        </w:rPr>
        <w:t>)</w:t>
      </w:r>
    </w:p>
    <w:p w:rsidR="00F66040" w:rsidRPr="009023DD" w:rsidRDefault="00F66040" w:rsidP="00F66040">
      <w:pPr>
        <w:rPr>
          <w:bCs/>
          <w:sz w:val="20"/>
        </w:rPr>
      </w:pPr>
    </w:p>
    <w:p w:rsidR="00F66040" w:rsidRPr="0021270B" w:rsidRDefault="00F66040" w:rsidP="00F66040">
      <w:pPr>
        <w:rPr>
          <w:bCs/>
          <w:i/>
        </w:rPr>
      </w:pPr>
      <w:r w:rsidRPr="0021270B">
        <w:rPr>
          <w:bCs/>
        </w:rPr>
        <w:t xml:space="preserve">Further consideration of this proposal is needed to determine whether it is necessary and to limit its possible application. </w:t>
      </w:r>
    </w:p>
    <w:p w:rsidR="00F66040" w:rsidRPr="009023DD" w:rsidRDefault="00F66040" w:rsidP="00F66040">
      <w:pPr>
        <w:rPr>
          <w:sz w:val="20"/>
          <w:lang w:val="en-NZ"/>
        </w:rPr>
      </w:pPr>
    </w:p>
    <w:p w:rsidR="00F66040" w:rsidRPr="0021270B" w:rsidRDefault="00F66040" w:rsidP="00F66040">
      <w:pPr>
        <w:keepNext/>
        <w:outlineLvl w:val="1"/>
        <w:rPr>
          <w:b/>
          <w:lang w:val="en-NZ"/>
        </w:rPr>
      </w:pPr>
      <w:r w:rsidRPr="0021270B">
        <w:rPr>
          <w:b/>
          <w:lang w:val="en-NZ"/>
        </w:rPr>
        <w:t>Comment</w:t>
      </w:r>
    </w:p>
    <w:p w:rsidR="00F66040" w:rsidRPr="009023DD" w:rsidRDefault="00F66040" w:rsidP="00F66040">
      <w:pPr>
        <w:rPr>
          <w:sz w:val="20"/>
          <w:lang w:val="en-NZ"/>
        </w:rPr>
      </w:pPr>
    </w:p>
    <w:p w:rsidR="00F66040" w:rsidRPr="0021270B" w:rsidRDefault="00F66040" w:rsidP="00F66040">
      <w:pPr>
        <w:rPr>
          <w:lang w:val="en-NZ"/>
        </w:rPr>
      </w:pPr>
      <w:r w:rsidRPr="0021270B">
        <w:rPr>
          <w:lang w:val="en-NZ"/>
        </w:rPr>
        <w:t>The intent of the bank account requirement is that it will provide Inland Revenue with more confidence that it knows who it is dealing with by ensuring that a person has first satisfied a financial institution</w:t>
      </w:r>
      <w:r w:rsidR="005641C1">
        <w:rPr>
          <w:lang w:val="en-NZ"/>
        </w:rPr>
        <w:t>’</w:t>
      </w:r>
      <w:r w:rsidRPr="0021270B">
        <w:rPr>
          <w:lang w:val="en-NZ"/>
        </w:rPr>
        <w:t>s anti-money laundering verification of identity requirements.</w:t>
      </w:r>
    </w:p>
    <w:p w:rsidR="00F66040" w:rsidRPr="009023DD" w:rsidRDefault="00F66040" w:rsidP="00F66040">
      <w:pPr>
        <w:rPr>
          <w:sz w:val="20"/>
          <w:lang w:val="en-NZ"/>
        </w:rPr>
      </w:pPr>
    </w:p>
    <w:p w:rsidR="00F66040" w:rsidRPr="0021270B" w:rsidRDefault="00F66040" w:rsidP="00F66040">
      <w:pPr>
        <w:rPr>
          <w:lang w:val="en-NZ"/>
        </w:rPr>
      </w:pPr>
      <w:r w:rsidRPr="0021270B">
        <w:rPr>
          <w:lang w:val="en-NZ"/>
        </w:rPr>
        <w:t>Subject to the changes recommended below, officials consider that the bill is appropriately drafted to achieve this objective.</w:t>
      </w:r>
    </w:p>
    <w:p w:rsidR="00F66040" w:rsidRPr="009023DD" w:rsidRDefault="00F66040" w:rsidP="00F66040">
      <w:pPr>
        <w:rPr>
          <w:sz w:val="20"/>
          <w:lang w:val="en-NZ"/>
        </w:rPr>
      </w:pPr>
    </w:p>
    <w:p w:rsidR="00F66040" w:rsidRPr="0021270B" w:rsidRDefault="00F66040" w:rsidP="00F66040">
      <w:pPr>
        <w:keepNext/>
        <w:outlineLvl w:val="1"/>
        <w:rPr>
          <w:b/>
          <w:lang w:val="en-NZ"/>
        </w:rPr>
      </w:pPr>
      <w:r w:rsidRPr="0021270B">
        <w:rPr>
          <w:b/>
          <w:lang w:val="en-NZ"/>
        </w:rPr>
        <w:t>Recommendation</w:t>
      </w:r>
    </w:p>
    <w:p w:rsidR="00F66040" w:rsidRPr="009023DD" w:rsidRDefault="00F66040" w:rsidP="00F66040">
      <w:pPr>
        <w:rPr>
          <w:sz w:val="20"/>
          <w:lang w:val="en-NZ"/>
        </w:rPr>
      </w:pPr>
    </w:p>
    <w:p w:rsidR="00F66040" w:rsidRPr="0021270B" w:rsidRDefault="00F66040" w:rsidP="00F66040">
      <w:pPr>
        <w:rPr>
          <w:lang w:val="en-NZ"/>
        </w:rPr>
      </w:pPr>
      <w:r w:rsidRPr="0021270B">
        <w:rPr>
          <w:lang w:val="en-NZ"/>
        </w:rPr>
        <w:t>That the submission be declined.</w:t>
      </w:r>
    </w:p>
    <w:p w:rsidR="00F66040" w:rsidRPr="009023DD" w:rsidRDefault="00F66040" w:rsidP="00F66040">
      <w:pPr>
        <w:pBdr>
          <w:bottom w:val="single" w:sz="4" w:space="1" w:color="auto"/>
        </w:pBdr>
        <w:rPr>
          <w:sz w:val="20"/>
          <w:lang w:val="en-NZ"/>
        </w:rPr>
      </w:pPr>
    </w:p>
    <w:p w:rsidR="00F66040" w:rsidRPr="009023DD" w:rsidRDefault="00F66040" w:rsidP="00F66040">
      <w:pPr>
        <w:rPr>
          <w:sz w:val="20"/>
          <w:lang w:val="en-NZ"/>
        </w:rPr>
      </w:pPr>
    </w:p>
    <w:p w:rsidR="00524D4C" w:rsidRPr="009023DD" w:rsidRDefault="00524D4C" w:rsidP="00F66040">
      <w:pPr>
        <w:rPr>
          <w:sz w:val="20"/>
          <w:lang w:val="en-NZ"/>
        </w:rPr>
      </w:pPr>
    </w:p>
    <w:p w:rsidR="00F66040" w:rsidRPr="0021270B" w:rsidRDefault="00F66040" w:rsidP="009575F9">
      <w:pPr>
        <w:pStyle w:val="Heading5"/>
      </w:pPr>
      <w:bookmarkStart w:id="71" w:name="_Toc427238264"/>
      <w:r w:rsidRPr="0021270B">
        <w:t>Issue:</w:t>
      </w:r>
      <w:r w:rsidRPr="0021270B">
        <w:tab/>
        <w:t>Bank account number on becoming offshore person</w:t>
      </w:r>
      <w:bookmarkEnd w:id="71"/>
    </w:p>
    <w:p w:rsidR="00F66040" w:rsidRPr="009023DD" w:rsidRDefault="00F66040" w:rsidP="00F66040">
      <w:pPr>
        <w:rPr>
          <w:sz w:val="20"/>
          <w:lang w:val="en-NZ"/>
        </w:rPr>
      </w:pPr>
    </w:p>
    <w:p w:rsidR="00F66040" w:rsidRPr="009023DD" w:rsidRDefault="00F66040" w:rsidP="00F66040">
      <w:pPr>
        <w:rPr>
          <w:sz w:val="20"/>
          <w:lang w:val="en-NZ"/>
        </w:rPr>
      </w:pPr>
    </w:p>
    <w:p w:rsidR="00F66040" w:rsidRPr="0021270B" w:rsidRDefault="00F66040" w:rsidP="00F66040">
      <w:pPr>
        <w:pStyle w:val="Heading2"/>
        <w:rPr>
          <w:lang w:val="en-NZ"/>
        </w:rPr>
      </w:pPr>
      <w:r w:rsidRPr="0021270B">
        <w:rPr>
          <w:lang w:val="en-NZ"/>
        </w:rPr>
        <w:t>Submission</w:t>
      </w:r>
    </w:p>
    <w:p w:rsidR="00F66040" w:rsidRPr="0021270B" w:rsidRDefault="00672EE5" w:rsidP="00F66040">
      <w:pPr>
        <w:tabs>
          <w:tab w:val="left" w:pos="5295"/>
        </w:tabs>
        <w:rPr>
          <w:i/>
          <w:lang w:val="en-NZ"/>
        </w:rPr>
      </w:pPr>
      <w:r w:rsidRPr="0021270B">
        <w:rPr>
          <w:i/>
          <w:lang w:val="en-NZ"/>
        </w:rPr>
        <w:t>(</w:t>
      </w:r>
      <w:r w:rsidR="00F66040" w:rsidRPr="0021270B">
        <w:rPr>
          <w:i/>
          <w:lang w:val="en-NZ"/>
        </w:rPr>
        <w:t>Chartered Accountants Australia and New Zealand</w:t>
      </w:r>
      <w:r w:rsidRPr="0021270B">
        <w:rPr>
          <w:i/>
          <w:lang w:val="en-NZ"/>
        </w:rPr>
        <w:t>)</w:t>
      </w:r>
    </w:p>
    <w:p w:rsidR="00F66040" w:rsidRPr="0021270B" w:rsidRDefault="00F66040" w:rsidP="00F66040">
      <w:pPr>
        <w:tabs>
          <w:tab w:val="left" w:pos="5295"/>
        </w:tabs>
        <w:rPr>
          <w:i/>
          <w:lang w:val="en-NZ"/>
        </w:rPr>
      </w:pPr>
      <w:r w:rsidRPr="0021270B">
        <w:rPr>
          <w:i/>
          <w:lang w:val="en-NZ"/>
        </w:rPr>
        <w:tab/>
      </w:r>
    </w:p>
    <w:p w:rsidR="00F66040" w:rsidRPr="0021270B" w:rsidRDefault="00F66040" w:rsidP="00F66040">
      <w:pPr>
        <w:tabs>
          <w:tab w:val="left" w:pos="5295"/>
        </w:tabs>
        <w:rPr>
          <w:lang w:val="en-NZ"/>
        </w:rPr>
      </w:pPr>
      <w:r w:rsidRPr="0021270B">
        <w:rPr>
          <w:lang w:val="en-NZ"/>
        </w:rPr>
        <w:t>The requirement for a person to provide a New Zealand bank account number to Inland Revenue upon becoming an “offs</w:t>
      </w:r>
      <w:r w:rsidR="00AA7B9A" w:rsidRPr="0021270B">
        <w:rPr>
          <w:lang w:val="en-NZ"/>
        </w:rPr>
        <w:t>hore” person should be removed.</w:t>
      </w:r>
    </w:p>
    <w:p w:rsidR="00F66040" w:rsidRPr="009023DD" w:rsidRDefault="00F66040" w:rsidP="00F66040">
      <w:pPr>
        <w:tabs>
          <w:tab w:val="left" w:pos="5295"/>
        </w:tabs>
        <w:rPr>
          <w:i/>
          <w:sz w:val="20"/>
          <w:lang w:val="en-NZ"/>
        </w:rPr>
      </w:pPr>
    </w:p>
    <w:p w:rsidR="00F66040" w:rsidRPr="0021270B" w:rsidRDefault="00F66040" w:rsidP="00F66040">
      <w:pPr>
        <w:pStyle w:val="Heading2"/>
        <w:rPr>
          <w:lang w:val="en-NZ"/>
        </w:rPr>
      </w:pPr>
      <w:r w:rsidRPr="0021270B">
        <w:rPr>
          <w:lang w:val="en-NZ"/>
        </w:rPr>
        <w:t>Comment</w:t>
      </w:r>
    </w:p>
    <w:p w:rsidR="00F66040" w:rsidRPr="009023DD" w:rsidRDefault="00F66040" w:rsidP="00F66040">
      <w:pPr>
        <w:rPr>
          <w:sz w:val="20"/>
          <w:lang w:val="en-NZ"/>
        </w:rPr>
      </w:pPr>
    </w:p>
    <w:p w:rsidR="00F66040" w:rsidRPr="0021270B" w:rsidRDefault="00F66040" w:rsidP="00F66040">
      <w:pPr>
        <w:rPr>
          <w:lang w:val="en-NZ"/>
        </w:rPr>
      </w:pPr>
      <w:r w:rsidRPr="0021270B">
        <w:rPr>
          <w:lang w:val="en-NZ"/>
        </w:rPr>
        <w:t>Officials consider that the requirement to provide a bank account on becoming an offshore person is an important anti-avoidance measure</w:t>
      </w:r>
      <w:r w:rsidR="00AA7B9A" w:rsidRPr="0021270B">
        <w:rPr>
          <w:lang w:val="en-NZ"/>
        </w:rPr>
        <w:t>.</w:t>
      </w:r>
      <w:r w:rsidRPr="0021270B">
        <w:rPr>
          <w:lang w:val="en-NZ"/>
        </w:rPr>
        <w:t xml:space="preserve"> If a New Zealand person were to establish such companies and sell their interests in them to offshore persons without the bank account requirement kicking in, the requirement could be easily circumvented.</w:t>
      </w:r>
    </w:p>
    <w:p w:rsidR="00F66040" w:rsidRPr="009023DD" w:rsidRDefault="00F66040" w:rsidP="00F66040">
      <w:pPr>
        <w:rPr>
          <w:sz w:val="20"/>
          <w:lang w:val="en-NZ"/>
        </w:rPr>
      </w:pPr>
    </w:p>
    <w:p w:rsidR="00F66040" w:rsidRPr="0021270B" w:rsidRDefault="00F66040" w:rsidP="00F66040">
      <w:pPr>
        <w:rPr>
          <w:lang w:val="en-NZ"/>
        </w:rPr>
      </w:pPr>
      <w:r w:rsidRPr="0021270B">
        <w:rPr>
          <w:lang w:val="en-NZ"/>
        </w:rPr>
        <w:t>The comment by the submitter that Inland Revenue will already have a bank account for the person, or have other means of accessing their bank account information will not a</w:t>
      </w:r>
      <w:r w:rsidR="00AA7B9A" w:rsidRPr="0021270B">
        <w:rPr>
          <w:lang w:val="en-NZ"/>
        </w:rPr>
        <w:t>lways be the case in practice.</w:t>
      </w:r>
      <w:r w:rsidRPr="0021270B">
        <w:rPr>
          <w:lang w:val="en-NZ"/>
        </w:rPr>
        <w:t xml:space="preserve"> Some companies incorporated in New Zealand will not have New Zealand bank accounts and will not have been required to provide one to Inland Revenue. </w:t>
      </w:r>
    </w:p>
    <w:p w:rsidR="00F66040" w:rsidRPr="009023DD" w:rsidRDefault="00F66040" w:rsidP="00F66040">
      <w:pPr>
        <w:rPr>
          <w:sz w:val="20"/>
          <w:lang w:val="en-NZ"/>
        </w:rPr>
      </w:pPr>
    </w:p>
    <w:p w:rsidR="00F66040" w:rsidRPr="0021270B" w:rsidRDefault="00F66040" w:rsidP="00F66040">
      <w:pPr>
        <w:pStyle w:val="Heading2"/>
        <w:rPr>
          <w:lang w:val="en-NZ"/>
        </w:rPr>
      </w:pPr>
      <w:r w:rsidRPr="0021270B">
        <w:rPr>
          <w:lang w:val="en-NZ"/>
        </w:rPr>
        <w:t>Recommendation</w:t>
      </w:r>
    </w:p>
    <w:p w:rsidR="00F66040" w:rsidRPr="009023DD" w:rsidRDefault="00F66040" w:rsidP="00F66040">
      <w:pPr>
        <w:rPr>
          <w:sz w:val="20"/>
          <w:lang w:val="en-NZ"/>
        </w:rPr>
      </w:pPr>
    </w:p>
    <w:p w:rsidR="00F66040" w:rsidRPr="0021270B" w:rsidRDefault="00F66040" w:rsidP="003C6964">
      <w:pPr>
        <w:pBdr>
          <w:bottom w:val="single" w:sz="4" w:space="6" w:color="auto"/>
        </w:pBdr>
        <w:spacing w:after="120"/>
        <w:rPr>
          <w:lang w:val="en-NZ"/>
        </w:rPr>
      </w:pPr>
      <w:r w:rsidRPr="0021270B">
        <w:rPr>
          <w:lang w:val="en-NZ"/>
        </w:rPr>
        <w:t>That the submission be declined.</w:t>
      </w:r>
    </w:p>
    <w:p w:rsidR="00F66040" w:rsidRPr="0021270B" w:rsidRDefault="00F66040" w:rsidP="00E11524">
      <w:pPr>
        <w:pStyle w:val="Heading5"/>
        <w:rPr>
          <w:lang w:val="en-NZ"/>
        </w:rPr>
      </w:pPr>
      <w:bookmarkStart w:id="72" w:name="_Toc427238265"/>
      <w:r w:rsidRPr="0021270B">
        <w:rPr>
          <w:lang w:val="en-NZ"/>
        </w:rPr>
        <w:lastRenderedPageBreak/>
        <w:t>Issue:</w:t>
      </w:r>
      <w:r w:rsidRPr="0021270B">
        <w:rPr>
          <w:lang w:val="en-NZ"/>
        </w:rPr>
        <w:tab/>
        <w:t>Guidance on transition to bank account requirement</w:t>
      </w:r>
      <w:bookmarkEnd w:id="72"/>
    </w:p>
    <w:p w:rsidR="00F66040" w:rsidRPr="0021270B" w:rsidRDefault="00F66040" w:rsidP="00F66040">
      <w:pPr>
        <w:rPr>
          <w:lang w:val="en-NZ"/>
        </w:rPr>
      </w:pP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Submission</w:t>
      </w:r>
    </w:p>
    <w:p w:rsidR="00F66040" w:rsidRPr="0021270B" w:rsidRDefault="00672EE5" w:rsidP="00F66040">
      <w:pPr>
        <w:tabs>
          <w:tab w:val="left" w:pos="5295"/>
        </w:tabs>
        <w:rPr>
          <w:i/>
          <w:lang w:val="en-NZ"/>
        </w:rPr>
      </w:pPr>
      <w:r w:rsidRPr="0021270B">
        <w:rPr>
          <w:i/>
          <w:lang w:val="en-NZ"/>
        </w:rPr>
        <w:t>(</w:t>
      </w:r>
      <w:r w:rsidR="00F66040" w:rsidRPr="0021270B">
        <w:rPr>
          <w:i/>
          <w:lang w:val="en-NZ"/>
        </w:rPr>
        <w:t>PricewaterhouseCoopers</w:t>
      </w:r>
      <w:r w:rsidRPr="0021270B">
        <w:rPr>
          <w:i/>
          <w:lang w:val="en-NZ"/>
        </w:rPr>
        <w:t>)</w:t>
      </w:r>
    </w:p>
    <w:p w:rsidR="00F66040" w:rsidRPr="0021270B" w:rsidRDefault="00F66040" w:rsidP="00F66040">
      <w:pPr>
        <w:tabs>
          <w:tab w:val="left" w:pos="5295"/>
        </w:tabs>
        <w:rPr>
          <w:lang w:val="en-NZ"/>
        </w:rPr>
      </w:pPr>
    </w:p>
    <w:p w:rsidR="00F66040" w:rsidRPr="0021270B" w:rsidRDefault="00F66040" w:rsidP="00F66040">
      <w:pPr>
        <w:rPr>
          <w:bCs/>
        </w:rPr>
      </w:pPr>
      <w:r w:rsidRPr="0021270B">
        <w:rPr>
          <w:bCs/>
        </w:rPr>
        <w:t>Guidance should be produced by Inland Revenue as to whether non-individual offshore persons which already have an IRD number need to provide Inland Revenue with a New Zealand bank account number.</w:t>
      </w: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Comment</w:t>
      </w:r>
    </w:p>
    <w:p w:rsidR="00F66040" w:rsidRPr="0021270B" w:rsidRDefault="00F66040" w:rsidP="00F66040">
      <w:pPr>
        <w:rPr>
          <w:lang w:val="en-NZ"/>
        </w:rPr>
      </w:pPr>
    </w:p>
    <w:p w:rsidR="00F66040" w:rsidRPr="0021270B" w:rsidRDefault="00F66040" w:rsidP="00F66040">
      <w:pPr>
        <w:rPr>
          <w:lang w:val="en-NZ"/>
        </w:rPr>
      </w:pPr>
      <w:r w:rsidRPr="0021270B">
        <w:rPr>
          <w:lang w:val="en-NZ"/>
        </w:rPr>
        <w:t xml:space="preserve">The provision </w:t>
      </w:r>
      <w:r w:rsidR="00AA7B9A" w:rsidRPr="0021270B">
        <w:rPr>
          <w:lang w:val="en-NZ"/>
        </w:rPr>
        <w:t>applies</w:t>
      </w:r>
      <w:r w:rsidRPr="0021270B">
        <w:rPr>
          <w:lang w:val="en-NZ"/>
        </w:rPr>
        <w:t xml:space="preserve"> only to people that apply for an IRD number on or after 1 October 2015.  If a company that is an “offshore person” already has an IRD number, they will not be required to provide a bank account to Inland Revenue after that date.  The only way that a person with a current IRD number can be required to provide a bank account is if they</w:t>
      </w:r>
      <w:r w:rsidR="00AA7B9A" w:rsidRPr="0021270B">
        <w:rPr>
          <w:lang w:val="en-NZ"/>
        </w:rPr>
        <w:t xml:space="preserve"> are</w:t>
      </w:r>
      <w:r w:rsidRPr="0021270B">
        <w:rPr>
          <w:lang w:val="en-NZ"/>
        </w:rPr>
        <w:t xml:space="preserve"> a non-individual and become an offshore person on or after 1 October (for example, if New Zealand shareholders of a New Zealand-registered company sell their shares to offshore individuals).</w:t>
      </w: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Recommendation</w:t>
      </w:r>
    </w:p>
    <w:p w:rsidR="00F66040" w:rsidRPr="0021270B" w:rsidRDefault="00F66040" w:rsidP="00F66040">
      <w:pPr>
        <w:rPr>
          <w:lang w:val="en-NZ"/>
        </w:rPr>
      </w:pPr>
    </w:p>
    <w:p w:rsidR="00F66040" w:rsidRPr="0021270B" w:rsidRDefault="00F66040" w:rsidP="00F66040">
      <w:pPr>
        <w:rPr>
          <w:lang w:val="en-NZ"/>
        </w:rPr>
      </w:pPr>
      <w:r w:rsidRPr="0021270B">
        <w:rPr>
          <w:lang w:val="en-NZ"/>
        </w:rPr>
        <w:t>That the submission be noted.</w:t>
      </w:r>
    </w:p>
    <w:p w:rsidR="00F66040" w:rsidRPr="0021270B" w:rsidRDefault="00F66040" w:rsidP="00F66040">
      <w:pPr>
        <w:pBdr>
          <w:bottom w:val="single" w:sz="4" w:space="1" w:color="auto"/>
        </w:pBdr>
        <w:rPr>
          <w:lang w:val="en-NZ"/>
        </w:rPr>
      </w:pPr>
    </w:p>
    <w:p w:rsidR="00F66040" w:rsidRPr="0021270B" w:rsidRDefault="00F66040" w:rsidP="00F66040">
      <w:pPr>
        <w:rPr>
          <w:lang w:val="en-NZ"/>
        </w:rPr>
      </w:pPr>
    </w:p>
    <w:p w:rsidR="00524D4C" w:rsidRPr="0021270B" w:rsidRDefault="00524D4C" w:rsidP="00F66040">
      <w:pPr>
        <w:rPr>
          <w:lang w:val="en-NZ"/>
        </w:rPr>
      </w:pPr>
    </w:p>
    <w:p w:rsidR="00F66040" w:rsidRPr="0021270B" w:rsidRDefault="00F66040" w:rsidP="00E11524">
      <w:pPr>
        <w:pStyle w:val="Heading5"/>
        <w:rPr>
          <w:lang w:val="en-NZ"/>
        </w:rPr>
      </w:pPr>
      <w:bookmarkStart w:id="73" w:name="_Toc427238266"/>
      <w:r w:rsidRPr="0021270B">
        <w:rPr>
          <w:lang w:val="en-NZ"/>
        </w:rPr>
        <w:t>Issue:</w:t>
      </w:r>
      <w:r w:rsidRPr="0021270B">
        <w:rPr>
          <w:lang w:val="en-NZ"/>
        </w:rPr>
        <w:tab/>
        <w:t>Preventing double provision of bank account number</w:t>
      </w:r>
      <w:bookmarkEnd w:id="73"/>
      <w:r w:rsidRPr="0021270B">
        <w:rPr>
          <w:lang w:val="en-NZ"/>
        </w:rPr>
        <w:t xml:space="preserve"> </w:t>
      </w:r>
    </w:p>
    <w:p w:rsidR="00F66040" w:rsidRPr="0021270B" w:rsidRDefault="00F66040" w:rsidP="00F66040">
      <w:pPr>
        <w:jc w:val="center"/>
        <w:rPr>
          <w:lang w:val="en-NZ"/>
        </w:rPr>
      </w:pP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Submission</w:t>
      </w:r>
    </w:p>
    <w:p w:rsidR="00F66040" w:rsidRPr="0021270B" w:rsidRDefault="00672EE5" w:rsidP="00F66040">
      <w:pPr>
        <w:tabs>
          <w:tab w:val="left" w:pos="5295"/>
        </w:tabs>
        <w:rPr>
          <w:i/>
          <w:lang w:val="en-NZ"/>
        </w:rPr>
      </w:pPr>
      <w:r w:rsidRPr="0021270B">
        <w:rPr>
          <w:i/>
          <w:lang w:val="en-NZ"/>
        </w:rPr>
        <w:t>(</w:t>
      </w:r>
      <w:r w:rsidR="00F66040" w:rsidRPr="0021270B">
        <w:rPr>
          <w:i/>
          <w:lang w:val="en-NZ"/>
        </w:rPr>
        <w:t>PricewaterhouseCoopers</w:t>
      </w:r>
      <w:r w:rsidRPr="0021270B">
        <w:rPr>
          <w:i/>
          <w:lang w:val="en-NZ"/>
        </w:rPr>
        <w:t>)</w:t>
      </w:r>
    </w:p>
    <w:p w:rsidR="00F66040" w:rsidRPr="0021270B" w:rsidRDefault="00F66040" w:rsidP="00F66040">
      <w:pPr>
        <w:tabs>
          <w:tab w:val="left" w:pos="5295"/>
        </w:tabs>
        <w:rPr>
          <w:lang w:val="en-NZ"/>
        </w:rPr>
      </w:pPr>
    </w:p>
    <w:p w:rsidR="00F66040" w:rsidRPr="0021270B" w:rsidRDefault="00F66040" w:rsidP="00F66040">
      <w:pPr>
        <w:rPr>
          <w:bCs/>
        </w:rPr>
      </w:pPr>
      <w:r w:rsidRPr="0021270B">
        <w:rPr>
          <w:bCs/>
        </w:rPr>
        <w:t xml:space="preserve">The proposed rule should be changed to ensure that only those non-individuals who have not previously provided Inland Revenue with a bank account number will be required to provide one. </w:t>
      </w: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Comment</w:t>
      </w:r>
    </w:p>
    <w:p w:rsidR="00F66040" w:rsidRPr="0021270B" w:rsidRDefault="00F66040" w:rsidP="00F66040">
      <w:pPr>
        <w:rPr>
          <w:lang w:val="en-NZ"/>
        </w:rPr>
      </w:pPr>
    </w:p>
    <w:p w:rsidR="00F66040" w:rsidRPr="0021270B" w:rsidRDefault="00F66040" w:rsidP="00F66040">
      <w:pPr>
        <w:rPr>
          <w:lang w:val="en-NZ"/>
        </w:rPr>
      </w:pPr>
      <w:r w:rsidRPr="0021270B">
        <w:rPr>
          <w:lang w:val="en-NZ"/>
        </w:rPr>
        <w:t>The submission raises the issue of whether the provision of a bank account at this stage is necessary if Inland Revenue already has bank account details of that company.  Officials would agree that requiring a bank account in these circumstances would be unnecessary, but only if the bank account that Inland Revenue has on file is current at the relevant time.</w:t>
      </w: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Recommendation</w:t>
      </w:r>
    </w:p>
    <w:p w:rsidR="00F66040" w:rsidRPr="0021270B" w:rsidRDefault="00F66040" w:rsidP="00F66040">
      <w:pPr>
        <w:rPr>
          <w:lang w:val="en-NZ"/>
        </w:rPr>
      </w:pPr>
    </w:p>
    <w:p w:rsidR="00F66040" w:rsidRPr="0021270B" w:rsidRDefault="00F66040" w:rsidP="00F66040">
      <w:pPr>
        <w:rPr>
          <w:lang w:val="en-NZ"/>
        </w:rPr>
      </w:pPr>
      <w:r w:rsidRPr="0021270B">
        <w:rPr>
          <w:lang w:val="en-NZ"/>
        </w:rPr>
        <w:t>That the submission be accepted and that the legislation be amended to clarify that a bank account is not required if Inland Revenue already has a current account for a non-individual at the time it becomes an offshore person.</w:t>
      </w:r>
    </w:p>
    <w:p w:rsidR="00F66040" w:rsidRPr="0021270B" w:rsidRDefault="00F66040" w:rsidP="003C6964">
      <w:pPr>
        <w:pBdr>
          <w:bottom w:val="single" w:sz="4" w:space="1" w:color="auto"/>
        </w:pBdr>
        <w:rPr>
          <w:lang w:val="en-NZ"/>
        </w:rPr>
      </w:pPr>
    </w:p>
    <w:p w:rsidR="00F66040" w:rsidRPr="0021270B" w:rsidRDefault="00F66040" w:rsidP="00F66040">
      <w:pPr>
        <w:rPr>
          <w:lang w:val="en-NZ"/>
        </w:rPr>
      </w:pPr>
    </w:p>
    <w:p w:rsidR="00F66040" w:rsidRPr="0021270B" w:rsidRDefault="00F66040" w:rsidP="009575F9">
      <w:pPr>
        <w:pStyle w:val="Heading5"/>
        <w:rPr>
          <w:lang w:val="en-NZ"/>
        </w:rPr>
      </w:pPr>
      <w:bookmarkStart w:id="74" w:name="_Toc427238267"/>
      <w:r w:rsidRPr="0021270B">
        <w:rPr>
          <w:lang w:val="en-NZ"/>
        </w:rPr>
        <w:lastRenderedPageBreak/>
        <w:t>Issue:</w:t>
      </w:r>
      <w:r w:rsidRPr="0021270B">
        <w:rPr>
          <w:lang w:val="en-NZ"/>
        </w:rPr>
        <w:tab/>
        <w:t>Timeframes of obligation to provide bank account number</w:t>
      </w:r>
      <w:bookmarkEnd w:id="74"/>
    </w:p>
    <w:p w:rsidR="00F66040" w:rsidRPr="0021270B" w:rsidRDefault="00F66040" w:rsidP="00F66040">
      <w:pPr>
        <w:tabs>
          <w:tab w:val="left" w:pos="4800"/>
        </w:tabs>
        <w:jc w:val="left"/>
        <w:rPr>
          <w:lang w:val="en-NZ"/>
        </w:rPr>
      </w:pP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Submission</w:t>
      </w:r>
    </w:p>
    <w:p w:rsidR="00F66040" w:rsidRPr="0021270B" w:rsidRDefault="00672EE5" w:rsidP="00F66040">
      <w:pPr>
        <w:tabs>
          <w:tab w:val="left" w:pos="5295"/>
        </w:tabs>
        <w:rPr>
          <w:i/>
          <w:lang w:val="en-NZ"/>
        </w:rPr>
      </w:pPr>
      <w:r w:rsidRPr="0021270B">
        <w:rPr>
          <w:i/>
          <w:lang w:val="en-NZ"/>
        </w:rPr>
        <w:t>(</w:t>
      </w:r>
      <w:r w:rsidR="00F66040" w:rsidRPr="0021270B">
        <w:rPr>
          <w:i/>
          <w:lang w:val="en-NZ"/>
        </w:rPr>
        <w:t>PricewaterhouseCoopers</w:t>
      </w:r>
      <w:r w:rsidRPr="0021270B">
        <w:rPr>
          <w:i/>
          <w:lang w:val="en-NZ"/>
        </w:rPr>
        <w:t>)</w:t>
      </w:r>
    </w:p>
    <w:p w:rsidR="00F66040" w:rsidRPr="0021270B" w:rsidRDefault="00F66040" w:rsidP="00F66040">
      <w:pPr>
        <w:tabs>
          <w:tab w:val="left" w:pos="5295"/>
        </w:tabs>
        <w:rPr>
          <w:lang w:val="en-NZ"/>
        </w:rPr>
      </w:pPr>
    </w:p>
    <w:p w:rsidR="00F66040" w:rsidRPr="0021270B" w:rsidRDefault="00F66040" w:rsidP="00F66040">
      <w:pPr>
        <w:rPr>
          <w:bCs/>
        </w:rPr>
      </w:pPr>
      <w:r w:rsidRPr="0021270B">
        <w:rPr>
          <w:bCs/>
        </w:rPr>
        <w:t>The obligation to provide a New Zealand bank account number to Inland Revenue could be extended to the 20</w:t>
      </w:r>
      <w:r w:rsidRPr="0021270B">
        <w:rPr>
          <w:bCs/>
          <w:vertAlign w:val="superscript"/>
        </w:rPr>
        <w:t>th</w:t>
      </w:r>
      <w:r w:rsidRPr="0021270B">
        <w:rPr>
          <w:bCs/>
        </w:rPr>
        <w:t xml:space="preserve"> of the following month (to align with various tax return due dates), with a potential requirement to provide the account number earlier if a tax statement is completed at an earlier date.</w:t>
      </w: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Comment</w:t>
      </w:r>
    </w:p>
    <w:p w:rsidR="00F66040" w:rsidRPr="0021270B" w:rsidRDefault="00F66040" w:rsidP="00F66040">
      <w:pPr>
        <w:rPr>
          <w:lang w:val="en-NZ"/>
        </w:rPr>
      </w:pPr>
    </w:p>
    <w:p w:rsidR="00F66040" w:rsidRPr="0021270B" w:rsidRDefault="00F66040" w:rsidP="00F66040">
      <w:pPr>
        <w:rPr>
          <w:lang w:val="en-NZ"/>
        </w:rPr>
      </w:pPr>
      <w:r w:rsidRPr="0021270B">
        <w:rPr>
          <w:lang w:val="en-NZ"/>
        </w:rPr>
        <w:t>It is necessary for the legislation to be clear about when the obligation to provide a bank account number arises.</w:t>
      </w:r>
      <w:r w:rsidR="00AA7B9A" w:rsidRPr="0021270B">
        <w:rPr>
          <w:lang w:val="en-NZ"/>
        </w:rPr>
        <w:t xml:space="preserve"> Officials consider that an immediate obligation is appropriate. Given that is the time that the interests are being transferred, it would allow the bank account requirement to form part of the transfer transaction.</w:t>
      </w: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Recommendation</w:t>
      </w:r>
    </w:p>
    <w:p w:rsidR="00F66040" w:rsidRPr="0021270B" w:rsidRDefault="00F66040" w:rsidP="00F66040">
      <w:pPr>
        <w:rPr>
          <w:lang w:val="en-NZ"/>
        </w:rPr>
      </w:pPr>
    </w:p>
    <w:p w:rsidR="00F66040" w:rsidRPr="0021270B" w:rsidRDefault="00F66040" w:rsidP="00F66040">
      <w:pPr>
        <w:rPr>
          <w:lang w:val="en-NZ"/>
        </w:rPr>
      </w:pPr>
      <w:r w:rsidRPr="0021270B">
        <w:rPr>
          <w:lang w:val="en-NZ"/>
        </w:rPr>
        <w:t xml:space="preserve">That the submission be </w:t>
      </w:r>
      <w:r w:rsidR="002C4AF4" w:rsidRPr="0021270B">
        <w:rPr>
          <w:lang w:val="en-NZ"/>
        </w:rPr>
        <w:t>declined</w:t>
      </w:r>
      <w:r w:rsidRPr="0021270B">
        <w:rPr>
          <w:lang w:val="en-NZ"/>
        </w:rPr>
        <w:t>.</w:t>
      </w:r>
    </w:p>
    <w:p w:rsidR="00F66040" w:rsidRPr="0021270B" w:rsidRDefault="00F66040" w:rsidP="00F66040">
      <w:pPr>
        <w:pBdr>
          <w:bottom w:val="single" w:sz="4" w:space="1" w:color="auto"/>
        </w:pBdr>
        <w:rPr>
          <w:lang w:val="en-NZ"/>
        </w:rPr>
      </w:pPr>
    </w:p>
    <w:p w:rsidR="00F66040" w:rsidRPr="0021270B" w:rsidRDefault="00F66040" w:rsidP="00F66040">
      <w:pPr>
        <w:rPr>
          <w:lang w:val="en-NZ"/>
        </w:rPr>
      </w:pPr>
    </w:p>
    <w:p w:rsidR="00524D4C" w:rsidRPr="0021270B" w:rsidRDefault="00524D4C" w:rsidP="00F66040">
      <w:pPr>
        <w:rPr>
          <w:lang w:val="en-NZ"/>
        </w:rPr>
      </w:pPr>
    </w:p>
    <w:p w:rsidR="00F66040" w:rsidRPr="0021270B" w:rsidRDefault="00F66040" w:rsidP="00E11524">
      <w:pPr>
        <w:pStyle w:val="Heading5"/>
        <w:rPr>
          <w:lang w:val="en-NZ"/>
        </w:rPr>
      </w:pPr>
      <w:bookmarkStart w:id="75" w:name="_Toc427238268"/>
      <w:r w:rsidRPr="0021270B">
        <w:rPr>
          <w:lang w:val="en-NZ"/>
        </w:rPr>
        <w:t>Issue:</w:t>
      </w:r>
      <w:r w:rsidRPr="0021270B">
        <w:rPr>
          <w:lang w:val="en-NZ"/>
        </w:rPr>
        <w:tab/>
        <w:t>Bank account requirement limited to non-individuals dealing in or holding property</w:t>
      </w:r>
      <w:bookmarkEnd w:id="75"/>
    </w:p>
    <w:p w:rsidR="00F66040" w:rsidRPr="0021270B" w:rsidRDefault="00F66040" w:rsidP="00F66040">
      <w:pPr>
        <w:tabs>
          <w:tab w:val="left" w:pos="4800"/>
        </w:tabs>
        <w:jc w:val="left"/>
        <w:rPr>
          <w:lang w:val="en-NZ"/>
        </w:rPr>
      </w:pP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Submission</w:t>
      </w:r>
    </w:p>
    <w:p w:rsidR="00F66040" w:rsidRPr="0021270B" w:rsidRDefault="00672EE5" w:rsidP="00F66040">
      <w:pPr>
        <w:tabs>
          <w:tab w:val="left" w:pos="5295"/>
        </w:tabs>
        <w:rPr>
          <w:i/>
          <w:lang w:val="en-NZ"/>
        </w:rPr>
      </w:pPr>
      <w:r w:rsidRPr="0021270B">
        <w:rPr>
          <w:i/>
          <w:lang w:val="en-NZ"/>
        </w:rPr>
        <w:t>(</w:t>
      </w:r>
      <w:r w:rsidR="00F66040" w:rsidRPr="0021270B">
        <w:rPr>
          <w:i/>
          <w:lang w:val="en-NZ"/>
        </w:rPr>
        <w:t>PricewaterhouseCoopers</w:t>
      </w:r>
      <w:r w:rsidRPr="0021270B">
        <w:rPr>
          <w:i/>
          <w:lang w:val="en-NZ"/>
        </w:rPr>
        <w:t>)</w:t>
      </w:r>
    </w:p>
    <w:p w:rsidR="00F66040" w:rsidRPr="0021270B" w:rsidRDefault="00F66040" w:rsidP="00F66040">
      <w:pPr>
        <w:tabs>
          <w:tab w:val="left" w:pos="5295"/>
        </w:tabs>
        <w:rPr>
          <w:lang w:val="en-NZ"/>
        </w:rPr>
      </w:pPr>
    </w:p>
    <w:p w:rsidR="00F66040" w:rsidRPr="0021270B" w:rsidRDefault="00F66040" w:rsidP="00F66040">
      <w:pPr>
        <w:rPr>
          <w:bCs/>
        </w:rPr>
      </w:pPr>
      <w:r w:rsidRPr="0021270B">
        <w:rPr>
          <w:bCs/>
        </w:rPr>
        <w:t>The requirement to provide a New Zealand bank account number should be limited to non-individuals who either hold property or are in the process of actually making a property transfer.</w:t>
      </w: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Comment</w:t>
      </w:r>
    </w:p>
    <w:p w:rsidR="00F66040" w:rsidRPr="0021270B" w:rsidRDefault="00F66040" w:rsidP="00F66040">
      <w:pPr>
        <w:rPr>
          <w:lang w:val="en-NZ"/>
        </w:rPr>
      </w:pPr>
    </w:p>
    <w:p w:rsidR="00F66040" w:rsidRPr="0021270B" w:rsidRDefault="00F66040" w:rsidP="00F66040">
      <w:pPr>
        <w:rPr>
          <w:lang w:val="en-NZ"/>
        </w:rPr>
      </w:pPr>
      <w:r w:rsidRPr="0021270B">
        <w:rPr>
          <w:lang w:val="en-NZ"/>
        </w:rPr>
        <w:t>As set out above, the policy is that it will provide Inland Revenue with more confidence that it knows who it is dealing with by ensuring that a person has first satisfied a financial institution</w:t>
      </w:r>
      <w:r w:rsidR="005641C1">
        <w:rPr>
          <w:lang w:val="en-NZ"/>
        </w:rPr>
        <w:t>’</w:t>
      </w:r>
      <w:r w:rsidRPr="0021270B">
        <w:rPr>
          <w:lang w:val="en-NZ"/>
        </w:rPr>
        <w:t>s anti-money laundering verification of identity requirements.  It is intended that this policy apply equally to both individuals and non-individuals.</w:t>
      </w:r>
    </w:p>
    <w:p w:rsidR="00F66040" w:rsidRPr="0021270B" w:rsidRDefault="00F66040" w:rsidP="00F66040">
      <w:pPr>
        <w:rPr>
          <w:lang w:val="en-NZ"/>
        </w:rPr>
      </w:pPr>
    </w:p>
    <w:p w:rsidR="00F66040" w:rsidRPr="0021270B" w:rsidRDefault="00F66040" w:rsidP="00F66040">
      <w:pPr>
        <w:rPr>
          <w:lang w:val="en-NZ"/>
        </w:rPr>
      </w:pPr>
      <w:r w:rsidRPr="0021270B">
        <w:rPr>
          <w:lang w:val="en-NZ"/>
        </w:rPr>
        <w:t>With regard to the timing of the bank account requirement, the IRD number application is a recognised point of contact for people with Inland Revenue.  It is expected that the vast majority of offshore persons that are individuals and have the ability to work will either have, or will be otherwise required to obtain a bank account as part of their working arrangements.  Those offshore people that are not required to get an account are more likely to be the people that the proposal is targeting, so imposing the bank account requirement is consistent with the policy.</w:t>
      </w:r>
    </w:p>
    <w:p w:rsidR="00F66040" w:rsidRPr="0021270B" w:rsidRDefault="00F66040" w:rsidP="00F66040">
      <w:pPr>
        <w:rPr>
          <w:lang w:val="en-NZ"/>
        </w:rPr>
      </w:pPr>
    </w:p>
    <w:p w:rsidR="00F66040" w:rsidRPr="0021270B" w:rsidRDefault="00F66040" w:rsidP="00F66040">
      <w:pPr>
        <w:rPr>
          <w:lang w:val="en-NZ"/>
        </w:rPr>
      </w:pPr>
      <w:r w:rsidRPr="0021270B">
        <w:rPr>
          <w:lang w:val="en-NZ"/>
        </w:rPr>
        <w:lastRenderedPageBreak/>
        <w:t>Inland Revenue is generally not involved in the property transaction process.  Making an additional contact point with Inland Revenue at that time would add compliance costs.  Equally, having the bank account information routed through LINZ would add administration costs to that process.  If a party to a property transaction was required to provide evidence of a New Zealand bank account as part of that transaction, it would require either:</w:t>
      </w:r>
    </w:p>
    <w:p w:rsidR="00F66040" w:rsidRPr="0021270B" w:rsidRDefault="00F66040" w:rsidP="00F66040">
      <w:pPr>
        <w:rPr>
          <w:lang w:val="en-NZ"/>
        </w:rPr>
      </w:pPr>
    </w:p>
    <w:p w:rsidR="00F66040" w:rsidRPr="0021270B" w:rsidRDefault="00F66040" w:rsidP="009023DD">
      <w:pPr>
        <w:pStyle w:val="ListBullet"/>
      </w:pPr>
      <w:r w:rsidRPr="0021270B">
        <w:t>The person (generally a conveyancing lawyer) registering the change of property ownership to certify that the account exists.  The Bill has been drafted on the basis that the advisors (in most cases the conveyancing lawyer) will not need to certify information being provided by the vendor or purchaser as being correct.  This was a deliberate policy decision to ensure that penalties for non-compliance rest with the underlying vendor/purchaser of the property, rather than their advisors.  To impose obligations at the advisor level would result in increased transaction costs as advisors would require longer to certify documents and would probably require new or different tools to authenticate information their clients provide them; or</w:t>
      </w:r>
    </w:p>
    <w:p w:rsidR="00F66040" w:rsidRPr="0021270B" w:rsidRDefault="00F66040" w:rsidP="009023DD">
      <w:pPr>
        <w:pStyle w:val="ListBullet"/>
        <w:numPr>
          <w:ilvl w:val="0"/>
          <w:numId w:val="0"/>
        </w:numPr>
      </w:pPr>
    </w:p>
    <w:p w:rsidR="00F66040" w:rsidRPr="0021270B" w:rsidRDefault="00F66040" w:rsidP="009023DD">
      <w:pPr>
        <w:pStyle w:val="ListBullet"/>
      </w:pPr>
      <w:r w:rsidRPr="0021270B">
        <w:t>The lawyer providing a copy of a bank statement (or some other similar evidence) to LINZ outside of the automated Landonline registration process.  The receipt and passing on of this information would be administratively cumbersome for conveyancing lawyers and LINZ and potentially for the information exchange with Inland Revenue.  Whether a person is an “offshore person” is not currently a feature of the information being collated by LINZ – it is only relevant for a person</w:t>
      </w:r>
      <w:r w:rsidR="005641C1">
        <w:t>’</w:t>
      </w:r>
      <w:r w:rsidRPr="0021270B">
        <w:t>s self-assessment of whether an exemption applies.</w:t>
      </w: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Recommendation</w:t>
      </w:r>
    </w:p>
    <w:p w:rsidR="00F66040" w:rsidRPr="0021270B" w:rsidRDefault="00F66040" w:rsidP="00F66040">
      <w:pPr>
        <w:rPr>
          <w:lang w:val="en-NZ"/>
        </w:rPr>
      </w:pPr>
    </w:p>
    <w:p w:rsidR="00F66040" w:rsidRPr="0021270B" w:rsidRDefault="00F66040" w:rsidP="00F66040">
      <w:pPr>
        <w:rPr>
          <w:lang w:val="en-NZ"/>
        </w:rPr>
      </w:pPr>
      <w:r w:rsidRPr="0021270B">
        <w:rPr>
          <w:lang w:val="en-NZ"/>
        </w:rPr>
        <w:t>That the submission be declined.</w:t>
      </w:r>
    </w:p>
    <w:p w:rsidR="00F66040" w:rsidRPr="0021270B" w:rsidRDefault="00F66040" w:rsidP="009023DD">
      <w:pPr>
        <w:pBdr>
          <w:bottom w:val="single" w:sz="4" w:space="1" w:color="auto"/>
        </w:pBdr>
        <w:rPr>
          <w:lang w:val="en-NZ"/>
        </w:rPr>
      </w:pPr>
    </w:p>
    <w:p w:rsidR="00F66040" w:rsidRPr="0021270B" w:rsidRDefault="00F66040" w:rsidP="009023DD">
      <w:pPr>
        <w:rPr>
          <w:lang w:val="en-NZ"/>
        </w:rPr>
      </w:pPr>
    </w:p>
    <w:p w:rsidR="00524D4C" w:rsidRPr="009023DD" w:rsidRDefault="00524D4C" w:rsidP="009023DD">
      <w:pPr>
        <w:rPr>
          <w:u w:val="single"/>
          <w:lang w:val="en-NZ"/>
        </w:rPr>
      </w:pPr>
    </w:p>
    <w:p w:rsidR="002C4AF4" w:rsidRPr="0021270B" w:rsidRDefault="002C4AF4" w:rsidP="00E11524">
      <w:pPr>
        <w:pStyle w:val="Heading5"/>
        <w:rPr>
          <w:lang w:val="en-NZ"/>
        </w:rPr>
      </w:pPr>
      <w:bookmarkStart w:id="76" w:name="_Toc427238269"/>
      <w:r w:rsidRPr="0021270B">
        <w:rPr>
          <w:lang w:val="en-NZ"/>
        </w:rPr>
        <w:t>Issue:</w:t>
      </w:r>
      <w:r w:rsidRPr="0021270B">
        <w:rPr>
          <w:lang w:val="en-NZ"/>
        </w:rPr>
        <w:tab/>
        <w:t>The bank account requirement may not deliver intended outcomes</w:t>
      </w:r>
      <w:bookmarkEnd w:id="76"/>
      <w:r w:rsidRPr="0021270B">
        <w:rPr>
          <w:lang w:val="en-NZ"/>
        </w:rPr>
        <w:br/>
      </w:r>
    </w:p>
    <w:p w:rsidR="002C4AF4" w:rsidRPr="0021270B" w:rsidRDefault="002C4AF4" w:rsidP="002C4AF4">
      <w:pPr>
        <w:keepNext/>
        <w:tabs>
          <w:tab w:val="left" w:pos="794"/>
        </w:tabs>
        <w:outlineLvl w:val="4"/>
        <w:rPr>
          <w:szCs w:val="24"/>
          <w:lang w:val="en-NZ"/>
        </w:rPr>
      </w:pPr>
    </w:p>
    <w:p w:rsidR="002C4AF4" w:rsidRPr="0021270B" w:rsidRDefault="002C4AF4" w:rsidP="002C4AF4">
      <w:pPr>
        <w:rPr>
          <w:b/>
          <w:lang w:val="en-NZ"/>
        </w:rPr>
      </w:pPr>
      <w:r w:rsidRPr="0021270B">
        <w:rPr>
          <w:b/>
          <w:lang w:val="en-NZ"/>
        </w:rPr>
        <w:t>Submission</w:t>
      </w:r>
    </w:p>
    <w:p w:rsidR="002C4AF4" w:rsidRPr="0021270B" w:rsidRDefault="002C4AF4" w:rsidP="002C4AF4">
      <w:pPr>
        <w:rPr>
          <w:i/>
          <w:lang w:val="en-NZ"/>
        </w:rPr>
      </w:pPr>
      <w:r w:rsidRPr="0021270B">
        <w:rPr>
          <w:i/>
          <w:lang w:val="en-NZ"/>
        </w:rPr>
        <w:t>New Zealand Bankers</w:t>
      </w:r>
      <w:r w:rsidR="005641C1">
        <w:rPr>
          <w:i/>
          <w:lang w:val="en-NZ"/>
        </w:rPr>
        <w:t>’</w:t>
      </w:r>
      <w:r w:rsidRPr="0021270B">
        <w:rPr>
          <w:i/>
          <w:lang w:val="en-NZ"/>
        </w:rPr>
        <w:t xml:space="preserve"> Association, ANZ</w:t>
      </w:r>
    </w:p>
    <w:p w:rsidR="002C4AF4" w:rsidRPr="0021270B" w:rsidRDefault="002C4AF4" w:rsidP="002C4AF4">
      <w:pPr>
        <w:rPr>
          <w:lang w:val="en-NZ"/>
        </w:rPr>
      </w:pPr>
    </w:p>
    <w:p w:rsidR="002C4AF4" w:rsidRPr="0021270B" w:rsidRDefault="002C4AF4" w:rsidP="002C4AF4">
      <w:pPr>
        <w:tabs>
          <w:tab w:val="left" w:pos="794"/>
        </w:tabs>
        <w:outlineLvl w:val="4"/>
        <w:rPr>
          <w:szCs w:val="24"/>
          <w:lang w:val="en-NZ"/>
        </w:rPr>
      </w:pPr>
      <w:r w:rsidRPr="0021270B">
        <w:rPr>
          <w:szCs w:val="24"/>
          <w:lang w:val="en-NZ"/>
        </w:rPr>
        <w:t xml:space="preserve">The bank account requirement may be undermined, particularly by </w:t>
      </w:r>
      <w:r w:rsidR="00BF7827" w:rsidRPr="0021270B">
        <w:rPr>
          <w:szCs w:val="24"/>
          <w:lang w:val="en-NZ"/>
        </w:rPr>
        <w:t>anti-money laundering</w:t>
      </w:r>
      <w:r w:rsidRPr="0021270B">
        <w:rPr>
          <w:szCs w:val="24"/>
          <w:lang w:val="en-NZ"/>
        </w:rPr>
        <w:t xml:space="preserve"> rules that allow accounts to be opened prior to completion of all due diligence.  </w:t>
      </w:r>
    </w:p>
    <w:p w:rsidR="002C4AF4" w:rsidRPr="0021270B" w:rsidRDefault="002C4AF4" w:rsidP="002C4AF4">
      <w:pPr>
        <w:tabs>
          <w:tab w:val="left" w:pos="794"/>
        </w:tabs>
        <w:outlineLvl w:val="4"/>
        <w:rPr>
          <w:szCs w:val="24"/>
          <w:lang w:val="en-NZ"/>
        </w:rPr>
      </w:pPr>
    </w:p>
    <w:p w:rsidR="002C4AF4" w:rsidRPr="0021270B" w:rsidRDefault="002C4AF4" w:rsidP="002C4AF4">
      <w:pPr>
        <w:tabs>
          <w:tab w:val="left" w:pos="794"/>
        </w:tabs>
        <w:outlineLvl w:val="4"/>
        <w:rPr>
          <w:b/>
          <w:szCs w:val="24"/>
          <w:lang w:val="en-NZ"/>
        </w:rPr>
      </w:pPr>
      <w:r w:rsidRPr="0021270B">
        <w:rPr>
          <w:b/>
          <w:szCs w:val="24"/>
          <w:lang w:val="en-NZ"/>
        </w:rPr>
        <w:t>Comment</w:t>
      </w:r>
    </w:p>
    <w:p w:rsidR="002C4AF4" w:rsidRPr="0021270B" w:rsidRDefault="002C4AF4" w:rsidP="002C4AF4">
      <w:pPr>
        <w:tabs>
          <w:tab w:val="left" w:pos="794"/>
        </w:tabs>
        <w:outlineLvl w:val="4"/>
        <w:rPr>
          <w:szCs w:val="24"/>
          <w:lang w:val="en-NZ"/>
        </w:rPr>
      </w:pPr>
    </w:p>
    <w:p w:rsidR="002C4AF4" w:rsidRDefault="002C4AF4" w:rsidP="002C4AF4">
      <w:pPr>
        <w:tabs>
          <w:tab w:val="left" w:pos="794"/>
        </w:tabs>
        <w:outlineLvl w:val="4"/>
        <w:rPr>
          <w:szCs w:val="24"/>
          <w:lang w:val="en-NZ"/>
        </w:rPr>
      </w:pPr>
      <w:r w:rsidRPr="0021270B">
        <w:rPr>
          <w:szCs w:val="24"/>
          <w:lang w:val="en-NZ"/>
        </w:rPr>
        <w:t>Officials note that, under section 16(3) of the Anti-Money Laundering and Countering Financing of Terrorism Act 2009, customer due diligence can only be conducted after the business relationship has been established if</w:t>
      </w:r>
      <w:r w:rsidR="00053A56">
        <w:rPr>
          <w:szCs w:val="24"/>
          <w:lang w:val="en-NZ"/>
        </w:rPr>
        <w:t>:</w:t>
      </w:r>
    </w:p>
    <w:p w:rsidR="00053A56" w:rsidRPr="0021270B" w:rsidRDefault="00053A56" w:rsidP="002C4AF4">
      <w:pPr>
        <w:tabs>
          <w:tab w:val="left" w:pos="794"/>
        </w:tabs>
        <w:outlineLvl w:val="4"/>
        <w:rPr>
          <w:szCs w:val="24"/>
          <w:lang w:val="en-NZ"/>
        </w:rPr>
      </w:pPr>
    </w:p>
    <w:p w:rsidR="002C4AF4" w:rsidRPr="0021270B" w:rsidRDefault="002C4AF4" w:rsidP="008A3F01">
      <w:pPr>
        <w:pStyle w:val="ListParagraph"/>
        <w:numPr>
          <w:ilvl w:val="0"/>
          <w:numId w:val="40"/>
        </w:numPr>
        <w:tabs>
          <w:tab w:val="left" w:pos="567"/>
        </w:tabs>
        <w:spacing w:after="140"/>
        <w:ind w:left="567" w:hanging="567"/>
        <w:contextualSpacing w:val="0"/>
        <w:outlineLvl w:val="4"/>
        <w:rPr>
          <w:szCs w:val="24"/>
          <w:lang w:val="en-NZ"/>
        </w:rPr>
      </w:pPr>
      <w:r w:rsidRPr="0021270B">
        <w:rPr>
          <w:szCs w:val="24"/>
          <w:lang w:val="en-NZ"/>
        </w:rPr>
        <w:t>it is essential not to interrupt normal business practice; and</w:t>
      </w:r>
    </w:p>
    <w:p w:rsidR="008A3F01" w:rsidRDefault="008A3F01">
      <w:pPr>
        <w:jc w:val="left"/>
        <w:rPr>
          <w:szCs w:val="24"/>
          <w:lang w:val="en-NZ"/>
        </w:rPr>
      </w:pPr>
      <w:r>
        <w:rPr>
          <w:szCs w:val="24"/>
          <w:lang w:val="en-NZ"/>
        </w:rPr>
        <w:br w:type="page"/>
      </w:r>
    </w:p>
    <w:p w:rsidR="002C4AF4" w:rsidRPr="0021270B" w:rsidRDefault="002C4AF4" w:rsidP="008A3F01">
      <w:pPr>
        <w:pStyle w:val="ListParagraph"/>
        <w:numPr>
          <w:ilvl w:val="0"/>
          <w:numId w:val="40"/>
        </w:numPr>
        <w:tabs>
          <w:tab w:val="left" w:pos="567"/>
        </w:tabs>
        <w:spacing w:after="140"/>
        <w:ind w:left="567" w:hanging="567"/>
        <w:contextualSpacing w:val="0"/>
        <w:outlineLvl w:val="4"/>
        <w:rPr>
          <w:szCs w:val="24"/>
          <w:lang w:val="en-NZ"/>
        </w:rPr>
      </w:pPr>
      <w:r w:rsidRPr="0021270B">
        <w:rPr>
          <w:szCs w:val="24"/>
          <w:lang w:val="en-NZ"/>
        </w:rPr>
        <w:lastRenderedPageBreak/>
        <w:t>money laundering and financing of terrorism risks are effectively managed through procedures of transaction limitations and account monitoring; and</w:t>
      </w:r>
    </w:p>
    <w:p w:rsidR="002C4AF4" w:rsidRPr="0021270B" w:rsidRDefault="002C4AF4" w:rsidP="008A3F01">
      <w:pPr>
        <w:pStyle w:val="ListParagraph"/>
        <w:numPr>
          <w:ilvl w:val="0"/>
          <w:numId w:val="40"/>
        </w:numPr>
        <w:tabs>
          <w:tab w:val="left" w:pos="567"/>
        </w:tabs>
        <w:ind w:left="567" w:hanging="567"/>
        <w:outlineLvl w:val="4"/>
        <w:rPr>
          <w:szCs w:val="24"/>
          <w:lang w:val="en-NZ"/>
        </w:rPr>
      </w:pPr>
      <w:proofErr w:type="gramStart"/>
      <w:r w:rsidRPr="0021270B">
        <w:rPr>
          <w:szCs w:val="24"/>
          <w:lang w:val="en-NZ"/>
        </w:rPr>
        <w:t>verification</w:t>
      </w:r>
      <w:proofErr w:type="gramEnd"/>
      <w:r w:rsidRPr="0021270B">
        <w:rPr>
          <w:szCs w:val="24"/>
          <w:lang w:val="en-NZ"/>
        </w:rPr>
        <w:t xml:space="preserve"> of identity is completed as soon as is practicable once the business relationship has been established.</w:t>
      </w:r>
    </w:p>
    <w:p w:rsidR="002C4AF4" w:rsidRPr="0021270B" w:rsidRDefault="002C4AF4" w:rsidP="002C4AF4">
      <w:pPr>
        <w:tabs>
          <w:tab w:val="left" w:pos="794"/>
        </w:tabs>
        <w:outlineLvl w:val="4"/>
        <w:rPr>
          <w:szCs w:val="24"/>
          <w:lang w:val="en-NZ"/>
        </w:rPr>
      </w:pPr>
    </w:p>
    <w:p w:rsidR="002C4AF4" w:rsidRPr="0021270B" w:rsidRDefault="002C4AF4" w:rsidP="002C4AF4">
      <w:pPr>
        <w:tabs>
          <w:tab w:val="left" w:pos="794"/>
        </w:tabs>
        <w:outlineLvl w:val="4"/>
        <w:rPr>
          <w:szCs w:val="24"/>
          <w:lang w:val="en-NZ"/>
        </w:rPr>
      </w:pPr>
      <w:r w:rsidRPr="0021270B">
        <w:rPr>
          <w:szCs w:val="24"/>
          <w:lang w:val="en-NZ"/>
        </w:rPr>
        <w:t>It will be up to the financial institution to determine in any given case whether these criteria are met.</w:t>
      </w:r>
    </w:p>
    <w:p w:rsidR="002C4AF4" w:rsidRPr="0021270B" w:rsidRDefault="002C4AF4" w:rsidP="002C4AF4">
      <w:pPr>
        <w:rPr>
          <w:lang w:val="en-NZ"/>
        </w:rPr>
      </w:pPr>
    </w:p>
    <w:p w:rsidR="002C4AF4" w:rsidRPr="0021270B" w:rsidRDefault="002C4AF4" w:rsidP="002C4AF4">
      <w:pPr>
        <w:tabs>
          <w:tab w:val="left" w:pos="794"/>
        </w:tabs>
        <w:outlineLvl w:val="4"/>
        <w:rPr>
          <w:szCs w:val="24"/>
          <w:lang w:val="en-NZ"/>
        </w:rPr>
      </w:pPr>
      <w:r w:rsidRPr="0021270B">
        <w:rPr>
          <w:szCs w:val="24"/>
          <w:lang w:val="en-NZ"/>
        </w:rPr>
        <w:t xml:space="preserve">Officials consider it is appropriate for offshore applicants to go through the appropriate </w:t>
      </w:r>
      <w:r w:rsidR="00C21C15" w:rsidRPr="0021270B">
        <w:rPr>
          <w:szCs w:val="24"/>
          <w:lang w:val="en-NZ"/>
        </w:rPr>
        <w:t>anti-money laundering</w:t>
      </w:r>
      <w:r w:rsidRPr="0021270B">
        <w:rPr>
          <w:szCs w:val="24"/>
          <w:lang w:val="en-NZ"/>
        </w:rPr>
        <w:t xml:space="preserve"> due diligence checks (even if those are the enhanced checks for high risk customers),</w:t>
      </w:r>
      <w:r w:rsidR="00C21C15" w:rsidRPr="0021270B">
        <w:rPr>
          <w:szCs w:val="24"/>
          <w:lang w:val="en-NZ"/>
        </w:rPr>
        <w:t xml:space="preserve"> as</w:t>
      </w:r>
      <w:r w:rsidRPr="0021270B">
        <w:rPr>
          <w:szCs w:val="24"/>
          <w:lang w:val="en-NZ"/>
        </w:rPr>
        <w:t xml:space="preserve"> that is what the </w:t>
      </w:r>
      <w:r w:rsidR="00C21C15" w:rsidRPr="0021270B">
        <w:rPr>
          <w:szCs w:val="24"/>
          <w:lang w:val="en-NZ"/>
        </w:rPr>
        <w:t>Bill</w:t>
      </w:r>
      <w:r w:rsidRPr="0021270B">
        <w:rPr>
          <w:szCs w:val="24"/>
          <w:lang w:val="en-NZ"/>
        </w:rPr>
        <w:t xml:space="preserve"> </w:t>
      </w:r>
      <w:r w:rsidR="00C21C15" w:rsidRPr="0021270B">
        <w:rPr>
          <w:szCs w:val="24"/>
          <w:lang w:val="en-NZ"/>
        </w:rPr>
        <w:t xml:space="preserve">is designed to achieve. </w:t>
      </w:r>
      <w:r w:rsidRPr="0021270B">
        <w:rPr>
          <w:szCs w:val="24"/>
          <w:lang w:val="en-NZ"/>
        </w:rPr>
        <w:t xml:space="preserve">Officials consider that the requirement may result in increased customer numbers for financial institutions, but it is not the intention that new customers are treated differently – just that they are subject to the appropriate </w:t>
      </w:r>
      <w:r w:rsidR="00BF7827" w:rsidRPr="0021270B">
        <w:rPr>
          <w:szCs w:val="24"/>
          <w:lang w:val="en-NZ"/>
        </w:rPr>
        <w:t xml:space="preserve">anti-money laundering </w:t>
      </w:r>
      <w:r w:rsidR="00E92658" w:rsidRPr="0021270B">
        <w:rPr>
          <w:szCs w:val="24"/>
          <w:lang w:val="en-NZ"/>
        </w:rPr>
        <w:t xml:space="preserve">checks. </w:t>
      </w:r>
      <w:r w:rsidRPr="0021270B">
        <w:rPr>
          <w:szCs w:val="24"/>
          <w:lang w:val="en-NZ"/>
        </w:rPr>
        <w:t>There are no extra reporting obligations imposed by these requirements.</w:t>
      </w:r>
    </w:p>
    <w:p w:rsidR="002C4AF4" w:rsidRPr="0021270B" w:rsidRDefault="002C4AF4" w:rsidP="002C4AF4">
      <w:pPr>
        <w:tabs>
          <w:tab w:val="left" w:pos="794"/>
        </w:tabs>
        <w:outlineLvl w:val="4"/>
        <w:rPr>
          <w:szCs w:val="24"/>
          <w:lang w:val="en-NZ"/>
        </w:rPr>
      </w:pPr>
    </w:p>
    <w:p w:rsidR="002C4AF4" w:rsidRPr="0021270B" w:rsidRDefault="002C4AF4" w:rsidP="002C4AF4">
      <w:pPr>
        <w:tabs>
          <w:tab w:val="left" w:pos="794"/>
        </w:tabs>
        <w:outlineLvl w:val="4"/>
        <w:rPr>
          <w:szCs w:val="24"/>
          <w:lang w:val="en-NZ"/>
        </w:rPr>
      </w:pPr>
      <w:r w:rsidRPr="0021270B">
        <w:rPr>
          <w:szCs w:val="24"/>
          <w:lang w:val="en-NZ"/>
        </w:rPr>
        <w:t xml:space="preserve">In saying this, officials understand from the submission that the </w:t>
      </w:r>
      <w:r w:rsidR="00BF7827" w:rsidRPr="0021270B">
        <w:rPr>
          <w:szCs w:val="24"/>
          <w:lang w:val="en-NZ"/>
        </w:rPr>
        <w:t xml:space="preserve">anti-money laundering </w:t>
      </w:r>
      <w:r w:rsidRPr="0021270B">
        <w:rPr>
          <w:szCs w:val="24"/>
          <w:lang w:val="en-NZ"/>
        </w:rPr>
        <w:t xml:space="preserve">rules allow a bank </w:t>
      </w:r>
      <w:r w:rsidR="00C21C15" w:rsidRPr="0021270B">
        <w:rPr>
          <w:szCs w:val="24"/>
          <w:lang w:val="en-NZ"/>
        </w:rPr>
        <w:t>to</w:t>
      </w:r>
      <w:r w:rsidRPr="0021270B">
        <w:rPr>
          <w:szCs w:val="24"/>
          <w:lang w:val="en-NZ"/>
        </w:rPr>
        <w:t xml:space="preserve"> open an account and then require/examine all the ide</w:t>
      </w:r>
      <w:r w:rsidR="00C21C15" w:rsidRPr="0021270B">
        <w:rPr>
          <w:szCs w:val="24"/>
          <w:lang w:val="en-NZ"/>
        </w:rPr>
        <w:t xml:space="preserve">ntity material sometime later. </w:t>
      </w:r>
      <w:r w:rsidRPr="0021270B">
        <w:rPr>
          <w:szCs w:val="24"/>
          <w:lang w:val="en-NZ"/>
        </w:rPr>
        <w:t>Until the customer go</w:t>
      </w:r>
      <w:r w:rsidR="00E92658" w:rsidRPr="0021270B">
        <w:rPr>
          <w:szCs w:val="24"/>
          <w:lang w:val="en-NZ"/>
        </w:rPr>
        <w:t>es</w:t>
      </w:r>
      <w:r w:rsidRPr="0021270B">
        <w:rPr>
          <w:szCs w:val="24"/>
          <w:lang w:val="en-NZ"/>
        </w:rPr>
        <w:t xml:space="preserve"> through all the checks, the account is effectively frozen to transactions.</w:t>
      </w:r>
    </w:p>
    <w:p w:rsidR="002C4AF4" w:rsidRPr="0021270B" w:rsidRDefault="002C4AF4" w:rsidP="002C4AF4">
      <w:pPr>
        <w:tabs>
          <w:tab w:val="left" w:pos="794"/>
        </w:tabs>
        <w:outlineLvl w:val="4"/>
        <w:rPr>
          <w:szCs w:val="24"/>
          <w:lang w:val="en-NZ"/>
        </w:rPr>
      </w:pPr>
    </w:p>
    <w:p w:rsidR="002C4AF4" w:rsidRPr="0021270B" w:rsidRDefault="00C21C15" w:rsidP="002C4AF4">
      <w:pPr>
        <w:tabs>
          <w:tab w:val="left" w:pos="794"/>
        </w:tabs>
        <w:outlineLvl w:val="4"/>
        <w:rPr>
          <w:szCs w:val="24"/>
          <w:lang w:val="en-NZ"/>
        </w:rPr>
      </w:pPr>
      <w:r w:rsidRPr="0021270B">
        <w:rPr>
          <w:szCs w:val="24"/>
          <w:lang w:val="en-NZ"/>
        </w:rPr>
        <w:t>Officials are concerned that</w:t>
      </w:r>
      <w:r w:rsidR="002C4AF4" w:rsidRPr="0021270B">
        <w:rPr>
          <w:szCs w:val="24"/>
          <w:lang w:val="en-NZ"/>
        </w:rPr>
        <w:t xml:space="preserve"> this scenario </w:t>
      </w:r>
      <w:r w:rsidRPr="0021270B">
        <w:rPr>
          <w:szCs w:val="24"/>
          <w:lang w:val="en-NZ"/>
        </w:rPr>
        <w:t>could pose</w:t>
      </w:r>
      <w:r w:rsidR="002C4AF4" w:rsidRPr="0021270B">
        <w:rPr>
          <w:szCs w:val="24"/>
          <w:lang w:val="en-NZ"/>
        </w:rPr>
        <w:t xml:space="preserve"> a significant risk to </w:t>
      </w:r>
      <w:r w:rsidRPr="0021270B">
        <w:rPr>
          <w:szCs w:val="24"/>
          <w:lang w:val="en-NZ"/>
        </w:rPr>
        <w:t>the effectiveness of the rules.</w:t>
      </w:r>
      <w:r w:rsidR="002C4AF4" w:rsidRPr="0021270B">
        <w:rPr>
          <w:szCs w:val="24"/>
          <w:lang w:val="en-NZ"/>
        </w:rPr>
        <w:t xml:space="preserve"> A</w:t>
      </w:r>
      <w:r w:rsidRPr="0021270B">
        <w:rPr>
          <w:szCs w:val="24"/>
          <w:lang w:val="en-NZ"/>
        </w:rPr>
        <w:t>n</w:t>
      </w:r>
      <w:r w:rsidR="002C4AF4" w:rsidRPr="0021270B">
        <w:rPr>
          <w:szCs w:val="24"/>
          <w:lang w:val="en-NZ"/>
        </w:rPr>
        <w:t xml:space="preserve"> offshore person could open an account with a token amount, use that account to gain an IRD number and then never actually go through the </w:t>
      </w:r>
      <w:r w:rsidRPr="0021270B">
        <w:rPr>
          <w:szCs w:val="24"/>
          <w:lang w:val="en-NZ"/>
        </w:rPr>
        <w:t>customer due diligence process.</w:t>
      </w:r>
      <w:r w:rsidR="002C4AF4" w:rsidRPr="0021270B">
        <w:rPr>
          <w:szCs w:val="24"/>
          <w:lang w:val="en-NZ"/>
        </w:rPr>
        <w:t xml:space="preserve"> The bank would presumably close the account after trying </w:t>
      </w:r>
      <w:r w:rsidRPr="0021270B">
        <w:rPr>
          <w:szCs w:val="24"/>
          <w:lang w:val="en-NZ"/>
        </w:rPr>
        <w:t>to obtain the information</w:t>
      </w:r>
      <w:r w:rsidR="002C4AF4" w:rsidRPr="0021270B">
        <w:rPr>
          <w:szCs w:val="24"/>
          <w:lang w:val="en-NZ"/>
        </w:rPr>
        <w:t>, but Inland Revenue may never kno</w:t>
      </w:r>
      <w:r w:rsidRPr="0021270B">
        <w:rPr>
          <w:szCs w:val="24"/>
          <w:lang w:val="en-NZ"/>
        </w:rPr>
        <w:t xml:space="preserve">w of this. </w:t>
      </w:r>
      <w:r w:rsidR="002C4AF4" w:rsidRPr="0021270B">
        <w:rPr>
          <w:szCs w:val="24"/>
          <w:lang w:val="en-NZ"/>
        </w:rPr>
        <w:t>The customer may prefer this approach because they get an IRD number and only lose the small amount involved in the initial deposit.</w:t>
      </w:r>
    </w:p>
    <w:p w:rsidR="002C4AF4" w:rsidRPr="0021270B" w:rsidRDefault="002C4AF4" w:rsidP="002C4AF4">
      <w:pPr>
        <w:tabs>
          <w:tab w:val="left" w:pos="794"/>
        </w:tabs>
        <w:outlineLvl w:val="4"/>
        <w:rPr>
          <w:szCs w:val="24"/>
          <w:lang w:val="en-NZ"/>
        </w:rPr>
      </w:pPr>
    </w:p>
    <w:p w:rsidR="002C4AF4" w:rsidRPr="0021270B" w:rsidRDefault="002C4AF4" w:rsidP="002C4AF4">
      <w:pPr>
        <w:tabs>
          <w:tab w:val="left" w:pos="794"/>
        </w:tabs>
        <w:outlineLvl w:val="4"/>
        <w:rPr>
          <w:szCs w:val="24"/>
          <w:lang w:val="en-NZ"/>
        </w:rPr>
      </w:pPr>
      <w:r w:rsidRPr="0021270B">
        <w:rPr>
          <w:szCs w:val="24"/>
          <w:lang w:val="en-NZ"/>
        </w:rPr>
        <w:t>Officials suggest clarifying the bill so that only an account on which customer due diligence had been completed could be</w:t>
      </w:r>
      <w:r w:rsidR="00E92658" w:rsidRPr="0021270B">
        <w:rPr>
          <w:szCs w:val="24"/>
          <w:lang w:val="en-NZ"/>
        </w:rPr>
        <w:t xml:space="preserve"> used to obtain the IRD number.</w:t>
      </w:r>
      <w:r w:rsidRPr="0021270B">
        <w:rPr>
          <w:szCs w:val="24"/>
          <w:lang w:val="en-NZ"/>
        </w:rPr>
        <w:t xml:space="preserve"> If the person uses a “frozen account” to obtain an IRD number they would be breaching the requirement in the bill (with associated penalties).  As stated above, officials do not intend to impose any additional compliance burden on banks.  It would up to the customer to only use an appropriate account in their IRD number application.  The customer should know that due diligence had been completed because the account would be “unfrozen”.  </w:t>
      </w:r>
    </w:p>
    <w:p w:rsidR="002C4AF4" w:rsidRPr="0021270B" w:rsidRDefault="002C4AF4" w:rsidP="002C4AF4">
      <w:pPr>
        <w:tabs>
          <w:tab w:val="left" w:pos="794"/>
        </w:tabs>
        <w:outlineLvl w:val="4"/>
        <w:rPr>
          <w:szCs w:val="24"/>
          <w:lang w:val="en-NZ"/>
        </w:rPr>
      </w:pPr>
    </w:p>
    <w:p w:rsidR="002C4AF4" w:rsidRPr="0021270B" w:rsidRDefault="002C4AF4" w:rsidP="002C4AF4">
      <w:pPr>
        <w:tabs>
          <w:tab w:val="left" w:pos="794"/>
        </w:tabs>
        <w:outlineLvl w:val="4"/>
        <w:rPr>
          <w:szCs w:val="24"/>
          <w:lang w:val="en-NZ"/>
        </w:rPr>
      </w:pPr>
      <w:r w:rsidRPr="0021270B">
        <w:rPr>
          <w:szCs w:val="24"/>
          <w:lang w:val="en-NZ"/>
        </w:rPr>
        <w:t xml:space="preserve">As mentioned above, </w:t>
      </w:r>
      <w:r w:rsidR="00583E49" w:rsidRPr="0021270B">
        <w:rPr>
          <w:szCs w:val="24"/>
          <w:lang w:val="en-NZ"/>
        </w:rPr>
        <w:t>officials</w:t>
      </w:r>
      <w:r w:rsidRPr="0021270B">
        <w:rPr>
          <w:szCs w:val="24"/>
          <w:lang w:val="en-NZ"/>
        </w:rPr>
        <w:t xml:space="preserve"> recommend that this policy be reviewed after the Phase 2 roll-out of the </w:t>
      </w:r>
      <w:r w:rsidR="00BF7827" w:rsidRPr="0021270B">
        <w:rPr>
          <w:szCs w:val="24"/>
          <w:lang w:val="en-NZ"/>
        </w:rPr>
        <w:t xml:space="preserve">anti-money laundering </w:t>
      </w:r>
      <w:r w:rsidRPr="0021270B">
        <w:rPr>
          <w:szCs w:val="24"/>
          <w:lang w:val="en-NZ"/>
        </w:rPr>
        <w:t>rules, so whether this change is having the desired effect this is something that could be considered as part of that review.</w:t>
      </w:r>
    </w:p>
    <w:p w:rsidR="002C4AF4" w:rsidRPr="0021270B" w:rsidRDefault="002C4AF4" w:rsidP="002C4AF4">
      <w:pPr>
        <w:tabs>
          <w:tab w:val="left" w:pos="794"/>
        </w:tabs>
        <w:outlineLvl w:val="4"/>
        <w:rPr>
          <w:szCs w:val="24"/>
          <w:lang w:val="en-NZ"/>
        </w:rPr>
      </w:pPr>
    </w:p>
    <w:p w:rsidR="002C4AF4" w:rsidRPr="0021270B" w:rsidRDefault="002C4AF4" w:rsidP="002C4AF4">
      <w:pPr>
        <w:tabs>
          <w:tab w:val="left" w:pos="794"/>
        </w:tabs>
        <w:outlineLvl w:val="4"/>
        <w:rPr>
          <w:b/>
          <w:szCs w:val="24"/>
          <w:lang w:val="en-NZ"/>
        </w:rPr>
      </w:pPr>
      <w:r w:rsidRPr="0021270B">
        <w:rPr>
          <w:b/>
          <w:szCs w:val="24"/>
          <w:lang w:val="en-NZ"/>
        </w:rPr>
        <w:t>Recommendation</w:t>
      </w:r>
    </w:p>
    <w:p w:rsidR="002C4AF4" w:rsidRPr="0021270B" w:rsidRDefault="002C4AF4" w:rsidP="002C4AF4">
      <w:pPr>
        <w:tabs>
          <w:tab w:val="left" w:pos="794"/>
        </w:tabs>
        <w:outlineLvl w:val="4"/>
        <w:rPr>
          <w:szCs w:val="24"/>
          <w:lang w:val="en-NZ"/>
        </w:rPr>
      </w:pPr>
    </w:p>
    <w:p w:rsidR="002C4AF4" w:rsidRPr="0021270B" w:rsidRDefault="002C4AF4" w:rsidP="002C4AF4">
      <w:pPr>
        <w:tabs>
          <w:tab w:val="left" w:pos="794"/>
        </w:tabs>
        <w:outlineLvl w:val="4"/>
        <w:rPr>
          <w:szCs w:val="24"/>
          <w:lang w:val="en-NZ"/>
        </w:rPr>
      </w:pPr>
      <w:r w:rsidRPr="0021270B">
        <w:rPr>
          <w:szCs w:val="24"/>
          <w:lang w:val="en-NZ"/>
        </w:rPr>
        <w:t>That the submis</w:t>
      </w:r>
      <w:r w:rsidR="00C21C15" w:rsidRPr="0021270B">
        <w:rPr>
          <w:szCs w:val="24"/>
          <w:lang w:val="en-NZ"/>
        </w:rPr>
        <w:t>sion be accepted and the bill be amended to clarify that only accounts on which customer due diligence has been fully completed should be able to be used to obtain an IRD number.</w:t>
      </w:r>
    </w:p>
    <w:p w:rsidR="002C4AF4" w:rsidRPr="0021270B" w:rsidRDefault="002C4AF4" w:rsidP="002C4AF4">
      <w:pPr>
        <w:pBdr>
          <w:bottom w:val="single" w:sz="4" w:space="1" w:color="auto"/>
        </w:pBdr>
        <w:tabs>
          <w:tab w:val="left" w:pos="794"/>
        </w:tabs>
        <w:outlineLvl w:val="4"/>
        <w:rPr>
          <w:szCs w:val="24"/>
          <w:lang w:val="en-NZ"/>
        </w:rPr>
      </w:pPr>
    </w:p>
    <w:p w:rsidR="00053A56" w:rsidRDefault="00053A56">
      <w:pPr>
        <w:jc w:val="left"/>
        <w:rPr>
          <w:szCs w:val="24"/>
          <w:lang w:val="en-NZ"/>
        </w:rPr>
      </w:pPr>
      <w:r>
        <w:rPr>
          <w:szCs w:val="24"/>
          <w:lang w:val="en-NZ"/>
        </w:rPr>
        <w:br w:type="page"/>
      </w:r>
    </w:p>
    <w:p w:rsidR="002C4AF4" w:rsidRPr="0021270B" w:rsidRDefault="002C4AF4" w:rsidP="00E11524">
      <w:pPr>
        <w:pStyle w:val="Heading5"/>
        <w:rPr>
          <w:lang w:val="en-NZ"/>
        </w:rPr>
      </w:pPr>
      <w:bookmarkStart w:id="77" w:name="_Toc427238270"/>
      <w:r w:rsidRPr="0021270B">
        <w:rPr>
          <w:lang w:val="en-NZ"/>
        </w:rPr>
        <w:lastRenderedPageBreak/>
        <w:t>Issue:</w:t>
      </w:r>
      <w:r w:rsidRPr="0021270B">
        <w:rPr>
          <w:lang w:val="en-NZ"/>
        </w:rPr>
        <w:tab/>
        <w:t>Compliance costs</w:t>
      </w:r>
      <w:bookmarkEnd w:id="77"/>
    </w:p>
    <w:p w:rsidR="002C4AF4" w:rsidRPr="0021270B" w:rsidRDefault="002C4AF4" w:rsidP="002C4AF4">
      <w:pPr>
        <w:tabs>
          <w:tab w:val="left" w:pos="794"/>
        </w:tabs>
        <w:outlineLvl w:val="4"/>
        <w:rPr>
          <w:szCs w:val="24"/>
          <w:lang w:val="en-NZ"/>
        </w:rPr>
      </w:pPr>
    </w:p>
    <w:p w:rsidR="00524D4C" w:rsidRPr="0021270B" w:rsidRDefault="00524D4C" w:rsidP="002C4AF4">
      <w:pPr>
        <w:tabs>
          <w:tab w:val="left" w:pos="794"/>
        </w:tabs>
        <w:outlineLvl w:val="4"/>
        <w:rPr>
          <w:szCs w:val="24"/>
          <w:lang w:val="en-NZ"/>
        </w:rPr>
      </w:pPr>
    </w:p>
    <w:p w:rsidR="002C4AF4" w:rsidRPr="0021270B" w:rsidRDefault="002C4AF4" w:rsidP="002C4AF4">
      <w:pPr>
        <w:tabs>
          <w:tab w:val="left" w:pos="794"/>
        </w:tabs>
        <w:outlineLvl w:val="4"/>
        <w:rPr>
          <w:i/>
          <w:szCs w:val="24"/>
          <w:lang w:val="en-NZ"/>
        </w:rPr>
      </w:pPr>
      <w:r w:rsidRPr="0021270B">
        <w:rPr>
          <w:b/>
          <w:szCs w:val="24"/>
          <w:lang w:val="en-NZ"/>
        </w:rPr>
        <w:t>Submission</w:t>
      </w:r>
      <w:r w:rsidRPr="0021270B">
        <w:rPr>
          <w:b/>
          <w:szCs w:val="24"/>
          <w:lang w:val="en-NZ"/>
        </w:rPr>
        <w:br/>
      </w:r>
      <w:r w:rsidRPr="0021270B">
        <w:rPr>
          <w:i/>
          <w:szCs w:val="24"/>
          <w:lang w:val="en-NZ"/>
        </w:rPr>
        <w:t>New Zealand Bankers</w:t>
      </w:r>
      <w:r w:rsidR="005641C1">
        <w:rPr>
          <w:i/>
          <w:szCs w:val="24"/>
          <w:lang w:val="en-NZ"/>
        </w:rPr>
        <w:t>’</w:t>
      </w:r>
      <w:r w:rsidRPr="0021270B">
        <w:rPr>
          <w:i/>
          <w:szCs w:val="24"/>
          <w:lang w:val="en-NZ"/>
        </w:rPr>
        <w:t xml:space="preserve"> Association, ANZ</w:t>
      </w:r>
    </w:p>
    <w:p w:rsidR="002C4AF4" w:rsidRPr="0021270B" w:rsidRDefault="002C4AF4" w:rsidP="002C4AF4">
      <w:pPr>
        <w:rPr>
          <w:szCs w:val="24"/>
          <w:lang w:val="en-NZ"/>
        </w:rPr>
      </w:pPr>
    </w:p>
    <w:p w:rsidR="002C4AF4" w:rsidRPr="0021270B" w:rsidRDefault="002C4AF4" w:rsidP="002C4AF4">
      <w:pPr>
        <w:tabs>
          <w:tab w:val="left" w:pos="794"/>
        </w:tabs>
        <w:outlineLvl w:val="4"/>
        <w:rPr>
          <w:szCs w:val="24"/>
          <w:lang w:val="en-NZ"/>
        </w:rPr>
      </w:pPr>
      <w:r w:rsidRPr="0021270B">
        <w:rPr>
          <w:szCs w:val="24"/>
          <w:lang w:val="en-NZ"/>
        </w:rPr>
        <w:t>Other potential impacts could be that it will be harder for foreign investors to open accounts and there may be increased dormant accounts.  The 1 October effective date is challenging.</w:t>
      </w:r>
    </w:p>
    <w:p w:rsidR="002C4AF4" w:rsidRPr="0021270B" w:rsidRDefault="002C4AF4" w:rsidP="002C4AF4">
      <w:pPr>
        <w:tabs>
          <w:tab w:val="left" w:pos="794"/>
        </w:tabs>
        <w:outlineLvl w:val="4"/>
        <w:rPr>
          <w:szCs w:val="24"/>
          <w:lang w:val="en-NZ"/>
        </w:rPr>
      </w:pPr>
    </w:p>
    <w:p w:rsidR="002C4AF4" w:rsidRPr="0021270B" w:rsidRDefault="002C4AF4" w:rsidP="002C4AF4">
      <w:pPr>
        <w:tabs>
          <w:tab w:val="left" w:pos="794"/>
        </w:tabs>
        <w:outlineLvl w:val="4"/>
        <w:rPr>
          <w:b/>
          <w:szCs w:val="24"/>
          <w:lang w:val="en-NZ"/>
        </w:rPr>
      </w:pPr>
      <w:r w:rsidRPr="0021270B">
        <w:rPr>
          <w:b/>
          <w:szCs w:val="24"/>
          <w:lang w:val="en-NZ"/>
        </w:rPr>
        <w:t>Comment</w:t>
      </w:r>
    </w:p>
    <w:p w:rsidR="002C4AF4" w:rsidRPr="0021270B" w:rsidRDefault="002C4AF4" w:rsidP="002C4AF4">
      <w:pPr>
        <w:tabs>
          <w:tab w:val="left" w:pos="794"/>
        </w:tabs>
        <w:outlineLvl w:val="4"/>
        <w:rPr>
          <w:szCs w:val="24"/>
          <w:lang w:val="en-NZ"/>
        </w:rPr>
      </w:pPr>
    </w:p>
    <w:p w:rsidR="002C4AF4" w:rsidRPr="0021270B" w:rsidRDefault="00C21C15" w:rsidP="002C4AF4">
      <w:pPr>
        <w:tabs>
          <w:tab w:val="left" w:pos="794"/>
        </w:tabs>
        <w:outlineLvl w:val="4"/>
        <w:rPr>
          <w:szCs w:val="24"/>
          <w:lang w:val="en-NZ"/>
        </w:rPr>
      </w:pPr>
      <w:r w:rsidRPr="0021270B">
        <w:rPr>
          <w:szCs w:val="24"/>
          <w:lang w:val="en-NZ"/>
        </w:rPr>
        <w:t>I</w:t>
      </w:r>
      <w:r w:rsidR="002C4AF4" w:rsidRPr="0021270B">
        <w:rPr>
          <w:szCs w:val="24"/>
          <w:lang w:val="en-NZ"/>
        </w:rPr>
        <w:t xml:space="preserve">t is not the intention of these rules to make it harder for offshore persons to open accounts, just that they do so.  Equally, it is not the intention that </w:t>
      </w:r>
      <w:r w:rsidR="00583E49" w:rsidRPr="0021270B">
        <w:rPr>
          <w:szCs w:val="24"/>
          <w:lang w:val="en-NZ"/>
        </w:rPr>
        <w:t>this requirement imposes</w:t>
      </w:r>
      <w:r w:rsidR="002C4AF4" w:rsidRPr="0021270B">
        <w:rPr>
          <w:szCs w:val="24"/>
          <w:lang w:val="en-NZ"/>
        </w:rPr>
        <w:t xml:space="preserve"> significant compliance costs on banks.  Although dormant accounts may increase in number, </w:t>
      </w:r>
      <w:r w:rsidR="00583E49" w:rsidRPr="0021270B">
        <w:rPr>
          <w:szCs w:val="24"/>
          <w:lang w:val="en-NZ"/>
        </w:rPr>
        <w:t>officials</w:t>
      </w:r>
      <w:r w:rsidR="002C4AF4" w:rsidRPr="0021270B">
        <w:rPr>
          <w:szCs w:val="24"/>
          <w:lang w:val="en-NZ"/>
        </w:rPr>
        <w:t xml:space="preserve"> expect banks to handle these account</w:t>
      </w:r>
      <w:r w:rsidRPr="0021270B">
        <w:rPr>
          <w:szCs w:val="24"/>
          <w:lang w:val="en-NZ"/>
        </w:rPr>
        <w:t>s</w:t>
      </w:r>
      <w:r w:rsidR="002C4AF4" w:rsidRPr="0021270B">
        <w:rPr>
          <w:szCs w:val="24"/>
          <w:lang w:val="en-NZ"/>
        </w:rPr>
        <w:t xml:space="preserve"> using existing processes.  It is not necessary for the account to remain open indefinitely.</w:t>
      </w:r>
    </w:p>
    <w:p w:rsidR="002C4AF4" w:rsidRPr="0021270B" w:rsidRDefault="002C4AF4" w:rsidP="002C4AF4">
      <w:pPr>
        <w:rPr>
          <w:lang w:val="en-NZ"/>
        </w:rPr>
      </w:pPr>
    </w:p>
    <w:p w:rsidR="002C4AF4" w:rsidRPr="0021270B" w:rsidRDefault="002C4AF4" w:rsidP="002C4AF4">
      <w:pPr>
        <w:rPr>
          <w:lang w:val="en-NZ"/>
        </w:rPr>
      </w:pPr>
      <w:r w:rsidRPr="0021270B">
        <w:rPr>
          <w:lang w:val="en-NZ"/>
        </w:rPr>
        <w:t>The 1 October date is an important component of these changes, because there are a suite of changes all occurring on that date.  Alignment is seen as crucial so that the start date of information provision requirements match</w:t>
      </w:r>
      <w:r w:rsidR="00E92658" w:rsidRPr="0021270B">
        <w:rPr>
          <w:lang w:val="en-NZ"/>
        </w:rPr>
        <w:t>es</w:t>
      </w:r>
      <w:r w:rsidRPr="0021270B">
        <w:rPr>
          <w:lang w:val="en-NZ"/>
        </w:rPr>
        <w:t xml:space="preserve"> that for other measures.</w:t>
      </w:r>
    </w:p>
    <w:p w:rsidR="002C4AF4" w:rsidRPr="0021270B" w:rsidRDefault="002C4AF4" w:rsidP="002C4AF4">
      <w:pPr>
        <w:tabs>
          <w:tab w:val="left" w:pos="794"/>
        </w:tabs>
        <w:outlineLvl w:val="4"/>
        <w:rPr>
          <w:szCs w:val="24"/>
          <w:lang w:val="en-NZ"/>
        </w:rPr>
      </w:pPr>
    </w:p>
    <w:p w:rsidR="002C4AF4" w:rsidRPr="0021270B" w:rsidRDefault="002C4AF4" w:rsidP="002C4AF4">
      <w:pPr>
        <w:tabs>
          <w:tab w:val="left" w:pos="794"/>
        </w:tabs>
        <w:outlineLvl w:val="4"/>
        <w:rPr>
          <w:b/>
          <w:szCs w:val="24"/>
          <w:lang w:val="en-NZ"/>
        </w:rPr>
      </w:pPr>
      <w:r w:rsidRPr="0021270B">
        <w:rPr>
          <w:b/>
          <w:szCs w:val="24"/>
          <w:lang w:val="en-NZ"/>
        </w:rPr>
        <w:t>Recommendation</w:t>
      </w:r>
    </w:p>
    <w:p w:rsidR="002C4AF4" w:rsidRPr="0021270B" w:rsidRDefault="002C4AF4" w:rsidP="002C4AF4">
      <w:pPr>
        <w:tabs>
          <w:tab w:val="left" w:pos="794"/>
        </w:tabs>
        <w:outlineLvl w:val="4"/>
        <w:rPr>
          <w:szCs w:val="24"/>
          <w:lang w:val="en-NZ"/>
        </w:rPr>
      </w:pPr>
    </w:p>
    <w:p w:rsidR="002C4AF4" w:rsidRPr="0021270B" w:rsidRDefault="002C4AF4" w:rsidP="002C4AF4">
      <w:pPr>
        <w:tabs>
          <w:tab w:val="left" w:pos="794"/>
        </w:tabs>
        <w:outlineLvl w:val="4"/>
        <w:rPr>
          <w:szCs w:val="24"/>
          <w:lang w:val="en-NZ"/>
        </w:rPr>
      </w:pPr>
      <w:r w:rsidRPr="0021270B">
        <w:rPr>
          <w:szCs w:val="24"/>
          <w:lang w:val="en-NZ"/>
        </w:rPr>
        <w:t>That the submission be noted.</w:t>
      </w:r>
    </w:p>
    <w:p w:rsidR="002C4AF4" w:rsidRPr="00053A56" w:rsidRDefault="002C4AF4" w:rsidP="00053A56">
      <w:pPr>
        <w:pBdr>
          <w:bottom w:val="single" w:sz="4" w:space="1" w:color="auto"/>
        </w:pBdr>
      </w:pPr>
    </w:p>
    <w:p w:rsidR="00524D4C" w:rsidRPr="00053A56" w:rsidRDefault="00524D4C" w:rsidP="00053A56"/>
    <w:p w:rsidR="00524D4C" w:rsidRPr="00053A56" w:rsidRDefault="00524D4C" w:rsidP="00053A56"/>
    <w:p w:rsidR="00F66040" w:rsidRPr="0021270B" w:rsidRDefault="00F66040" w:rsidP="009575F9">
      <w:pPr>
        <w:pStyle w:val="Heading5"/>
        <w:rPr>
          <w:lang w:val="en-NZ"/>
        </w:rPr>
      </w:pPr>
      <w:bookmarkStart w:id="78" w:name="_Toc427238271"/>
      <w:r w:rsidRPr="0021270B">
        <w:rPr>
          <w:lang w:val="en-NZ"/>
        </w:rPr>
        <w:t>Issue:</w:t>
      </w:r>
      <w:r w:rsidRPr="0021270B">
        <w:rPr>
          <w:lang w:val="en-NZ"/>
        </w:rPr>
        <w:tab/>
        <w:t>Communication strategy for bank account requirement</w:t>
      </w:r>
      <w:bookmarkEnd w:id="78"/>
    </w:p>
    <w:p w:rsidR="00F66040" w:rsidRPr="0021270B" w:rsidRDefault="00F66040" w:rsidP="00F66040">
      <w:pPr>
        <w:tabs>
          <w:tab w:val="left" w:pos="4800"/>
        </w:tabs>
        <w:jc w:val="left"/>
        <w:rPr>
          <w:lang w:val="en-NZ"/>
        </w:rPr>
      </w:pPr>
      <w:r w:rsidRPr="0021270B">
        <w:rPr>
          <w:lang w:val="en-NZ"/>
        </w:rPr>
        <w:tab/>
      </w: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Submission</w:t>
      </w:r>
    </w:p>
    <w:p w:rsidR="00F66040" w:rsidRPr="0021270B" w:rsidRDefault="00672EE5" w:rsidP="00F66040">
      <w:pPr>
        <w:tabs>
          <w:tab w:val="left" w:pos="5295"/>
        </w:tabs>
        <w:rPr>
          <w:i/>
          <w:lang w:val="en-NZ"/>
        </w:rPr>
      </w:pPr>
      <w:r w:rsidRPr="0021270B">
        <w:rPr>
          <w:i/>
          <w:lang w:val="en-NZ"/>
        </w:rPr>
        <w:t>(</w:t>
      </w:r>
      <w:r w:rsidR="00F66040" w:rsidRPr="0021270B">
        <w:rPr>
          <w:i/>
          <w:lang w:val="en-NZ"/>
        </w:rPr>
        <w:t>PricewaterhouseCoopers</w:t>
      </w:r>
      <w:r w:rsidRPr="0021270B">
        <w:rPr>
          <w:i/>
          <w:lang w:val="en-NZ"/>
        </w:rPr>
        <w:t>)</w:t>
      </w:r>
    </w:p>
    <w:p w:rsidR="00F66040" w:rsidRPr="0021270B" w:rsidRDefault="00F66040" w:rsidP="00F66040">
      <w:pPr>
        <w:tabs>
          <w:tab w:val="left" w:pos="5295"/>
        </w:tabs>
        <w:rPr>
          <w:lang w:val="en-NZ"/>
        </w:rPr>
      </w:pPr>
    </w:p>
    <w:p w:rsidR="00F66040" w:rsidRPr="0021270B" w:rsidRDefault="00F66040" w:rsidP="00F66040">
      <w:pPr>
        <w:rPr>
          <w:bCs/>
        </w:rPr>
      </w:pPr>
      <w:r w:rsidRPr="0021270B">
        <w:rPr>
          <w:bCs/>
        </w:rPr>
        <w:t>Inland Revenue should develop a communication strategy to ensure that persons affected by the new bank account requirement are sufficiently aware of their new obligations upon commencement.</w:t>
      </w: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Comment</w:t>
      </w:r>
    </w:p>
    <w:p w:rsidR="00F66040" w:rsidRPr="0021270B" w:rsidRDefault="00F66040" w:rsidP="00F66040">
      <w:pPr>
        <w:rPr>
          <w:lang w:val="en-NZ"/>
        </w:rPr>
      </w:pPr>
    </w:p>
    <w:p w:rsidR="00F66040" w:rsidRPr="0021270B" w:rsidRDefault="00F66040" w:rsidP="00F66040">
      <w:pPr>
        <w:rPr>
          <w:lang w:val="en-NZ"/>
        </w:rPr>
      </w:pPr>
      <w:r w:rsidRPr="0021270B">
        <w:rPr>
          <w:lang w:val="en-NZ"/>
        </w:rPr>
        <w:t xml:space="preserve">Inland Revenue and LINZ are coordinating to ensure that advisors most likely to be involved in property transactions are aware of any obligations that their clients may be under following the introduction of these rules. The IRD number application form </w:t>
      </w:r>
      <w:r w:rsidR="00AD634F" w:rsidRPr="0021270B">
        <w:rPr>
          <w:lang w:val="en-NZ"/>
        </w:rPr>
        <w:t>will be</w:t>
      </w:r>
      <w:r w:rsidRPr="0021270B">
        <w:rPr>
          <w:lang w:val="en-NZ"/>
        </w:rPr>
        <w:t xml:space="preserve"> updated so that, post 1 October 2015 the bank account requirement will be clearly signalled for offshore applicants.</w:t>
      </w: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Recommendation</w:t>
      </w:r>
    </w:p>
    <w:p w:rsidR="00F66040" w:rsidRPr="0021270B" w:rsidRDefault="00F66040" w:rsidP="00F66040">
      <w:pPr>
        <w:rPr>
          <w:lang w:val="en-NZ"/>
        </w:rPr>
      </w:pPr>
    </w:p>
    <w:p w:rsidR="00F66040" w:rsidRPr="0021270B" w:rsidRDefault="00F66040" w:rsidP="00F66040">
      <w:pPr>
        <w:rPr>
          <w:lang w:val="en-NZ"/>
        </w:rPr>
      </w:pPr>
      <w:r w:rsidRPr="0021270B">
        <w:rPr>
          <w:lang w:val="en-NZ"/>
        </w:rPr>
        <w:t>That the submission be noted.</w:t>
      </w:r>
    </w:p>
    <w:p w:rsidR="00F66040" w:rsidRPr="0021270B" w:rsidRDefault="00F66040" w:rsidP="003C6964">
      <w:pPr>
        <w:pBdr>
          <w:bottom w:val="single" w:sz="4" w:space="1" w:color="auto"/>
        </w:pBdr>
        <w:rPr>
          <w:lang w:val="en-NZ"/>
        </w:rPr>
      </w:pPr>
    </w:p>
    <w:p w:rsidR="00F66040" w:rsidRPr="0021270B" w:rsidRDefault="00F66040" w:rsidP="00F66040">
      <w:pPr>
        <w:rPr>
          <w:lang w:val="en-NZ"/>
        </w:rPr>
      </w:pPr>
    </w:p>
    <w:p w:rsidR="00F66040" w:rsidRPr="0021270B" w:rsidRDefault="00F66040" w:rsidP="009575F9">
      <w:pPr>
        <w:pStyle w:val="Heading5"/>
        <w:rPr>
          <w:lang w:val="en-NZ"/>
        </w:rPr>
      </w:pPr>
      <w:bookmarkStart w:id="79" w:name="_Toc427238272"/>
      <w:r w:rsidRPr="0021270B">
        <w:rPr>
          <w:lang w:val="en-NZ"/>
        </w:rPr>
        <w:lastRenderedPageBreak/>
        <w:t>Issue:</w:t>
      </w:r>
      <w:r w:rsidRPr="0021270B">
        <w:rPr>
          <w:lang w:val="en-NZ"/>
        </w:rPr>
        <w:tab/>
        <w:t>Banks requiring IRD number before opening account</w:t>
      </w:r>
      <w:bookmarkEnd w:id="79"/>
    </w:p>
    <w:p w:rsidR="00F66040" w:rsidRDefault="00F66040" w:rsidP="00F66040">
      <w:pPr>
        <w:tabs>
          <w:tab w:val="left" w:pos="4800"/>
        </w:tabs>
        <w:jc w:val="left"/>
        <w:rPr>
          <w:lang w:val="en-NZ"/>
        </w:rPr>
      </w:pPr>
    </w:p>
    <w:p w:rsidR="00053A56" w:rsidRPr="0021270B" w:rsidRDefault="00053A56" w:rsidP="00F66040">
      <w:pPr>
        <w:tabs>
          <w:tab w:val="left" w:pos="4800"/>
        </w:tabs>
        <w:jc w:val="left"/>
        <w:rPr>
          <w:lang w:val="en-NZ"/>
        </w:rPr>
      </w:pPr>
    </w:p>
    <w:p w:rsidR="00F66040" w:rsidRPr="0021270B" w:rsidRDefault="00F66040" w:rsidP="00F66040">
      <w:pPr>
        <w:keepNext/>
        <w:outlineLvl w:val="1"/>
        <w:rPr>
          <w:b/>
          <w:lang w:val="en-NZ"/>
        </w:rPr>
      </w:pPr>
      <w:r w:rsidRPr="0021270B">
        <w:rPr>
          <w:b/>
          <w:lang w:val="en-NZ"/>
        </w:rPr>
        <w:t>Submission</w:t>
      </w:r>
    </w:p>
    <w:p w:rsidR="00F66040" w:rsidRPr="0021270B" w:rsidRDefault="00672EE5" w:rsidP="00F66040">
      <w:pPr>
        <w:tabs>
          <w:tab w:val="left" w:pos="5295"/>
        </w:tabs>
        <w:rPr>
          <w:i/>
          <w:lang w:val="en-NZ"/>
        </w:rPr>
      </w:pPr>
      <w:r w:rsidRPr="0021270B">
        <w:rPr>
          <w:i/>
          <w:lang w:val="en-NZ"/>
        </w:rPr>
        <w:t>(</w:t>
      </w:r>
      <w:r w:rsidR="00F66040" w:rsidRPr="0021270B">
        <w:rPr>
          <w:i/>
          <w:lang w:val="en-NZ"/>
        </w:rPr>
        <w:t>Chapman Tripp</w:t>
      </w:r>
      <w:r w:rsidRPr="0021270B">
        <w:rPr>
          <w:i/>
          <w:lang w:val="en-NZ"/>
        </w:rPr>
        <w:t>)</w:t>
      </w:r>
    </w:p>
    <w:p w:rsidR="00F66040" w:rsidRPr="0021270B" w:rsidRDefault="00F66040" w:rsidP="00F66040">
      <w:pPr>
        <w:tabs>
          <w:tab w:val="left" w:pos="5295"/>
        </w:tabs>
        <w:rPr>
          <w:lang w:val="en-NZ"/>
        </w:rPr>
      </w:pPr>
    </w:p>
    <w:p w:rsidR="00F66040" w:rsidRPr="0021270B" w:rsidRDefault="00F66040" w:rsidP="00F66040">
      <w:pPr>
        <w:rPr>
          <w:bCs/>
        </w:rPr>
      </w:pPr>
      <w:r w:rsidRPr="0021270B">
        <w:rPr>
          <w:bCs/>
        </w:rPr>
        <w:t>Offshore persons may have difficulty providing a New Zealand bank account number in order to obtain an IRD number because some registered banks will require an IRD number before they will allow a bank account to be opened.</w:t>
      </w: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Comment</w:t>
      </w:r>
    </w:p>
    <w:p w:rsidR="00F66040" w:rsidRPr="0021270B" w:rsidRDefault="00F66040" w:rsidP="00F66040">
      <w:pPr>
        <w:rPr>
          <w:lang w:val="en-NZ"/>
        </w:rPr>
      </w:pPr>
    </w:p>
    <w:p w:rsidR="00F66040" w:rsidRPr="0021270B" w:rsidRDefault="00F66040" w:rsidP="00F66040">
      <w:pPr>
        <w:rPr>
          <w:lang w:val="en-NZ"/>
        </w:rPr>
      </w:pPr>
      <w:r w:rsidRPr="0021270B">
        <w:rPr>
          <w:lang w:val="en-NZ"/>
        </w:rPr>
        <w:t xml:space="preserve">Officials understand that the absence of an IRD number should not </w:t>
      </w:r>
      <w:r w:rsidR="00AD634F" w:rsidRPr="0021270B">
        <w:rPr>
          <w:lang w:val="en-NZ"/>
        </w:rPr>
        <w:t xml:space="preserve">prevent </w:t>
      </w:r>
      <w:r w:rsidRPr="0021270B">
        <w:rPr>
          <w:lang w:val="en-NZ"/>
        </w:rPr>
        <w:t>a person</w:t>
      </w:r>
      <w:r w:rsidR="00AD634F" w:rsidRPr="0021270B">
        <w:rPr>
          <w:lang w:val="en-NZ"/>
        </w:rPr>
        <w:t xml:space="preserve"> from</w:t>
      </w:r>
      <w:r w:rsidRPr="0021270B">
        <w:rPr>
          <w:lang w:val="en-NZ"/>
        </w:rPr>
        <w:t xml:space="preserve"> open</w:t>
      </w:r>
      <w:r w:rsidR="00AD634F" w:rsidRPr="0021270B">
        <w:rPr>
          <w:lang w:val="en-NZ"/>
        </w:rPr>
        <w:t>ing a bank account.</w:t>
      </w:r>
      <w:r w:rsidRPr="0021270B">
        <w:rPr>
          <w:lang w:val="en-NZ"/>
        </w:rPr>
        <w:t xml:space="preserve"> A bank </w:t>
      </w:r>
      <w:r w:rsidR="00AD634F" w:rsidRPr="0021270B">
        <w:rPr>
          <w:lang w:val="en-NZ"/>
        </w:rPr>
        <w:t>could</w:t>
      </w:r>
      <w:r w:rsidRPr="0021270B">
        <w:rPr>
          <w:lang w:val="en-NZ"/>
        </w:rPr>
        <w:t xml:space="preserve"> open an account irrespective of whether the person has the numb</w:t>
      </w:r>
      <w:r w:rsidR="00AD634F" w:rsidRPr="0021270B">
        <w:rPr>
          <w:lang w:val="en-NZ"/>
        </w:rPr>
        <w:t>er.</w:t>
      </w:r>
      <w:r w:rsidRPr="0021270B">
        <w:rPr>
          <w:lang w:val="en-NZ"/>
        </w:rPr>
        <w:t xml:space="preserve"> The practical difference is, as the submitter points out, that the “non-disclosure” tax rate will apply to the account until a</w:t>
      </w:r>
      <w:r w:rsidR="00AD634F" w:rsidRPr="0021270B">
        <w:rPr>
          <w:lang w:val="en-NZ"/>
        </w:rPr>
        <w:t>n IRD number is attached to it.</w:t>
      </w:r>
      <w:r w:rsidRPr="0021270B">
        <w:rPr>
          <w:lang w:val="en-NZ"/>
        </w:rPr>
        <w:t xml:space="preserve"> The non-disclosure rate is the top personal marginal rate of 33%.</w:t>
      </w:r>
    </w:p>
    <w:p w:rsidR="00F66040" w:rsidRPr="0021270B" w:rsidRDefault="00F66040" w:rsidP="00F66040">
      <w:pPr>
        <w:rPr>
          <w:lang w:val="en-NZ"/>
        </w:rPr>
      </w:pPr>
    </w:p>
    <w:p w:rsidR="00F66040" w:rsidRPr="0021270B" w:rsidRDefault="00F66040" w:rsidP="00F66040">
      <w:pPr>
        <w:rPr>
          <w:lang w:val="en-NZ"/>
        </w:rPr>
      </w:pPr>
      <w:r w:rsidRPr="0021270B">
        <w:rPr>
          <w:lang w:val="en-NZ"/>
        </w:rPr>
        <w:t>However, if a person opens an account and then applies for an IRD number, the IRD number can then be taken back to the bank and attached to the account.  It is recognised that this extra transaction with the bank will have some compliance costs, but these are not expected to</w:t>
      </w:r>
      <w:r w:rsidR="00583E49" w:rsidRPr="0021270B">
        <w:rPr>
          <w:lang w:val="en-NZ"/>
        </w:rPr>
        <w:t xml:space="preserve"> be</w:t>
      </w:r>
      <w:r w:rsidRPr="0021270B">
        <w:rPr>
          <w:lang w:val="en-NZ"/>
        </w:rPr>
        <w:t xml:space="preserve"> si</w:t>
      </w:r>
      <w:r w:rsidR="00AD634F" w:rsidRPr="0021270B">
        <w:rPr>
          <w:lang w:val="en-NZ"/>
        </w:rPr>
        <w:t>gnificant.</w:t>
      </w:r>
      <w:r w:rsidRPr="0021270B">
        <w:rPr>
          <w:lang w:val="en-NZ"/>
        </w:rPr>
        <w:t xml:space="preserve"> Also, given the timeframes, if these actions are taken promptly, it is unlikely that the higher rate will be in place for any meaningful period of time and so should not impact on interest payments made in respect of the account.</w:t>
      </w: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Recommendation</w:t>
      </w:r>
    </w:p>
    <w:p w:rsidR="00F66040" w:rsidRPr="0021270B" w:rsidRDefault="00F66040" w:rsidP="00F66040">
      <w:pPr>
        <w:rPr>
          <w:lang w:val="en-NZ"/>
        </w:rPr>
      </w:pPr>
    </w:p>
    <w:p w:rsidR="00F66040" w:rsidRPr="0021270B" w:rsidRDefault="00F66040" w:rsidP="00F66040">
      <w:pPr>
        <w:rPr>
          <w:lang w:val="en-NZ"/>
        </w:rPr>
      </w:pPr>
      <w:r w:rsidRPr="0021270B">
        <w:rPr>
          <w:lang w:val="en-NZ"/>
        </w:rPr>
        <w:t>That the submission be noted.</w:t>
      </w:r>
    </w:p>
    <w:p w:rsidR="00F66040" w:rsidRPr="0021270B" w:rsidRDefault="00F66040" w:rsidP="00F66040">
      <w:pPr>
        <w:pBdr>
          <w:bottom w:val="single" w:sz="4" w:space="1" w:color="auto"/>
        </w:pBdr>
        <w:rPr>
          <w:lang w:val="en-NZ"/>
        </w:rPr>
      </w:pPr>
    </w:p>
    <w:p w:rsidR="00F66040" w:rsidRPr="0021270B" w:rsidRDefault="00F66040" w:rsidP="00F66040">
      <w:pPr>
        <w:rPr>
          <w:lang w:val="en-NZ"/>
        </w:rPr>
      </w:pPr>
    </w:p>
    <w:p w:rsidR="00524D4C" w:rsidRPr="0021270B" w:rsidRDefault="00524D4C" w:rsidP="00F66040">
      <w:pPr>
        <w:rPr>
          <w:lang w:val="en-NZ"/>
        </w:rPr>
      </w:pPr>
    </w:p>
    <w:p w:rsidR="00F66040" w:rsidRPr="0021270B" w:rsidRDefault="00F66040" w:rsidP="009575F9">
      <w:pPr>
        <w:pStyle w:val="Heading5"/>
        <w:rPr>
          <w:b w:val="0"/>
        </w:rPr>
      </w:pPr>
      <w:bookmarkStart w:id="80" w:name="_Toc427238273"/>
      <w:r w:rsidRPr="0021270B">
        <w:t>Issue:</w:t>
      </w:r>
      <w:r w:rsidRPr="0021270B">
        <w:tab/>
        <w:t>Post-implementation review of bank account requirement</w:t>
      </w:r>
      <w:bookmarkEnd w:id="80"/>
    </w:p>
    <w:p w:rsidR="00F66040" w:rsidRPr="0021270B" w:rsidRDefault="00F66040" w:rsidP="00F66040">
      <w:pPr>
        <w:rPr>
          <w:lang w:val="en-NZ"/>
        </w:rPr>
      </w:pP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Submission</w:t>
      </w:r>
    </w:p>
    <w:p w:rsidR="00F66040" w:rsidRPr="0021270B" w:rsidRDefault="00672EE5" w:rsidP="00F66040">
      <w:pPr>
        <w:tabs>
          <w:tab w:val="left" w:pos="5295"/>
        </w:tabs>
        <w:rPr>
          <w:i/>
          <w:lang w:val="en-NZ"/>
        </w:rPr>
      </w:pPr>
      <w:r w:rsidRPr="0021270B">
        <w:rPr>
          <w:i/>
          <w:lang w:val="en-NZ"/>
        </w:rPr>
        <w:t>(</w:t>
      </w:r>
      <w:r w:rsidR="00F66040" w:rsidRPr="0021270B">
        <w:rPr>
          <w:i/>
          <w:lang w:val="en-NZ"/>
        </w:rPr>
        <w:t>Chartered Accountants Australia and New Zealand</w:t>
      </w:r>
      <w:r w:rsidRPr="0021270B">
        <w:rPr>
          <w:i/>
          <w:lang w:val="en-NZ"/>
        </w:rPr>
        <w:t>)</w:t>
      </w:r>
    </w:p>
    <w:p w:rsidR="00F66040" w:rsidRPr="0021270B" w:rsidRDefault="00F66040" w:rsidP="00F66040">
      <w:pPr>
        <w:tabs>
          <w:tab w:val="left" w:pos="5295"/>
        </w:tabs>
        <w:rPr>
          <w:lang w:val="en-NZ"/>
        </w:rPr>
      </w:pPr>
    </w:p>
    <w:p w:rsidR="00F66040" w:rsidRPr="0021270B" w:rsidRDefault="00F66040" w:rsidP="00F66040">
      <w:pPr>
        <w:rPr>
          <w:bCs/>
        </w:rPr>
      </w:pPr>
      <w:r w:rsidRPr="0021270B">
        <w:rPr>
          <w:bCs/>
        </w:rPr>
        <w:t>A post-implementation review is done in two-three years</w:t>
      </w:r>
      <w:r w:rsidR="005641C1">
        <w:rPr>
          <w:bCs/>
        </w:rPr>
        <w:t>’</w:t>
      </w:r>
      <w:r w:rsidRPr="0021270B">
        <w:rPr>
          <w:bCs/>
        </w:rPr>
        <w:t xml:space="preserve"> time on the requirement to provide a New Zealand bank account number in order to obtain an IRD number.</w:t>
      </w: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Comment</w:t>
      </w:r>
    </w:p>
    <w:p w:rsidR="00F66040" w:rsidRPr="0021270B" w:rsidRDefault="00F66040" w:rsidP="00F66040">
      <w:pPr>
        <w:rPr>
          <w:lang w:val="en-NZ"/>
        </w:rPr>
      </w:pPr>
    </w:p>
    <w:p w:rsidR="00F66040" w:rsidRPr="0021270B" w:rsidRDefault="00F66040" w:rsidP="00F66040">
      <w:pPr>
        <w:rPr>
          <w:lang w:val="en-NZ"/>
        </w:rPr>
      </w:pPr>
      <w:r w:rsidRPr="0021270B">
        <w:rPr>
          <w:lang w:val="en-NZ"/>
        </w:rPr>
        <w:t>A post implementation review is a recognised part of the generic tax policy process.</w:t>
      </w:r>
      <w:r w:rsidR="00EE557E" w:rsidRPr="0021270B">
        <w:rPr>
          <w:rStyle w:val="FootnoteReference"/>
          <w:lang w:val="en-NZ"/>
        </w:rPr>
        <w:footnoteReference w:id="2"/>
      </w:r>
      <w:r w:rsidRPr="0021270B">
        <w:rPr>
          <w:lang w:val="en-NZ"/>
        </w:rPr>
        <w:t xml:space="preserve">  The submitter has raised the issue that the bank account requirement may be superseded by Phase 2 of the </w:t>
      </w:r>
      <w:r w:rsidR="00BF7827" w:rsidRPr="0021270B">
        <w:t xml:space="preserve"> </w:t>
      </w:r>
      <w:r w:rsidR="00BF7827" w:rsidRPr="0021270B">
        <w:rPr>
          <w:lang w:val="en-NZ"/>
        </w:rPr>
        <w:t xml:space="preserve">anti-money laundering </w:t>
      </w:r>
      <w:r w:rsidRPr="0021270B">
        <w:rPr>
          <w:lang w:val="en-NZ"/>
        </w:rPr>
        <w:t>legislation, which is expected to apply to solicitors, real estate agents and conveyancers.</w:t>
      </w:r>
    </w:p>
    <w:p w:rsidR="00F66040" w:rsidRPr="0021270B" w:rsidRDefault="00F66040" w:rsidP="00F66040">
      <w:pPr>
        <w:rPr>
          <w:lang w:val="en-NZ"/>
        </w:rPr>
      </w:pPr>
    </w:p>
    <w:p w:rsidR="00F66040" w:rsidRPr="0021270B" w:rsidRDefault="00F66040" w:rsidP="00F66040">
      <w:pPr>
        <w:rPr>
          <w:lang w:val="en-NZ"/>
        </w:rPr>
      </w:pPr>
      <w:r w:rsidRPr="0021270B">
        <w:rPr>
          <w:lang w:val="en-NZ"/>
        </w:rPr>
        <w:lastRenderedPageBreak/>
        <w:t>Officials agree that unnecessary duplication of information is undesirable and so, subject to other Government priorities, agree that the effect of the bank account requirement be reviewed following Phase 2 of</w:t>
      </w:r>
      <w:r w:rsidR="00F37157" w:rsidRPr="0021270B">
        <w:rPr>
          <w:lang w:val="en-NZ"/>
        </w:rPr>
        <w:t xml:space="preserve"> the</w:t>
      </w:r>
      <w:r w:rsidR="00BF7827" w:rsidRPr="0021270B">
        <w:t xml:space="preserve"> </w:t>
      </w:r>
      <w:r w:rsidR="00BF7827" w:rsidRPr="0021270B">
        <w:rPr>
          <w:lang w:val="en-NZ"/>
        </w:rPr>
        <w:t>anti-money laundering reform</w:t>
      </w:r>
      <w:r w:rsidRPr="0021270B">
        <w:rPr>
          <w:lang w:val="en-NZ"/>
        </w:rPr>
        <w:t>.</w:t>
      </w:r>
    </w:p>
    <w:p w:rsidR="00F66040" w:rsidRPr="00053A56" w:rsidRDefault="00F66040" w:rsidP="00F66040">
      <w:pPr>
        <w:rPr>
          <w:sz w:val="20"/>
          <w:lang w:val="en-NZ"/>
        </w:rPr>
      </w:pPr>
    </w:p>
    <w:p w:rsidR="00F66040" w:rsidRPr="0021270B" w:rsidRDefault="00F66040" w:rsidP="00F66040">
      <w:pPr>
        <w:keepNext/>
        <w:outlineLvl w:val="1"/>
        <w:rPr>
          <w:b/>
          <w:lang w:val="en-NZ"/>
        </w:rPr>
      </w:pPr>
      <w:r w:rsidRPr="0021270B">
        <w:rPr>
          <w:b/>
          <w:lang w:val="en-NZ"/>
        </w:rPr>
        <w:t>Recommendation</w:t>
      </w:r>
    </w:p>
    <w:p w:rsidR="00F66040" w:rsidRPr="00053A56" w:rsidRDefault="00F66040" w:rsidP="00F66040">
      <w:pPr>
        <w:rPr>
          <w:sz w:val="20"/>
          <w:lang w:val="en-NZ"/>
        </w:rPr>
      </w:pPr>
    </w:p>
    <w:p w:rsidR="00F66040" w:rsidRPr="0021270B" w:rsidRDefault="00F66040" w:rsidP="00F66040">
      <w:pPr>
        <w:rPr>
          <w:lang w:val="en-NZ"/>
        </w:rPr>
      </w:pPr>
      <w:r w:rsidRPr="0021270B">
        <w:rPr>
          <w:lang w:val="en-NZ"/>
        </w:rPr>
        <w:t>That the submission be noted.</w:t>
      </w:r>
    </w:p>
    <w:p w:rsidR="00F66040" w:rsidRPr="003C6964" w:rsidRDefault="00F66040" w:rsidP="00F66040">
      <w:pPr>
        <w:pBdr>
          <w:bottom w:val="single" w:sz="4" w:space="1" w:color="auto"/>
        </w:pBdr>
        <w:rPr>
          <w:sz w:val="10"/>
          <w:szCs w:val="10"/>
          <w:lang w:val="en-NZ"/>
        </w:rPr>
      </w:pPr>
    </w:p>
    <w:p w:rsidR="00F66040" w:rsidRPr="00053A56" w:rsidRDefault="00F66040" w:rsidP="00F66040">
      <w:pPr>
        <w:rPr>
          <w:sz w:val="18"/>
          <w:szCs w:val="18"/>
          <w:lang w:val="en-NZ"/>
        </w:rPr>
      </w:pPr>
    </w:p>
    <w:p w:rsidR="00524D4C" w:rsidRPr="00053A56" w:rsidRDefault="00524D4C" w:rsidP="00F66040">
      <w:pPr>
        <w:rPr>
          <w:sz w:val="18"/>
          <w:szCs w:val="18"/>
          <w:lang w:val="en-NZ"/>
        </w:rPr>
      </w:pPr>
    </w:p>
    <w:p w:rsidR="00F66040" w:rsidRPr="0021270B" w:rsidRDefault="00F66040" w:rsidP="009575F9">
      <w:pPr>
        <w:pStyle w:val="Heading5"/>
        <w:rPr>
          <w:lang w:val="en-NZ"/>
        </w:rPr>
      </w:pPr>
      <w:bookmarkStart w:id="81" w:name="_Toc427238274"/>
      <w:r w:rsidRPr="0021270B">
        <w:rPr>
          <w:lang w:val="en-NZ"/>
        </w:rPr>
        <w:t>Issue:</w:t>
      </w:r>
      <w:r w:rsidRPr="0021270B">
        <w:rPr>
          <w:lang w:val="en-NZ"/>
        </w:rPr>
        <w:tab/>
        <w:t>Definition of offshore person</w:t>
      </w:r>
      <w:bookmarkEnd w:id="81"/>
    </w:p>
    <w:p w:rsidR="00524D4C" w:rsidRPr="00053A56" w:rsidRDefault="00524D4C" w:rsidP="00F66040">
      <w:pPr>
        <w:tabs>
          <w:tab w:val="left" w:pos="4950"/>
        </w:tabs>
        <w:rPr>
          <w:sz w:val="18"/>
          <w:szCs w:val="18"/>
          <w:lang w:val="en-NZ"/>
        </w:rPr>
      </w:pPr>
    </w:p>
    <w:p w:rsidR="00F66040" w:rsidRPr="00053A56" w:rsidRDefault="00F66040" w:rsidP="00F66040">
      <w:pPr>
        <w:tabs>
          <w:tab w:val="left" w:pos="4950"/>
        </w:tabs>
        <w:rPr>
          <w:sz w:val="18"/>
          <w:szCs w:val="18"/>
          <w:lang w:val="en-NZ"/>
        </w:rPr>
      </w:pPr>
    </w:p>
    <w:p w:rsidR="00F66040" w:rsidRPr="0021270B" w:rsidRDefault="00F66040" w:rsidP="00F66040">
      <w:pPr>
        <w:keepNext/>
        <w:outlineLvl w:val="1"/>
        <w:rPr>
          <w:b/>
          <w:lang w:val="en-NZ"/>
        </w:rPr>
      </w:pPr>
      <w:r w:rsidRPr="0021270B">
        <w:rPr>
          <w:b/>
          <w:lang w:val="en-NZ"/>
        </w:rPr>
        <w:t>Submission</w:t>
      </w:r>
    </w:p>
    <w:p w:rsidR="00F66040" w:rsidRPr="0021270B" w:rsidRDefault="00672EE5" w:rsidP="00F66040">
      <w:pPr>
        <w:tabs>
          <w:tab w:val="left" w:pos="5295"/>
        </w:tabs>
        <w:rPr>
          <w:i/>
          <w:lang w:val="en-NZ"/>
        </w:rPr>
      </w:pPr>
      <w:r w:rsidRPr="0021270B">
        <w:rPr>
          <w:i/>
          <w:lang w:val="en-NZ"/>
        </w:rPr>
        <w:t>(</w:t>
      </w:r>
      <w:r w:rsidR="00F66040" w:rsidRPr="0021270B">
        <w:rPr>
          <w:i/>
          <w:lang w:val="en-NZ"/>
        </w:rPr>
        <w:t>Chartered Accountants Australia and New Zealand, Chapman Tripp</w:t>
      </w:r>
      <w:r w:rsidRPr="0021270B">
        <w:rPr>
          <w:i/>
          <w:lang w:val="en-NZ"/>
        </w:rPr>
        <w:t>)</w:t>
      </w:r>
    </w:p>
    <w:p w:rsidR="00F66040" w:rsidRPr="00053A56" w:rsidRDefault="00F66040" w:rsidP="00F66040">
      <w:pPr>
        <w:rPr>
          <w:bCs/>
          <w:sz w:val="20"/>
        </w:rPr>
      </w:pPr>
    </w:p>
    <w:p w:rsidR="00F66040" w:rsidRPr="0021270B" w:rsidRDefault="00F66040" w:rsidP="00F66040">
      <w:pPr>
        <w:rPr>
          <w:bCs/>
          <w:i/>
        </w:rPr>
      </w:pPr>
      <w:r w:rsidRPr="0021270B">
        <w:rPr>
          <w:bCs/>
        </w:rPr>
        <w:t>Reconsider the first two parts of the definition of offshore person (for an individual), those being New Zealand citizens not in New Zealand within the previous three years and resident class visa holders not in New Zealand in the last 12 months. (</w:t>
      </w:r>
      <w:r w:rsidR="00BD68F8" w:rsidRPr="0021270B">
        <w:rPr>
          <w:bCs/>
          <w:i/>
        </w:rPr>
        <w:t>Chartered Accountants Australia and New Zealand</w:t>
      </w:r>
      <w:r w:rsidRPr="0021270B">
        <w:rPr>
          <w:bCs/>
          <w:i/>
        </w:rPr>
        <w:t>)</w:t>
      </w:r>
    </w:p>
    <w:p w:rsidR="00F66040" w:rsidRPr="00053A56" w:rsidRDefault="00F66040" w:rsidP="00F66040">
      <w:pPr>
        <w:rPr>
          <w:bCs/>
          <w:sz w:val="20"/>
        </w:rPr>
      </w:pPr>
    </w:p>
    <w:p w:rsidR="00F66040" w:rsidRPr="0021270B" w:rsidRDefault="00F66040" w:rsidP="00F66040">
      <w:pPr>
        <w:rPr>
          <w:bCs/>
        </w:rPr>
      </w:pPr>
      <w:r w:rsidRPr="0021270B">
        <w:rPr>
          <w:bCs/>
        </w:rPr>
        <w:t xml:space="preserve">For the purposes of being under a positive obligation to provide a bank account number, the definition should align with the “overseas person” definition in the Overseas Investment Act. </w:t>
      </w:r>
      <w:r w:rsidRPr="0021270B">
        <w:rPr>
          <w:bCs/>
          <w:i/>
        </w:rPr>
        <w:t>(Chapman Tripp)</w:t>
      </w:r>
    </w:p>
    <w:p w:rsidR="00F66040" w:rsidRPr="00053A56" w:rsidRDefault="00F66040" w:rsidP="00F66040">
      <w:pPr>
        <w:rPr>
          <w:sz w:val="20"/>
          <w:lang w:val="en-NZ"/>
        </w:rPr>
      </w:pPr>
    </w:p>
    <w:p w:rsidR="00F66040" w:rsidRPr="0021270B" w:rsidRDefault="00F66040" w:rsidP="00F66040">
      <w:pPr>
        <w:keepNext/>
        <w:outlineLvl w:val="1"/>
        <w:rPr>
          <w:b/>
          <w:lang w:val="en-NZ"/>
        </w:rPr>
      </w:pPr>
      <w:r w:rsidRPr="0021270B">
        <w:rPr>
          <w:b/>
          <w:lang w:val="en-NZ"/>
        </w:rPr>
        <w:t>Comment</w:t>
      </w:r>
    </w:p>
    <w:p w:rsidR="00F66040" w:rsidRPr="00053A56" w:rsidRDefault="00F66040" w:rsidP="00F66040">
      <w:pPr>
        <w:rPr>
          <w:sz w:val="20"/>
          <w:lang w:val="en-NZ"/>
        </w:rPr>
      </w:pPr>
    </w:p>
    <w:p w:rsidR="00F66040" w:rsidRPr="0021270B" w:rsidRDefault="00F66040" w:rsidP="00F66040">
      <w:pPr>
        <w:rPr>
          <w:lang w:val="en-NZ"/>
        </w:rPr>
      </w:pPr>
      <w:r w:rsidRPr="0021270B">
        <w:rPr>
          <w:lang w:val="en-NZ"/>
        </w:rPr>
        <w:t xml:space="preserve">A definition linked to immigration status was chosen because it is easier for most people to understand than the </w:t>
      </w:r>
      <w:r w:rsidR="00F37157" w:rsidRPr="0021270B">
        <w:rPr>
          <w:lang w:val="en-NZ"/>
        </w:rPr>
        <w:t>concept</w:t>
      </w:r>
      <w:r w:rsidRPr="0021270B">
        <w:rPr>
          <w:lang w:val="en-NZ"/>
        </w:rPr>
        <w:t xml:space="preserve"> of tax residence.  Although a person</w:t>
      </w:r>
      <w:r w:rsidR="005641C1">
        <w:rPr>
          <w:lang w:val="en-NZ"/>
        </w:rPr>
        <w:t>’</w:t>
      </w:r>
      <w:r w:rsidRPr="0021270B">
        <w:rPr>
          <w:lang w:val="en-NZ"/>
        </w:rPr>
        <w:t xml:space="preserve">s tax residence and immigration status are often the same, this is not always the case.  In marginal cases, tax residence can be difficult to determine, whereas immigration status is </w:t>
      </w:r>
      <w:r w:rsidR="00F37157" w:rsidRPr="0021270B">
        <w:rPr>
          <w:lang w:val="en-NZ"/>
        </w:rPr>
        <w:t>generally clearer</w:t>
      </w:r>
      <w:r w:rsidRPr="0021270B">
        <w:rPr>
          <w:lang w:val="en-NZ"/>
        </w:rPr>
        <w:t>.</w:t>
      </w:r>
    </w:p>
    <w:p w:rsidR="00F66040" w:rsidRPr="00053A56" w:rsidRDefault="00F66040" w:rsidP="00F66040">
      <w:pPr>
        <w:rPr>
          <w:sz w:val="20"/>
          <w:lang w:val="en-NZ"/>
        </w:rPr>
      </w:pPr>
    </w:p>
    <w:p w:rsidR="00F66040" w:rsidRPr="0021270B" w:rsidRDefault="00F66040" w:rsidP="00F66040">
      <w:pPr>
        <w:rPr>
          <w:lang w:val="en-NZ"/>
        </w:rPr>
      </w:pPr>
      <w:r w:rsidRPr="0021270B">
        <w:rPr>
          <w:lang w:val="en-NZ"/>
        </w:rPr>
        <w:t>However, officials consider it is important that there is not a blanket exemption from the bank account requirement for New Zealand citizens. If a person has no meaningful connection with New Zealand their treatment should be the same irrespective of their immigration status.</w:t>
      </w:r>
    </w:p>
    <w:p w:rsidR="00F66040" w:rsidRPr="00053A56" w:rsidRDefault="00F66040" w:rsidP="00F66040">
      <w:pPr>
        <w:rPr>
          <w:sz w:val="20"/>
          <w:lang w:val="en-NZ"/>
        </w:rPr>
      </w:pPr>
    </w:p>
    <w:p w:rsidR="00F66040" w:rsidRPr="0021270B" w:rsidRDefault="00F66040" w:rsidP="00F66040">
      <w:pPr>
        <w:rPr>
          <w:lang w:val="en-NZ"/>
        </w:rPr>
      </w:pPr>
      <w:r w:rsidRPr="0021270B">
        <w:rPr>
          <w:lang w:val="en-NZ"/>
        </w:rPr>
        <w:t xml:space="preserve">The proposed test that a citizen will become an offshore person if they have not been in New Zealand in the previous three years (12 months in the case of residence class visa holders) is replicated in the Electoral Act 1993. Officials consider this test will be simple for people to apply and is appropriate in terms of differentiating between citizens and residents that have retained some connection with New Zealand </w:t>
      </w:r>
      <w:r w:rsidR="00880B36" w:rsidRPr="0021270B">
        <w:rPr>
          <w:lang w:val="en-NZ"/>
        </w:rPr>
        <w:t xml:space="preserve">and </w:t>
      </w:r>
      <w:r w:rsidRPr="0021270B">
        <w:rPr>
          <w:lang w:val="en-NZ"/>
        </w:rPr>
        <w:t>those that have not.</w:t>
      </w:r>
    </w:p>
    <w:p w:rsidR="00F66040" w:rsidRPr="00053A56" w:rsidRDefault="00F66040" w:rsidP="00F66040">
      <w:pPr>
        <w:rPr>
          <w:sz w:val="20"/>
          <w:lang w:val="en-NZ"/>
        </w:rPr>
      </w:pPr>
    </w:p>
    <w:p w:rsidR="00F66040" w:rsidRPr="0021270B" w:rsidRDefault="00F66040" w:rsidP="00F66040">
      <w:pPr>
        <w:rPr>
          <w:lang w:val="en-NZ"/>
        </w:rPr>
      </w:pPr>
      <w:r w:rsidRPr="0021270B">
        <w:rPr>
          <w:lang w:val="en-NZ"/>
        </w:rPr>
        <w:t xml:space="preserve">With regard to the Chapman Tripp submission, officials consider that applying one rule for individuals and a different rule for individuals that have interest in a New Zealand company/trust may incentivise people to ether apply for an IRD number directly or as a shareholder in a company, depending on which route provides the more favourable outcome.  To the extent possible, </w:t>
      </w:r>
      <w:r w:rsidR="00A33BE5" w:rsidRPr="0021270B">
        <w:rPr>
          <w:lang w:val="en-NZ"/>
        </w:rPr>
        <w:t xml:space="preserve">officials </w:t>
      </w:r>
      <w:r w:rsidRPr="0021270B">
        <w:rPr>
          <w:lang w:val="en-NZ"/>
        </w:rPr>
        <w:t>consider it desirable to limit these types of behavioural distortions.</w:t>
      </w:r>
    </w:p>
    <w:p w:rsidR="00F66040" w:rsidRPr="00053A56" w:rsidRDefault="00F66040" w:rsidP="00F66040">
      <w:pPr>
        <w:rPr>
          <w:sz w:val="20"/>
          <w:lang w:val="en-NZ"/>
        </w:rPr>
      </w:pPr>
    </w:p>
    <w:p w:rsidR="00F66040" w:rsidRPr="0021270B" w:rsidRDefault="00F66040" w:rsidP="00F66040">
      <w:pPr>
        <w:keepNext/>
        <w:outlineLvl w:val="1"/>
        <w:rPr>
          <w:b/>
          <w:lang w:val="en-NZ"/>
        </w:rPr>
      </w:pPr>
      <w:r w:rsidRPr="0021270B">
        <w:rPr>
          <w:b/>
          <w:lang w:val="en-NZ"/>
        </w:rPr>
        <w:t>Recommendation</w:t>
      </w:r>
    </w:p>
    <w:p w:rsidR="00F66040" w:rsidRPr="00053A56" w:rsidRDefault="00F66040" w:rsidP="00F66040">
      <w:pPr>
        <w:rPr>
          <w:sz w:val="20"/>
          <w:lang w:val="en-NZ"/>
        </w:rPr>
      </w:pPr>
    </w:p>
    <w:p w:rsidR="00F66040" w:rsidRPr="0021270B" w:rsidRDefault="00F66040" w:rsidP="003C6964">
      <w:pPr>
        <w:pBdr>
          <w:bottom w:val="single" w:sz="4" w:space="5" w:color="auto"/>
        </w:pBdr>
        <w:rPr>
          <w:lang w:val="en-NZ"/>
        </w:rPr>
      </w:pPr>
      <w:r w:rsidRPr="0021270B">
        <w:rPr>
          <w:lang w:val="en-NZ"/>
        </w:rPr>
        <w:t>That the submission</w:t>
      </w:r>
      <w:r w:rsidR="000339DC" w:rsidRPr="0021270B">
        <w:rPr>
          <w:lang w:val="en-NZ"/>
        </w:rPr>
        <w:t>s</w:t>
      </w:r>
      <w:r w:rsidRPr="0021270B">
        <w:rPr>
          <w:lang w:val="en-NZ"/>
        </w:rPr>
        <w:t xml:space="preserve"> be declined.</w:t>
      </w:r>
    </w:p>
    <w:p w:rsidR="00F66040" w:rsidRPr="0021270B" w:rsidRDefault="00F66040" w:rsidP="009575F9">
      <w:pPr>
        <w:pStyle w:val="Heading5"/>
        <w:rPr>
          <w:lang w:val="en-NZ"/>
        </w:rPr>
      </w:pPr>
      <w:bookmarkStart w:id="82" w:name="_Toc427238275"/>
      <w:r w:rsidRPr="0021270B">
        <w:rPr>
          <w:lang w:val="en-NZ"/>
        </w:rPr>
        <w:lastRenderedPageBreak/>
        <w:t>Issue:</w:t>
      </w:r>
      <w:r w:rsidRPr="0021270B">
        <w:rPr>
          <w:lang w:val="en-NZ"/>
        </w:rPr>
        <w:tab/>
        <w:t>Clarification on “been in New Zealand”</w:t>
      </w:r>
      <w:bookmarkEnd w:id="82"/>
    </w:p>
    <w:p w:rsidR="00F66040" w:rsidRPr="0021270B" w:rsidRDefault="00F66040" w:rsidP="00F66040">
      <w:pPr>
        <w:rPr>
          <w:lang w:val="en-NZ"/>
        </w:rPr>
      </w:pP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Submission</w:t>
      </w:r>
    </w:p>
    <w:p w:rsidR="00F66040" w:rsidRPr="0021270B" w:rsidRDefault="00672EE5" w:rsidP="00F66040">
      <w:pPr>
        <w:tabs>
          <w:tab w:val="left" w:pos="5295"/>
        </w:tabs>
        <w:rPr>
          <w:i/>
          <w:lang w:val="en-NZ"/>
        </w:rPr>
      </w:pPr>
      <w:r w:rsidRPr="0021270B">
        <w:rPr>
          <w:i/>
          <w:lang w:val="en-NZ"/>
        </w:rPr>
        <w:t>(</w:t>
      </w:r>
      <w:r w:rsidR="00F66040" w:rsidRPr="0021270B">
        <w:rPr>
          <w:i/>
          <w:lang w:val="en-NZ"/>
        </w:rPr>
        <w:t>Chartered Accountants Australia and New Zealand</w:t>
      </w:r>
      <w:r w:rsidRPr="0021270B">
        <w:rPr>
          <w:i/>
          <w:lang w:val="en-NZ"/>
        </w:rPr>
        <w:t>)</w:t>
      </w:r>
    </w:p>
    <w:p w:rsidR="00F66040" w:rsidRPr="0021270B" w:rsidRDefault="00F66040" w:rsidP="00F66040">
      <w:pPr>
        <w:tabs>
          <w:tab w:val="left" w:pos="5295"/>
        </w:tabs>
        <w:rPr>
          <w:lang w:val="en-NZ"/>
        </w:rPr>
      </w:pPr>
    </w:p>
    <w:p w:rsidR="00F66040" w:rsidRPr="0021270B" w:rsidRDefault="00F66040" w:rsidP="00F66040">
      <w:pPr>
        <w:rPr>
          <w:lang w:val="en-NZ"/>
        </w:rPr>
      </w:pPr>
      <w:r w:rsidRPr="0021270B">
        <w:rPr>
          <w:bCs/>
        </w:rPr>
        <w:t>Clarification is needed for the concept of having “been in New Zealand”</w:t>
      </w:r>
    </w:p>
    <w:p w:rsidR="00F66040" w:rsidRPr="0021270B" w:rsidRDefault="00F66040" w:rsidP="00F66040">
      <w:pPr>
        <w:keepNext/>
        <w:outlineLvl w:val="1"/>
        <w:rPr>
          <w:b/>
          <w:lang w:val="en-NZ"/>
        </w:rPr>
      </w:pPr>
    </w:p>
    <w:p w:rsidR="00F66040" w:rsidRPr="0021270B" w:rsidRDefault="00F66040" w:rsidP="00F66040">
      <w:pPr>
        <w:keepNext/>
        <w:outlineLvl w:val="1"/>
        <w:rPr>
          <w:b/>
          <w:lang w:val="en-NZ"/>
        </w:rPr>
      </w:pPr>
      <w:r w:rsidRPr="0021270B">
        <w:rPr>
          <w:b/>
          <w:lang w:val="en-NZ"/>
        </w:rPr>
        <w:t>Comment</w:t>
      </w:r>
    </w:p>
    <w:p w:rsidR="00F66040" w:rsidRPr="0021270B" w:rsidRDefault="00F66040" w:rsidP="00F66040">
      <w:pPr>
        <w:rPr>
          <w:lang w:val="en-NZ"/>
        </w:rPr>
      </w:pPr>
    </w:p>
    <w:p w:rsidR="00F66040" w:rsidRPr="0021270B" w:rsidRDefault="00F66040" w:rsidP="00F66040">
      <w:pPr>
        <w:rPr>
          <w:lang w:val="en-NZ"/>
        </w:rPr>
      </w:pPr>
      <w:r w:rsidRPr="0021270B">
        <w:rPr>
          <w:lang w:val="en-NZ"/>
        </w:rPr>
        <w:t>The expression “been in New Zealand” is intended to</w:t>
      </w:r>
      <w:r w:rsidR="00880B36" w:rsidRPr="0021270B">
        <w:rPr>
          <w:lang w:val="en-NZ"/>
        </w:rPr>
        <w:t xml:space="preserve"> be</w:t>
      </w:r>
      <w:r w:rsidRPr="0021270B">
        <w:rPr>
          <w:lang w:val="en-NZ"/>
        </w:rPr>
        <w:t xml:space="preserve"> interpreted at face value.  It is not intended to impose a time limit on a person</w:t>
      </w:r>
      <w:r w:rsidR="005641C1">
        <w:rPr>
          <w:lang w:val="en-NZ"/>
        </w:rPr>
        <w:t>’</w:t>
      </w:r>
      <w:r w:rsidRPr="0021270B">
        <w:rPr>
          <w:lang w:val="en-NZ"/>
        </w:rPr>
        <w:t>s stay in the country, merely provide recognition for having entered the country.</w:t>
      </w: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Recommendation</w:t>
      </w:r>
    </w:p>
    <w:p w:rsidR="00F66040" w:rsidRPr="0021270B" w:rsidRDefault="00F66040" w:rsidP="00F66040">
      <w:pPr>
        <w:rPr>
          <w:lang w:val="en-NZ"/>
        </w:rPr>
      </w:pPr>
    </w:p>
    <w:p w:rsidR="00F66040" w:rsidRPr="0021270B" w:rsidRDefault="00F66040" w:rsidP="00F66040">
      <w:pPr>
        <w:rPr>
          <w:lang w:val="en-NZ"/>
        </w:rPr>
      </w:pPr>
      <w:r w:rsidRPr="0021270B">
        <w:rPr>
          <w:lang w:val="en-NZ"/>
        </w:rPr>
        <w:t>That the submission be noted.</w:t>
      </w:r>
    </w:p>
    <w:p w:rsidR="00F66040" w:rsidRPr="0021270B" w:rsidRDefault="00F66040" w:rsidP="00F66040">
      <w:pPr>
        <w:pBdr>
          <w:bottom w:val="single" w:sz="4" w:space="1" w:color="auto"/>
        </w:pBdr>
        <w:rPr>
          <w:lang w:val="en-NZ"/>
        </w:rPr>
      </w:pPr>
    </w:p>
    <w:p w:rsidR="00F66040" w:rsidRPr="0021270B" w:rsidRDefault="00F66040" w:rsidP="00F66040">
      <w:pPr>
        <w:rPr>
          <w:lang w:val="en-NZ"/>
        </w:rPr>
      </w:pPr>
    </w:p>
    <w:p w:rsidR="00524D4C" w:rsidRPr="0021270B" w:rsidRDefault="00524D4C" w:rsidP="00F66040">
      <w:pPr>
        <w:rPr>
          <w:lang w:val="en-NZ"/>
        </w:rPr>
      </w:pPr>
    </w:p>
    <w:p w:rsidR="00F66040" w:rsidRPr="0021270B" w:rsidRDefault="00F66040" w:rsidP="009575F9">
      <w:pPr>
        <w:pStyle w:val="Heading5"/>
        <w:rPr>
          <w:lang w:val="en-NZ"/>
        </w:rPr>
      </w:pPr>
      <w:bookmarkStart w:id="83" w:name="_Toc427238276"/>
      <w:r w:rsidRPr="0021270B">
        <w:rPr>
          <w:lang w:val="en-NZ"/>
        </w:rPr>
        <w:t>Issue:</w:t>
      </w:r>
      <w:r w:rsidRPr="0021270B">
        <w:rPr>
          <w:lang w:val="en-NZ"/>
        </w:rPr>
        <w:tab/>
        <w:t>Exception for inbound short-term employees</w:t>
      </w:r>
      <w:bookmarkEnd w:id="83"/>
    </w:p>
    <w:p w:rsidR="00F66040" w:rsidRPr="0021270B" w:rsidRDefault="00F66040" w:rsidP="00F66040">
      <w:pPr>
        <w:rPr>
          <w:lang w:val="en-NZ"/>
        </w:rPr>
      </w:pP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Submission</w:t>
      </w:r>
    </w:p>
    <w:p w:rsidR="00F66040" w:rsidRPr="0021270B" w:rsidRDefault="00672EE5" w:rsidP="00F66040">
      <w:pPr>
        <w:tabs>
          <w:tab w:val="left" w:pos="5295"/>
        </w:tabs>
        <w:rPr>
          <w:i/>
          <w:lang w:val="en-NZ"/>
        </w:rPr>
      </w:pPr>
      <w:r w:rsidRPr="0021270B">
        <w:rPr>
          <w:i/>
          <w:lang w:val="en-NZ"/>
        </w:rPr>
        <w:t>(</w:t>
      </w:r>
      <w:r w:rsidR="00F66040" w:rsidRPr="0021270B">
        <w:rPr>
          <w:i/>
          <w:lang w:val="en-NZ"/>
        </w:rPr>
        <w:t>Chartered Accountants Australia and New Zealand</w:t>
      </w:r>
      <w:r w:rsidRPr="0021270B">
        <w:rPr>
          <w:i/>
          <w:lang w:val="en-NZ"/>
        </w:rPr>
        <w:t>)</w:t>
      </w:r>
    </w:p>
    <w:p w:rsidR="00F66040" w:rsidRPr="0021270B" w:rsidRDefault="00F66040" w:rsidP="00F66040">
      <w:pPr>
        <w:tabs>
          <w:tab w:val="left" w:pos="5295"/>
        </w:tabs>
        <w:rPr>
          <w:lang w:val="en-NZ"/>
        </w:rPr>
      </w:pPr>
    </w:p>
    <w:p w:rsidR="00F66040" w:rsidRPr="0021270B" w:rsidRDefault="00F66040" w:rsidP="00F66040">
      <w:pPr>
        <w:rPr>
          <w:bCs/>
        </w:rPr>
      </w:pPr>
      <w:r w:rsidRPr="0021270B">
        <w:rPr>
          <w:bCs/>
        </w:rPr>
        <w:t>Inbound short-term employees who work in New Zealand should be provided with an exemption in the definition of an offshore person.</w:t>
      </w:r>
    </w:p>
    <w:p w:rsidR="00F66040" w:rsidRPr="00053A56" w:rsidRDefault="00F66040" w:rsidP="00053A56"/>
    <w:p w:rsidR="00F66040" w:rsidRPr="0021270B" w:rsidRDefault="00F66040" w:rsidP="00F66040">
      <w:pPr>
        <w:keepNext/>
        <w:outlineLvl w:val="1"/>
        <w:rPr>
          <w:b/>
          <w:lang w:val="en-NZ"/>
        </w:rPr>
      </w:pPr>
      <w:r w:rsidRPr="0021270B">
        <w:rPr>
          <w:b/>
          <w:lang w:val="en-NZ"/>
        </w:rPr>
        <w:t>Comment</w:t>
      </w:r>
    </w:p>
    <w:p w:rsidR="00F66040" w:rsidRPr="0021270B" w:rsidRDefault="00F66040" w:rsidP="00F66040">
      <w:pPr>
        <w:rPr>
          <w:lang w:val="en-NZ"/>
        </w:rPr>
      </w:pPr>
    </w:p>
    <w:p w:rsidR="00F66040" w:rsidRPr="0021270B" w:rsidRDefault="00F66040" w:rsidP="00F66040">
      <w:pPr>
        <w:rPr>
          <w:lang w:val="en-NZ"/>
        </w:rPr>
      </w:pPr>
      <w:r w:rsidRPr="0021270B">
        <w:rPr>
          <w:lang w:val="en-NZ"/>
        </w:rPr>
        <w:t xml:space="preserve">Officials understand that the vast majority of people entering New Zealand on  visas allowing employment will either be required to, or will chose to, open a New Zealand bank account in any event as a recipient account for their New Zealand wages.  Therefore, although the proposal will require a different sequence of events (obtaining the bank account first and the IRD number second), the additional compliance costs on these immigrants is expected to be relatively low.  </w:t>
      </w:r>
    </w:p>
    <w:p w:rsidR="00F66040" w:rsidRPr="0021270B" w:rsidRDefault="00F66040" w:rsidP="00F66040">
      <w:pPr>
        <w:rPr>
          <w:lang w:val="en-NZ"/>
        </w:rPr>
      </w:pPr>
    </w:p>
    <w:p w:rsidR="00F66040" w:rsidRPr="0021270B" w:rsidRDefault="00F66040" w:rsidP="00F66040">
      <w:pPr>
        <w:rPr>
          <w:lang w:val="en-NZ"/>
        </w:rPr>
      </w:pPr>
      <w:r w:rsidRPr="0021270B">
        <w:rPr>
          <w:lang w:val="en-NZ"/>
        </w:rPr>
        <w:t xml:space="preserve">Some non-resident workers are engaged on short-term assignments, for example to install or </w:t>
      </w:r>
      <w:r w:rsidR="00F37157" w:rsidRPr="0021270B">
        <w:rPr>
          <w:lang w:val="en-NZ"/>
        </w:rPr>
        <w:t>maintain specialised machinery.</w:t>
      </w:r>
      <w:r w:rsidRPr="0021270B">
        <w:rPr>
          <w:lang w:val="en-NZ"/>
        </w:rPr>
        <w:t xml:space="preserve"> These visa-holders may be exempt from New Zealand tax if either they never become tax resident under our domestic law or if they are treated as non-resident by the opera</w:t>
      </w:r>
      <w:r w:rsidR="00F37157" w:rsidRPr="0021270B">
        <w:rPr>
          <w:lang w:val="en-NZ"/>
        </w:rPr>
        <w:t>tion of a double tax agreement.</w:t>
      </w:r>
      <w:r w:rsidRPr="0021270B">
        <w:rPr>
          <w:lang w:val="en-NZ"/>
        </w:rPr>
        <w:t xml:space="preserve"> If they are not subject to New Zealand tax they are not required to get an IRD number, and so the bank account requirement would not apply to this group.  </w:t>
      </w:r>
    </w:p>
    <w:p w:rsidR="00F66040" w:rsidRPr="0021270B" w:rsidRDefault="00F66040" w:rsidP="00F66040">
      <w:pPr>
        <w:rPr>
          <w:lang w:val="en-NZ"/>
        </w:rPr>
      </w:pPr>
    </w:p>
    <w:p w:rsidR="00F66040" w:rsidRPr="0021270B" w:rsidRDefault="00F66040" w:rsidP="00F66040">
      <w:pPr>
        <w:rPr>
          <w:lang w:val="en-NZ"/>
        </w:rPr>
      </w:pPr>
      <w:r w:rsidRPr="0021270B">
        <w:rPr>
          <w:lang w:val="en-NZ"/>
        </w:rPr>
        <w:t>It is also important to note that no class of visa restricts the ability of the person to purchase New</w:t>
      </w:r>
      <w:r w:rsidR="00F37157" w:rsidRPr="0021270B">
        <w:rPr>
          <w:lang w:val="en-NZ"/>
        </w:rPr>
        <w:t xml:space="preserve"> Zealand residential property. </w:t>
      </w:r>
      <w:r w:rsidRPr="0021270B">
        <w:rPr>
          <w:lang w:val="en-NZ"/>
        </w:rPr>
        <w:t>The policy objective of this initiative is to increase compliance of New Zealand</w:t>
      </w:r>
      <w:r w:rsidR="005641C1">
        <w:rPr>
          <w:lang w:val="en-NZ"/>
        </w:rPr>
        <w:t>’</w:t>
      </w:r>
      <w:r w:rsidRPr="0021270B">
        <w:rPr>
          <w:lang w:val="en-NZ"/>
        </w:rPr>
        <w:t>s tax laws as they relate to property transactions.  Therefore, in order for an exemption to be considered, there would need to be a clearly identifiable group that posed no real revenue risk from a pr</w:t>
      </w:r>
      <w:r w:rsidR="00F37157" w:rsidRPr="0021270B">
        <w:rPr>
          <w:lang w:val="en-NZ"/>
        </w:rPr>
        <w:t xml:space="preserve">operty compliance perspective. </w:t>
      </w:r>
      <w:r w:rsidRPr="0021270B">
        <w:rPr>
          <w:lang w:val="en-NZ"/>
        </w:rPr>
        <w:t xml:space="preserve">The intent of the policy could be defeated if there was an immigration </w:t>
      </w:r>
      <w:r w:rsidRPr="0021270B">
        <w:rPr>
          <w:lang w:val="en-NZ"/>
        </w:rPr>
        <w:lastRenderedPageBreak/>
        <w:t>status that was exempt from the bank account requirement and property investors could access this status.</w:t>
      </w: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Recommendation</w:t>
      </w:r>
    </w:p>
    <w:p w:rsidR="00F66040" w:rsidRPr="0021270B" w:rsidRDefault="00F66040" w:rsidP="00F66040">
      <w:pPr>
        <w:rPr>
          <w:lang w:val="en-NZ"/>
        </w:rPr>
      </w:pPr>
    </w:p>
    <w:p w:rsidR="00F66040" w:rsidRPr="0021270B" w:rsidRDefault="00F66040" w:rsidP="00F66040">
      <w:pPr>
        <w:rPr>
          <w:lang w:val="en-NZ"/>
        </w:rPr>
      </w:pPr>
      <w:r w:rsidRPr="0021270B">
        <w:rPr>
          <w:lang w:val="en-NZ"/>
        </w:rPr>
        <w:t>That the submission be declined.</w:t>
      </w:r>
    </w:p>
    <w:p w:rsidR="00F66040" w:rsidRPr="0021270B" w:rsidRDefault="00F66040" w:rsidP="00F66040">
      <w:pPr>
        <w:pBdr>
          <w:bottom w:val="single" w:sz="4" w:space="1" w:color="auto"/>
        </w:pBdr>
        <w:rPr>
          <w:lang w:val="en-NZ"/>
        </w:rPr>
      </w:pPr>
    </w:p>
    <w:p w:rsidR="00F66040" w:rsidRPr="0021270B" w:rsidRDefault="00F66040" w:rsidP="00F66040">
      <w:pPr>
        <w:rPr>
          <w:lang w:val="en-NZ"/>
        </w:rPr>
      </w:pPr>
    </w:p>
    <w:p w:rsidR="00524D4C" w:rsidRPr="0021270B" w:rsidRDefault="00524D4C" w:rsidP="00F66040">
      <w:pPr>
        <w:rPr>
          <w:lang w:val="en-NZ"/>
        </w:rPr>
      </w:pPr>
    </w:p>
    <w:p w:rsidR="00F66040" w:rsidRPr="0021270B" w:rsidRDefault="00F66040" w:rsidP="009575F9">
      <w:pPr>
        <w:pStyle w:val="Heading5"/>
        <w:rPr>
          <w:lang w:val="en-NZ"/>
        </w:rPr>
      </w:pPr>
      <w:bookmarkStart w:id="84" w:name="_Toc427238277"/>
      <w:r w:rsidRPr="0021270B">
        <w:rPr>
          <w:lang w:val="en-NZ"/>
        </w:rPr>
        <w:t>Issue:</w:t>
      </w:r>
      <w:r w:rsidRPr="0021270B">
        <w:rPr>
          <w:lang w:val="en-NZ"/>
        </w:rPr>
        <w:tab/>
        <w:t>Shifting identification verification onus onto other parties in land transactions</w:t>
      </w:r>
      <w:bookmarkEnd w:id="84"/>
    </w:p>
    <w:p w:rsidR="00F66040" w:rsidRPr="0021270B" w:rsidRDefault="00F66040" w:rsidP="00F66040">
      <w:pPr>
        <w:rPr>
          <w:lang w:val="en-NZ"/>
        </w:rPr>
      </w:pP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Submission</w:t>
      </w:r>
    </w:p>
    <w:p w:rsidR="00F66040" w:rsidRPr="0021270B" w:rsidRDefault="00672EE5" w:rsidP="00F66040">
      <w:pPr>
        <w:tabs>
          <w:tab w:val="left" w:pos="5295"/>
        </w:tabs>
        <w:rPr>
          <w:i/>
          <w:lang w:val="en-NZ"/>
        </w:rPr>
      </w:pPr>
      <w:r w:rsidRPr="0021270B">
        <w:rPr>
          <w:i/>
          <w:lang w:val="en-NZ"/>
        </w:rPr>
        <w:t>(</w:t>
      </w:r>
      <w:r w:rsidR="00F66040" w:rsidRPr="0021270B">
        <w:rPr>
          <w:i/>
          <w:lang w:val="en-NZ"/>
        </w:rPr>
        <w:t>New Zealand Bankers</w:t>
      </w:r>
      <w:r w:rsidR="005641C1">
        <w:rPr>
          <w:i/>
          <w:lang w:val="en-NZ"/>
        </w:rPr>
        <w:t>’</w:t>
      </w:r>
      <w:r w:rsidR="00F66040" w:rsidRPr="0021270B">
        <w:rPr>
          <w:i/>
          <w:lang w:val="en-NZ"/>
        </w:rPr>
        <w:t xml:space="preserve"> Association</w:t>
      </w:r>
      <w:r w:rsidR="00E45F95" w:rsidRPr="0021270B">
        <w:rPr>
          <w:i/>
          <w:lang w:val="en-NZ"/>
        </w:rPr>
        <w:t>, ANZ</w:t>
      </w:r>
      <w:r w:rsidRPr="0021270B">
        <w:rPr>
          <w:i/>
          <w:lang w:val="en-NZ"/>
        </w:rPr>
        <w:t>)</w:t>
      </w:r>
    </w:p>
    <w:p w:rsidR="00F66040" w:rsidRPr="0021270B" w:rsidRDefault="00F66040" w:rsidP="00F66040">
      <w:pPr>
        <w:tabs>
          <w:tab w:val="left" w:pos="1590"/>
        </w:tabs>
        <w:rPr>
          <w:lang w:val="en-NZ"/>
        </w:rPr>
      </w:pPr>
      <w:r w:rsidRPr="0021270B">
        <w:rPr>
          <w:lang w:val="en-NZ"/>
        </w:rPr>
        <w:tab/>
      </w:r>
    </w:p>
    <w:p w:rsidR="00F66040" w:rsidRPr="0021270B" w:rsidRDefault="00F66040" w:rsidP="00F66040">
      <w:pPr>
        <w:rPr>
          <w:bCs/>
        </w:rPr>
      </w:pPr>
      <w:r w:rsidRPr="0021270B">
        <w:rPr>
          <w:bCs/>
        </w:rPr>
        <w:t>The bank account requirement should be removed and replaced with a verification of identification obligation to be placed on parties that will already have relationships with overseas purchasers of land, such as real estate agents and lawyers.</w:t>
      </w:r>
      <w:r w:rsidR="002C4AF4" w:rsidRPr="0021270B">
        <w:rPr>
          <w:bCs/>
        </w:rPr>
        <w:t xml:space="preserve"> Additionally, Phase 2 of </w:t>
      </w:r>
      <w:r w:rsidR="00BF7827" w:rsidRPr="0021270B">
        <w:rPr>
          <w:bCs/>
        </w:rPr>
        <w:t>anti-money laundering reform</w:t>
      </w:r>
      <w:r w:rsidR="002C4AF4" w:rsidRPr="0021270B">
        <w:rPr>
          <w:bCs/>
        </w:rPr>
        <w:t xml:space="preserve"> should be expedited.</w:t>
      </w:r>
    </w:p>
    <w:p w:rsidR="00F66040" w:rsidRPr="0021270B" w:rsidRDefault="00F66040" w:rsidP="00F66040">
      <w:pPr>
        <w:rPr>
          <w:bCs/>
        </w:rPr>
      </w:pPr>
    </w:p>
    <w:p w:rsidR="00F66040" w:rsidRPr="0021270B" w:rsidRDefault="00F66040" w:rsidP="00F66040">
      <w:pPr>
        <w:keepNext/>
        <w:outlineLvl w:val="1"/>
        <w:rPr>
          <w:b/>
          <w:lang w:val="en-NZ"/>
        </w:rPr>
      </w:pPr>
      <w:r w:rsidRPr="0021270B">
        <w:rPr>
          <w:b/>
          <w:lang w:val="en-NZ"/>
        </w:rPr>
        <w:t>Comment</w:t>
      </w:r>
    </w:p>
    <w:p w:rsidR="00F66040" w:rsidRPr="0021270B" w:rsidRDefault="00F66040" w:rsidP="00F66040">
      <w:pPr>
        <w:rPr>
          <w:lang w:val="en-NZ"/>
        </w:rPr>
      </w:pPr>
    </w:p>
    <w:p w:rsidR="00F66040" w:rsidRPr="0021270B" w:rsidRDefault="00F66040" w:rsidP="00F66040">
      <w:pPr>
        <w:rPr>
          <w:lang w:val="en-NZ"/>
        </w:rPr>
      </w:pPr>
      <w:r w:rsidRPr="0021270B">
        <w:rPr>
          <w:lang w:val="en-NZ"/>
        </w:rPr>
        <w:t>At present, New Zealand</w:t>
      </w:r>
      <w:r w:rsidR="005641C1">
        <w:rPr>
          <w:lang w:val="en-NZ"/>
        </w:rPr>
        <w:t>’</w:t>
      </w:r>
      <w:r w:rsidRPr="0021270B">
        <w:rPr>
          <w:lang w:val="en-NZ"/>
        </w:rPr>
        <w:t>s anti-money laundering rules do not apply to professional bodies such as real estate agents, conveyancers and solicitors.  However, it is anticipated that these professionals will be subject to the customer due diligence require</w:t>
      </w:r>
      <w:r w:rsidR="00F37157" w:rsidRPr="0021270B">
        <w:rPr>
          <w:lang w:val="en-NZ"/>
        </w:rPr>
        <w:t>ments as part of Phase 2 of the</w:t>
      </w:r>
      <w:r w:rsidR="00BF7827" w:rsidRPr="0021270B">
        <w:t xml:space="preserve"> </w:t>
      </w:r>
      <w:r w:rsidR="00BF7827" w:rsidRPr="0021270B">
        <w:rPr>
          <w:lang w:val="en-NZ"/>
        </w:rPr>
        <w:t xml:space="preserve">anti-money laundering </w:t>
      </w:r>
      <w:r w:rsidRPr="0021270B">
        <w:rPr>
          <w:lang w:val="en-NZ"/>
        </w:rPr>
        <w:t xml:space="preserve">rules.  To impose due diligence obligations on such people as part of this bill, prior to </w:t>
      </w:r>
      <w:r w:rsidR="00BF7827" w:rsidRPr="0021270B">
        <w:t xml:space="preserve">Phase 2 of the </w:t>
      </w:r>
      <w:r w:rsidR="00BF7827" w:rsidRPr="0021270B">
        <w:rPr>
          <w:lang w:val="en-NZ"/>
        </w:rPr>
        <w:t>anti-money laundering reform</w:t>
      </w:r>
      <w:r w:rsidRPr="0021270B">
        <w:rPr>
          <w:lang w:val="en-NZ"/>
        </w:rPr>
        <w:t xml:space="preserve">, could be seen as subverting the planned roll-out of </w:t>
      </w:r>
      <w:r w:rsidR="00F37157" w:rsidRPr="0021270B">
        <w:rPr>
          <w:lang w:val="en-NZ"/>
        </w:rPr>
        <w:t xml:space="preserve">the </w:t>
      </w:r>
      <w:r w:rsidR="00F37157" w:rsidRPr="0021270B">
        <w:t>anti</w:t>
      </w:r>
      <w:r w:rsidR="00BF7827" w:rsidRPr="0021270B">
        <w:rPr>
          <w:lang w:val="en-NZ"/>
        </w:rPr>
        <w:t xml:space="preserve">-money laundering </w:t>
      </w:r>
      <w:r w:rsidRPr="0021270B">
        <w:rPr>
          <w:lang w:val="en-NZ"/>
        </w:rPr>
        <w:t>rules.</w:t>
      </w:r>
    </w:p>
    <w:p w:rsidR="00F66040" w:rsidRPr="0021270B" w:rsidRDefault="00F66040" w:rsidP="00F66040">
      <w:pPr>
        <w:rPr>
          <w:lang w:val="en-NZ"/>
        </w:rPr>
      </w:pPr>
    </w:p>
    <w:p w:rsidR="00F66040" w:rsidRPr="0021270B" w:rsidRDefault="00F66040" w:rsidP="00F66040">
      <w:pPr>
        <w:rPr>
          <w:lang w:val="en-NZ"/>
        </w:rPr>
      </w:pPr>
      <w:r w:rsidRPr="0021270B">
        <w:rPr>
          <w:lang w:val="en-NZ"/>
        </w:rPr>
        <w:t xml:space="preserve">As set out above, officials consider it would be appropriate to review these rules </w:t>
      </w:r>
      <w:r w:rsidR="00F37157" w:rsidRPr="0021270B">
        <w:rPr>
          <w:lang w:val="en-NZ"/>
        </w:rPr>
        <w:t xml:space="preserve">once </w:t>
      </w:r>
      <w:r w:rsidR="00F37157" w:rsidRPr="0021270B">
        <w:t>anti</w:t>
      </w:r>
      <w:r w:rsidR="00BF7827" w:rsidRPr="0021270B">
        <w:rPr>
          <w:lang w:val="en-NZ"/>
        </w:rPr>
        <w:t xml:space="preserve">-money laundering </w:t>
      </w:r>
      <w:r w:rsidRPr="0021270B">
        <w:rPr>
          <w:lang w:val="en-NZ"/>
        </w:rPr>
        <w:t>Phase 2 has occurred to see if there is unacceptable duplication of information at that time.</w:t>
      </w:r>
    </w:p>
    <w:p w:rsidR="002C4AF4" w:rsidRPr="0021270B" w:rsidRDefault="002C4AF4" w:rsidP="00F66040">
      <w:pPr>
        <w:rPr>
          <w:lang w:val="en-NZ"/>
        </w:rPr>
      </w:pPr>
    </w:p>
    <w:p w:rsidR="002C4AF4" w:rsidRPr="0021270B" w:rsidRDefault="002C4AF4" w:rsidP="00F66040">
      <w:pPr>
        <w:rPr>
          <w:lang w:val="en-NZ"/>
        </w:rPr>
      </w:pPr>
      <w:r w:rsidRPr="0021270B">
        <w:rPr>
          <w:lang w:val="en-NZ"/>
        </w:rPr>
        <w:t xml:space="preserve">Inland Revenue and LINZ officials understand that the Ministry </w:t>
      </w:r>
      <w:r w:rsidR="000E5205" w:rsidRPr="0021270B">
        <w:rPr>
          <w:lang w:val="en-NZ"/>
        </w:rPr>
        <w:t>of</w:t>
      </w:r>
      <w:r w:rsidRPr="0021270B">
        <w:rPr>
          <w:lang w:val="en-NZ"/>
        </w:rPr>
        <w:t xml:space="preserve"> Justice are considering timing for Phase 2 roll-out.</w:t>
      </w: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Recommendation</w:t>
      </w:r>
    </w:p>
    <w:p w:rsidR="00F66040" w:rsidRPr="0021270B" w:rsidRDefault="00F66040" w:rsidP="00F66040">
      <w:pPr>
        <w:rPr>
          <w:lang w:val="en-NZ"/>
        </w:rPr>
      </w:pPr>
    </w:p>
    <w:p w:rsidR="00F66040" w:rsidRPr="0021270B" w:rsidRDefault="00F66040" w:rsidP="00F66040">
      <w:pPr>
        <w:rPr>
          <w:lang w:val="en-NZ"/>
        </w:rPr>
      </w:pPr>
      <w:r w:rsidRPr="0021270B">
        <w:rPr>
          <w:lang w:val="en-NZ"/>
        </w:rPr>
        <w:t>That the submission be declined.</w:t>
      </w:r>
    </w:p>
    <w:p w:rsidR="00F66040" w:rsidRPr="0021270B" w:rsidRDefault="00F66040" w:rsidP="00F66040">
      <w:pPr>
        <w:pBdr>
          <w:bottom w:val="single" w:sz="4" w:space="1" w:color="auto"/>
        </w:pBdr>
        <w:rPr>
          <w:lang w:val="en-NZ"/>
        </w:rPr>
      </w:pPr>
    </w:p>
    <w:p w:rsidR="00053A56" w:rsidRDefault="00053A56">
      <w:pPr>
        <w:jc w:val="left"/>
        <w:rPr>
          <w:lang w:val="en-NZ"/>
        </w:rPr>
      </w:pPr>
      <w:r>
        <w:rPr>
          <w:lang w:val="en-NZ"/>
        </w:rPr>
        <w:br w:type="page"/>
      </w:r>
    </w:p>
    <w:p w:rsidR="00F66040" w:rsidRPr="0021270B" w:rsidRDefault="00F66040" w:rsidP="009575F9">
      <w:pPr>
        <w:pStyle w:val="Heading5"/>
        <w:rPr>
          <w:lang w:val="en-NZ"/>
        </w:rPr>
      </w:pPr>
      <w:bookmarkStart w:id="85" w:name="_Toc427238278"/>
      <w:r w:rsidRPr="0021270B">
        <w:rPr>
          <w:lang w:val="en-NZ"/>
        </w:rPr>
        <w:lastRenderedPageBreak/>
        <w:t>Issue:</w:t>
      </w:r>
      <w:r w:rsidRPr="0021270B">
        <w:rPr>
          <w:lang w:val="en-NZ"/>
        </w:rPr>
        <w:tab/>
        <w:t>Drafting error</w:t>
      </w:r>
      <w:bookmarkEnd w:id="85"/>
    </w:p>
    <w:p w:rsidR="00F66040" w:rsidRPr="0021270B" w:rsidRDefault="00F66040" w:rsidP="00F66040">
      <w:pPr>
        <w:rPr>
          <w:lang w:val="en-NZ"/>
        </w:rPr>
      </w:pP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Submission</w:t>
      </w:r>
    </w:p>
    <w:p w:rsidR="00672EE5" w:rsidRPr="0021270B" w:rsidRDefault="00672EE5" w:rsidP="00F66040">
      <w:pPr>
        <w:tabs>
          <w:tab w:val="left" w:pos="5295"/>
        </w:tabs>
        <w:jc w:val="left"/>
        <w:rPr>
          <w:i/>
          <w:lang w:val="en-NZ"/>
        </w:rPr>
      </w:pPr>
      <w:r w:rsidRPr="0021270B">
        <w:rPr>
          <w:i/>
          <w:lang w:val="en-NZ"/>
        </w:rPr>
        <w:t>(</w:t>
      </w:r>
      <w:r w:rsidR="00F66040" w:rsidRPr="0021270B">
        <w:rPr>
          <w:i/>
          <w:lang w:val="en-NZ"/>
        </w:rPr>
        <w:t>EY</w:t>
      </w:r>
      <w:r w:rsidRPr="0021270B">
        <w:rPr>
          <w:i/>
          <w:lang w:val="en-NZ"/>
        </w:rPr>
        <w:t>)</w:t>
      </w:r>
    </w:p>
    <w:p w:rsidR="00053A56" w:rsidRDefault="00053A56" w:rsidP="00F66040">
      <w:pPr>
        <w:tabs>
          <w:tab w:val="left" w:pos="5295"/>
        </w:tabs>
        <w:jc w:val="left"/>
        <w:rPr>
          <w:lang w:val="en-NZ"/>
        </w:rPr>
      </w:pPr>
    </w:p>
    <w:p w:rsidR="00F66040" w:rsidRPr="0021270B" w:rsidRDefault="00F66040" w:rsidP="00F66040">
      <w:pPr>
        <w:tabs>
          <w:tab w:val="left" w:pos="5295"/>
        </w:tabs>
        <w:jc w:val="left"/>
        <w:rPr>
          <w:lang w:val="en-NZ"/>
        </w:rPr>
      </w:pPr>
      <w:r w:rsidRPr="0021270B">
        <w:rPr>
          <w:lang w:val="en-NZ"/>
        </w:rPr>
        <w:t>The cross-reference to the Overseas Investment Act in clause 9(3</w:t>
      </w:r>
      <w:proofErr w:type="gramStart"/>
      <w:r w:rsidRPr="0021270B">
        <w:rPr>
          <w:lang w:val="en-NZ"/>
        </w:rPr>
        <w:t>)(</w:t>
      </w:r>
      <w:proofErr w:type="gramEnd"/>
      <w:r w:rsidRPr="0021270B">
        <w:rPr>
          <w:lang w:val="en-NZ"/>
        </w:rPr>
        <w:t>b) refers to sections 7(2)(b) – (e) of that Act.  It should refer to sections 7(2</w:t>
      </w:r>
      <w:proofErr w:type="gramStart"/>
      <w:r w:rsidRPr="0021270B">
        <w:rPr>
          <w:lang w:val="en-NZ"/>
        </w:rPr>
        <w:t>)(</w:t>
      </w:r>
      <w:proofErr w:type="gramEnd"/>
      <w:r w:rsidRPr="0021270B">
        <w:rPr>
          <w:lang w:val="en-NZ"/>
        </w:rPr>
        <w:t>b) – (f).</w:t>
      </w:r>
    </w:p>
    <w:p w:rsidR="00F66040" w:rsidRPr="0021270B" w:rsidRDefault="00F66040" w:rsidP="00F66040">
      <w:pPr>
        <w:tabs>
          <w:tab w:val="left" w:pos="1590"/>
        </w:tabs>
        <w:rPr>
          <w:lang w:val="en-NZ"/>
        </w:rPr>
      </w:pPr>
    </w:p>
    <w:p w:rsidR="00F66040" w:rsidRPr="0021270B" w:rsidRDefault="00F66040" w:rsidP="00F66040">
      <w:pPr>
        <w:keepNext/>
        <w:outlineLvl w:val="1"/>
        <w:rPr>
          <w:b/>
          <w:lang w:val="en-NZ"/>
        </w:rPr>
      </w:pPr>
      <w:r w:rsidRPr="0021270B">
        <w:rPr>
          <w:b/>
          <w:lang w:val="en-NZ"/>
        </w:rPr>
        <w:t>Comment</w:t>
      </w:r>
    </w:p>
    <w:p w:rsidR="00F66040" w:rsidRPr="0021270B" w:rsidRDefault="00F66040" w:rsidP="00F66040">
      <w:pPr>
        <w:rPr>
          <w:lang w:val="en-NZ"/>
        </w:rPr>
      </w:pPr>
    </w:p>
    <w:p w:rsidR="00F66040" w:rsidRPr="0021270B" w:rsidRDefault="00F66040" w:rsidP="00F66040">
      <w:pPr>
        <w:rPr>
          <w:lang w:val="en-NZ"/>
        </w:rPr>
      </w:pPr>
      <w:r w:rsidRPr="0021270B">
        <w:rPr>
          <w:lang w:val="en-NZ"/>
        </w:rPr>
        <w:t>Officials agree that the cross-reference contains an error.</w:t>
      </w:r>
    </w:p>
    <w:p w:rsidR="00F66040" w:rsidRPr="0021270B" w:rsidRDefault="00F66040" w:rsidP="00F66040">
      <w:pPr>
        <w:rPr>
          <w:lang w:val="en-NZ"/>
        </w:rPr>
      </w:pPr>
    </w:p>
    <w:p w:rsidR="00F66040" w:rsidRPr="0021270B" w:rsidRDefault="00F66040" w:rsidP="00F66040">
      <w:pPr>
        <w:keepNext/>
        <w:outlineLvl w:val="1"/>
        <w:rPr>
          <w:b/>
          <w:lang w:val="en-NZ"/>
        </w:rPr>
      </w:pPr>
      <w:r w:rsidRPr="0021270B">
        <w:rPr>
          <w:b/>
          <w:lang w:val="en-NZ"/>
        </w:rPr>
        <w:t>Recommendation</w:t>
      </w:r>
    </w:p>
    <w:p w:rsidR="00F66040" w:rsidRPr="0021270B" w:rsidRDefault="00F66040" w:rsidP="00F66040">
      <w:pPr>
        <w:rPr>
          <w:lang w:val="en-NZ"/>
        </w:rPr>
      </w:pPr>
    </w:p>
    <w:p w:rsidR="00F66040" w:rsidRPr="0021270B" w:rsidRDefault="00F66040" w:rsidP="00F66040">
      <w:pPr>
        <w:rPr>
          <w:lang w:val="en-NZ"/>
        </w:rPr>
      </w:pPr>
      <w:r w:rsidRPr="0021270B">
        <w:rPr>
          <w:lang w:val="en-NZ"/>
        </w:rPr>
        <w:t>That the submission be accepted</w:t>
      </w:r>
      <w:r w:rsidR="000E5205" w:rsidRPr="0021270B">
        <w:rPr>
          <w:lang w:val="en-NZ"/>
        </w:rPr>
        <w:t>.</w:t>
      </w:r>
    </w:p>
    <w:p w:rsidR="00F66040" w:rsidRPr="0021270B" w:rsidRDefault="00F66040" w:rsidP="003C6964">
      <w:pPr>
        <w:rPr>
          <w:lang w:val="en-NZ"/>
        </w:rPr>
      </w:pPr>
    </w:p>
    <w:p w:rsidR="00977E4C" w:rsidRDefault="00F66040">
      <w:pPr>
        <w:jc w:val="left"/>
        <w:rPr>
          <w:lang w:val="en-NZ"/>
        </w:rPr>
      </w:pPr>
      <w:r w:rsidRPr="0021270B">
        <w:rPr>
          <w:lang w:val="en-NZ"/>
        </w:rPr>
        <w:br w:type="page"/>
      </w:r>
      <w:r w:rsidR="00977E4C">
        <w:rPr>
          <w:lang w:val="en-NZ"/>
        </w:rPr>
        <w:lastRenderedPageBreak/>
        <w:br w:type="page"/>
      </w:r>
    </w:p>
    <w:p w:rsidR="00F66040" w:rsidRPr="0062310E" w:rsidRDefault="00F66040" w:rsidP="0062310E">
      <w:pPr>
        <w:jc w:val="left"/>
        <w:rPr>
          <w:szCs w:val="24"/>
          <w:lang w:val="en-NZ"/>
        </w:rPr>
      </w:pPr>
    </w:p>
    <w:p w:rsidR="00022CC8" w:rsidRPr="0062310E" w:rsidRDefault="00022CC8" w:rsidP="0062310E">
      <w:pPr>
        <w:jc w:val="left"/>
        <w:rPr>
          <w:szCs w:val="24"/>
          <w:lang w:val="en-NZ"/>
        </w:rPr>
      </w:pPr>
    </w:p>
    <w:p w:rsidR="00022CC8" w:rsidRPr="0062310E" w:rsidRDefault="00022CC8" w:rsidP="0062310E">
      <w:pPr>
        <w:jc w:val="left"/>
        <w:rPr>
          <w:szCs w:val="24"/>
          <w:lang w:val="en-NZ"/>
        </w:rPr>
      </w:pPr>
    </w:p>
    <w:p w:rsidR="00022CC8" w:rsidRPr="0062310E" w:rsidRDefault="00022CC8" w:rsidP="0062310E">
      <w:pPr>
        <w:jc w:val="left"/>
        <w:rPr>
          <w:szCs w:val="24"/>
          <w:lang w:val="en-NZ"/>
        </w:rPr>
      </w:pPr>
    </w:p>
    <w:p w:rsidR="00022CC8" w:rsidRPr="0062310E" w:rsidRDefault="00022CC8" w:rsidP="0062310E">
      <w:pPr>
        <w:jc w:val="left"/>
        <w:rPr>
          <w:szCs w:val="24"/>
          <w:lang w:val="en-NZ"/>
        </w:rPr>
      </w:pPr>
    </w:p>
    <w:p w:rsidR="00022CC8" w:rsidRPr="0062310E" w:rsidRDefault="00022CC8" w:rsidP="0062310E">
      <w:pPr>
        <w:jc w:val="left"/>
        <w:rPr>
          <w:szCs w:val="24"/>
          <w:lang w:val="en-NZ"/>
        </w:rPr>
      </w:pPr>
    </w:p>
    <w:p w:rsidR="00022CC8" w:rsidRPr="0062310E" w:rsidRDefault="00022CC8" w:rsidP="0062310E">
      <w:pPr>
        <w:jc w:val="left"/>
        <w:rPr>
          <w:szCs w:val="24"/>
          <w:lang w:val="en-NZ"/>
        </w:rPr>
      </w:pPr>
    </w:p>
    <w:p w:rsidR="00022CC8" w:rsidRDefault="00022CC8" w:rsidP="0062310E">
      <w:pPr>
        <w:jc w:val="left"/>
        <w:rPr>
          <w:szCs w:val="24"/>
          <w:lang w:val="en-NZ"/>
        </w:rPr>
      </w:pPr>
    </w:p>
    <w:p w:rsidR="0062310E" w:rsidRDefault="0062310E" w:rsidP="0062310E">
      <w:pPr>
        <w:jc w:val="left"/>
        <w:rPr>
          <w:szCs w:val="24"/>
          <w:lang w:val="en-NZ"/>
        </w:rPr>
      </w:pPr>
    </w:p>
    <w:p w:rsidR="0062310E" w:rsidRDefault="0062310E" w:rsidP="0062310E">
      <w:pPr>
        <w:jc w:val="left"/>
        <w:rPr>
          <w:szCs w:val="24"/>
          <w:lang w:val="en-NZ"/>
        </w:rPr>
      </w:pPr>
    </w:p>
    <w:p w:rsidR="0062310E" w:rsidRDefault="0062310E" w:rsidP="0062310E">
      <w:pPr>
        <w:jc w:val="left"/>
        <w:rPr>
          <w:szCs w:val="24"/>
          <w:lang w:val="en-NZ"/>
        </w:rPr>
      </w:pPr>
    </w:p>
    <w:p w:rsidR="0062310E" w:rsidRDefault="0062310E" w:rsidP="0062310E">
      <w:pPr>
        <w:jc w:val="left"/>
        <w:rPr>
          <w:szCs w:val="24"/>
          <w:lang w:val="en-NZ"/>
        </w:rPr>
      </w:pPr>
    </w:p>
    <w:p w:rsidR="0062310E" w:rsidRDefault="0062310E" w:rsidP="0062310E">
      <w:pPr>
        <w:jc w:val="left"/>
        <w:rPr>
          <w:szCs w:val="24"/>
          <w:lang w:val="en-NZ"/>
        </w:rPr>
      </w:pPr>
    </w:p>
    <w:p w:rsidR="0062310E" w:rsidRDefault="0062310E" w:rsidP="0062310E">
      <w:pPr>
        <w:jc w:val="left"/>
        <w:rPr>
          <w:szCs w:val="24"/>
          <w:lang w:val="en-NZ"/>
        </w:rPr>
      </w:pPr>
    </w:p>
    <w:p w:rsidR="0062310E" w:rsidRDefault="0062310E" w:rsidP="0062310E">
      <w:pPr>
        <w:jc w:val="left"/>
        <w:rPr>
          <w:szCs w:val="24"/>
          <w:lang w:val="en-NZ"/>
        </w:rPr>
      </w:pPr>
    </w:p>
    <w:p w:rsidR="0062310E" w:rsidRPr="0062310E" w:rsidRDefault="0062310E" w:rsidP="0062310E">
      <w:pPr>
        <w:jc w:val="left"/>
        <w:rPr>
          <w:szCs w:val="24"/>
          <w:lang w:val="en-NZ"/>
        </w:rPr>
      </w:pPr>
    </w:p>
    <w:p w:rsidR="006D3805" w:rsidRPr="0021270B" w:rsidRDefault="006D3805" w:rsidP="006D3805">
      <w:pPr>
        <w:pStyle w:val="PartHeading"/>
        <w:pBdr>
          <w:top w:val="single" w:sz="4" w:space="10" w:color="auto"/>
          <w:bottom w:val="single" w:sz="4" w:space="10" w:color="auto"/>
        </w:pBdr>
        <w:spacing w:after="200"/>
      </w:pPr>
      <w:bookmarkStart w:id="86" w:name="_Toc427238279"/>
      <w:r w:rsidRPr="0021270B">
        <w:rPr>
          <w:caps w:val="0"/>
        </w:rPr>
        <w:t>Other policy matters</w:t>
      </w:r>
      <w:bookmarkEnd w:id="86"/>
    </w:p>
    <w:p w:rsidR="00977E4C" w:rsidRDefault="00022CC8">
      <w:pPr>
        <w:jc w:val="left"/>
        <w:rPr>
          <w:lang w:val="en-NZ"/>
        </w:rPr>
      </w:pPr>
      <w:r w:rsidRPr="0021270B">
        <w:rPr>
          <w:lang w:val="en-NZ"/>
        </w:rPr>
        <w:br w:type="page"/>
      </w:r>
      <w:r w:rsidR="00977E4C">
        <w:rPr>
          <w:lang w:val="en-NZ"/>
        </w:rPr>
        <w:lastRenderedPageBreak/>
        <w:br w:type="page"/>
      </w:r>
    </w:p>
    <w:p w:rsidR="00022CC8" w:rsidRPr="0021270B" w:rsidRDefault="00022CC8" w:rsidP="00022CC8">
      <w:pPr>
        <w:jc w:val="left"/>
        <w:rPr>
          <w:lang w:val="en-NZ"/>
        </w:rPr>
      </w:pPr>
    </w:p>
    <w:p w:rsidR="00022CC8" w:rsidRPr="0021270B" w:rsidRDefault="006D3805" w:rsidP="006D3805">
      <w:pPr>
        <w:pStyle w:val="Heading5"/>
      </w:pPr>
      <w:bookmarkStart w:id="87" w:name="_Toc427238280"/>
      <w:r w:rsidRPr="0021270B">
        <w:t>Issue:</w:t>
      </w:r>
      <w:r w:rsidRPr="0021270B">
        <w:tab/>
      </w:r>
      <w:r w:rsidR="00022CC8" w:rsidRPr="0021270B">
        <w:t>Bright-line test</w:t>
      </w:r>
      <w:bookmarkEnd w:id="87"/>
    </w:p>
    <w:p w:rsidR="00022CC8" w:rsidRPr="0021270B" w:rsidRDefault="00022CC8" w:rsidP="00022CC8">
      <w:pPr>
        <w:rPr>
          <w:lang w:val="en-NZ"/>
        </w:rPr>
      </w:pPr>
    </w:p>
    <w:p w:rsidR="00022CC8" w:rsidRPr="0021270B" w:rsidRDefault="00022CC8" w:rsidP="00022CC8">
      <w:pPr>
        <w:rPr>
          <w:lang w:val="en-NZ"/>
        </w:rPr>
      </w:pPr>
    </w:p>
    <w:p w:rsidR="00022CC8" w:rsidRPr="0021270B" w:rsidRDefault="00022CC8" w:rsidP="00022CC8">
      <w:pPr>
        <w:keepNext/>
        <w:outlineLvl w:val="1"/>
        <w:rPr>
          <w:b/>
          <w:lang w:val="en-NZ"/>
        </w:rPr>
      </w:pPr>
      <w:r w:rsidRPr="0021270B">
        <w:rPr>
          <w:b/>
          <w:lang w:val="en-NZ"/>
        </w:rPr>
        <w:t>Submission</w:t>
      </w:r>
    </w:p>
    <w:p w:rsidR="00022CC8" w:rsidRPr="0021270B" w:rsidRDefault="00022CC8" w:rsidP="00022CC8">
      <w:pPr>
        <w:keepNext/>
        <w:outlineLvl w:val="3"/>
        <w:rPr>
          <w:i/>
          <w:lang w:val="en-NZ"/>
        </w:rPr>
      </w:pPr>
      <w:r w:rsidRPr="0021270B">
        <w:rPr>
          <w:i/>
          <w:lang w:val="en-NZ"/>
        </w:rPr>
        <w:t>(</w:t>
      </w:r>
      <w:r w:rsidR="007D2FBE" w:rsidRPr="0021270B">
        <w:rPr>
          <w:i/>
          <w:lang w:val="en-NZ"/>
        </w:rPr>
        <w:t xml:space="preserve">John Williams, </w:t>
      </w:r>
      <w:r w:rsidRPr="0021270B">
        <w:rPr>
          <w:i/>
          <w:lang w:val="en-NZ"/>
        </w:rPr>
        <w:t>New Zealand Property Investors</w:t>
      </w:r>
      <w:r w:rsidR="005641C1">
        <w:rPr>
          <w:i/>
          <w:lang w:val="en-NZ"/>
        </w:rPr>
        <w:t>’</w:t>
      </w:r>
      <w:r w:rsidRPr="0021270B">
        <w:rPr>
          <w:i/>
          <w:lang w:val="en-NZ"/>
        </w:rPr>
        <w:t xml:space="preserve"> Federation </w:t>
      </w:r>
      <w:r w:rsidR="00053A56" w:rsidRPr="0021270B">
        <w:rPr>
          <w:i/>
          <w:lang w:val="en-NZ"/>
        </w:rPr>
        <w:t>Inc.</w:t>
      </w:r>
      <w:r w:rsidR="00CD7554" w:rsidRPr="0021270B">
        <w:rPr>
          <w:i/>
          <w:lang w:val="en-NZ"/>
        </w:rPr>
        <w:t>,</w:t>
      </w:r>
      <w:r w:rsidRPr="0021270B">
        <w:rPr>
          <w:i/>
          <w:lang w:val="en-NZ"/>
        </w:rPr>
        <w:t>)</w:t>
      </w:r>
    </w:p>
    <w:p w:rsidR="00022CC8" w:rsidRPr="0021270B" w:rsidRDefault="00022CC8" w:rsidP="00022CC8">
      <w:pPr>
        <w:rPr>
          <w:lang w:val="en-NZ"/>
        </w:rPr>
      </w:pPr>
    </w:p>
    <w:p w:rsidR="00022CC8" w:rsidRPr="0021270B" w:rsidRDefault="007D2FBE" w:rsidP="00022CC8">
      <w:pPr>
        <w:rPr>
          <w:lang w:val="en-NZ"/>
        </w:rPr>
      </w:pPr>
      <w:r w:rsidRPr="0021270B">
        <w:rPr>
          <w:lang w:val="en-NZ"/>
        </w:rPr>
        <w:t>Two submissions were made</w:t>
      </w:r>
      <w:r w:rsidR="00022CC8" w:rsidRPr="0021270B">
        <w:rPr>
          <w:lang w:val="en-NZ"/>
        </w:rPr>
        <w:t xml:space="preserve"> on the prop</w:t>
      </w:r>
      <w:r w:rsidR="005641C1">
        <w:rPr>
          <w:lang w:val="en-NZ"/>
        </w:rPr>
        <w:t>osed “</w:t>
      </w:r>
      <w:r w:rsidR="00022CC8" w:rsidRPr="0021270B">
        <w:rPr>
          <w:lang w:val="en-NZ"/>
        </w:rPr>
        <w:t>bright-line test</w:t>
      </w:r>
      <w:r w:rsidR="005641C1">
        <w:rPr>
          <w:lang w:val="en-NZ"/>
        </w:rPr>
        <w:t>”</w:t>
      </w:r>
      <w:r w:rsidR="00022CC8" w:rsidRPr="0021270B">
        <w:rPr>
          <w:lang w:val="en-NZ"/>
        </w:rPr>
        <w:t xml:space="preserve"> that is presently being consulted on through an officials</w:t>
      </w:r>
      <w:r w:rsidR="005641C1">
        <w:rPr>
          <w:lang w:val="en-NZ"/>
        </w:rPr>
        <w:t>’</w:t>
      </w:r>
      <w:r w:rsidR="00022CC8" w:rsidRPr="0021270B">
        <w:rPr>
          <w:lang w:val="en-NZ"/>
        </w:rPr>
        <w:t xml:space="preserve"> issues paper.</w:t>
      </w:r>
    </w:p>
    <w:p w:rsidR="00022CC8" w:rsidRPr="0021270B" w:rsidRDefault="00022CC8" w:rsidP="00022CC8">
      <w:pPr>
        <w:rPr>
          <w:lang w:val="en-NZ"/>
        </w:rPr>
      </w:pPr>
    </w:p>
    <w:p w:rsidR="00022CC8" w:rsidRPr="0021270B" w:rsidRDefault="00022CC8" w:rsidP="00022CC8">
      <w:pPr>
        <w:rPr>
          <w:b/>
          <w:lang w:val="en-NZ"/>
        </w:rPr>
      </w:pPr>
      <w:r w:rsidRPr="0021270B">
        <w:rPr>
          <w:b/>
          <w:lang w:val="en-NZ"/>
        </w:rPr>
        <w:t>Comment</w:t>
      </w:r>
    </w:p>
    <w:p w:rsidR="00022CC8" w:rsidRPr="0021270B" w:rsidRDefault="00022CC8" w:rsidP="00022CC8">
      <w:pPr>
        <w:rPr>
          <w:lang w:val="en-NZ"/>
        </w:rPr>
      </w:pPr>
    </w:p>
    <w:p w:rsidR="00022CC8" w:rsidRPr="0021270B" w:rsidRDefault="00022CC8" w:rsidP="00022CC8">
      <w:pPr>
        <w:rPr>
          <w:lang w:val="en-NZ"/>
        </w:rPr>
      </w:pPr>
      <w:r w:rsidRPr="0021270B">
        <w:rPr>
          <w:lang w:val="en-NZ"/>
        </w:rPr>
        <w:t xml:space="preserve">The submissions refer to matters that are </w:t>
      </w:r>
      <w:r w:rsidR="00672EE5" w:rsidRPr="0021270B">
        <w:rPr>
          <w:lang w:val="en-NZ"/>
        </w:rPr>
        <w:t>not contained in</w:t>
      </w:r>
      <w:r w:rsidRPr="0021270B">
        <w:rPr>
          <w:lang w:val="en-NZ"/>
        </w:rPr>
        <w:t xml:space="preserve"> the </w:t>
      </w:r>
      <w:r w:rsidR="00672EE5" w:rsidRPr="0021270B">
        <w:rPr>
          <w:lang w:val="en-NZ"/>
        </w:rPr>
        <w:t>B</w:t>
      </w:r>
      <w:r w:rsidRPr="0021270B">
        <w:rPr>
          <w:lang w:val="en-NZ"/>
        </w:rPr>
        <w:t>ill and are therefore outside the scope for consideration.</w:t>
      </w:r>
      <w:r w:rsidR="00504402" w:rsidRPr="0021270B">
        <w:rPr>
          <w:lang w:val="en-NZ"/>
        </w:rPr>
        <w:t xml:space="preserve"> However, </w:t>
      </w:r>
      <w:r w:rsidR="00672EE5" w:rsidRPr="0021270B">
        <w:rPr>
          <w:lang w:val="en-NZ"/>
        </w:rPr>
        <w:t>the</w:t>
      </w:r>
      <w:r w:rsidR="00504402" w:rsidRPr="0021270B">
        <w:rPr>
          <w:lang w:val="en-NZ"/>
        </w:rPr>
        <w:t xml:space="preserve"> submission</w:t>
      </w:r>
      <w:r w:rsidR="00672EE5" w:rsidRPr="0021270B">
        <w:rPr>
          <w:lang w:val="en-NZ"/>
        </w:rPr>
        <w:t>s should be referred</w:t>
      </w:r>
      <w:r w:rsidR="00504402" w:rsidRPr="0021270B">
        <w:rPr>
          <w:lang w:val="en-NZ"/>
        </w:rPr>
        <w:t xml:space="preserve"> to the appropriate officials</w:t>
      </w:r>
      <w:r w:rsidR="00CD7554" w:rsidRPr="0021270B">
        <w:rPr>
          <w:lang w:val="en-NZ"/>
        </w:rPr>
        <w:t xml:space="preserve"> to be considered as part of the consultation process for </w:t>
      </w:r>
      <w:r w:rsidR="00672EE5" w:rsidRPr="0021270B">
        <w:rPr>
          <w:lang w:val="en-NZ"/>
        </w:rPr>
        <w:t>the bright-line test proposal</w:t>
      </w:r>
      <w:r w:rsidR="00504402" w:rsidRPr="0021270B">
        <w:rPr>
          <w:lang w:val="en-NZ"/>
        </w:rPr>
        <w:t xml:space="preserve">. </w:t>
      </w:r>
    </w:p>
    <w:p w:rsidR="00022CC8" w:rsidRPr="0021270B" w:rsidRDefault="00022CC8" w:rsidP="00022CC8">
      <w:pPr>
        <w:rPr>
          <w:lang w:val="en-NZ"/>
        </w:rPr>
      </w:pPr>
    </w:p>
    <w:p w:rsidR="00022CC8" w:rsidRPr="0021270B" w:rsidRDefault="00022CC8" w:rsidP="00022CC8">
      <w:pPr>
        <w:keepNext/>
        <w:outlineLvl w:val="1"/>
        <w:rPr>
          <w:b/>
          <w:lang w:val="en-NZ"/>
        </w:rPr>
      </w:pPr>
      <w:r w:rsidRPr="0021270B">
        <w:rPr>
          <w:b/>
          <w:lang w:val="en-NZ"/>
        </w:rPr>
        <w:t>Recommendation</w:t>
      </w:r>
    </w:p>
    <w:p w:rsidR="00022CC8" w:rsidRPr="0021270B" w:rsidRDefault="00022CC8" w:rsidP="00022CC8">
      <w:pPr>
        <w:rPr>
          <w:lang w:val="en-NZ"/>
        </w:rPr>
      </w:pPr>
    </w:p>
    <w:p w:rsidR="00022CC8" w:rsidRDefault="00022CC8" w:rsidP="00022CC8">
      <w:pPr>
        <w:rPr>
          <w:lang w:val="en-NZ"/>
        </w:rPr>
      </w:pPr>
      <w:r w:rsidRPr="0021270B">
        <w:rPr>
          <w:lang w:val="en-NZ"/>
        </w:rPr>
        <w:t>That the submission</w:t>
      </w:r>
      <w:r w:rsidR="00672EE5" w:rsidRPr="0021270B">
        <w:rPr>
          <w:lang w:val="en-NZ"/>
        </w:rPr>
        <w:t>s</w:t>
      </w:r>
      <w:r w:rsidRPr="0021270B">
        <w:rPr>
          <w:lang w:val="en-NZ"/>
        </w:rPr>
        <w:t xml:space="preserve"> </w:t>
      </w:r>
      <w:proofErr w:type="gramStart"/>
      <w:r w:rsidRPr="0021270B">
        <w:rPr>
          <w:lang w:val="en-NZ"/>
        </w:rPr>
        <w:t>be</w:t>
      </w:r>
      <w:proofErr w:type="gramEnd"/>
      <w:r w:rsidRPr="0021270B">
        <w:rPr>
          <w:lang w:val="en-NZ"/>
        </w:rPr>
        <w:t xml:space="preserve"> declined</w:t>
      </w:r>
      <w:r w:rsidR="00CD7554" w:rsidRPr="0021270B">
        <w:rPr>
          <w:lang w:val="en-NZ"/>
        </w:rPr>
        <w:t xml:space="preserve">, but that </w:t>
      </w:r>
      <w:r w:rsidR="00672EE5" w:rsidRPr="0021270B">
        <w:rPr>
          <w:lang w:val="en-NZ"/>
        </w:rPr>
        <w:t xml:space="preserve">they </w:t>
      </w:r>
      <w:r w:rsidR="00CD7554" w:rsidRPr="0021270B">
        <w:rPr>
          <w:lang w:val="en-NZ"/>
        </w:rPr>
        <w:t>be referred to the appropriate officials</w:t>
      </w:r>
      <w:r w:rsidRPr="0021270B">
        <w:rPr>
          <w:lang w:val="en-NZ"/>
        </w:rPr>
        <w:t>.</w:t>
      </w:r>
    </w:p>
    <w:p w:rsidR="00053A56" w:rsidRPr="0021270B" w:rsidRDefault="00053A56" w:rsidP="00022CC8">
      <w:pPr>
        <w:rPr>
          <w:lang w:val="en-NZ"/>
        </w:rPr>
      </w:pPr>
    </w:p>
    <w:p w:rsidR="00977E4C" w:rsidRDefault="00977E4C">
      <w:pPr>
        <w:jc w:val="left"/>
        <w:rPr>
          <w:lang w:val="en-NZ"/>
        </w:rPr>
      </w:pPr>
      <w:r>
        <w:rPr>
          <w:lang w:val="en-NZ"/>
        </w:rPr>
        <w:br w:type="page"/>
      </w:r>
    </w:p>
    <w:p w:rsidR="00977E4C" w:rsidRDefault="00977E4C">
      <w:pPr>
        <w:jc w:val="left"/>
        <w:rPr>
          <w:lang w:val="en-NZ"/>
        </w:rPr>
      </w:pPr>
      <w:r>
        <w:rPr>
          <w:lang w:val="en-NZ"/>
        </w:rPr>
        <w:lastRenderedPageBreak/>
        <w:br w:type="page"/>
      </w:r>
    </w:p>
    <w:p w:rsidR="00210DE8" w:rsidRPr="0021270B" w:rsidRDefault="00210DE8" w:rsidP="00536A68">
      <w:pPr>
        <w:rPr>
          <w:lang w:val="en-NZ"/>
        </w:rPr>
        <w:sectPr w:rsidR="00210DE8" w:rsidRPr="0021270B" w:rsidSect="00622084">
          <w:pgSz w:w="11906" w:h="16838" w:code="9"/>
          <w:pgMar w:top="1304" w:right="1797" w:bottom="1134" w:left="1797" w:header="720" w:footer="567" w:gutter="0"/>
          <w:pgNumType w:start="1"/>
          <w:cols w:space="720"/>
        </w:sectPr>
      </w:pPr>
    </w:p>
    <w:p w:rsidR="0061002A" w:rsidRPr="0062310E" w:rsidRDefault="0061002A" w:rsidP="0062310E">
      <w:pPr>
        <w:jc w:val="left"/>
        <w:rPr>
          <w:szCs w:val="24"/>
        </w:rPr>
      </w:pPr>
    </w:p>
    <w:p w:rsidR="0061002A" w:rsidRPr="0062310E" w:rsidRDefault="0061002A" w:rsidP="0062310E">
      <w:pPr>
        <w:jc w:val="left"/>
        <w:rPr>
          <w:szCs w:val="24"/>
          <w:lang w:val="en-NZ"/>
        </w:rPr>
      </w:pPr>
    </w:p>
    <w:p w:rsidR="0061002A" w:rsidRPr="0062310E" w:rsidRDefault="0061002A" w:rsidP="0062310E">
      <w:pPr>
        <w:jc w:val="left"/>
        <w:rPr>
          <w:szCs w:val="24"/>
        </w:rPr>
      </w:pPr>
    </w:p>
    <w:p w:rsidR="0061002A" w:rsidRPr="0062310E" w:rsidRDefault="0061002A" w:rsidP="0062310E">
      <w:pPr>
        <w:jc w:val="left"/>
        <w:rPr>
          <w:szCs w:val="24"/>
        </w:rPr>
      </w:pPr>
    </w:p>
    <w:p w:rsidR="0061002A" w:rsidRPr="0062310E" w:rsidRDefault="0061002A" w:rsidP="0062310E">
      <w:pPr>
        <w:jc w:val="left"/>
        <w:rPr>
          <w:szCs w:val="24"/>
          <w:lang w:val="en-NZ"/>
        </w:rPr>
      </w:pPr>
    </w:p>
    <w:p w:rsidR="0061002A" w:rsidRPr="0062310E" w:rsidRDefault="0061002A" w:rsidP="0062310E">
      <w:pPr>
        <w:jc w:val="left"/>
        <w:rPr>
          <w:szCs w:val="24"/>
          <w:lang w:val="en-NZ"/>
        </w:rPr>
      </w:pPr>
    </w:p>
    <w:p w:rsidR="0079424B" w:rsidRPr="0062310E" w:rsidRDefault="0079424B" w:rsidP="0062310E">
      <w:pPr>
        <w:jc w:val="left"/>
        <w:rPr>
          <w:szCs w:val="24"/>
          <w:lang w:val="en-NZ"/>
        </w:rPr>
      </w:pPr>
    </w:p>
    <w:p w:rsidR="0079424B" w:rsidRPr="0062310E" w:rsidRDefault="0079424B" w:rsidP="0062310E">
      <w:pPr>
        <w:jc w:val="left"/>
        <w:rPr>
          <w:szCs w:val="24"/>
          <w:lang w:val="en-NZ"/>
        </w:rPr>
      </w:pPr>
    </w:p>
    <w:p w:rsidR="0079424B" w:rsidRPr="0062310E" w:rsidRDefault="0079424B" w:rsidP="0062310E">
      <w:pPr>
        <w:jc w:val="left"/>
        <w:rPr>
          <w:szCs w:val="24"/>
          <w:lang w:val="en-NZ"/>
        </w:rPr>
      </w:pPr>
    </w:p>
    <w:p w:rsidR="0079424B" w:rsidRPr="0062310E" w:rsidRDefault="0079424B" w:rsidP="0062310E">
      <w:pPr>
        <w:jc w:val="left"/>
        <w:rPr>
          <w:szCs w:val="24"/>
          <w:lang w:val="en-NZ"/>
        </w:rPr>
      </w:pPr>
    </w:p>
    <w:p w:rsidR="0079424B" w:rsidRPr="0062310E" w:rsidRDefault="0079424B" w:rsidP="0062310E">
      <w:pPr>
        <w:jc w:val="left"/>
        <w:rPr>
          <w:szCs w:val="24"/>
          <w:lang w:val="en-NZ"/>
        </w:rPr>
      </w:pPr>
    </w:p>
    <w:p w:rsidR="0079424B" w:rsidRPr="0062310E" w:rsidRDefault="0079424B" w:rsidP="0062310E">
      <w:pPr>
        <w:jc w:val="left"/>
        <w:rPr>
          <w:szCs w:val="24"/>
          <w:lang w:val="en-NZ"/>
        </w:rPr>
      </w:pPr>
    </w:p>
    <w:p w:rsidR="0079424B" w:rsidRPr="0062310E" w:rsidRDefault="0079424B" w:rsidP="0062310E">
      <w:pPr>
        <w:jc w:val="left"/>
        <w:rPr>
          <w:szCs w:val="24"/>
          <w:lang w:val="en-NZ"/>
        </w:rPr>
      </w:pPr>
    </w:p>
    <w:p w:rsidR="0079424B" w:rsidRPr="0062310E" w:rsidRDefault="0079424B" w:rsidP="0062310E">
      <w:pPr>
        <w:jc w:val="left"/>
        <w:rPr>
          <w:szCs w:val="24"/>
          <w:lang w:val="en-NZ"/>
        </w:rPr>
      </w:pPr>
    </w:p>
    <w:p w:rsidR="0079424B" w:rsidRPr="0062310E" w:rsidRDefault="0079424B" w:rsidP="0062310E">
      <w:pPr>
        <w:jc w:val="left"/>
        <w:rPr>
          <w:szCs w:val="24"/>
          <w:lang w:val="en-NZ"/>
        </w:rPr>
      </w:pPr>
    </w:p>
    <w:p w:rsidR="0079424B" w:rsidRPr="0062310E" w:rsidRDefault="0079424B" w:rsidP="0062310E">
      <w:pPr>
        <w:jc w:val="left"/>
        <w:rPr>
          <w:szCs w:val="24"/>
          <w:lang w:val="en-NZ"/>
        </w:rPr>
      </w:pPr>
    </w:p>
    <w:p w:rsidR="0061002A" w:rsidRPr="0021270B" w:rsidRDefault="00616AD0" w:rsidP="00536A68">
      <w:pPr>
        <w:pStyle w:val="PartHeading"/>
        <w:pBdr>
          <w:top w:val="single" w:sz="4" w:space="10" w:color="auto"/>
          <w:bottom w:val="single" w:sz="4" w:space="10" w:color="auto"/>
        </w:pBdr>
        <w:spacing w:after="200"/>
      </w:pPr>
      <w:bookmarkStart w:id="88" w:name="_Toc427238281"/>
      <w:r w:rsidRPr="0021270B">
        <w:rPr>
          <w:caps w:val="0"/>
        </w:rPr>
        <w:t>M</w:t>
      </w:r>
      <w:r w:rsidR="0061002A" w:rsidRPr="0021270B">
        <w:rPr>
          <w:caps w:val="0"/>
        </w:rPr>
        <w:t>atters raised by officials</w:t>
      </w:r>
      <w:bookmarkEnd w:id="88"/>
    </w:p>
    <w:p w:rsidR="0061002A" w:rsidRPr="0021270B" w:rsidRDefault="0061002A" w:rsidP="00536A68">
      <w:pPr>
        <w:pStyle w:val="PartHeading"/>
        <w:pBdr>
          <w:top w:val="none" w:sz="0" w:space="0" w:color="auto"/>
          <w:bottom w:val="none" w:sz="0" w:space="0" w:color="auto"/>
        </w:pBdr>
      </w:pPr>
    </w:p>
    <w:p w:rsidR="00977E4C" w:rsidRDefault="00977E4C">
      <w:pPr>
        <w:jc w:val="left"/>
        <w:rPr>
          <w:caps/>
          <w:sz w:val="60"/>
          <w:lang w:val="en-NZ"/>
        </w:rPr>
      </w:pPr>
      <w:r>
        <w:br w:type="page"/>
      </w:r>
    </w:p>
    <w:p w:rsidR="00977E4C" w:rsidRDefault="00977E4C">
      <w:pPr>
        <w:jc w:val="left"/>
        <w:rPr>
          <w:caps/>
          <w:sz w:val="60"/>
          <w:lang w:val="en-NZ"/>
        </w:rPr>
      </w:pPr>
      <w:r>
        <w:lastRenderedPageBreak/>
        <w:br w:type="page"/>
      </w:r>
    </w:p>
    <w:p w:rsidR="0061002A" w:rsidRPr="0021270B" w:rsidRDefault="0061002A" w:rsidP="00536A68">
      <w:pPr>
        <w:pStyle w:val="PartHeading"/>
        <w:pBdr>
          <w:top w:val="none" w:sz="0" w:space="0" w:color="auto"/>
          <w:bottom w:val="none" w:sz="0" w:space="0" w:color="auto"/>
        </w:pBdr>
        <w:sectPr w:rsidR="0061002A" w:rsidRPr="0021270B" w:rsidSect="00622084">
          <w:type w:val="continuous"/>
          <w:pgSz w:w="11906" w:h="16838" w:code="9"/>
          <w:pgMar w:top="1304" w:right="1797" w:bottom="1134" w:left="1797" w:header="720" w:footer="567" w:gutter="0"/>
          <w:cols w:space="720"/>
        </w:sectPr>
      </w:pPr>
    </w:p>
    <w:p w:rsidR="007677AF" w:rsidRPr="0021270B" w:rsidRDefault="007677AF" w:rsidP="0079424B">
      <w:pPr>
        <w:pStyle w:val="Heading5"/>
      </w:pPr>
      <w:bookmarkStart w:id="89" w:name="_Toc427238282"/>
      <w:r w:rsidRPr="0021270B">
        <w:rPr>
          <w:lang w:val="en-NZ"/>
        </w:rPr>
        <w:lastRenderedPageBreak/>
        <w:t xml:space="preserve">Issue: </w:t>
      </w:r>
      <w:r w:rsidRPr="0021270B">
        <w:rPr>
          <w:lang w:val="en-NZ"/>
        </w:rPr>
        <w:tab/>
        <w:t>Identifying if the property is residential</w:t>
      </w:r>
      <w:bookmarkEnd w:id="89"/>
    </w:p>
    <w:p w:rsidR="007677AF" w:rsidRPr="00053A56" w:rsidRDefault="007677AF" w:rsidP="007677AF">
      <w:pPr>
        <w:rPr>
          <w:sz w:val="20"/>
          <w:lang w:val="en-NZ"/>
        </w:rPr>
      </w:pPr>
    </w:p>
    <w:p w:rsidR="007677AF" w:rsidRPr="00053A56" w:rsidRDefault="007677AF" w:rsidP="007677AF">
      <w:pPr>
        <w:rPr>
          <w:sz w:val="20"/>
          <w:lang w:val="en-NZ"/>
        </w:rPr>
      </w:pPr>
    </w:p>
    <w:p w:rsidR="007677AF" w:rsidRPr="0021270B" w:rsidRDefault="007677AF" w:rsidP="007677AF">
      <w:pPr>
        <w:keepNext/>
        <w:outlineLvl w:val="1"/>
        <w:rPr>
          <w:b/>
          <w:lang w:val="en-NZ"/>
        </w:rPr>
      </w:pPr>
      <w:r w:rsidRPr="0021270B">
        <w:rPr>
          <w:b/>
          <w:lang w:val="en-NZ"/>
        </w:rPr>
        <w:t>Submission</w:t>
      </w:r>
    </w:p>
    <w:p w:rsidR="007677AF" w:rsidRPr="0021270B" w:rsidRDefault="00C0694B" w:rsidP="007677AF">
      <w:pPr>
        <w:keepNext/>
        <w:outlineLvl w:val="3"/>
        <w:rPr>
          <w:i/>
          <w:lang w:val="en-NZ"/>
        </w:rPr>
      </w:pPr>
      <w:r w:rsidRPr="0021270B">
        <w:rPr>
          <w:i/>
          <w:lang w:val="en-NZ"/>
        </w:rPr>
        <w:t>(</w:t>
      </w:r>
      <w:r w:rsidR="007677AF" w:rsidRPr="0021270B">
        <w:rPr>
          <w:i/>
          <w:lang w:val="en-NZ"/>
        </w:rPr>
        <w:t>Matter raised by officials</w:t>
      </w:r>
      <w:r w:rsidRPr="0021270B">
        <w:rPr>
          <w:i/>
          <w:lang w:val="en-NZ"/>
        </w:rPr>
        <w:t>)</w:t>
      </w:r>
    </w:p>
    <w:p w:rsidR="007677AF" w:rsidRPr="00053A56" w:rsidRDefault="007677AF" w:rsidP="007677AF">
      <w:pPr>
        <w:rPr>
          <w:sz w:val="20"/>
          <w:lang w:val="en-NZ"/>
        </w:rPr>
      </w:pPr>
    </w:p>
    <w:p w:rsidR="007677AF" w:rsidRPr="0021270B" w:rsidRDefault="007677AF" w:rsidP="007677AF">
      <w:pPr>
        <w:rPr>
          <w:lang w:val="en-NZ"/>
        </w:rPr>
      </w:pPr>
      <w:r w:rsidRPr="0021270B">
        <w:rPr>
          <w:lang w:val="en-NZ"/>
        </w:rPr>
        <w:t>The land transfer system does</w:t>
      </w:r>
      <w:r w:rsidR="00333519" w:rsidRPr="0021270B">
        <w:rPr>
          <w:lang w:val="en-NZ"/>
        </w:rPr>
        <w:t xml:space="preserve"> not</w:t>
      </w:r>
      <w:r w:rsidRPr="0021270B">
        <w:rPr>
          <w:lang w:val="en-NZ"/>
        </w:rPr>
        <w:t xml:space="preserve"> differentiate between land on the basis of use, e.g. as a home.  This makes the information less useful than it could be for housing policy.</w:t>
      </w:r>
      <w:r w:rsidR="00C0694B" w:rsidRPr="0021270B">
        <w:rPr>
          <w:lang w:val="en-NZ"/>
        </w:rPr>
        <w:t xml:space="preserve"> Officials submit that clause 4 </w:t>
      </w:r>
      <w:r w:rsidR="00B7542A" w:rsidRPr="0021270B">
        <w:rPr>
          <w:lang w:val="en-NZ"/>
        </w:rPr>
        <w:t>be</w:t>
      </w:r>
      <w:r w:rsidR="00C0694B" w:rsidRPr="0021270B">
        <w:rPr>
          <w:lang w:val="en-NZ"/>
        </w:rPr>
        <w:t xml:space="preserve"> amended</w:t>
      </w:r>
      <w:r w:rsidR="00B7542A" w:rsidRPr="0021270B">
        <w:rPr>
          <w:lang w:val="en-NZ"/>
        </w:rPr>
        <w:t xml:space="preserve"> so that</w:t>
      </w:r>
      <w:r w:rsidR="00C0694B" w:rsidRPr="0021270B">
        <w:rPr>
          <w:lang w:val="en-NZ"/>
        </w:rPr>
        <w:t xml:space="preserve"> </w:t>
      </w:r>
      <w:r w:rsidR="00B7542A" w:rsidRPr="0021270B">
        <w:rPr>
          <w:lang w:val="en-NZ"/>
        </w:rPr>
        <w:t>if the land is to be used as a residence or home this information is provided in the tax statement</w:t>
      </w:r>
      <w:r w:rsidR="00C0694B" w:rsidRPr="0021270B">
        <w:rPr>
          <w:lang w:val="en-NZ"/>
        </w:rPr>
        <w:t>.</w:t>
      </w:r>
    </w:p>
    <w:p w:rsidR="007677AF" w:rsidRPr="00053A56" w:rsidRDefault="007677AF" w:rsidP="007677AF">
      <w:pPr>
        <w:rPr>
          <w:sz w:val="20"/>
          <w:lang w:val="en-NZ"/>
        </w:rPr>
      </w:pPr>
    </w:p>
    <w:p w:rsidR="007677AF" w:rsidRPr="0021270B" w:rsidRDefault="007677AF" w:rsidP="007677AF">
      <w:pPr>
        <w:keepNext/>
        <w:outlineLvl w:val="1"/>
        <w:rPr>
          <w:b/>
          <w:lang w:val="en-NZ"/>
        </w:rPr>
      </w:pPr>
      <w:r w:rsidRPr="0021270B">
        <w:rPr>
          <w:b/>
          <w:lang w:val="en-NZ"/>
        </w:rPr>
        <w:t>Comment</w:t>
      </w:r>
    </w:p>
    <w:p w:rsidR="007677AF" w:rsidRPr="00053A56" w:rsidRDefault="007677AF" w:rsidP="007677AF">
      <w:pPr>
        <w:rPr>
          <w:sz w:val="20"/>
          <w:lang w:val="en-NZ"/>
        </w:rPr>
      </w:pPr>
    </w:p>
    <w:p w:rsidR="007677AF" w:rsidRPr="0021270B" w:rsidRDefault="007677AF" w:rsidP="007677AF">
      <w:pPr>
        <w:rPr>
          <w:lang w:val="en-NZ"/>
        </w:rPr>
      </w:pPr>
      <w:r w:rsidRPr="0021270B">
        <w:rPr>
          <w:lang w:val="en-NZ"/>
        </w:rPr>
        <w:t>The information collected through this tax statement could be useful for understanding the housing market.  For this information to be useful in this context the statement needs to identify if the transaction relates to a home.  This could be achieved by the statement identifying that the transaction relates to the transfer of a home.</w:t>
      </w:r>
    </w:p>
    <w:p w:rsidR="007677AF" w:rsidRPr="00053A56" w:rsidRDefault="007677AF" w:rsidP="007677AF">
      <w:pPr>
        <w:rPr>
          <w:sz w:val="20"/>
          <w:lang w:val="en-NZ"/>
        </w:rPr>
      </w:pPr>
    </w:p>
    <w:p w:rsidR="007677AF" w:rsidRPr="0021270B" w:rsidRDefault="007677AF" w:rsidP="007677AF">
      <w:pPr>
        <w:rPr>
          <w:lang w:val="en-NZ"/>
        </w:rPr>
      </w:pPr>
      <w:r w:rsidRPr="0021270B">
        <w:rPr>
          <w:lang w:val="en-NZ"/>
        </w:rPr>
        <w:t>It will also require change</w:t>
      </w:r>
      <w:r w:rsidR="00B7542A" w:rsidRPr="0021270B">
        <w:rPr>
          <w:lang w:val="en-NZ"/>
        </w:rPr>
        <w:t>s</w:t>
      </w:r>
      <w:r w:rsidRPr="0021270B">
        <w:rPr>
          <w:lang w:val="en-NZ"/>
        </w:rPr>
        <w:t xml:space="preserve"> to who can use the information and to what information will be published by Land Information New Zealand.</w:t>
      </w:r>
    </w:p>
    <w:p w:rsidR="007677AF" w:rsidRPr="00053A56" w:rsidRDefault="007677AF" w:rsidP="007677AF">
      <w:pPr>
        <w:rPr>
          <w:b/>
          <w:sz w:val="20"/>
          <w:lang w:val="en-NZ"/>
        </w:rPr>
      </w:pPr>
    </w:p>
    <w:p w:rsidR="007677AF" w:rsidRPr="0021270B" w:rsidRDefault="007677AF" w:rsidP="007677AF">
      <w:pPr>
        <w:keepNext/>
        <w:outlineLvl w:val="1"/>
        <w:rPr>
          <w:b/>
          <w:lang w:val="en-NZ"/>
        </w:rPr>
      </w:pPr>
      <w:r w:rsidRPr="0021270B">
        <w:rPr>
          <w:b/>
          <w:lang w:val="en-NZ"/>
        </w:rPr>
        <w:t>Recommendation</w:t>
      </w:r>
    </w:p>
    <w:p w:rsidR="007677AF" w:rsidRPr="00053A56" w:rsidRDefault="007677AF" w:rsidP="007677AF">
      <w:pPr>
        <w:rPr>
          <w:sz w:val="20"/>
          <w:lang w:val="en-NZ"/>
        </w:rPr>
      </w:pPr>
    </w:p>
    <w:p w:rsidR="007677AF" w:rsidRPr="0021270B" w:rsidRDefault="007677AF" w:rsidP="007677AF">
      <w:pPr>
        <w:tabs>
          <w:tab w:val="left" w:pos="3585"/>
        </w:tabs>
        <w:rPr>
          <w:lang w:val="en-NZ"/>
        </w:rPr>
      </w:pPr>
      <w:r w:rsidRPr="0021270B">
        <w:rPr>
          <w:lang w:val="en-NZ"/>
        </w:rPr>
        <w:t>Amend clause 4 to amend section 156C (1) that the information should include if the transfer relates to land that will be or has been used as a home.</w:t>
      </w:r>
    </w:p>
    <w:p w:rsidR="007677AF" w:rsidRPr="00053A56" w:rsidRDefault="007677AF" w:rsidP="007677AF">
      <w:pPr>
        <w:jc w:val="left"/>
        <w:rPr>
          <w:sz w:val="20"/>
        </w:rPr>
      </w:pPr>
    </w:p>
    <w:p w:rsidR="007677AF" w:rsidRPr="0021270B" w:rsidRDefault="007677AF" w:rsidP="007677AF">
      <w:pPr>
        <w:jc w:val="left"/>
      </w:pPr>
      <w:r w:rsidRPr="0021270B">
        <w:t>Amend section 156F to allow this and the other tax information collected under the Bill information to be used by relevant department/s and their authorised person for Housing Policy purposes.</w:t>
      </w:r>
    </w:p>
    <w:p w:rsidR="007677AF" w:rsidRPr="00053A56" w:rsidRDefault="007677AF" w:rsidP="007677AF">
      <w:pPr>
        <w:jc w:val="left"/>
        <w:rPr>
          <w:sz w:val="20"/>
        </w:rPr>
      </w:pPr>
    </w:p>
    <w:p w:rsidR="007677AF" w:rsidRPr="0021270B" w:rsidRDefault="007677AF" w:rsidP="007677AF">
      <w:pPr>
        <w:jc w:val="left"/>
      </w:pPr>
      <w:r w:rsidRPr="0021270B">
        <w:t>Amend section 156F of the Bill to allow Land Information New Zealand to publish aggregate data on the transfers of land used or to be used as homes.</w:t>
      </w:r>
    </w:p>
    <w:p w:rsidR="007677AF" w:rsidRPr="00053A56" w:rsidRDefault="007677AF" w:rsidP="007677AF">
      <w:pPr>
        <w:pBdr>
          <w:bottom w:val="single" w:sz="4" w:space="1" w:color="auto"/>
        </w:pBdr>
        <w:jc w:val="left"/>
        <w:rPr>
          <w:sz w:val="20"/>
        </w:rPr>
      </w:pPr>
    </w:p>
    <w:p w:rsidR="007677AF" w:rsidRPr="00053A56" w:rsidRDefault="007677AF" w:rsidP="007677AF">
      <w:pPr>
        <w:rPr>
          <w:sz w:val="20"/>
        </w:rPr>
      </w:pPr>
    </w:p>
    <w:p w:rsidR="007677AF" w:rsidRPr="00053A56" w:rsidRDefault="007677AF" w:rsidP="007677AF">
      <w:pPr>
        <w:rPr>
          <w:sz w:val="20"/>
        </w:rPr>
      </w:pPr>
    </w:p>
    <w:p w:rsidR="00BB795B" w:rsidRPr="0021270B" w:rsidRDefault="00BB795B" w:rsidP="009575F9">
      <w:pPr>
        <w:pStyle w:val="Heading5"/>
      </w:pPr>
      <w:bookmarkStart w:id="90" w:name="_Toc427238283"/>
      <w:r w:rsidRPr="0021270B">
        <w:t xml:space="preserve">Issue: </w:t>
      </w:r>
      <w:r w:rsidR="00C109C9" w:rsidRPr="0021270B">
        <w:tab/>
      </w:r>
      <w:r w:rsidR="000E5205" w:rsidRPr="0021270B">
        <w:t>Main homes - m</w:t>
      </w:r>
      <w:r w:rsidRPr="0021270B">
        <w:t>ultiple dwellings</w:t>
      </w:r>
      <w:bookmarkEnd w:id="90"/>
      <w:r w:rsidRPr="0021270B">
        <w:t xml:space="preserve"> </w:t>
      </w:r>
    </w:p>
    <w:p w:rsidR="00BB795B" w:rsidRPr="00053A56" w:rsidRDefault="00BB795B" w:rsidP="00053A56">
      <w:pPr>
        <w:rPr>
          <w:sz w:val="20"/>
        </w:rPr>
      </w:pPr>
    </w:p>
    <w:p w:rsidR="00E11524" w:rsidRPr="00053A56" w:rsidRDefault="00E11524" w:rsidP="00053A56">
      <w:pPr>
        <w:rPr>
          <w:sz w:val="20"/>
        </w:rPr>
      </w:pPr>
    </w:p>
    <w:p w:rsidR="00BB795B" w:rsidRPr="0021270B" w:rsidRDefault="00BB795B" w:rsidP="00BB795B">
      <w:pPr>
        <w:keepNext/>
        <w:outlineLvl w:val="1"/>
        <w:rPr>
          <w:b/>
          <w:lang w:val="en-NZ"/>
        </w:rPr>
      </w:pPr>
      <w:r w:rsidRPr="0021270B">
        <w:rPr>
          <w:b/>
          <w:lang w:val="en-NZ"/>
        </w:rPr>
        <w:t>Submission</w:t>
      </w:r>
    </w:p>
    <w:p w:rsidR="00BB795B" w:rsidRPr="0021270B" w:rsidRDefault="00BB795B" w:rsidP="00BB795B">
      <w:pPr>
        <w:keepNext/>
        <w:outlineLvl w:val="3"/>
        <w:rPr>
          <w:i/>
          <w:lang w:val="en-NZ"/>
        </w:rPr>
      </w:pPr>
      <w:r w:rsidRPr="0021270B">
        <w:rPr>
          <w:i/>
          <w:lang w:val="en-NZ"/>
        </w:rPr>
        <w:t>(Matter raised by officials)</w:t>
      </w:r>
    </w:p>
    <w:p w:rsidR="00BB795B" w:rsidRPr="0021270B" w:rsidRDefault="00BB795B" w:rsidP="00BB795B">
      <w:pPr>
        <w:rPr>
          <w:lang w:val="en-NZ"/>
        </w:rPr>
      </w:pPr>
    </w:p>
    <w:p w:rsidR="00BB795B" w:rsidRPr="0021270B" w:rsidRDefault="00BB795B" w:rsidP="00BB795B">
      <w:pPr>
        <w:rPr>
          <w:lang w:val="en-NZ"/>
        </w:rPr>
      </w:pPr>
      <w:r w:rsidRPr="0021270B">
        <w:rPr>
          <w:lang w:val="en-NZ"/>
        </w:rPr>
        <w:t>The current draft for the main home exemption does not address situations where land has multiple dwellings.</w:t>
      </w:r>
    </w:p>
    <w:p w:rsidR="00BB795B" w:rsidRPr="00053A56" w:rsidRDefault="00BB795B" w:rsidP="00BB795B">
      <w:pPr>
        <w:rPr>
          <w:sz w:val="20"/>
          <w:lang w:val="en-NZ"/>
        </w:rPr>
      </w:pPr>
    </w:p>
    <w:p w:rsidR="00BB795B" w:rsidRPr="0021270B" w:rsidRDefault="00BB795B" w:rsidP="00BB795B">
      <w:pPr>
        <w:keepNext/>
        <w:outlineLvl w:val="1"/>
        <w:rPr>
          <w:b/>
          <w:lang w:val="en-NZ"/>
        </w:rPr>
      </w:pPr>
      <w:r w:rsidRPr="0021270B">
        <w:rPr>
          <w:b/>
          <w:lang w:val="en-NZ"/>
        </w:rPr>
        <w:t>Comment</w:t>
      </w:r>
    </w:p>
    <w:p w:rsidR="00BB795B" w:rsidRPr="00053A56" w:rsidRDefault="00BB795B" w:rsidP="00BB795B">
      <w:pPr>
        <w:rPr>
          <w:sz w:val="20"/>
          <w:lang w:val="en-NZ"/>
        </w:rPr>
      </w:pPr>
    </w:p>
    <w:p w:rsidR="00BB795B" w:rsidRPr="0021270B" w:rsidRDefault="00BB795B" w:rsidP="00BB795B">
      <w:pPr>
        <w:rPr>
          <w:lang w:val="en-NZ"/>
        </w:rPr>
      </w:pPr>
      <w:r w:rsidRPr="0021270B">
        <w:rPr>
          <w:lang w:val="en-NZ"/>
        </w:rPr>
        <w:t xml:space="preserve">Where </w:t>
      </w:r>
      <w:r w:rsidR="001C72A5" w:rsidRPr="0021270B">
        <w:rPr>
          <w:lang w:val="en-NZ"/>
        </w:rPr>
        <w:t xml:space="preserve">a piece of </w:t>
      </w:r>
      <w:r w:rsidRPr="0021270B">
        <w:rPr>
          <w:lang w:val="en-NZ"/>
        </w:rPr>
        <w:t xml:space="preserve">land has more than </w:t>
      </w:r>
      <w:r w:rsidR="001C72A5" w:rsidRPr="0021270B">
        <w:rPr>
          <w:lang w:val="en-NZ"/>
        </w:rPr>
        <w:t>one</w:t>
      </w:r>
      <w:r w:rsidRPr="0021270B">
        <w:rPr>
          <w:lang w:val="en-NZ"/>
        </w:rPr>
        <w:t xml:space="preserve"> dwelling</w:t>
      </w:r>
      <w:r w:rsidR="001C72A5" w:rsidRPr="0021270B">
        <w:rPr>
          <w:lang w:val="en-NZ"/>
        </w:rPr>
        <w:t xml:space="preserve"> on it</w:t>
      </w:r>
      <w:r w:rsidRPr="0021270B">
        <w:rPr>
          <w:lang w:val="en-NZ"/>
        </w:rPr>
        <w:t>, the majority of the land should be used as the main home to get the main home exemption</w:t>
      </w:r>
      <w:r w:rsidR="001C72A5" w:rsidRPr="0021270B">
        <w:rPr>
          <w:lang w:val="en-NZ"/>
        </w:rPr>
        <w:t>.</w:t>
      </w:r>
    </w:p>
    <w:p w:rsidR="00BB795B" w:rsidRPr="00053A56" w:rsidRDefault="00BB795B" w:rsidP="00BB795B">
      <w:pPr>
        <w:rPr>
          <w:sz w:val="20"/>
          <w:lang w:val="en-NZ"/>
        </w:rPr>
      </w:pPr>
    </w:p>
    <w:p w:rsidR="00BB795B" w:rsidRPr="0021270B" w:rsidRDefault="00BB795B" w:rsidP="00BB795B">
      <w:pPr>
        <w:keepNext/>
        <w:outlineLvl w:val="1"/>
        <w:rPr>
          <w:b/>
          <w:lang w:val="en-NZ"/>
        </w:rPr>
      </w:pPr>
      <w:r w:rsidRPr="0021270B">
        <w:rPr>
          <w:b/>
          <w:lang w:val="en-NZ"/>
        </w:rPr>
        <w:t>Recommendation</w:t>
      </w:r>
    </w:p>
    <w:p w:rsidR="00BB795B" w:rsidRPr="00053A56" w:rsidRDefault="00BB795B" w:rsidP="00BB795B">
      <w:pPr>
        <w:rPr>
          <w:sz w:val="20"/>
          <w:lang w:val="en-NZ"/>
        </w:rPr>
      </w:pPr>
    </w:p>
    <w:p w:rsidR="00936097" w:rsidRPr="0021270B" w:rsidRDefault="00BB795B" w:rsidP="00977E4C">
      <w:pPr>
        <w:rPr>
          <w:lang w:val="en-NZ"/>
        </w:rPr>
      </w:pPr>
      <w:r w:rsidRPr="0021270B">
        <w:rPr>
          <w:lang w:val="en-NZ"/>
        </w:rPr>
        <w:t>That the submission be accepted.</w:t>
      </w:r>
    </w:p>
    <w:p w:rsidR="009F24C0" w:rsidRPr="00053A56" w:rsidRDefault="009F24C0" w:rsidP="00E93C7F">
      <w:pPr>
        <w:pBdr>
          <w:bottom w:val="single" w:sz="4" w:space="1" w:color="auto"/>
        </w:pBdr>
        <w:rPr>
          <w:sz w:val="20"/>
          <w:lang w:val="en-NZ"/>
        </w:rPr>
      </w:pPr>
    </w:p>
    <w:p w:rsidR="00616AD0" w:rsidRPr="0021270B" w:rsidRDefault="00616AD0" w:rsidP="009575F9">
      <w:pPr>
        <w:pStyle w:val="Heading5"/>
        <w:rPr>
          <w:lang w:val="en-NZ"/>
        </w:rPr>
      </w:pPr>
      <w:bookmarkStart w:id="91" w:name="_Toc427238284"/>
      <w:r w:rsidRPr="0021270B">
        <w:rPr>
          <w:lang w:val="en-NZ"/>
        </w:rPr>
        <w:lastRenderedPageBreak/>
        <w:t>Issue:</w:t>
      </w:r>
      <w:r w:rsidRPr="0021270B">
        <w:rPr>
          <w:lang w:val="en-NZ"/>
        </w:rPr>
        <w:tab/>
        <w:t>Issuing an IRD number</w:t>
      </w:r>
      <w:bookmarkEnd w:id="91"/>
    </w:p>
    <w:p w:rsidR="00616AD0" w:rsidRPr="0021270B" w:rsidRDefault="00616AD0" w:rsidP="00616AD0">
      <w:pPr>
        <w:rPr>
          <w:lang w:val="en-NZ"/>
        </w:rPr>
      </w:pPr>
    </w:p>
    <w:p w:rsidR="00616AD0" w:rsidRPr="0021270B" w:rsidRDefault="00616AD0" w:rsidP="00616AD0">
      <w:pPr>
        <w:rPr>
          <w:lang w:val="en-NZ"/>
        </w:rPr>
      </w:pPr>
    </w:p>
    <w:p w:rsidR="00BB795B" w:rsidRPr="0021270B" w:rsidRDefault="00BB795B" w:rsidP="00BB795B">
      <w:pPr>
        <w:rPr>
          <w:b/>
        </w:rPr>
      </w:pPr>
      <w:r w:rsidRPr="0021270B">
        <w:rPr>
          <w:b/>
        </w:rPr>
        <w:t>Submission</w:t>
      </w:r>
    </w:p>
    <w:p w:rsidR="00BB795B" w:rsidRPr="0021270B" w:rsidRDefault="00BB795B" w:rsidP="00BB795B">
      <w:pPr>
        <w:rPr>
          <w:i/>
        </w:rPr>
      </w:pPr>
      <w:r w:rsidRPr="0021270B">
        <w:rPr>
          <w:i/>
        </w:rPr>
        <w:t>(Matter raised by officials)</w:t>
      </w:r>
    </w:p>
    <w:p w:rsidR="00616AD0" w:rsidRPr="0021270B" w:rsidRDefault="00616AD0" w:rsidP="00616AD0">
      <w:pPr>
        <w:tabs>
          <w:tab w:val="left" w:pos="5295"/>
        </w:tabs>
        <w:rPr>
          <w:lang w:val="en-NZ"/>
        </w:rPr>
      </w:pPr>
    </w:p>
    <w:p w:rsidR="00616AD0" w:rsidRPr="0021270B" w:rsidRDefault="00616AD0" w:rsidP="00616AD0">
      <w:pPr>
        <w:tabs>
          <w:tab w:val="left" w:pos="1590"/>
        </w:tabs>
        <w:rPr>
          <w:lang w:val="en-NZ"/>
        </w:rPr>
      </w:pPr>
      <w:r w:rsidRPr="0021270B">
        <w:rPr>
          <w:lang w:val="en-NZ"/>
        </w:rPr>
        <w:t>The bank account requirement should be limited to instances when a person has applied for an IRD number.</w:t>
      </w:r>
    </w:p>
    <w:p w:rsidR="00616AD0" w:rsidRPr="0021270B" w:rsidRDefault="00616AD0" w:rsidP="00616AD0">
      <w:pPr>
        <w:tabs>
          <w:tab w:val="left" w:pos="1590"/>
        </w:tabs>
        <w:rPr>
          <w:lang w:val="en-NZ"/>
        </w:rPr>
      </w:pPr>
    </w:p>
    <w:p w:rsidR="00616AD0" w:rsidRPr="0021270B" w:rsidRDefault="00616AD0" w:rsidP="00616AD0">
      <w:pPr>
        <w:keepNext/>
        <w:outlineLvl w:val="1"/>
        <w:rPr>
          <w:b/>
          <w:lang w:val="en-NZ"/>
        </w:rPr>
      </w:pPr>
      <w:r w:rsidRPr="0021270B">
        <w:rPr>
          <w:b/>
          <w:lang w:val="en-NZ"/>
        </w:rPr>
        <w:t>Comment</w:t>
      </w:r>
    </w:p>
    <w:p w:rsidR="00616AD0" w:rsidRPr="0021270B" w:rsidRDefault="00616AD0" w:rsidP="00616AD0">
      <w:pPr>
        <w:rPr>
          <w:lang w:val="en-NZ"/>
        </w:rPr>
      </w:pPr>
    </w:p>
    <w:p w:rsidR="00616AD0" w:rsidRPr="0021270B" w:rsidRDefault="00616AD0" w:rsidP="00616AD0">
      <w:pPr>
        <w:rPr>
          <w:lang w:val="en-NZ"/>
        </w:rPr>
      </w:pPr>
      <w:r w:rsidRPr="0021270B">
        <w:rPr>
          <w:lang w:val="en-NZ"/>
        </w:rPr>
        <w:t>Sometimes, for administrative convenience, Inland Revenue will proactively issue a person with an IRD number – essentially as a file number so that transactions involving that person can be recorded in Inland Revenue</w:t>
      </w:r>
      <w:r w:rsidR="005641C1">
        <w:rPr>
          <w:lang w:val="en-NZ"/>
        </w:rPr>
        <w:t>’</w:t>
      </w:r>
      <w:r w:rsidRPr="0021270B">
        <w:rPr>
          <w:lang w:val="en-NZ"/>
        </w:rPr>
        <w:t xml:space="preserve">s systems.  The person may not have requested this number, or even be aware of its existence.  An example might be a parent with child support obligations that does not otherwise have an IRD number.  </w:t>
      </w:r>
    </w:p>
    <w:p w:rsidR="00616AD0" w:rsidRPr="0021270B" w:rsidRDefault="00616AD0" w:rsidP="00616AD0">
      <w:pPr>
        <w:rPr>
          <w:lang w:val="en-NZ"/>
        </w:rPr>
      </w:pPr>
    </w:p>
    <w:p w:rsidR="00616AD0" w:rsidRPr="0021270B" w:rsidRDefault="00616AD0" w:rsidP="00616AD0">
      <w:pPr>
        <w:rPr>
          <w:lang w:val="en-NZ"/>
        </w:rPr>
      </w:pPr>
      <w:r w:rsidRPr="0021270B">
        <w:rPr>
          <w:lang w:val="en-NZ"/>
        </w:rPr>
        <w:t>In the event this person is an “offshore person”, the legislation, as currently drafted, would prevent this practice form occurring because the Commissioner will not have</w:t>
      </w:r>
      <w:r w:rsidR="00C0694B" w:rsidRPr="0021270B">
        <w:rPr>
          <w:lang w:val="en-NZ"/>
        </w:rPr>
        <w:t xml:space="preserve"> a bank account for the person.</w:t>
      </w:r>
      <w:r w:rsidRPr="0021270B">
        <w:rPr>
          <w:lang w:val="en-NZ"/>
        </w:rPr>
        <w:t xml:space="preserve"> This would have</w:t>
      </w:r>
      <w:r w:rsidR="00C0694B" w:rsidRPr="0021270B">
        <w:rPr>
          <w:lang w:val="en-NZ"/>
        </w:rPr>
        <w:t xml:space="preserve"> unintended</w:t>
      </w:r>
      <w:r w:rsidRPr="0021270B">
        <w:rPr>
          <w:lang w:val="en-NZ"/>
        </w:rPr>
        <w:t xml:space="preserve"> adverse effects on the administration of the tax system.</w:t>
      </w:r>
    </w:p>
    <w:p w:rsidR="00616AD0" w:rsidRPr="0021270B" w:rsidRDefault="00616AD0" w:rsidP="00616AD0">
      <w:pPr>
        <w:rPr>
          <w:lang w:val="en-NZ"/>
        </w:rPr>
      </w:pPr>
    </w:p>
    <w:p w:rsidR="00616AD0" w:rsidRPr="0021270B" w:rsidRDefault="00616AD0" w:rsidP="00616AD0">
      <w:pPr>
        <w:rPr>
          <w:lang w:val="en-NZ"/>
        </w:rPr>
      </w:pPr>
      <w:r w:rsidRPr="0021270B">
        <w:rPr>
          <w:lang w:val="en-NZ"/>
        </w:rPr>
        <w:t xml:space="preserve">Therefore, </w:t>
      </w:r>
      <w:r w:rsidR="003B24BA" w:rsidRPr="0021270B">
        <w:rPr>
          <w:lang w:val="en-NZ"/>
        </w:rPr>
        <w:t xml:space="preserve">officials </w:t>
      </w:r>
      <w:r w:rsidRPr="0021270B">
        <w:rPr>
          <w:lang w:val="en-NZ"/>
        </w:rPr>
        <w:t>consider that the bank account requirement should only apply in cases when a person has applied for an IRD number, as opposed to situations where one has been assigned to them for administrative reasons.</w:t>
      </w:r>
    </w:p>
    <w:p w:rsidR="00616AD0" w:rsidRPr="0021270B" w:rsidRDefault="00616AD0" w:rsidP="00616AD0">
      <w:pPr>
        <w:rPr>
          <w:lang w:val="en-NZ"/>
        </w:rPr>
      </w:pPr>
    </w:p>
    <w:p w:rsidR="00616AD0" w:rsidRPr="0021270B" w:rsidRDefault="00616AD0" w:rsidP="00616AD0">
      <w:pPr>
        <w:keepNext/>
        <w:outlineLvl w:val="1"/>
        <w:rPr>
          <w:b/>
          <w:lang w:val="en-NZ"/>
        </w:rPr>
      </w:pPr>
      <w:r w:rsidRPr="0021270B">
        <w:rPr>
          <w:b/>
          <w:lang w:val="en-NZ"/>
        </w:rPr>
        <w:t>Recommendation</w:t>
      </w:r>
    </w:p>
    <w:p w:rsidR="00616AD0" w:rsidRPr="0021270B" w:rsidRDefault="00616AD0" w:rsidP="00616AD0">
      <w:pPr>
        <w:rPr>
          <w:lang w:val="en-NZ"/>
        </w:rPr>
      </w:pPr>
    </w:p>
    <w:p w:rsidR="00616AD0" w:rsidRPr="0021270B" w:rsidRDefault="00616AD0" w:rsidP="009575F9">
      <w:pPr>
        <w:pBdr>
          <w:bottom w:val="single" w:sz="4" w:space="1" w:color="auto"/>
        </w:pBdr>
        <w:rPr>
          <w:lang w:val="en-NZ"/>
        </w:rPr>
      </w:pPr>
      <w:r w:rsidRPr="0021270B">
        <w:rPr>
          <w:lang w:val="en-NZ"/>
        </w:rPr>
        <w:t>That the submission be accepted.</w:t>
      </w:r>
    </w:p>
    <w:p w:rsidR="007341FC" w:rsidRPr="0021270B" w:rsidRDefault="007341FC" w:rsidP="009575F9">
      <w:pPr>
        <w:pBdr>
          <w:bottom w:val="single" w:sz="4" w:space="1" w:color="auto"/>
        </w:pBdr>
        <w:rPr>
          <w:lang w:val="en-NZ"/>
        </w:rPr>
      </w:pPr>
    </w:p>
    <w:p w:rsidR="00F91FB8" w:rsidRPr="0021270B" w:rsidRDefault="00F91FB8" w:rsidP="00F91FB8"/>
    <w:p w:rsidR="00316BB0" w:rsidRPr="0021270B" w:rsidRDefault="00316BB0" w:rsidP="00F91FB8"/>
    <w:p w:rsidR="00316BB0" w:rsidRPr="0021270B" w:rsidRDefault="00316BB0" w:rsidP="00316BB0">
      <w:pPr>
        <w:pStyle w:val="Heading5"/>
        <w:rPr>
          <w:lang w:val="en-NZ"/>
        </w:rPr>
      </w:pPr>
      <w:bookmarkStart w:id="92" w:name="_Toc425190056"/>
      <w:bookmarkStart w:id="93" w:name="_Toc427238285"/>
      <w:r w:rsidRPr="0021270B">
        <w:rPr>
          <w:lang w:val="en-NZ"/>
        </w:rPr>
        <w:t>Issue:</w:t>
      </w:r>
      <w:r w:rsidRPr="0021270B">
        <w:rPr>
          <w:lang w:val="en-NZ"/>
        </w:rPr>
        <w:tab/>
      </w:r>
      <w:bookmarkEnd w:id="92"/>
      <w:r w:rsidRPr="0021270B">
        <w:rPr>
          <w:lang w:val="en-NZ"/>
        </w:rPr>
        <w:t>Definition of tax file number should be included in Tax Administration Act</w:t>
      </w:r>
      <w:bookmarkEnd w:id="93"/>
    </w:p>
    <w:p w:rsidR="00316BB0" w:rsidRPr="0021270B" w:rsidRDefault="00316BB0" w:rsidP="009575F9"/>
    <w:p w:rsidR="00316BB0" w:rsidRPr="0021270B" w:rsidRDefault="00316BB0" w:rsidP="009575F9"/>
    <w:p w:rsidR="00316BB0" w:rsidRPr="0021270B" w:rsidRDefault="00316BB0" w:rsidP="00316BB0">
      <w:pPr>
        <w:rPr>
          <w:b/>
        </w:rPr>
      </w:pPr>
      <w:r w:rsidRPr="0021270B">
        <w:rPr>
          <w:b/>
        </w:rPr>
        <w:t>Submission</w:t>
      </w:r>
    </w:p>
    <w:p w:rsidR="00316BB0" w:rsidRPr="0021270B" w:rsidRDefault="00316BB0" w:rsidP="00316BB0">
      <w:pPr>
        <w:rPr>
          <w:i/>
        </w:rPr>
      </w:pPr>
      <w:r w:rsidRPr="0021270B">
        <w:rPr>
          <w:i/>
        </w:rPr>
        <w:t>(Matter raised by officials)</w:t>
      </w:r>
    </w:p>
    <w:p w:rsidR="00316BB0" w:rsidRPr="0021270B" w:rsidRDefault="00316BB0" w:rsidP="00316BB0">
      <w:pPr>
        <w:tabs>
          <w:tab w:val="left" w:pos="5295"/>
        </w:tabs>
        <w:rPr>
          <w:lang w:val="en-NZ"/>
        </w:rPr>
      </w:pPr>
    </w:p>
    <w:p w:rsidR="00316BB0" w:rsidRPr="0021270B" w:rsidRDefault="00316BB0" w:rsidP="00316BB0">
      <w:pPr>
        <w:tabs>
          <w:tab w:val="left" w:pos="1590"/>
        </w:tabs>
        <w:rPr>
          <w:lang w:val="en-NZ"/>
        </w:rPr>
      </w:pPr>
      <w:r w:rsidRPr="0021270B">
        <w:rPr>
          <w:lang w:val="en-NZ"/>
        </w:rPr>
        <w:t xml:space="preserve">The definition of tax file number should be included in the Tax Administration Act 1994 rather than in the Income Tax Act 2007.  </w:t>
      </w:r>
    </w:p>
    <w:p w:rsidR="00316BB0" w:rsidRPr="0021270B" w:rsidRDefault="00316BB0" w:rsidP="009575F9"/>
    <w:p w:rsidR="00316BB0" w:rsidRPr="0021270B" w:rsidRDefault="00316BB0" w:rsidP="00316BB0">
      <w:pPr>
        <w:keepNext/>
        <w:outlineLvl w:val="1"/>
        <w:rPr>
          <w:b/>
          <w:lang w:val="en-NZ"/>
        </w:rPr>
      </w:pPr>
      <w:r w:rsidRPr="0021270B">
        <w:rPr>
          <w:b/>
          <w:lang w:val="en-NZ"/>
        </w:rPr>
        <w:t>Comment</w:t>
      </w:r>
    </w:p>
    <w:p w:rsidR="00316BB0" w:rsidRPr="0021270B" w:rsidRDefault="00316BB0" w:rsidP="00316BB0">
      <w:pPr>
        <w:rPr>
          <w:lang w:val="en-NZ"/>
        </w:rPr>
      </w:pPr>
    </w:p>
    <w:p w:rsidR="00316BB0" w:rsidRPr="0021270B" w:rsidRDefault="00316BB0" w:rsidP="00316BB0">
      <w:pPr>
        <w:rPr>
          <w:lang w:val="en-NZ"/>
        </w:rPr>
      </w:pPr>
      <w:r w:rsidRPr="0021270B">
        <w:rPr>
          <w:lang w:val="en-NZ"/>
        </w:rPr>
        <w:t>The definition of tax file number (IRD number) is currently included in the Income Tax Act 2007.  There is a potential argument that the tax file number can be issued or used only for income tax purposes.</w:t>
      </w:r>
    </w:p>
    <w:p w:rsidR="00316BB0" w:rsidRPr="0021270B" w:rsidRDefault="00316BB0" w:rsidP="00316BB0">
      <w:pPr>
        <w:rPr>
          <w:lang w:val="en-NZ"/>
        </w:rPr>
      </w:pPr>
    </w:p>
    <w:p w:rsidR="00E93C7F" w:rsidRDefault="00E93C7F">
      <w:pPr>
        <w:jc w:val="left"/>
        <w:rPr>
          <w:lang w:val="en-NZ"/>
        </w:rPr>
      </w:pPr>
      <w:r>
        <w:rPr>
          <w:lang w:val="en-NZ"/>
        </w:rPr>
        <w:br w:type="page"/>
      </w:r>
    </w:p>
    <w:p w:rsidR="00316BB0" w:rsidRPr="0021270B" w:rsidRDefault="00316BB0" w:rsidP="00316BB0">
      <w:pPr>
        <w:rPr>
          <w:lang w:val="en-NZ"/>
        </w:rPr>
      </w:pPr>
      <w:r w:rsidRPr="0021270B">
        <w:rPr>
          <w:lang w:val="en-NZ"/>
        </w:rPr>
        <w:lastRenderedPageBreak/>
        <w:t xml:space="preserve">For clarity, the tax file number should be included in the Tax Administration Act 1994 (which applies for the purposes of all taxes, not just income tax) instead.  This would make it clear that, for example, a person who has a GST number (and has no income tax liabilities) can use that GST number as a tax file number.   </w:t>
      </w:r>
    </w:p>
    <w:p w:rsidR="00316BB0" w:rsidRPr="0021270B" w:rsidRDefault="00316BB0" w:rsidP="00316BB0">
      <w:pPr>
        <w:rPr>
          <w:lang w:val="en-NZ"/>
        </w:rPr>
      </w:pPr>
    </w:p>
    <w:p w:rsidR="00316BB0" w:rsidRPr="0021270B" w:rsidRDefault="00316BB0" w:rsidP="00316BB0">
      <w:pPr>
        <w:keepNext/>
        <w:outlineLvl w:val="1"/>
        <w:rPr>
          <w:b/>
          <w:lang w:val="en-NZ"/>
        </w:rPr>
      </w:pPr>
      <w:r w:rsidRPr="0021270B">
        <w:rPr>
          <w:b/>
          <w:lang w:val="en-NZ"/>
        </w:rPr>
        <w:t>Recommendation</w:t>
      </w:r>
    </w:p>
    <w:p w:rsidR="00316BB0" w:rsidRPr="0021270B" w:rsidRDefault="00316BB0" w:rsidP="00316BB0">
      <w:pPr>
        <w:rPr>
          <w:lang w:val="en-NZ"/>
        </w:rPr>
      </w:pPr>
    </w:p>
    <w:p w:rsidR="00316BB0" w:rsidRPr="0021270B" w:rsidRDefault="00316BB0" w:rsidP="00E93C7F">
      <w:pPr>
        <w:rPr>
          <w:lang w:val="en-NZ"/>
        </w:rPr>
      </w:pPr>
      <w:r w:rsidRPr="0021270B">
        <w:rPr>
          <w:lang w:val="en-NZ"/>
        </w:rPr>
        <w:t>That the submission be accepted.</w:t>
      </w:r>
    </w:p>
    <w:p w:rsidR="00316BB0" w:rsidRPr="0021270B" w:rsidRDefault="00316BB0" w:rsidP="00E93C7F">
      <w:pPr>
        <w:rPr>
          <w:lang w:val="en-NZ"/>
        </w:rPr>
      </w:pPr>
    </w:p>
    <w:p w:rsidR="00622084" w:rsidRDefault="00622084">
      <w:pPr>
        <w:jc w:val="left"/>
      </w:pPr>
      <w:r>
        <w:br w:type="page"/>
      </w:r>
    </w:p>
    <w:p w:rsidR="00316BB0" w:rsidRPr="0021270B" w:rsidRDefault="00316BB0" w:rsidP="00316BB0">
      <w:pPr>
        <w:jc w:val="left"/>
      </w:pPr>
    </w:p>
    <w:p w:rsidR="00977E4C" w:rsidRDefault="00977E4C">
      <w:pPr>
        <w:jc w:val="left"/>
      </w:pPr>
      <w:r>
        <w:br w:type="page"/>
      </w:r>
    </w:p>
    <w:p w:rsidR="006E3116" w:rsidRPr="0062310E" w:rsidRDefault="006E3116" w:rsidP="0062310E">
      <w:pPr>
        <w:jc w:val="left"/>
        <w:rPr>
          <w:szCs w:val="24"/>
        </w:rPr>
      </w:pPr>
    </w:p>
    <w:p w:rsidR="006E3116" w:rsidRPr="0062310E" w:rsidRDefault="006E3116" w:rsidP="0062310E">
      <w:pPr>
        <w:jc w:val="left"/>
        <w:rPr>
          <w:szCs w:val="24"/>
        </w:rPr>
      </w:pPr>
    </w:p>
    <w:p w:rsidR="006E3116" w:rsidRPr="0062310E" w:rsidRDefault="006E3116" w:rsidP="0062310E">
      <w:pPr>
        <w:jc w:val="left"/>
        <w:rPr>
          <w:szCs w:val="24"/>
        </w:rPr>
      </w:pPr>
    </w:p>
    <w:p w:rsidR="006E3116" w:rsidRPr="0062310E" w:rsidRDefault="006E3116" w:rsidP="0062310E">
      <w:pPr>
        <w:jc w:val="left"/>
        <w:rPr>
          <w:szCs w:val="24"/>
        </w:rPr>
      </w:pPr>
    </w:p>
    <w:p w:rsidR="006E3116" w:rsidRPr="0062310E" w:rsidRDefault="006E3116" w:rsidP="0062310E">
      <w:pPr>
        <w:jc w:val="left"/>
        <w:rPr>
          <w:szCs w:val="24"/>
        </w:rPr>
      </w:pPr>
    </w:p>
    <w:p w:rsidR="006E3116" w:rsidRPr="0062310E" w:rsidRDefault="006E3116" w:rsidP="0062310E">
      <w:pPr>
        <w:jc w:val="left"/>
        <w:rPr>
          <w:szCs w:val="24"/>
        </w:rPr>
      </w:pPr>
    </w:p>
    <w:p w:rsidR="006E3116" w:rsidRPr="0062310E" w:rsidRDefault="006E3116" w:rsidP="0062310E">
      <w:pPr>
        <w:jc w:val="left"/>
        <w:rPr>
          <w:szCs w:val="24"/>
        </w:rPr>
      </w:pPr>
    </w:p>
    <w:p w:rsidR="006E3116" w:rsidRPr="0062310E" w:rsidRDefault="006E3116" w:rsidP="0062310E">
      <w:pPr>
        <w:jc w:val="left"/>
        <w:rPr>
          <w:szCs w:val="24"/>
        </w:rPr>
      </w:pPr>
    </w:p>
    <w:p w:rsidR="006E3116" w:rsidRPr="0062310E" w:rsidRDefault="006E3116" w:rsidP="0062310E">
      <w:pPr>
        <w:jc w:val="left"/>
        <w:rPr>
          <w:szCs w:val="24"/>
        </w:rPr>
      </w:pPr>
    </w:p>
    <w:p w:rsidR="006E3116" w:rsidRPr="0062310E" w:rsidRDefault="006E3116" w:rsidP="0062310E">
      <w:pPr>
        <w:jc w:val="left"/>
        <w:rPr>
          <w:szCs w:val="24"/>
        </w:rPr>
      </w:pPr>
    </w:p>
    <w:p w:rsidR="006E3116" w:rsidRPr="0062310E" w:rsidRDefault="006E3116" w:rsidP="0062310E">
      <w:pPr>
        <w:jc w:val="left"/>
        <w:rPr>
          <w:szCs w:val="24"/>
        </w:rPr>
      </w:pPr>
    </w:p>
    <w:p w:rsidR="006E3116" w:rsidRDefault="006E3116" w:rsidP="0062310E">
      <w:pPr>
        <w:jc w:val="left"/>
        <w:rPr>
          <w:szCs w:val="24"/>
        </w:rPr>
      </w:pPr>
    </w:p>
    <w:p w:rsidR="0062310E" w:rsidRDefault="0062310E" w:rsidP="0062310E">
      <w:pPr>
        <w:jc w:val="left"/>
        <w:rPr>
          <w:szCs w:val="24"/>
        </w:rPr>
      </w:pPr>
    </w:p>
    <w:p w:rsidR="0062310E" w:rsidRPr="0062310E" w:rsidRDefault="0062310E" w:rsidP="0062310E">
      <w:pPr>
        <w:jc w:val="left"/>
        <w:rPr>
          <w:szCs w:val="24"/>
        </w:rPr>
      </w:pPr>
    </w:p>
    <w:p w:rsidR="006E3116" w:rsidRPr="0062310E" w:rsidRDefault="006E3116" w:rsidP="0062310E">
      <w:pPr>
        <w:jc w:val="left"/>
        <w:rPr>
          <w:szCs w:val="24"/>
        </w:rPr>
      </w:pPr>
    </w:p>
    <w:p w:rsidR="006E3116" w:rsidRPr="0062310E" w:rsidRDefault="006E3116" w:rsidP="0062310E">
      <w:pPr>
        <w:jc w:val="left"/>
        <w:rPr>
          <w:szCs w:val="24"/>
          <w:lang w:val="en-NZ"/>
        </w:rPr>
      </w:pPr>
    </w:p>
    <w:p w:rsidR="006E3116" w:rsidRPr="0021270B" w:rsidRDefault="006E3116" w:rsidP="006E3116">
      <w:pPr>
        <w:pStyle w:val="PartHeading"/>
        <w:pBdr>
          <w:top w:val="single" w:sz="4" w:space="10" w:color="auto"/>
          <w:bottom w:val="single" w:sz="4" w:space="10" w:color="auto"/>
        </w:pBdr>
        <w:spacing w:after="200"/>
      </w:pPr>
      <w:bookmarkStart w:id="94" w:name="_Toc427238286"/>
      <w:r w:rsidRPr="0021270B">
        <w:rPr>
          <w:caps w:val="0"/>
        </w:rPr>
        <w:t>Matters raised by the Committee</w:t>
      </w:r>
      <w:bookmarkEnd w:id="94"/>
    </w:p>
    <w:p w:rsidR="006E3116" w:rsidRPr="0021270B" w:rsidRDefault="006E3116" w:rsidP="00802435">
      <w:pPr>
        <w:pStyle w:val="PartHeading"/>
        <w:pBdr>
          <w:top w:val="none" w:sz="0" w:space="0" w:color="auto"/>
          <w:bottom w:val="none" w:sz="0" w:space="0" w:color="auto"/>
        </w:pBdr>
        <w:jc w:val="both"/>
        <w:sectPr w:rsidR="006E3116" w:rsidRPr="0021270B" w:rsidSect="00622084">
          <w:type w:val="continuous"/>
          <w:pgSz w:w="11906" w:h="16838" w:code="9"/>
          <w:pgMar w:top="1304" w:right="1797" w:bottom="1134" w:left="1797" w:header="720" w:footer="567" w:gutter="0"/>
          <w:cols w:space="720"/>
        </w:sectPr>
      </w:pPr>
    </w:p>
    <w:p w:rsidR="00E93C7F" w:rsidRDefault="00E93C7F">
      <w:pPr>
        <w:jc w:val="left"/>
        <w:rPr>
          <w:b/>
          <w:sz w:val="26"/>
        </w:rPr>
      </w:pPr>
      <w:r>
        <w:lastRenderedPageBreak/>
        <w:br w:type="page"/>
      </w:r>
    </w:p>
    <w:p w:rsidR="00E93C7F" w:rsidRDefault="00E93C7F">
      <w:pPr>
        <w:jc w:val="left"/>
        <w:rPr>
          <w:b/>
          <w:sz w:val="26"/>
        </w:rPr>
      </w:pPr>
      <w:r>
        <w:lastRenderedPageBreak/>
        <w:br w:type="page"/>
      </w:r>
    </w:p>
    <w:p w:rsidR="00022CF7" w:rsidRPr="0021270B" w:rsidRDefault="00022CF7" w:rsidP="0079424B">
      <w:pPr>
        <w:pStyle w:val="Heading5"/>
        <w:rPr>
          <w:rFonts w:eastAsiaTheme="minorHAnsi"/>
        </w:rPr>
      </w:pPr>
      <w:bookmarkStart w:id="95" w:name="_Toc427238287"/>
      <w:r w:rsidRPr="0021270B">
        <w:lastRenderedPageBreak/>
        <w:t>Issue:</w:t>
      </w:r>
      <w:r w:rsidRPr="0021270B">
        <w:tab/>
        <w:t>Application to trusts</w:t>
      </w:r>
      <w:bookmarkEnd w:id="95"/>
    </w:p>
    <w:p w:rsidR="00022CF7" w:rsidRPr="0021270B" w:rsidRDefault="00022CF7" w:rsidP="00022CF7"/>
    <w:p w:rsidR="009F24C0" w:rsidRPr="0021270B" w:rsidRDefault="009F24C0" w:rsidP="00022CF7"/>
    <w:p w:rsidR="00022CF7" w:rsidRPr="0021270B" w:rsidRDefault="00022CF7" w:rsidP="00022CF7">
      <w:pPr>
        <w:keepNext/>
        <w:outlineLvl w:val="1"/>
        <w:rPr>
          <w:b/>
          <w:bCs/>
        </w:rPr>
      </w:pPr>
      <w:r w:rsidRPr="0021270B">
        <w:rPr>
          <w:b/>
          <w:bCs/>
        </w:rPr>
        <w:t xml:space="preserve">Matter </w:t>
      </w:r>
      <w:proofErr w:type="gramStart"/>
      <w:r w:rsidRPr="0021270B">
        <w:rPr>
          <w:b/>
          <w:bCs/>
        </w:rPr>
        <w:t>raised</w:t>
      </w:r>
      <w:proofErr w:type="gramEnd"/>
    </w:p>
    <w:p w:rsidR="009F24C0" w:rsidRPr="00053A56" w:rsidRDefault="009F24C0" w:rsidP="00053A56">
      <w:pPr>
        <w:rPr>
          <w:rFonts w:eastAsiaTheme="minorHAnsi"/>
        </w:rPr>
      </w:pPr>
    </w:p>
    <w:p w:rsidR="00022CF7" w:rsidRPr="0021270B" w:rsidRDefault="00022CF7" w:rsidP="00022CF7">
      <w:r w:rsidRPr="0021270B">
        <w:t>The Committee has asked for guidance on how the proposed rules will apply to complex trust situations, including when the main home exception might apply to a person who is a beneficiary or settlor of multiple trusts.</w:t>
      </w:r>
    </w:p>
    <w:p w:rsidR="00022CF7" w:rsidRPr="0021270B" w:rsidRDefault="00022CF7" w:rsidP="00022CF7"/>
    <w:p w:rsidR="00022CF7" w:rsidRPr="0021270B" w:rsidRDefault="00022CF7" w:rsidP="00022CF7">
      <w:pPr>
        <w:keepNext/>
        <w:outlineLvl w:val="1"/>
        <w:rPr>
          <w:b/>
          <w:bCs/>
        </w:rPr>
      </w:pPr>
      <w:r w:rsidRPr="0021270B">
        <w:rPr>
          <w:b/>
          <w:bCs/>
        </w:rPr>
        <w:t>Comment</w:t>
      </w:r>
    </w:p>
    <w:p w:rsidR="00022CF7" w:rsidRPr="0021270B" w:rsidRDefault="00022CF7" w:rsidP="00022CF7">
      <w:pPr>
        <w:rPr>
          <w:rFonts w:eastAsiaTheme="minorHAnsi"/>
        </w:rPr>
      </w:pPr>
    </w:p>
    <w:p w:rsidR="00022CF7" w:rsidRPr="0021270B" w:rsidRDefault="00022CF7" w:rsidP="00022CF7">
      <w:r w:rsidRPr="0021270B">
        <w:t>For the purposes of the current bill, it is important to note that there will be no instances when the main home exception can be claimed by a trust.  This means that all trusts will need to provide their IRD numbers, even when the property is the family home of a beneficiary or settlor of the trust.  However, it is equally important to note that it is currently anticipated that</w:t>
      </w:r>
      <w:r w:rsidRPr="0021270B">
        <w:rPr>
          <w:color w:val="1F497D"/>
        </w:rPr>
        <w:t xml:space="preserve"> </w:t>
      </w:r>
      <w:r w:rsidRPr="0021270B">
        <w:t>many trusts will be able to claim the main home exemption from the proposed bright-line test.</w:t>
      </w:r>
    </w:p>
    <w:p w:rsidR="00022CF7" w:rsidRPr="0021270B" w:rsidRDefault="00022CF7" w:rsidP="00022CF7"/>
    <w:p w:rsidR="00EF51E0" w:rsidRPr="0021270B" w:rsidRDefault="00022CF7" w:rsidP="00022CF7">
      <w:r w:rsidRPr="0021270B">
        <w:t>Officials working on the proposed bright-line legislation are aware of the Committee</w:t>
      </w:r>
      <w:r w:rsidR="005641C1">
        <w:t>’</w:t>
      </w:r>
      <w:r w:rsidRPr="0021270B">
        <w:t>s questions and general interest in these matters.  To the extent possible, the bright-line legislation will take into account the scenarios raised by the Committee.</w:t>
      </w:r>
      <w:r w:rsidR="00EF51E0" w:rsidRPr="0021270B">
        <w:t> Officials will brief the Committee more fully on the application of the bright-line test to trusts as part of the departmental briefing of the Committee on introduction of the Bill.</w:t>
      </w:r>
    </w:p>
    <w:p w:rsidR="00022CF7" w:rsidRPr="0021270B" w:rsidRDefault="00022CF7" w:rsidP="00022CF7">
      <w:pPr>
        <w:pBdr>
          <w:bottom w:val="single" w:sz="4" w:space="1" w:color="auto"/>
        </w:pBdr>
      </w:pPr>
    </w:p>
    <w:p w:rsidR="00022CF7" w:rsidRPr="0021270B" w:rsidRDefault="00022CF7" w:rsidP="00022CF7"/>
    <w:p w:rsidR="00022CF7" w:rsidRPr="00053A56" w:rsidRDefault="00022CF7" w:rsidP="00053A56"/>
    <w:p w:rsidR="00022CF7" w:rsidRPr="0021270B" w:rsidRDefault="00022CF7" w:rsidP="00E11524">
      <w:pPr>
        <w:pStyle w:val="Heading5"/>
      </w:pPr>
      <w:bookmarkStart w:id="96" w:name="_Toc427238288"/>
      <w:r w:rsidRPr="0021270B">
        <w:t>Issue:</w:t>
      </w:r>
      <w:r w:rsidRPr="0021270B">
        <w:tab/>
        <w:t>Statement of intended use for a property</w:t>
      </w:r>
      <w:bookmarkEnd w:id="96"/>
    </w:p>
    <w:p w:rsidR="00022CF7" w:rsidRPr="0021270B" w:rsidRDefault="00022CF7" w:rsidP="00022CF7">
      <w:pPr>
        <w:rPr>
          <w:rFonts w:eastAsiaTheme="minorHAnsi"/>
        </w:rPr>
      </w:pPr>
    </w:p>
    <w:p w:rsidR="009F24C0" w:rsidRPr="0021270B" w:rsidRDefault="009F24C0" w:rsidP="00022CF7">
      <w:pPr>
        <w:rPr>
          <w:rFonts w:eastAsiaTheme="minorHAnsi"/>
        </w:rPr>
      </w:pPr>
    </w:p>
    <w:p w:rsidR="00022CF7" w:rsidRPr="0021270B" w:rsidRDefault="00022CF7" w:rsidP="00022CF7">
      <w:pPr>
        <w:keepNext/>
        <w:outlineLvl w:val="3"/>
      </w:pPr>
      <w:r w:rsidRPr="0021270B">
        <w:rPr>
          <w:b/>
        </w:rPr>
        <w:t xml:space="preserve">Matter </w:t>
      </w:r>
      <w:proofErr w:type="gramStart"/>
      <w:r w:rsidRPr="0021270B">
        <w:rPr>
          <w:b/>
        </w:rPr>
        <w:t>raised</w:t>
      </w:r>
      <w:proofErr w:type="gramEnd"/>
    </w:p>
    <w:p w:rsidR="00022CF7" w:rsidRPr="0021270B" w:rsidRDefault="00022CF7" w:rsidP="00022CF7">
      <w:pPr>
        <w:rPr>
          <w:rFonts w:eastAsiaTheme="minorHAnsi"/>
        </w:rPr>
      </w:pPr>
    </w:p>
    <w:p w:rsidR="00022CF7" w:rsidRPr="0021270B" w:rsidRDefault="00022CF7" w:rsidP="00022CF7">
      <w:r w:rsidRPr="0021270B">
        <w:t>The Committee has suggested that a person should be asked to state what the intended use of their property is (for example, whether the property is a rental property or bach).</w:t>
      </w:r>
    </w:p>
    <w:p w:rsidR="00022CF7" w:rsidRPr="0021270B" w:rsidRDefault="00022CF7" w:rsidP="00022CF7"/>
    <w:p w:rsidR="00022CF7" w:rsidRPr="0021270B" w:rsidRDefault="00022CF7" w:rsidP="004849A5">
      <w:pPr>
        <w:keepNext/>
        <w:outlineLvl w:val="1"/>
        <w:rPr>
          <w:b/>
          <w:bCs/>
        </w:rPr>
      </w:pPr>
      <w:r w:rsidRPr="0021270B">
        <w:rPr>
          <w:b/>
          <w:bCs/>
        </w:rPr>
        <w:t>Comment</w:t>
      </w:r>
    </w:p>
    <w:p w:rsidR="00022CF7" w:rsidRPr="0021270B" w:rsidRDefault="00022CF7" w:rsidP="004849A5">
      <w:pPr>
        <w:rPr>
          <w:rFonts w:eastAsiaTheme="minorHAnsi"/>
        </w:rPr>
      </w:pPr>
    </w:p>
    <w:p w:rsidR="003B24BA" w:rsidRPr="0021270B" w:rsidRDefault="003B24BA" w:rsidP="009575F9">
      <w:r w:rsidRPr="0021270B">
        <w:t xml:space="preserve">Officials note that they propose adding a question to the tax statement regarding whether the property has </w:t>
      </w:r>
      <w:r w:rsidR="00B34BD1" w:rsidRPr="0021270B">
        <w:t>been or will be used as a home.</w:t>
      </w:r>
      <w:r w:rsidRPr="0021270B">
        <w:t xml:space="preserve"> </w:t>
      </w:r>
      <w:r w:rsidR="00B34BD1" w:rsidRPr="0021270B">
        <w:t>T</w:t>
      </w:r>
      <w:r w:rsidRPr="0021270B">
        <w:t>his will partially address the Committee</w:t>
      </w:r>
      <w:r w:rsidR="005641C1">
        <w:t>’</w:t>
      </w:r>
      <w:r w:rsidR="00B7542A" w:rsidRPr="0021270B">
        <w:t>s</w:t>
      </w:r>
      <w:r w:rsidRPr="0021270B">
        <w:t xml:space="preserve"> suggestion.</w:t>
      </w:r>
    </w:p>
    <w:p w:rsidR="00022CF7" w:rsidRPr="0021270B" w:rsidRDefault="00022CF7" w:rsidP="00022CF7">
      <w:pPr>
        <w:pBdr>
          <w:bottom w:val="single" w:sz="4" w:space="1" w:color="auto"/>
        </w:pBdr>
      </w:pPr>
    </w:p>
    <w:p w:rsidR="00022CF7" w:rsidRPr="0021270B" w:rsidRDefault="00022CF7" w:rsidP="00022CF7">
      <w:pPr>
        <w:jc w:val="left"/>
      </w:pPr>
    </w:p>
    <w:p w:rsidR="00022CF7" w:rsidRPr="0021270B" w:rsidRDefault="00022CF7" w:rsidP="00022CF7">
      <w:pPr>
        <w:jc w:val="left"/>
      </w:pPr>
    </w:p>
    <w:p w:rsidR="00053A56" w:rsidRDefault="00053A56">
      <w:pPr>
        <w:jc w:val="left"/>
        <w:rPr>
          <w:b/>
          <w:sz w:val="26"/>
        </w:rPr>
      </w:pPr>
      <w:r>
        <w:br w:type="page"/>
      </w:r>
    </w:p>
    <w:p w:rsidR="00022CF7" w:rsidRPr="0021270B" w:rsidRDefault="00022CF7" w:rsidP="0079424B">
      <w:pPr>
        <w:pStyle w:val="Heading5"/>
      </w:pPr>
      <w:bookmarkStart w:id="97" w:name="_Toc427238289"/>
      <w:r w:rsidRPr="0021270B">
        <w:lastRenderedPageBreak/>
        <w:t xml:space="preserve">Issue: </w:t>
      </w:r>
      <w:r w:rsidR="0079424B" w:rsidRPr="0021270B">
        <w:tab/>
      </w:r>
      <w:r w:rsidRPr="0021270B">
        <w:t>Legislative time limit on issuing IRD numbers</w:t>
      </w:r>
      <w:bookmarkEnd w:id="97"/>
    </w:p>
    <w:p w:rsidR="00022CF7" w:rsidRPr="0021270B" w:rsidRDefault="00022CF7" w:rsidP="00022CF7">
      <w:pPr>
        <w:rPr>
          <w:lang w:val="en-NZ"/>
        </w:rPr>
      </w:pPr>
    </w:p>
    <w:p w:rsidR="009F24C0" w:rsidRPr="0021270B" w:rsidRDefault="009F24C0" w:rsidP="00022CF7">
      <w:pPr>
        <w:rPr>
          <w:lang w:val="en-NZ"/>
        </w:rPr>
      </w:pPr>
    </w:p>
    <w:p w:rsidR="00022CF7" w:rsidRPr="0021270B" w:rsidRDefault="00022CF7" w:rsidP="00022CF7">
      <w:pPr>
        <w:rPr>
          <w:lang w:val="en-NZ"/>
        </w:rPr>
      </w:pPr>
      <w:r w:rsidRPr="0021270B">
        <w:rPr>
          <w:b/>
          <w:lang w:val="en-NZ"/>
        </w:rPr>
        <w:t xml:space="preserve">Matter </w:t>
      </w:r>
      <w:proofErr w:type="gramStart"/>
      <w:r w:rsidRPr="0021270B">
        <w:rPr>
          <w:b/>
          <w:lang w:val="en-NZ"/>
        </w:rPr>
        <w:t>raised</w:t>
      </w:r>
      <w:proofErr w:type="gramEnd"/>
    </w:p>
    <w:p w:rsidR="00022CF7" w:rsidRPr="0021270B" w:rsidRDefault="00022CF7" w:rsidP="00022CF7">
      <w:pPr>
        <w:rPr>
          <w:lang w:val="en-NZ"/>
        </w:rPr>
      </w:pPr>
    </w:p>
    <w:p w:rsidR="00022CF7" w:rsidRPr="0021270B" w:rsidRDefault="00022CF7" w:rsidP="00022CF7">
      <w:pPr>
        <w:rPr>
          <w:lang w:val="en-NZ"/>
        </w:rPr>
      </w:pPr>
      <w:r w:rsidRPr="0021270B">
        <w:rPr>
          <w:lang w:val="en-NZ"/>
        </w:rPr>
        <w:t>The Committee has asked whether Inland Revenue should be under a statutory timeframe for issuing IRD numbers.</w:t>
      </w:r>
    </w:p>
    <w:p w:rsidR="00022CF7" w:rsidRPr="0021270B" w:rsidRDefault="00022CF7" w:rsidP="00022CF7">
      <w:pPr>
        <w:rPr>
          <w:lang w:val="en-NZ"/>
        </w:rPr>
      </w:pPr>
    </w:p>
    <w:p w:rsidR="00022CF7" w:rsidRPr="0021270B" w:rsidRDefault="00022CF7" w:rsidP="00022CF7">
      <w:pPr>
        <w:keepNext/>
        <w:outlineLvl w:val="1"/>
        <w:rPr>
          <w:b/>
          <w:lang w:val="en-NZ"/>
        </w:rPr>
      </w:pPr>
      <w:r w:rsidRPr="0021270B">
        <w:rPr>
          <w:b/>
          <w:lang w:val="en-NZ"/>
        </w:rPr>
        <w:t>Comment</w:t>
      </w:r>
    </w:p>
    <w:p w:rsidR="00022CF7" w:rsidRPr="0021270B" w:rsidRDefault="00022CF7" w:rsidP="00022CF7">
      <w:pPr>
        <w:rPr>
          <w:lang w:val="en-NZ"/>
        </w:rPr>
      </w:pPr>
    </w:p>
    <w:p w:rsidR="00022CF7" w:rsidRPr="0021270B" w:rsidRDefault="00022CF7" w:rsidP="00022CF7">
      <w:pPr>
        <w:rPr>
          <w:lang w:val="en-NZ"/>
        </w:rPr>
      </w:pPr>
      <w:r w:rsidRPr="0021270B">
        <w:rPr>
          <w:lang w:val="en-NZ"/>
        </w:rPr>
        <w:t xml:space="preserve">Once a completed application is received, the current timeframe for </w:t>
      </w:r>
      <w:r w:rsidR="009B29D1" w:rsidRPr="0021270B">
        <w:rPr>
          <w:lang w:val="en-NZ"/>
        </w:rPr>
        <w:t>IRD number</w:t>
      </w:r>
      <w:r w:rsidRPr="0021270B">
        <w:rPr>
          <w:lang w:val="en-NZ"/>
        </w:rPr>
        <w:t xml:space="preserve"> processing is 8–10 working days.</w:t>
      </w:r>
      <w:r w:rsidR="009B29D1" w:rsidRPr="0021270B">
        <w:rPr>
          <w:lang w:val="en-NZ"/>
        </w:rPr>
        <w:t xml:space="preserve"> </w:t>
      </w:r>
    </w:p>
    <w:p w:rsidR="00022CF7" w:rsidRPr="0021270B" w:rsidRDefault="00022CF7" w:rsidP="00022CF7">
      <w:pPr>
        <w:rPr>
          <w:lang w:val="en-NZ"/>
        </w:rPr>
      </w:pPr>
    </w:p>
    <w:p w:rsidR="00022CF7" w:rsidRPr="0021270B" w:rsidRDefault="00022CF7" w:rsidP="00022CF7">
      <w:pPr>
        <w:rPr>
          <w:lang w:val="en-NZ"/>
        </w:rPr>
      </w:pPr>
      <w:r w:rsidRPr="0021270B">
        <w:rPr>
          <w:lang w:val="en-NZ"/>
        </w:rPr>
        <w:t>Submissions on this bill suggest that the existing processing time is adequate in terms of getting an IRD number in time for settlement of property transactions.</w:t>
      </w:r>
    </w:p>
    <w:p w:rsidR="00022CF7" w:rsidRPr="0021270B" w:rsidRDefault="00022CF7" w:rsidP="00022CF7">
      <w:pPr>
        <w:rPr>
          <w:lang w:val="en-NZ"/>
        </w:rPr>
      </w:pPr>
    </w:p>
    <w:p w:rsidR="00022CF7" w:rsidRPr="0021270B" w:rsidRDefault="00022CF7" w:rsidP="00022CF7">
      <w:pPr>
        <w:rPr>
          <w:lang w:val="en-NZ"/>
        </w:rPr>
      </w:pPr>
      <w:r w:rsidRPr="0021270B">
        <w:rPr>
          <w:lang w:val="en-NZ"/>
        </w:rPr>
        <w:t xml:space="preserve">Inland Revenue is, following enactment of this bill, anticipating an increase in IRD number applications.  The Department has plans in place to increase its resources in this area to ensure that it continues to meet the current timeframes.  Inland Revenue </w:t>
      </w:r>
      <w:r w:rsidR="009B29D1" w:rsidRPr="0021270B">
        <w:rPr>
          <w:lang w:val="en-NZ"/>
        </w:rPr>
        <w:t>will redes</w:t>
      </w:r>
      <w:r w:rsidRPr="0021270B">
        <w:rPr>
          <w:lang w:val="en-NZ"/>
        </w:rPr>
        <w:t>ign</w:t>
      </w:r>
      <w:r w:rsidR="009B29D1" w:rsidRPr="0021270B">
        <w:rPr>
          <w:lang w:val="en-NZ"/>
        </w:rPr>
        <w:t xml:space="preserve"> </w:t>
      </w:r>
      <w:r w:rsidRPr="0021270B">
        <w:rPr>
          <w:lang w:val="en-NZ"/>
        </w:rPr>
        <w:t>its IRD number application form to make the obligations of offshore persons clearer.</w:t>
      </w:r>
    </w:p>
    <w:p w:rsidR="009B29D1" w:rsidRPr="0021270B" w:rsidRDefault="009B29D1" w:rsidP="009B29D1">
      <w:pPr>
        <w:tabs>
          <w:tab w:val="left" w:pos="5280"/>
        </w:tabs>
        <w:rPr>
          <w:lang w:val="en-NZ"/>
        </w:rPr>
      </w:pPr>
    </w:p>
    <w:p w:rsidR="00022CF7" w:rsidRPr="0021270B" w:rsidRDefault="009B29D1" w:rsidP="009B29D1">
      <w:pPr>
        <w:tabs>
          <w:tab w:val="left" w:pos="5280"/>
        </w:tabs>
        <w:rPr>
          <w:lang w:val="en-NZ"/>
        </w:rPr>
      </w:pPr>
      <w:r w:rsidRPr="0021270B">
        <w:rPr>
          <w:lang w:val="en-NZ"/>
        </w:rPr>
        <w:t>We believe that this would be a significant response to meet the increase without the need for a statutory timeframe.</w:t>
      </w:r>
      <w:r w:rsidRPr="0021270B">
        <w:rPr>
          <w:lang w:val="en-NZ"/>
        </w:rPr>
        <w:tab/>
      </w:r>
    </w:p>
    <w:p w:rsidR="00022CF7" w:rsidRPr="0021270B" w:rsidRDefault="00022CF7" w:rsidP="00022CF7">
      <w:pPr>
        <w:rPr>
          <w:lang w:val="en-NZ"/>
        </w:rPr>
      </w:pPr>
    </w:p>
    <w:p w:rsidR="00022CF7" w:rsidRPr="0021270B" w:rsidRDefault="00022CF7" w:rsidP="00022CF7">
      <w:pPr>
        <w:rPr>
          <w:lang w:val="en-NZ"/>
        </w:rPr>
      </w:pPr>
      <w:r w:rsidRPr="0021270B">
        <w:rPr>
          <w:lang w:val="en-NZ"/>
        </w:rPr>
        <w:t>In addition, statutory timeframes could introduce complications, for example, it may difficult to determine when an application is considered to be “complete”. There may also be factors outside of Inland Revenue</w:t>
      </w:r>
      <w:r w:rsidR="005641C1">
        <w:rPr>
          <w:lang w:val="en-NZ"/>
        </w:rPr>
        <w:t>’</w:t>
      </w:r>
      <w:r w:rsidRPr="0021270B">
        <w:rPr>
          <w:lang w:val="en-NZ"/>
        </w:rPr>
        <w:t>s control, such as postal delays.</w:t>
      </w:r>
    </w:p>
    <w:p w:rsidR="00022CF7" w:rsidRPr="0021270B" w:rsidRDefault="00022CF7" w:rsidP="00022CF7">
      <w:pPr>
        <w:rPr>
          <w:lang w:val="en-NZ"/>
        </w:rPr>
      </w:pPr>
    </w:p>
    <w:p w:rsidR="00022CF7" w:rsidRPr="00022CF7" w:rsidRDefault="00022CF7" w:rsidP="00022CF7">
      <w:pPr>
        <w:rPr>
          <w:lang w:val="en-NZ"/>
        </w:rPr>
      </w:pPr>
      <w:r w:rsidRPr="0021270B">
        <w:rPr>
          <w:lang w:val="en-NZ"/>
        </w:rPr>
        <w:t>Work is currently being undertaken to investigate introducing electronic applications for an IRD number as part of Inland Revenue</w:t>
      </w:r>
      <w:r w:rsidR="005641C1">
        <w:rPr>
          <w:lang w:val="en-NZ"/>
        </w:rPr>
        <w:t>’</w:t>
      </w:r>
      <w:r w:rsidRPr="0021270B">
        <w:rPr>
          <w:lang w:val="en-NZ"/>
        </w:rPr>
        <w:t>s business transformation work.  It is anticipated that online applications will further reduce application processing times.</w:t>
      </w:r>
    </w:p>
    <w:p w:rsidR="00022CF7" w:rsidRPr="00022CF7" w:rsidRDefault="00022CF7" w:rsidP="00E93C7F">
      <w:pPr>
        <w:rPr>
          <w:lang w:val="en-NZ"/>
        </w:rPr>
      </w:pPr>
    </w:p>
    <w:p w:rsidR="00022CF7" w:rsidRPr="00022CF7" w:rsidRDefault="00022CF7" w:rsidP="00022CF7">
      <w:pPr>
        <w:rPr>
          <w:lang w:val="en-NZ"/>
        </w:rPr>
      </w:pPr>
    </w:p>
    <w:p w:rsidR="005101C2" w:rsidRPr="00504402" w:rsidRDefault="005101C2" w:rsidP="00504402">
      <w:pPr>
        <w:jc w:val="left"/>
      </w:pPr>
    </w:p>
    <w:sectPr w:rsidR="005101C2" w:rsidRPr="00504402" w:rsidSect="00622084">
      <w:type w:val="continuous"/>
      <w:pgSz w:w="11906" w:h="16838" w:code="9"/>
      <w:pgMar w:top="1304" w:right="1797" w:bottom="1134" w:left="1797"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1C1" w:rsidRDefault="005641C1">
      <w:r>
        <w:separator/>
      </w:r>
    </w:p>
  </w:endnote>
  <w:endnote w:type="continuationSeparator" w:id="0">
    <w:p w:rsidR="005641C1" w:rsidRDefault="0056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C1" w:rsidRDefault="005641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641C1" w:rsidRDefault="005641C1">
    <w:pPr>
      <w:pStyle w:val="Footer"/>
      <w:tabs>
        <w:tab w:val="clear" w:pos="4153"/>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C1" w:rsidRDefault="005641C1">
    <w:pPr>
      <w:pStyle w:val="Footer"/>
      <w:tabs>
        <w:tab w:val="clear" w:pos="4153"/>
        <w:tab w:val="clear" w:pos="8306"/>
      </w:tabs>
      <w:ind w:right="-5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21" w:rsidRDefault="00BA30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C1" w:rsidRDefault="005641C1" w:rsidP="006A18C0">
    <w:pPr>
      <w:pStyle w:val="Footer"/>
      <w:tabs>
        <w:tab w:val="clear" w:pos="4153"/>
      </w:tabs>
      <w:ind w:right="-5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C1" w:rsidRPr="00622084" w:rsidRDefault="005641C1" w:rsidP="0062208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C1" w:rsidRDefault="005641C1" w:rsidP="00245F3B">
    <w:pPr>
      <w:pStyle w:val="Footer"/>
      <w:tabs>
        <w:tab w:val="clear" w:pos="4153"/>
      </w:tabs>
      <w:ind w:right="-52"/>
      <w:jc w:val="center"/>
      <w:rPr>
        <w:sz w:val="22"/>
      </w:rPr>
    </w:pPr>
    <w:r>
      <w:rPr>
        <w:rStyle w:val="PageNumber"/>
      </w:rPr>
      <w:fldChar w:fldCharType="begin"/>
    </w:r>
    <w:r>
      <w:rPr>
        <w:rStyle w:val="PageNumber"/>
      </w:rPr>
      <w:instrText xml:space="preserve"> PAGE </w:instrText>
    </w:r>
    <w:r>
      <w:rPr>
        <w:rStyle w:val="PageNumber"/>
      </w:rPr>
      <w:fldChar w:fldCharType="separate"/>
    </w:r>
    <w:r w:rsidR="00BA3021">
      <w:rPr>
        <w:rStyle w:val="PageNumber"/>
        <w:noProof/>
      </w:rPr>
      <w:t>60</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657817"/>
      <w:docPartObj>
        <w:docPartGallery w:val="Page Numbers (Bottom of Page)"/>
        <w:docPartUnique/>
      </w:docPartObj>
    </w:sdtPr>
    <w:sdtEndPr>
      <w:rPr>
        <w:noProof/>
        <w:sz w:val="22"/>
        <w:szCs w:val="22"/>
      </w:rPr>
    </w:sdtEndPr>
    <w:sdtContent>
      <w:p w:rsidR="005641C1" w:rsidRPr="00622084" w:rsidRDefault="005641C1" w:rsidP="00E93C7F">
        <w:pPr>
          <w:pStyle w:val="Footer"/>
          <w:jc w:val="center"/>
          <w:rPr>
            <w:sz w:val="22"/>
            <w:szCs w:val="22"/>
          </w:rPr>
        </w:pPr>
        <w:r w:rsidRPr="00622084">
          <w:rPr>
            <w:sz w:val="22"/>
            <w:szCs w:val="22"/>
          </w:rPr>
          <w:fldChar w:fldCharType="begin"/>
        </w:r>
        <w:r w:rsidRPr="00622084">
          <w:rPr>
            <w:sz w:val="22"/>
            <w:szCs w:val="22"/>
          </w:rPr>
          <w:instrText xml:space="preserve"> PAGE   \* MERGEFORMAT </w:instrText>
        </w:r>
        <w:r w:rsidRPr="00622084">
          <w:rPr>
            <w:sz w:val="22"/>
            <w:szCs w:val="22"/>
          </w:rPr>
          <w:fldChar w:fldCharType="separate"/>
        </w:r>
        <w:r w:rsidR="00F07F0F">
          <w:rPr>
            <w:noProof/>
            <w:sz w:val="22"/>
            <w:szCs w:val="22"/>
          </w:rPr>
          <w:t>60</w:t>
        </w:r>
        <w:r w:rsidRPr="00622084">
          <w:rPr>
            <w:noProof/>
            <w:sz w:val="22"/>
            <w:szCs w:val="22"/>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1C1" w:rsidRDefault="005641C1" w:rsidP="00245F3B">
    <w:pPr>
      <w:pStyle w:val="Footer"/>
      <w:jc w:val="center"/>
    </w:pPr>
    <w:r>
      <w:rPr>
        <w:rStyle w:val="PageNumber"/>
      </w:rPr>
      <w:fldChar w:fldCharType="begin"/>
    </w:r>
    <w:r>
      <w:rPr>
        <w:rStyle w:val="PageNumber"/>
      </w:rPr>
      <w:instrText xml:space="preserve"> PAGE </w:instrText>
    </w:r>
    <w:r>
      <w:rPr>
        <w:rStyle w:val="PageNumber"/>
      </w:rPr>
      <w:fldChar w:fldCharType="separate"/>
    </w:r>
    <w:r w:rsidR="00BA3021">
      <w:rPr>
        <w:rStyle w:val="PageNumber"/>
        <w:noProof/>
      </w:rPr>
      <w:t>59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1C1" w:rsidRDefault="005641C1">
      <w:r>
        <w:separator/>
      </w:r>
    </w:p>
  </w:footnote>
  <w:footnote w:type="continuationSeparator" w:id="0">
    <w:p w:rsidR="005641C1" w:rsidRDefault="005641C1">
      <w:r>
        <w:continuationSeparator/>
      </w:r>
    </w:p>
  </w:footnote>
  <w:footnote w:id="1">
    <w:p w:rsidR="005641C1" w:rsidRPr="009575F9" w:rsidRDefault="005641C1" w:rsidP="00977E4C">
      <w:pPr>
        <w:pStyle w:val="FootnoteText"/>
        <w:jc w:val="left"/>
        <w:rPr>
          <w:lang w:val="en-NZ"/>
        </w:rPr>
      </w:pPr>
      <w:r>
        <w:rPr>
          <w:rStyle w:val="FootnoteReference"/>
        </w:rPr>
        <w:footnoteRef/>
      </w:r>
      <w:r>
        <w:t xml:space="preserve"> </w:t>
      </w:r>
      <w:r>
        <w:rPr>
          <w:lang w:val="en-NZ"/>
        </w:rPr>
        <w:t xml:space="preserve">Further information about the generic tax policy process can be found at </w:t>
      </w:r>
      <w:r w:rsidRPr="00CC0406">
        <w:rPr>
          <w:lang w:val="en-NZ"/>
        </w:rPr>
        <w:t xml:space="preserve"> </w:t>
      </w:r>
      <w:hyperlink r:id="rId1" w:history="1">
        <w:r w:rsidRPr="00B31EC3">
          <w:rPr>
            <w:rStyle w:val="Hyperlink"/>
            <w:lang w:val="en-NZ"/>
          </w:rPr>
          <w:t>http://taxpolicy.ird.govt.nz/how-we-develop-tax-policy</w:t>
        </w:r>
      </w:hyperlink>
      <w:r>
        <w:rPr>
          <w:lang w:val="en-NZ"/>
        </w:rPr>
        <w:t xml:space="preserve"> </w:t>
      </w:r>
    </w:p>
  </w:footnote>
  <w:footnote w:id="2">
    <w:p w:rsidR="005641C1" w:rsidRPr="009575F9" w:rsidRDefault="005641C1" w:rsidP="008A3F01">
      <w:pPr>
        <w:pStyle w:val="FootnoteText"/>
        <w:jc w:val="left"/>
        <w:rPr>
          <w:lang w:val="en-NZ"/>
        </w:rPr>
      </w:pPr>
      <w:r>
        <w:rPr>
          <w:rStyle w:val="FootnoteReference"/>
        </w:rPr>
        <w:footnoteRef/>
      </w:r>
      <w:r>
        <w:t xml:space="preserve"> </w:t>
      </w:r>
      <w:r>
        <w:rPr>
          <w:lang w:val="en-NZ"/>
        </w:rPr>
        <w:t xml:space="preserve">Further information about the generic tax policy process can be found here: </w:t>
      </w:r>
      <w:r w:rsidRPr="00EE557E">
        <w:rPr>
          <w:lang w:val="en-NZ"/>
        </w:rPr>
        <w:t>http://taxpolicy.ird.go</w:t>
      </w:r>
      <w:r>
        <w:rPr>
          <w:lang w:val="en-NZ"/>
        </w:rPr>
        <w:t>vt.nz/how-we-develop-tax-policy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21" w:rsidRDefault="00BA3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21" w:rsidRDefault="00BA30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021" w:rsidRDefault="00BA3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04791A"/>
    <w:lvl w:ilvl="0">
      <w:start w:val="1"/>
      <w:numFmt w:val="bullet"/>
      <w:pStyle w:val="ListBullet"/>
      <w:lvlText w:val=""/>
      <w:lvlJc w:val="left"/>
      <w:pPr>
        <w:tabs>
          <w:tab w:val="num" w:pos="567"/>
        </w:tabs>
        <w:ind w:left="567" w:hanging="567"/>
      </w:pPr>
      <w:rPr>
        <w:rFonts w:ascii="Symbol" w:hAnsi="Symbol" w:hint="default"/>
      </w:rPr>
    </w:lvl>
  </w:abstractNum>
  <w:abstractNum w:abstractNumId="1">
    <w:nsid w:val="06F05697"/>
    <w:multiLevelType w:val="singleLevel"/>
    <w:tmpl w:val="D960F712"/>
    <w:lvl w:ilvl="0">
      <w:start w:val="1"/>
      <w:numFmt w:val="decimal"/>
      <w:lvlText w:val="16.%1"/>
      <w:lvlJc w:val="left"/>
      <w:pPr>
        <w:tabs>
          <w:tab w:val="num" w:pos="720"/>
        </w:tabs>
        <w:ind w:left="0" w:firstLine="0"/>
      </w:pPr>
      <w:rPr>
        <w:rFonts w:ascii="Times New Roman" w:hAnsi="Times New Roman" w:hint="default"/>
        <w:b w:val="0"/>
        <w:i w:val="0"/>
        <w:sz w:val="24"/>
      </w:rPr>
    </w:lvl>
  </w:abstractNum>
  <w:abstractNum w:abstractNumId="2">
    <w:nsid w:val="07E221B9"/>
    <w:multiLevelType w:val="singleLevel"/>
    <w:tmpl w:val="8FDA101E"/>
    <w:lvl w:ilvl="0">
      <w:start w:val="1"/>
      <w:numFmt w:val="decimal"/>
      <w:pStyle w:val="Chapter11"/>
      <w:lvlText w:val="11.%1"/>
      <w:lvlJc w:val="left"/>
      <w:pPr>
        <w:tabs>
          <w:tab w:val="num" w:pos="737"/>
        </w:tabs>
        <w:ind w:left="737" w:hanging="737"/>
      </w:pPr>
      <w:rPr>
        <w:rFonts w:ascii="Times New Roman" w:hAnsi="Times New Roman" w:hint="default"/>
      </w:rPr>
    </w:lvl>
  </w:abstractNum>
  <w:abstractNum w:abstractNumId="3">
    <w:nsid w:val="07F32E2C"/>
    <w:multiLevelType w:val="singleLevel"/>
    <w:tmpl w:val="8292964A"/>
    <w:lvl w:ilvl="0">
      <w:start w:val="1"/>
      <w:numFmt w:val="decimal"/>
      <w:lvlText w:val="11.%1"/>
      <w:lvlJc w:val="left"/>
      <w:pPr>
        <w:tabs>
          <w:tab w:val="num" w:pos="720"/>
        </w:tabs>
        <w:ind w:left="0" w:firstLine="0"/>
      </w:pPr>
      <w:rPr>
        <w:rFonts w:ascii="Times New Roman" w:hAnsi="Times New Roman" w:hint="default"/>
        <w:b w:val="0"/>
        <w:i w:val="0"/>
        <w:sz w:val="24"/>
      </w:rPr>
    </w:lvl>
  </w:abstractNum>
  <w:abstractNum w:abstractNumId="4">
    <w:nsid w:val="0F111F06"/>
    <w:multiLevelType w:val="singleLevel"/>
    <w:tmpl w:val="5D66696E"/>
    <w:lvl w:ilvl="0">
      <w:start w:val="1"/>
      <w:numFmt w:val="decimal"/>
      <w:pStyle w:val="Chapter10"/>
      <w:lvlText w:val="10.%1"/>
      <w:lvlJc w:val="left"/>
      <w:pPr>
        <w:tabs>
          <w:tab w:val="num" w:pos="737"/>
        </w:tabs>
        <w:ind w:left="737" w:hanging="737"/>
      </w:pPr>
      <w:rPr>
        <w:rFonts w:ascii="Times New Roman" w:hAnsi="Times New Roman" w:hint="default"/>
      </w:rPr>
    </w:lvl>
  </w:abstractNum>
  <w:abstractNum w:abstractNumId="5">
    <w:nsid w:val="105244B4"/>
    <w:multiLevelType w:val="singleLevel"/>
    <w:tmpl w:val="E74CE2D2"/>
    <w:lvl w:ilvl="0">
      <w:start w:val="1"/>
      <w:numFmt w:val="decimal"/>
      <w:pStyle w:val="Chapter4"/>
      <w:lvlText w:val="4.%1"/>
      <w:lvlJc w:val="left"/>
      <w:pPr>
        <w:tabs>
          <w:tab w:val="num" w:pos="737"/>
        </w:tabs>
        <w:ind w:left="737" w:hanging="737"/>
      </w:pPr>
      <w:rPr>
        <w:rFonts w:ascii="Times New Roman" w:hAnsi="Times New Roman" w:hint="default"/>
      </w:rPr>
    </w:lvl>
  </w:abstractNum>
  <w:abstractNum w:abstractNumId="6">
    <w:nsid w:val="112A3C73"/>
    <w:multiLevelType w:val="singleLevel"/>
    <w:tmpl w:val="E91EB232"/>
    <w:lvl w:ilvl="0">
      <w:start w:val="1"/>
      <w:numFmt w:val="decimal"/>
      <w:pStyle w:val="BodyTextChapter2"/>
      <w:lvlText w:val="2.%1"/>
      <w:lvlJc w:val="left"/>
      <w:pPr>
        <w:tabs>
          <w:tab w:val="num" w:pos="992"/>
        </w:tabs>
        <w:ind w:left="992" w:hanging="992"/>
      </w:pPr>
      <w:rPr>
        <w:b w:val="0"/>
        <w:i w:val="0"/>
      </w:rPr>
    </w:lvl>
  </w:abstractNum>
  <w:abstractNum w:abstractNumId="7">
    <w:nsid w:val="11994EDE"/>
    <w:multiLevelType w:val="hybridMultilevel"/>
    <w:tmpl w:val="53C86FF4"/>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8">
    <w:nsid w:val="14DE3411"/>
    <w:multiLevelType w:val="singleLevel"/>
    <w:tmpl w:val="58DA219E"/>
    <w:lvl w:ilvl="0">
      <w:start w:val="1"/>
      <w:numFmt w:val="bullet"/>
      <w:lvlText w:val="-"/>
      <w:lvlJc w:val="left"/>
      <w:pPr>
        <w:tabs>
          <w:tab w:val="num" w:pos="1134"/>
        </w:tabs>
        <w:ind w:left="1134" w:hanging="567"/>
      </w:pPr>
      <w:rPr>
        <w:sz w:val="22"/>
      </w:rPr>
    </w:lvl>
  </w:abstractNum>
  <w:abstractNum w:abstractNumId="9">
    <w:nsid w:val="16684D8C"/>
    <w:multiLevelType w:val="hybridMultilevel"/>
    <w:tmpl w:val="EC1EDB56"/>
    <w:lvl w:ilvl="0" w:tplc="550C3EA0">
      <w:start w:val="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BC164B8"/>
    <w:multiLevelType w:val="singleLevel"/>
    <w:tmpl w:val="84C4E7E2"/>
    <w:lvl w:ilvl="0">
      <w:start w:val="1"/>
      <w:numFmt w:val="decimal"/>
      <w:pStyle w:val="Chapter3"/>
      <w:lvlText w:val="3.%1"/>
      <w:lvlJc w:val="left"/>
      <w:pPr>
        <w:tabs>
          <w:tab w:val="num" w:pos="737"/>
        </w:tabs>
        <w:ind w:left="737" w:hanging="737"/>
      </w:pPr>
      <w:rPr>
        <w:rFonts w:ascii="Times New Roman" w:hAnsi="Times New Roman" w:hint="default"/>
      </w:rPr>
    </w:lvl>
  </w:abstractNum>
  <w:abstractNum w:abstractNumId="11">
    <w:nsid w:val="1CEB0B10"/>
    <w:multiLevelType w:val="singleLevel"/>
    <w:tmpl w:val="9AF2D0F6"/>
    <w:lvl w:ilvl="0">
      <w:start w:val="1"/>
      <w:numFmt w:val="lowerRoman"/>
      <w:pStyle w:val="Subrec"/>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EF55F28"/>
    <w:multiLevelType w:val="singleLevel"/>
    <w:tmpl w:val="76F8816A"/>
    <w:lvl w:ilvl="0">
      <w:start w:val="1"/>
      <w:numFmt w:val="bullet"/>
      <w:lvlText w:val=""/>
      <w:lvlJc w:val="left"/>
      <w:pPr>
        <w:tabs>
          <w:tab w:val="num" w:pos="360"/>
        </w:tabs>
        <w:ind w:left="360" w:hanging="360"/>
      </w:pPr>
      <w:rPr>
        <w:rFonts w:ascii="Symbol" w:hAnsi="Symbol" w:hint="default"/>
      </w:rPr>
    </w:lvl>
  </w:abstractNum>
  <w:abstractNum w:abstractNumId="13">
    <w:nsid w:val="20227561"/>
    <w:multiLevelType w:val="singleLevel"/>
    <w:tmpl w:val="C0A631B2"/>
    <w:lvl w:ilvl="0">
      <w:start w:val="1"/>
      <w:numFmt w:val="bullet"/>
      <w:lvlText w:val=""/>
      <w:lvlJc w:val="left"/>
      <w:pPr>
        <w:tabs>
          <w:tab w:val="num" w:pos="567"/>
        </w:tabs>
        <w:ind w:left="567" w:hanging="567"/>
      </w:pPr>
      <w:rPr>
        <w:rFonts w:ascii="Symbol" w:hAnsi="Symbol" w:hint="default"/>
      </w:rPr>
    </w:lvl>
  </w:abstractNum>
  <w:abstractNum w:abstractNumId="14">
    <w:nsid w:val="22E60171"/>
    <w:multiLevelType w:val="singleLevel"/>
    <w:tmpl w:val="C2163BE4"/>
    <w:lvl w:ilvl="0">
      <w:start w:val="1"/>
      <w:numFmt w:val="bullet"/>
      <w:pStyle w:val="Dotpointtwo"/>
      <w:lvlText w:val=""/>
      <w:lvlJc w:val="left"/>
      <w:pPr>
        <w:tabs>
          <w:tab w:val="num" w:pos="1134"/>
        </w:tabs>
        <w:ind w:left="1134" w:hanging="567"/>
      </w:pPr>
      <w:rPr>
        <w:rFonts w:ascii="Wingdings" w:hAnsi="Wingdings" w:hint="default"/>
      </w:rPr>
    </w:lvl>
  </w:abstractNum>
  <w:abstractNum w:abstractNumId="15">
    <w:nsid w:val="297C46E0"/>
    <w:multiLevelType w:val="singleLevel"/>
    <w:tmpl w:val="F5DE0F34"/>
    <w:lvl w:ilvl="0">
      <w:start w:val="1"/>
      <w:numFmt w:val="decimal"/>
      <w:pStyle w:val="TRNormal"/>
      <w:lvlText w:val="%1."/>
      <w:lvlJc w:val="left"/>
      <w:pPr>
        <w:tabs>
          <w:tab w:val="num" w:pos="360"/>
        </w:tabs>
        <w:ind w:left="360" w:hanging="360"/>
      </w:pPr>
    </w:lvl>
  </w:abstractNum>
  <w:abstractNum w:abstractNumId="16">
    <w:nsid w:val="2B1C09E4"/>
    <w:multiLevelType w:val="singleLevel"/>
    <w:tmpl w:val="73F28EAA"/>
    <w:lvl w:ilvl="0">
      <w:start w:val="1"/>
      <w:numFmt w:val="decimal"/>
      <w:pStyle w:val="BodyTextChapter14"/>
      <w:lvlText w:val="14.%1"/>
      <w:lvlJc w:val="left"/>
      <w:pPr>
        <w:tabs>
          <w:tab w:val="num" w:pos="992"/>
        </w:tabs>
        <w:ind w:left="992" w:hanging="992"/>
      </w:pPr>
      <w:rPr>
        <w:b w:val="0"/>
        <w:i w:val="0"/>
      </w:rPr>
    </w:lvl>
  </w:abstractNum>
  <w:abstractNum w:abstractNumId="17">
    <w:nsid w:val="2E4004DD"/>
    <w:multiLevelType w:val="hybridMultilevel"/>
    <w:tmpl w:val="3780B01A"/>
    <w:lvl w:ilvl="0" w:tplc="38F229F0">
      <w:numFmt w:val="bullet"/>
      <w:lvlText w:val="-"/>
      <w:lvlJc w:val="left"/>
      <w:pPr>
        <w:ind w:left="720" w:hanging="360"/>
      </w:pPr>
      <w:rPr>
        <w:rFonts w:ascii="Verdana" w:eastAsia="Calibri" w:hAnsi="Verdana"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nsid w:val="36313424"/>
    <w:multiLevelType w:val="singleLevel"/>
    <w:tmpl w:val="BDDACE86"/>
    <w:lvl w:ilvl="0">
      <w:start w:val="1"/>
      <w:numFmt w:val="decimal"/>
      <w:pStyle w:val="Chapter9"/>
      <w:lvlText w:val="9.%1"/>
      <w:lvlJc w:val="left"/>
      <w:pPr>
        <w:tabs>
          <w:tab w:val="num" w:pos="737"/>
        </w:tabs>
        <w:ind w:left="737" w:hanging="737"/>
      </w:pPr>
      <w:rPr>
        <w:rFonts w:ascii="Times New Roman" w:hAnsi="Times New Roman" w:hint="default"/>
      </w:rPr>
    </w:lvl>
  </w:abstractNum>
  <w:abstractNum w:abstractNumId="19">
    <w:nsid w:val="36CC6608"/>
    <w:multiLevelType w:val="singleLevel"/>
    <w:tmpl w:val="D05E6476"/>
    <w:lvl w:ilvl="0">
      <w:start w:val="1"/>
      <w:numFmt w:val="bullet"/>
      <w:pStyle w:val="Indentbullet"/>
      <w:lvlText w:val=""/>
      <w:lvlJc w:val="left"/>
      <w:pPr>
        <w:tabs>
          <w:tab w:val="num" w:pos="567"/>
        </w:tabs>
        <w:ind w:left="567" w:hanging="567"/>
      </w:pPr>
      <w:rPr>
        <w:rFonts w:ascii="Symbol" w:hAnsi="Symbol" w:hint="default"/>
        <w:sz w:val="21"/>
      </w:rPr>
    </w:lvl>
  </w:abstractNum>
  <w:abstractNum w:abstractNumId="20">
    <w:nsid w:val="379D3CFB"/>
    <w:multiLevelType w:val="singleLevel"/>
    <w:tmpl w:val="D5862B78"/>
    <w:lvl w:ilvl="0">
      <w:start w:val="1"/>
      <w:numFmt w:val="lowerRoman"/>
      <w:lvlText w:val="(%1)"/>
      <w:lvlJc w:val="left"/>
      <w:pPr>
        <w:tabs>
          <w:tab w:val="num" w:pos="720"/>
        </w:tabs>
        <w:ind w:left="720" w:hanging="720"/>
      </w:pPr>
      <w:rPr>
        <w:rFonts w:hint="default"/>
      </w:rPr>
    </w:lvl>
  </w:abstractNum>
  <w:abstractNum w:abstractNumId="21">
    <w:nsid w:val="38FE376B"/>
    <w:multiLevelType w:val="singleLevel"/>
    <w:tmpl w:val="3E42CD4E"/>
    <w:lvl w:ilvl="0">
      <w:start w:val="1"/>
      <w:numFmt w:val="decimal"/>
      <w:pStyle w:val="BodyTextChapter17"/>
      <w:lvlText w:val="17.%1"/>
      <w:lvlJc w:val="left"/>
      <w:pPr>
        <w:tabs>
          <w:tab w:val="num" w:pos="992"/>
        </w:tabs>
        <w:ind w:left="992" w:hanging="992"/>
      </w:pPr>
    </w:lvl>
  </w:abstractNum>
  <w:abstractNum w:abstractNumId="22">
    <w:nsid w:val="3E6F66AF"/>
    <w:multiLevelType w:val="singleLevel"/>
    <w:tmpl w:val="60CC1046"/>
    <w:lvl w:ilvl="0">
      <w:start w:val="1"/>
      <w:numFmt w:val="decimal"/>
      <w:pStyle w:val="BodyTextChapter11"/>
      <w:lvlText w:val="11.%1"/>
      <w:lvlJc w:val="left"/>
      <w:pPr>
        <w:tabs>
          <w:tab w:val="num" w:pos="992"/>
        </w:tabs>
        <w:ind w:left="992" w:hanging="992"/>
      </w:pPr>
      <w:rPr>
        <w:rFonts w:ascii="Times New Roman" w:hAnsi="Times New Roman" w:hint="default"/>
        <w:b w:val="0"/>
        <w:i w:val="0"/>
        <w:sz w:val="24"/>
      </w:rPr>
    </w:lvl>
  </w:abstractNum>
  <w:abstractNum w:abstractNumId="23">
    <w:nsid w:val="400969C5"/>
    <w:multiLevelType w:val="singleLevel"/>
    <w:tmpl w:val="0BBA59AA"/>
    <w:lvl w:ilvl="0">
      <w:start w:val="1"/>
      <w:numFmt w:val="decimal"/>
      <w:pStyle w:val="Indentedquotenumbered"/>
      <w:lvlText w:val="%1."/>
      <w:lvlJc w:val="left"/>
      <w:pPr>
        <w:tabs>
          <w:tab w:val="num" w:pos="560"/>
        </w:tabs>
        <w:ind w:left="560" w:hanging="360"/>
      </w:pPr>
      <w:rPr>
        <w:rFonts w:hint="default"/>
      </w:rPr>
    </w:lvl>
  </w:abstractNum>
  <w:abstractNum w:abstractNumId="24">
    <w:nsid w:val="410237CA"/>
    <w:multiLevelType w:val="hybridMultilevel"/>
    <w:tmpl w:val="E916971E"/>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25">
    <w:nsid w:val="43EF6C28"/>
    <w:multiLevelType w:val="singleLevel"/>
    <w:tmpl w:val="525AC4DE"/>
    <w:lvl w:ilvl="0">
      <w:start w:val="1"/>
      <w:numFmt w:val="decimal"/>
      <w:pStyle w:val="Chapter1"/>
      <w:lvlText w:val="1.%1"/>
      <w:lvlJc w:val="left"/>
      <w:pPr>
        <w:tabs>
          <w:tab w:val="num" w:pos="737"/>
        </w:tabs>
        <w:ind w:left="737" w:hanging="737"/>
      </w:pPr>
      <w:rPr>
        <w:rFonts w:ascii="Times New Roman" w:hAnsi="Times New Roman" w:hint="default"/>
      </w:rPr>
    </w:lvl>
  </w:abstractNum>
  <w:abstractNum w:abstractNumId="26">
    <w:nsid w:val="45F761FF"/>
    <w:multiLevelType w:val="hybridMultilevel"/>
    <w:tmpl w:val="37C264E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70716DD"/>
    <w:multiLevelType w:val="hybridMultilevel"/>
    <w:tmpl w:val="9894ECB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BAA6DA1"/>
    <w:multiLevelType w:val="hybridMultilevel"/>
    <w:tmpl w:val="CCD819F8"/>
    <w:lvl w:ilvl="0" w:tplc="A9B8AA60">
      <w:start w:val="1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CDE186A"/>
    <w:multiLevelType w:val="hybridMultilevel"/>
    <w:tmpl w:val="E2E62E92"/>
    <w:lvl w:ilvl="0" w:tplc="F31E7E12">
      <w:start w:val="1"/>
      <w:numFmt w:val="lowerLetter"/>
      <w:lvlText w:val="(%1)"/>
      <w:lvlJc w:val="left"/>
      <w:pPr>
        <w:ind w:left="1155" w:hanging="360"/>
      </w:pPr>
      <w:rPr>
        <w:rFonts w:hint="default"/>
      </w:rPr>
    </w:lvl>
    <w:lvl w:ilvl="1" w:tplc="14090019" w:tentative="1">
      <w:start w:val="1"/>
      <w:numFmt w:val="lowerLetter"/>
      <w:lvlText w:val="%2."/>
      <w:lvlJc w:val="left"/>
      <w:pPr>
        <w:ind w:left="1875" w:hanging="360"/>
      </w:pPr>
    </w:lvl>
    <w:lvl w:ilvl="2" w:tplc="1409001B" w:tentative="1">
      <w:start w:val="1"/>
      <w:numFmt w:val="lowerRoman"/>
      <w:lvlText w:val="%3."/>
      <w:lvlJc w:val="right"/>
      <w:pPr>
        <w:ind w:left="2595" w:hanging="180"/>
      </w:pPr>
    </w:lvl>
    <w:lvl w:ilvl="3" w:tplc="1409000F" w:tentative="1">
      <w:start w:val="1"/>
      <w:numFmt w:val="decimal"/>
      <w:lvlText w:val="%4."/>
      <w:lvlJc w:val="left"/>
      <w:pPr>
        <w:ind w:left="3315" w:hanging="360"/>
      </w:pPr>
    </w:lvl>
    <w:lvl w:ilvl="4" w:tplc="14090019" w:tentative="1">
      <w:start w:val="1"/>
      <w:numFmt w:val="lowerLetter"/>
      <w:lvlText w:val="%5."/>
      <w:lvlJc w:val="left"/>
      <w:pPr>
        <w:ind w:left="4035" w:hanging="360"/>
      </w:pPr>
    </w:lvl>
    <w:lvl w:ilvl="5" w:tplc="1409001B" w:tentative="1">
      <w:start w:val="1"/>
      <w:numFmt w:val="lowerRoman"/>
      <w:lvlText w:val="%6."/>
      <w:lvlJc w:val="right"/>
      <w:pPr>
        <w:ind w:left="4755" w:hanging="180"/>
      </w:pPr>
    </w:lvl>
    <w:lvl w:ilvl="6" w:tplc="1409000F" w:tentative="1">
      <w:start w:val="1"/>
      <w:numFmt w:val="decimal"/>
      <w:lvlText w:val="%7."/>
      <w:lvlJc w:val="left"/>
      <w:pPr>
        <w:ind w:left="5475" w:hanging="360"/>
      </w:pPr>
    </w:lvl>
    <w:lvl w:ilvl="7" w:tplc="14090019" w:tentative="1">
      <w:start w:val="1"/>
      <w:numFmt w:val="lowerLetter"/>
      <w:lvlText w:val="%8."/>
      <w:lvlJc w:val="left"/>
      <w:pPr>
        <w:ind w:left="6195" w:hanging="360"/>
      </w:pPr>
    </w:lvl>
    <w:lvl w:ilvl="8" w:tplc="1409001B" w:tentative="1">
      <w:start w:val="1"/>
      <w:numFmt w:val="lowerRoman"/>
      <w:lvlText w:val="%9."/>
      <w:lvlJc w:val="right"/>
      <w:pPr>
        <w:ind w:left="6915" w:hanging="180"/>
      </w:pPr>
    </w:lvl>
  </w:abstractNum>
  <w:abstractNum w:abstractNumId="30">
    <w:nsid w:val="4FDE4201"/>
    <w:multiLevelType w:val="hybridMultilevel"/>
    <w:tmpl w:val="015A10F4"/>
    <w:lvl w:ilvl="0" w:tplc="0C090001">
      <w:start w:val="1"/>
      <w:numFmt w:val="bullet"/>
      <w:pStyle w:val="Bullets"/>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24F74B9"/>
    <w:multiLevelType w:val="singleLevel"/>
    <w:tmpl w:val="DDEC2164"/>
    <w:lvl w:ilvl="0">
      <w:start w:val="1"/>
      <w:numFmt w:val="bullet"/>
      <w:pStyle w:val="dotpoint2"/>
      <w:lvlText w:val=""/>
      <w:lvlJc w:val="left"/>
      <w:pPr>
        <w:tabs>
          <w:tab w:val="num" w:pos="360"/>
        </w:tabs>
        <w:ind w:left="340" w:hanging="340"/>
      </w:pPr>
      <w:rPr>
        <w:rFonts w:ascii="Symbol" w:hAnsi="Symbol" w:hint="default"/>
        <w:b w:val="0"/>
        <w:i w:val="0"/>
        <w:sz w:val="20"/>
      </w:rPr>
    </w:lvl>
  </w:abstractNum>
  <w:abstractNum w:abstractNumId="32">
    <w:nsid w:val="54D81EE8"/>
    <w:multiLevelType w:val="singleLevel"/>
    <w:tmpl w:val="B1EC616C"/>
    <w:lvl w:ilvl="0">
      <w:start w:val="1"/>
      <w:numFmt w:val="decimal"/>
      <w:pStyle w:val="Chapter5"/>
      <w:lvlText w:val="5.%1"/>
      <w:lvlJc w:val="left"/>
      <w:pPr>
        <w:tabs>
          <w:tab w:val="num" w:pos="737"/>
        </w:tabs>
        <w:ind w:left="737" w:hanging="737"/>
      </w:pPr>
      <w:rPr>
        <w:rFonts w:ascii="Times New Roman" w:hAnsi="Times New Roman" w:hint="default"/>
      </w:rPr>
    </w:lvl>
  </w:abstractNum>
  <w:abstractNum w:abstractNumId="33">
    <w:nsid w:val="56566859"/>
    <w:multiLevelType w:val="singleLevel"/>
    <w:tmpl w:val="4D7052E0"/>
    <w:lvl w:ilvl="0">
      <w:start w:val="1"/>
      <w:numFmt w:val="bullet"/>
      <w:pStyle w:val="IndentedQuotedotpoint"/>
      <w:lvlText w:val=""/>
      <w:lvlJc w:val="left"/>
      <w:pPr>
        <w:tabs>
          <w:tab w:val="num" w:pos="360"/>
        </w:tabs>
        <w:ind w:left="360" w:hanging="360"/>
      </w:pPr>
      <w:rPr>
        <w:rFonts w:ascii="Symbol" w:hAnsi="Symbol" w:hint="default"/>
      </w:rPr>
    </w:lvl>
  </w:abstractNum>
  <w:abstractNum w:abstractNumId="34">
    <w:nsid w:val="5F9F2A1C"/>
    <w:multiLevelType w:val="singleLevel"/>
    <w:tmpl w:val="0804F3E8"/>
    <w:lvl w:ilvl="0">
      <w:start w:val="1"/>
      <w:numFmt w:val="decimal"/>
      <w:pStyle w:val="Chapter6"/>
      <w:lvlText w:val="6.%1"/>
      <w:lvlJc w:val="left"/>
      <w:pPr>
        <w:tabs>
          <w:tab w:val="num" w:pos="737"/>
        </w:tabs>
        <w:ind w:left="737" w:hanging="737"/>
      </w:pPr>
      <w:rPr>
        <w:rFonts w:ascii="Times New Roman" w:hAnsi="Times New Roman" w:hint="default"/>
      </w:rPr>
    </w:lvl>
  </w:abstractNum>
  <w:abstractNum w:abstractNumId="35">
    <w:nsid w:val="62E83CDD"/>
    <w:multiLevelType w:val="singleLevel"/>
    <w:tmpl w:val="D0E2ECF2"/>
    <w:lvl w:ilvl="0">
      <w:start w:val="1"/>
      <w:numFmt w:val="decimal"/>
      <w:lvlText w:val="13.%1"/>
      <w:lvlJc w:val="left"/>
      <w:pPr>
        <w:tabs>
          <w:tab w:val="num" w:pos="720"/>
        </w:tabs>
        <w:ind w:left="0" w:firstLine="0"/>
      </w:pPr>
      <w:rPr>
        <w:rFonts w:ascii="Times New Roman" w:hAnsi="Times New Roman" w:hint="default"/>
        <w:b w:val="0"/>
        <w:i w:val="0"/>
        <w:sz w:val="24"/>
      </w:rPr>
    </w:lvl>
  </w:abstractNum>
  <w:abstractNum w:abstractNumId="36">
    <w:nsid w:val="63824B6E"/>
    <w:multiLevelType w:val="singleLevel"/>
    <w:tmpl w:val="3C028E8E"/>
    <w:lvl w:ilvl="0">
      <w:start w:val="1"/>
      <w:numFmt w:val="decimal"/>
      <w:lvlText w:val="%1."/>
      <w:lvlJc w:val="left"/>
      <w:pPr>
        <w:tabs>
          <w:tab w:val="num" w:pos="360"/>
        </w:tabs>
        <w:ind w:left="360" w:hanging="360"/>
      </w:pPr>
    </w:lvl>
  </w:abstractNum>
  <w:abstractNum w:abstractNumId="37">
    <w:nsid w:val="638A7250"/>
    <w:multiLevelType w:val="singleLevel"/>
    <w:tmpl w:val="172C5CB8"/>
    <w:lvl w:ilvl="0">
      <w:start w:val="1"/>
      <w:numFmt w:val="lowerLetter"/>
      <w:lvlText w:val="(%1)"/>
      <w:lvlJc w:val="left"/>
      <w:pPr>
        <w:tabs>
          <w:tab w:val="num" w:pos="360"/>
        </w:tabs>
        <w:ind w:left="360" w:hanging="360"/>
      </w:pPr>
    </w:lvl>
  </w:abstractNum>
  <w:abstractNum w:abstractNumId="38">
    <w:nsid w:val="64514234"/>
    <w:multiLevelType w:val="singleLevel"/>
    <w:tmpl w:val="801C4732"/>
    <w:lvl w:ilvl="0">
      <w:start w:val="1"/>
      <w:numFmt w:val="decimal"/>
      <w:pStyle w:val="Chapter7"/>
      <w:lvlText w:val="7.%1"/>
      <w:lvlJc w:val="left"/>
      <w:pPr>
        <w:tabs>
          <w:tab w:val="num" w:pos="737"/>
        </w:tabs>
        <w:ind w:left="737" w:hanging="737"/>
      </w:pPr>
      <w:rPr>
        <w:rFonts w:ascii="Times New Roman" w:hAnsi="Times New Roman" w:hint="default"/>
      </w:rPr>
    </w:lvl>
  </w:abstractNum>
  <w:abstractNum w:abstractNumId="39">
    <w:nsid w:val="66121AE5"/>
    <w:multiLevelType w:val="singleLevel"/>
    <w:tmpl w:val="4476F4D8"/>
    <w:lvl w:ilvl="0">
      <w:start w:val="1"/>
      <w:numFmt w:val="decimal"/>
      <w:pStyle w:val="BodyTextChapter15"/>
      <w:lvlText w:val="15.%1"/>
      <w:lvlJc w:val="left"/>
      <w:pPr>
        <w:tabs>
          <w:tab w:val="num" w:pos="992"/>
        </w:tabs>
        <w:ind w:left="992" w:hanging="992"/>
      </w:pPr>
      <w:rPr>
        <w:b w:val="0"/>
        <w:i w:val="0"/>
      </w:rPr>
    </w:lvl>
  </w:abstractNum>
  <w:abstractNum w:abstractNumId="40">
    <w:nsid w:val="68637928"/>
    <w:multiLevelType w:val="hybridMultilevel"/>
    <w:tmpl w:val="24F4E8F4"/>
    <w:lvl w:ilvl="0" w:tplc="9FAAB74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5ED593B"/>
    <w:multiLevelType w:val="singleLevel"/>
    <w:tmpl w:val="01160B50"/>
    <w:lvl w:ilvl="0">
      <w:start w:val="1"/>
      <w:numFmt w:val="decimal"/>
      <w:lvlText w:val="19.%1"/>
      <w:lvlJc w:val="left"/>
      <w:pPr>
        <w:tabs>
          <w:tab w:val="num" w:pos="720"/>
        </w:tabs>
        <w:ind w:left="0" w:firstLine="0"/>
      </w:pPr>
      <w:rPr>
        <w:rFonts w:ascii="Times New Roman" w:hAnsi="Times New Roman" w:hint="default"/>
        <w:b w:val="0"/>
        <w:i w:val="0"/>
        <w:sz w:val="24"/>
      </w:rPr>
    </w:lvl>
  </w:abstractNum>
  <w:abstractNum w:abstractNumId="42">
    <w:nsid w:val="767C4449"/>
    <w:multiLevelType w:val="singleLevel"/>
    <w:tmpl w:val="08D0946E"/>
    <w:lvl w:ilvl="0">
      <w:start w:val="1"/>
      <w:numFmt w:val="bullet"/>
      <w:lvlText w:val=""/>
      <w:lvlJc w:val="left"/>
      <w:pPr>
        <w:tabs>
          <w:tab w:val="num" w:pos="1134"/>
        </w:tabs>
        <w:ind w:left="1134" w:hanging="567"/>
      </w:pPr>
      <w:rPr>
        <w:rFonts w:ascii="Symbol" w:hAnsi="Symbol" w:hint="default"/>
        <w:sz w:val="24"/>
      </w:rPr>
    </w:lvl>
  </w:abstractNum>
  <w:abstractNum w:abstractNumId="43">
    <w:nsid w:val="76D77122"/>
    <w:multiLevelType w:val="hybridMultilevel"/>
    <w:tmpl w:val="F73C69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7A714F8"/>
    <w:multiLevelType w:val="singleLevel"/>
    <w:tmpl w:val="3CEC8266"/>
    <w:lvl w:ilvl="0">
      <w:start w:val="1"/>
      <w:numFmt w:val="bullet"/>
      <w:pStyle w:val="Tabledotpoint"/>
      <w:lvlText w:val=""/>
      <w:lvlJc w:val="left"/>
      <w:pPr>
        <w:tabs>
          <w:tab w:val="num" w:pos="360"/>
        </w:tabs>
        <w:ind w:left="284" w:hanging="284"/>
      </w:pPr>
      <w:rPr>
        <w:rFonts w:ascii="Symbol" w:hAnsi="Symbol" w:hint="default"/>
        <w:b w:val="0"/>
        <w:i w:val="0"/>
        <w:sz w:val="20"/>
      </w:rPr>
    </w:lvl>
  </w:abstractNum>
  <w:abstractNum w:abstractNumId="45">
    <w:nsid w:val="79340049"/>
    <w:multiLevelType w:val="singleLevel"/>
    <w:tmpl w:val="ACFA70CE"/>
    <w:lvl w:ilvl="0">
      <w:start w:val="1"/>
      <w:numFmt w:val="bullet"/>
      <w:pStyle w:val="dotpoint"/>
      <w:lvlText w:val=""/>
      <w:lvlJc w:val="left"/>
      <w:pPr>
        <w:tabs>
          <w:tab w:val="num" w:pos="567"/>
        </w:tabs>
        <w:ind w:left="567" w:hanging="567"/>
      </w:pPr>
      <w:rPr>
        <w:rFonts w:ascii="Symbol" w:hAnsi="Symbol" w:hint="default"/>
        <w:b w:val="0"/>
        <w:i w:val="0"/>
        <w:sz w:val="22"/>
      </w:rPr>
    </w:lvl>
  </w:abstractNum>
  <w:num w:numId="1">
    <w:abstractNumId w:val="6"/>
  </w:num>
  <w:num w:numId="2">
    <w:abstractNumId w:val="22"/>
  </w:num>
  <w:num w:numId="3">
    <w:abstractNumId w:val="16"/>
  </w:num>
  <w:num w:numId="4">
    <w:abstractNumId w:val="21"/>
  </w:num>
  <w:num w:numId="5">
    <w:abstractNumId w:val="39"/>
  </w:num>
  <w:num w:numId="6">
    <w:abstractNumId w:val="11"/>
  </w:num>
  <w:num w:numId="7">
    <w:abstractNumId w:val="14"/>
  </w:num>
  <w:num w:numId="8">
    <w:abstractNumId w:val="44"/>
  </w:num>
  <w:num w:numId="9">
    <w:abstractNumId w:val="31"/>
  </w:num>
  <w:num w:numId="10">
    <w:abstractNumId w:val="15"/>
  </w:num>
  <w:num w:numId="11">
    <w:abstractNumId w:val="42"/>
  </w:num>
  <w:num w:numId="12">
    <w:abstractNumId w:val="1"/>
  </w:num>
  <w:num w:numId="13">
    <w:abstractNumId w:val="41"/>
  </w:num>
  <w:num w:numId="14">
    <w:abstractNumId w:val="3"/>
  </w:num>
  <w:num w:numId="15">
    <w:abstractNumId w:val="35"/>
  </w:num>
  <w:num w:numId="16">
    <w:abstractNumId w:val="8"/>
  </w:num>
  <w:num w:numId="17">
    <w:abstractNumId w:val="45"/>
  </w:num>
  <w:num w:numId="18">
    <w:abstractNumId w:val="33"/>
  </w:num>
  <w:num w:numId="19">
    <w:abstractNumId w:val="23"/>
  </w:num>
  <w:num w:numId="20">
    <w:abstractNumId w:val="20"/>
  </w:num>
  <w:num w:numId="21">
    <w:abstractNumId w:val="36"/>
  </w:num>
  <w:num w:numId="22">
    <w:abstractNumId w:val="12"/>
  </w:num>
  <w:num w:numId="23">
    <w:abstractNumId w:val="37"/>
  </w:num>
  <w:num w:numId="24">
    <w:abstractNumId w:val="13"/>
  </w:num>
  <w:num w:numId="25">
    <w:abstractNumId w:val="10"/>
  </w:num>
  <w:num w:numId="26">
    <w:abstractNumId w:val="32"/>
  </w:num>
  <w:num w:numId="27">
    <w:abstractNumId w:val="34"/>
  </w:num>
  <w:num w:numId="28">
    <w:abstractNumId w:val="38"/>
  </w:num>
  <w:num w:numId="29">
    <w:abstractNumId w:val="4"/>
  </w:num>
  <w:num w:numId="30">
    <w:abstractNumId w:val="25"/>
  </w:num>
  <w:num w:numId="31">
    <w:abstractNumId w:val="5"/>
  </w:num>
  <w:num w:numId="32">
    <w:abstractNumId w:val="2"/>
  </w:num>
  <w:num w:numId="33">
    <w:abstractNumId w:val="18"/>
  </w:num>
  <w:num w:numId="34">
    <w:abstractNumId w:val="19"/>
  </w:num>
  <w:num w:numId="35">
    <w:abstractNumId w:val="0"/>
  </w:num>
  <w:num w:numId="36">
    <w:abstractNumId w:val="30"/>
  </w:num>
  <w:num w:numId="37">
    <w:abstractNumId w:val="9"/>
  </w:num>
  <w:num w:numId="38">
    <w:abstractNumId w:val="43"/>
  </w:num>
  <w:num w:numId="39">
    <w:abstractNumId w:val="17"/>
  </w:num>
  <w:num w:numId="40">
    <w:abstractNumId w:val="27"/>
  </w:num>
  <w:num w:numId="41">
    <w:abstractNumId w:val="29"/>
  </w:num>
  <w:num w:numId="42">
    <w:abstractNumId w:val="40"/>
  </w:num>
  <w:num w:numId="43">
    <w:abstractNumId w:val="24"/>
  </w:num>
  <w:num w:numId="44">
    <w:abstractNumId w:val="7"/>
  </w:num>
  <w:num w:numId="45">
    <w:abstractNumId w:val="28"/>
  </w:num>
  <w:num w:numId="4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2C"/>
    <w:rsid w:val="000035B9"/>
    <w:rsid w:val="000035BC"/>
    <w:rsid w:val="00006576"/>
    <w:rsid w:val="000072B2"/>
    <w:rsid w:val="00010B38"/>
    <w:rsid w:val="0001173B"/>
    <w:rsid w:val="00013B54"/>
    <w:rsid w:val="000219C6"/>
    <w:rsid w:val="00022CC8"/>
    <w:rsid w:val="00022CF7"/>
    <w:rsid w:val="00023273"/>
    <w:rsid w:val="000339DC"/>
    <w:rsid w:val="00034E14"/>
    <w:rsid w:val="00035D8E"/>
    <w:rsid w:val="0004222C"/>
    <w:rsid w:val="00043834"/>
    <w:rsid w:val="00047547"/>
    <w:rsid w:val="00050AF0"/>
    <w:rsid w:val="00052398"/>
    <w:rsid w:val="00052AD1"/>
    <w:rsid w:val="00052E67"/>
    <w:rsid w:val="00053A56"/>
    <w:rsid w:val="00053B93"/>
    <w:rsid w:val="00054DE9"/>
    <w:rsid w:val="00054FAC"/>
    <w:rsid w:val="00082798"/>
    <w:rsid w:val="00083025"/>
    <w:rsid w:val="00087D63"/>
    <w:rsid w:val="000A0206"/>
    <w:rsid w:val="000A42BD"/>
    <w:rsid w:val="000A67EA"/>
    <w:rsid w:val="000B6C15"/>
    <w:rsid w:val="000B7504"/>
    <w:rsid w:val="000C2BF6"/>
    <w:rsid w:val="000C4459"/>
    <w:rsid w:val="000C5132"/>
    <w:rsid w:val="000C614B"/>
    <w:rsid w:val="000C76C8"/>
    <w:rsid w:val="000D1BD4"/>
    <w:rsid w:val="000D2703"/>
    <w:rsid w:val="000D39EE"/>
    <w:rsid w:val="000D64DC"/>
    <w:rsid w:val="000D7EAB"/>
    <w:rsid w:val="000D7FF6"/>
    <w:rsid w:val="000E2EA3"/>
    <w:rsid w:val="000E3F7B"/>
    <w:rsid w:val="000E5205"/>
    <w:rsid w:val="000F06B7"/>
    <w:rsid w:val="000F5A3A"/>
    <w:rsid w:val="000F7C28"/>
    <w:rsid w:val="00101F99"/>
    <w:rsid w:val="001024ED"/>
    <w:rsid w:val="00102E11"/>
    <w:rsid w:val="00110CF7"/>
    <w:rsid w:val="00115706"/>
    <w:rsid w:val="00117025"/>
    <w:rsid w:val="00121C0F"/>
    <w:rsid w:val="0012655A"/>
    <w:rsid w:val="001275EF"/>
    <w:rsid w:val="0013506C"/>
    <w:rsid w:val="00137807"/>
    <w:rsid w:val="001414FB"/>
    <w:rsid w:val="00155E98"/>
    <w:rsid w:val="00164A0D"/>
    <w:rsid w:val="00167B16"/>
    <w:rsid w:val="00167C0D"/>
    <w:rsid w:val="00183873"/>
    <w:rsid w:val="0018453E"/>
    <w:rsid w:val="00185A44"/>
    <w:rsid w:val="0019202F"/>
    <w:rsid w:val="00194000"/>
    <w:rsid w:val="00194419"/>
    <w:rsid w:val="0019464A"/>
    <w:rsid w:val="00195D67"/>
    <w:rsid w:val="0019633B"/>
    <w:rsid w:val="00196B2F"/>
    <w:rsid w:val="001A3069"/>
    <w:rsid w:val="001A35C5"/>
    <w:rsid w:val="001B177C"/>
    <w:rsid w:val="001C56A7"/>
    <w:rsid w:val="001C72A5"/>
    <w:rsid w:val="001C7C3B"/>
    <w:rsid w:val="001D1D05"/>
    <w:rsid w:val="001D34A6"/>
    <w:rsid w:val="001F417E"/>
    <w:rsid w:val="001F6243"/>
    <w:rsid w:val="001F6FB1"/>
    <w:rsid w:val="002010A2"/>
    <w:rsid w:val="00202956"/>
    <w:rsid w:val="002039F3"/>
    <w:rsid w:val="00206CEF"/>
    <w:rsid w:val="00210DE8"/>
    <w:rsid w:val="002117A7"/>
    <w:rsid w:val="00212248"/>
    <w:rsid w:val="0021247E"/>
    <w:rsid w:val="0021270B"/>
    <w:rsid w:val="002158F6"/>
    <w:rsid w:val="002221C4"/>
    <w:rsid w:val="00225802"/>
    <w:rsid w:val="00232CDA"/>
    <w:rsid w:val="00233507"/>
    <w:rsid w:val="002346E3"/>
    <w:rsid w:val="002354BB"/>
    <w:rsid w:val="0023677F"/>
    <w:rsid w:val="00240989"/>
    <w:rsid w:val="00245F3B"/>
    <w:rsid w:val="002464B4"/>
    <w:rsid w:val="00246B6B"/>
    <w:rsid w:val="00247325"/>
    <w:rsid w:val="00252DB7"/>
    <w:rsid w:val="002534C7"/>
    <w:rsid w:val="002557E4"/>
    <w:rsid w:val="00257832"/>
    <w:rsid w:val="002601EF"/>
    <w:rsid w:val="0027175C"/>
    <w:rsid w:val="0027330C"/>
    <w:rsid w:val="00274A9E"/>
    <w:rsid w:val="0027683B"/>
    <w:rsid w:val="00276F15"/>
    <w:rsid w:val="00277F90"/>
    <w:rsid w:val="00282359"/>
    <w:rsid w:val="00283769"/>
    <w:rsid w:val="00285AA4"/>
    <w:rsid w:val="00291846"/>
    <w:rsid w:val="00296E1E"/>
    <w:rsid w:val="002A0EE1"/>
    <w:rsid w:val="002A42EC"/>
    <w:rsid w:val="002A799F"/>
    <w:rsid w:val="002A7E43"/>
    <w:rsid w:val="002B01BF"/>
    <w:rsid w:val="002B69C6"/>
    <w:rsid w:val="002B7736"/>
    <w:rsid w:val="002C49F3"/>
    <w:rsid w:val="002C4AF4"/>
    <w:rsid w:val="002C5085"/>
    <w:rsid w:val="002D094D"/>
    <w:rsid w:val="002D2AB0"/>
    <w:rsid w:val="002E0A07"/>
    <w:rsid w:val="002E353D"/>
    <w:rsid w:val="002E3B66"/>
    <w:rsid w:val="002E3D50"/>
    <w:rsid w:val="002F18A7"/>
    <w:rsid w:val="002F18D9"/>
    <w:rsid w:val="002F5BF0"/>
    <w:rsid w:val="002F728A"/>
    <w:rsid w:val="0030779D"/>
    <w:rsid w:val="0031260F"/>
    <w:rsid w:val="00314B22"/>
    <w:rsid w:val="00315A19"/>
    <w:rsid w:val="00316BB0"/>
    <w:rsid w:val="00324A53"/>
    <w:rsid w:val="00324CD9"/>
    <w:rsid w:val="00333519"/>
    <w:rsid w:val="00333858"/>
    <w:rsid w:val="00336115"/>
    <w:rsid w:val="00337690"/>
    <w:rsid w:val="00342BAC"/>
    <w:rsid w:val="00343B5A"/>
    <w:rsid w:val="00350373"/>
    <w:rsid w:val="00350CD2"/>
    <w:rsid w:val="00356C8D"/>
    <w:rsid w:val="0036175A"/>
    <w:rsid w:val="00361B78"/>
    <w:rsid w:val="00364908"/>
    <w:rsid w:val="00366522"/>
    <w:rsid w:val="00367C4F"/>
    <w:rsid w:val="00370DB0"/>
    <w:rsid w:val="0037305E"/>
    <w:rsid w:val="00374949"/>
    <w:rsid w:val="00380A86"/>
    <w:rsid w:val="00390BE6"/>
    <w:rsid w:val="00390E40"/>
    <w:rsid w:val="003918C6"/>
    <w:rsid w:val="00392A03"/>
    <w:rsid w:val="00393B12"/>
    <w:rsid w:val="003A1DD6"/>
    <w:rsid w:val="003B24BA"/>
    <w:rsid w:val="003B485B"/>
    <w:rsid w:val="003B53F6"/>
    <w:rsid w:val="003B65B9"/>
    <w:rsid w:val="003B6D6D"/>
    <w:rsid w:val="003C24C5"/>
    <w:rsid w:val="003C6964"/>
    <w:rsid w:val="003D1ADF"/>
    <w:rsid w:val="003D271A"/>
    <w:rsid w:val="003D3ACF"/>
    <w:rsid w:val="003E1088"/>
    <w:rsid w:val="003E1560"/>
    <w:rsid w:val="003E21F5"/>
    <w:rsid w:val="003E3A1E"/>
    <w:rsid w:val="003E57B4"/>
    <w:rsid w:val="003F0684"/>
    <w:rsid w:val="003F662D"/>
    <w:rsid w:val="003F7D6F"/>
    <w:rsid w:val="00401353"/>
    <w:rsid w:val="00404097"/>
    <w:rsid w:val="004041B4"/>
    <w:rsid w:val="00405AAC"/>
    <w:rsid w:val="00405C6F"/>
    <w:rsid w:val="00405DF3"/>
    <w:rsid w:val="0041591D"/>
    <w:rsid w:val="00416D3A"/>
    <w:rsid w:val="00420217"/>
    <w:rsid w:val="00424DAE"/>
    <w:rsid w:val="00437AFA"/>
    <w:rsid w:val="00447DD9"/>
    <w:rsid w:val="00455B24"/>
    <w:rsid w:val="00456926"/>
    <w:rsid w:val="004570A8"/>
    <w:rsid w:val="00457455"/>
    <w:rsid w:val="00464C61"/>
    <w:rsid w:val="0046631A"/>
    <w:rsid w:val="0047234D"/>
    <w:rsid w:val="0047252E"/>
    <w:rsid w:val="00475ACF"/>
    <w:rsid w:val="004849A5"/>
    <w:rsid w:val="00490891"/>
    <w:rsid w:val="0049257C"/>
    <w:rsid w:val="004940B7"/>
    <w:rsid w:val="004944B1"/>
    <w:rsid w:val="004A328A"/>
    <w:rsid w:val="004A50D8"/>
    <w:rsid w:val="004A6D7E"/>
    <w:rsid w:val="004B12A1"/>
    <w:rsid w:val="004B199A"/>
    <w:rsid w:val="004B46C2"/>
    <w:rsid w:val="004B6701"/>
    <w:rsid w:val="004C1F0C"/>
    <w:rsid w:val="004C2BB6"/>
    <w:rsid w:val="004C44B1"/>
    <w:rsid w:val="004C6415"/>
    <w:rsid w:val="004D16B4"/>
    <w:rsid w:val="004D2775"/>
    <w:rsid w:val="004D4A82"/>
    <w:rsid w:val="004D592E"/>
    <w:rsid w:val="004E2EA5"/>
    <w:rsid w:val="004E693A"/>
    <w:rsid w:val="004E72A0"/>
    <w:rsid w:val="004F169F"/>
    <w:rsid w:val="004F3A4B"/>
    <w:rsid w:val="00501991"/>
    <w:rsid w:val="00502555"/>
    <w:rsid w:val="0050274D"/>
    <w:rsid w:val="00504402"/>
    <w:rsid w:val="005059A9"/>
    <w:rsid w:val="00507AEB"/>
    <w:rsid w:val="00507BF0"/>
    <w:rsid w:val="005101C2"/>
    <w:rsid w:val="00513FBD"/>
    <w:rsid w:val="00514284"/>
    <w:rsid w:val="005224A5"/>
    <w:rsid w:val="00523308"/>
    <w:rsid w:val="00524D4C"/>
    <w:rsid w:val="00524F17"/>
    <w:rsid w:val="0052585F"/>
    <w:rsid w:val="00530E92"/>
    <w:rsid w:val="00531099"/>
    <w:rsid w:val="00531AF7"/>
    <w:rsid w:val="005333C5"/>
    <w:rsid w:val="00536A68"/>
    <w:rsid w:val="0054012C"/>
    <w:rsid w:val="005404B3"/>
    <w:rsid w:val="00542E1C"/>
    <w:rsid w:val="00545DDA"/>
    <w:rsid w:val="00561A12"/>
    <w:rsid w:val="005641C1"/>
    <w:rsid w:val="005659E6"/>
    <w:rsid w:val="00573B24"/>
    <w:rsid w:val="0057472B"/>
    <w:rsid w:val="005839A2"/>
    <w:rsid w:val="00583E49"/>
    <w:rsid w:val="00583FD3"/>
    <w:rsid w:val="005842E4"/>
    <w:rsid w:val="005925BF"/>
    <w:rsid w:val="0059304A"/>
    <w:rsid w:val="00594223"/>
    <w:rsid w:val="005945F8"/>
    <w:rsid w:val="005A56B1"/>
    <w:rsid w:val="005A5FDA"/>
    <w:rsid w:val="005A6BDF"/>
    <w:rsid w:val="005B65E6"/>
    <w:rsid w:val="005C05E1"/>
    <w:rsid w:val="005C109E"/>
    <w:rsid w:val="005C329C"/>
    <w:rsid w:val="005D2B8D"/>
    <w:rsid w:val="005D36E2"/>
    <w:rsid w:val="005D7BAA"/>
    <w:rsid w:val="005E33F4"/>
    <w:rsid w:val="005F71F5"/>
    <w:rsid w:val="005F7EF4"/>
    <w:rsid w:val="006000BF"/>
    <w:rsid w:val="00601A23"/>
    <w:rsid w:val="006047A2"/>
    <w:rsid w:val="00607DDB"/>
    <w:rsid w:val="0061002A"/>
    <w:rsid w:val="006123BE"/>
    <w:rsid w:val="006141D6"/>
    <w:rsid w:val="0061452C"/>
    <w:rsid w:val="00614EA5"/>
    <w:rsid w:val="00616AD0"/>
    <w:rsid w:val="00622084"/>
    <w:rsid w:val="0062310E"/>
    <w:rsid w:val="00623E4A"/>
    <w:rsid w:val="006264D5"/>
    <w:rsid w:val="006335A7"/>
    <w:rsid w:val="00641009"/>
    <w:rsid w:val="00645A10"/>
    <w:rsid w:val="0065076A"/>
    <w:rsid w:val="00650C0E"/>
    <w:rsid w:val="00656789"/>
    <w:rsid w:val="00664401"/>
    <w:rsid w:val="00672EE5"/>
    <w:rsid w:val="0067356F"/>
    <w:rsid w:val="00676C37"/>
    <w:rsid w:val="00685F09"/>
    <w:rsid w:val="00695006"/>
    <w:rsid w:val="006A18C0"/>
    <w:rsid w:val="006A32FA"/>
    <w:rsid w:val="006A3906"/>
    <w:rsid w:val="006A47D7"/>
    <w:rsid w:val="006A50DA"/>
    <w:rsid w:val="006A52C6"/>
    <w:rsid w:val="006B314F"/>
    <w:rsid w:val="006B6AB0"/>
    <w:rsid w:val="006C1883"/>
    <w:rsid w:val="006C6742"/>
    <w:rsid w:val="006D3213"/>
    <w:rsid w:val="006D3805"/>
    <w:rsid w:val="006D3F13"/>
    <w:rsid w:val="006E3116"/>
    <w:rsid w:val="006E7613"/>
    <w:rsid w:val="006E7EBB"/>
    <w:rsid w:val="006F430E"/>
    <w:rsid w:val="00701941"/>
    <w:rsid w:val="00701C7E"/>
    <w:rsid w:val="00706E1E"/>
    <w:rsid w:val="007130B6"/>
    <w:rsid w:val="007145BA"/>
    <w:rsid w:val="007217E7"/>
    <w:rsid w:val="00723284"/>
    <w:rsid w:val="007247AB"/>
    <w:rsid w:val="00724D8A"/>
    <w:rsid w:val="00726A6B"/>
    <w:rsid w:val="00730D41"/>
    <w:rsid w:val="00731A4E"/>
    <w:rsid w:val="007341FC"/>
    <w:rsid w:val="00736752"/>
    <w:rsid w:val="0074238C"/>
    <w:rsid w:val="00751906"/>
    <w:rsid w:val="00760043"/>
    <w:rsid w:val="007677AF"/>
    <w:rsid w:val="00770A25"/>
    <w:rsid w:val="00772541"/>
    <w:rsid w:val="00781D8A"/>
    <w:rsid w:val="0078209E"/>
    <w:rsid w:val="0078591A"/>
    <w:rsid w:val="00786450"/>
    <w:rsid w:val="0078762C"/>
    <w:rsid w:val="0079408C"/>
    <w:rsid w:val="0079424B"/>
    <w:rsid w:val="007A34A3"/>
    <w:rsid w:val="007A57ED"/>
    <w:rsid w:val="007A7D95"/>
    <w:rsid w:val="007A7F9D"/>
    <w:rsid w:val="007C2865"/>
    <w:rsid w:val="007C39BF"/>
    <w:rsid w:val="007C3FD5"/>
    <w:rsid w:val="007C51AF"/>
    <w:rsid w:val="007C7536"/>
    <w:rsid w:val="007D0543"/>
    <w:rsid w:val="007D1A3A"/>
    <w:rsid w:val="007D2FBE"/>
    <w:rsid w:val="007D3122"/>
    <w:rsid w:val="007D3C4E"/>
    <w:rsid w:val="007E03E7"/>
    <w:rsid w:val="007E24FC"/>
    <w:rsid w:val="007E69C1"/>
    <w:rsid w:val="007F2B45"/>
    <w:rsid w:val="007F4E89"/>
    <w:rsid w:val="007F5D79"/>
    <w:rsid w:val="007F70B0"/>
    <w:rsid w:val="007F7F27"/>
    <w:rsid w:val="00802435"/>
    <w:rsid w:val="00806214"/>
    <w:rsid w:val="00807BA4"/>
    <w:rsid w:val="008105F1"/>
    <w:rsid w:val="00811831"/>
    <w:rsid w:val="00811AA0"/>
    <w:rsid w:val="00812C11"/>
    <w:rsid w:val="0081442C"/>
    <w:rsid w:val="0081610B"/>
    <w:rsid w:val="00822CAA"/>
    <w:rsid w:val="008261DD"/>
    <w:rsid w:val="0083013E"/>
    <w:rsid w:val="00833E67"/>
    <w:rsid w:val="008410ED"/>
    <w:rsid w:val="00842220"/>
    <w:rsid w:val="0085173F"/>
    <w:rsid w:val="00854403"/>
    <w:rsid w:val="008544EF"/>
    <w:rsid w:val="008613FD"/>
    <w:rsid w:val="0086409B"/>
    <w:rsid w:val="00870F75"/>
    <w:rsid w:val="00871AF7"/>
    <w:rsid w:val="00873D54"/>
    <w:rsid w:val="00875D12"/>
    <w:rsid w:val="008772FA"/>
    <w:rsid w:val="00877600"/>
    <w:rsid w:val="00877693"/>
    <w:rsid w:val="00880B36"/>
    <w:rsid w:val="0088655B"/>
    <w:rsid w:val="00887655"/>
    <w:rsid w:val="00890A48"/>
    <w:rsid w:val="00895936"/>
    <w:rsid w:val="00896B85"/>
    <w:rsid w:val="008A3F01"/>
    <w:rsid w:val="008A5C1C"/>
    <w:rsid w:val="008A7D9F"/>
    <w:rsid w:val="008C14DA"/>
    <w:rsid w:val="008C21EF"/>
    <w:rsid w:val="008C2E1E"/>
    <w:rsid w:val="008C30CA"/>
    <w:rsid w:val="008C5E39"/>
    <w:rsid w:val="008C717B"/>
    <w:rsid w:val="008D0598"/>
    <w:rsid w:val="008D1E27"/>
    <w:rsid w:val="008D297C"/>
    <w:rsid w:val="008D382A"/>
    <w:rsid w:val="008D424A"/>
    <w:rsid w:val="008D5919"/>
    <w:rsid w:val="008E33B7"/>
    <w:rsid w:val="008E3B0E"/>
    <w:rsid w:val="008F2280"/>
    <w:rsid w:val="008F4493"/>
    <w:rsid w:val="008F47A2"/>
    <w:rsid w:val="00901A39"/>
    <w:rsid w:val="009023DD"/>
    <w:rsid w:val="00902699"/>
    <w:rsid w:val="00904905"/>
    <w:rsid w:val="00906E94"/>
    <w:rsid w:val="00913067"/>
    <w:rsid w:val="009201DF"/>
    <w:rsid w:val="0092065A"/>
    <w:rsid w:val="00925FD3"/>
    <w:rsid w:val="009268C2"/>
    <w:rsid w:val="00930139"/>
    <w:rsid w:val="0093433B"/>
    <w:rsid w:val="00936097"/>
    <w:rsid w:val="00940637"/>
    <w:rsid w:val="00943C54"/>
    <w:rsid w:val="00945BEB"/>
    <w:rsid w:val="009575F9"/>
    <w:rsid w:val="009667B3"/>
    <w:rsid w:val="00970C58"/>
    <w:rsid w:val="00976304"/>
    <w:rsid w:val="00977E4C"/>
    <w:rsid w:val="00981650"/>
    <w:rsid w:val="00982FD4"/>
    <w:rsid w:val="00984F98"/>
    <w:rsid w:val="00985DE9"/>
    <w:rsid w:val="009873F7"/>
    <w:rsid w:val="0099129D"/>
    <w:rsid w:val="0099154A"/>
    <w:rsid w:val="00992354"/>
    <w:rsid w:val="009A0672"/>
    <w:rsid w:val="009A0CDA"/>
    <w:rsid w:val="009A0F5B"/>
    <w:rsid w:val="009B29D1"/>
    <w:rsid w:val="009C0674"/>
    <w:rsid w:val="009C2DDB"/>
    <w:rsid w:val="009C31A0"/>
    <w:rsid w:val="009C55D9"/>
    <w:rsid w:val="009D1CF5"/>
    <w:rsid w:val="009D2629"/>
    <w:rsid w:val="009D4483"/>
    <w:rsid w:val="009D6313"/>
    <w:rsid w:val="009E4778"/>
    <w:rsid w:val="009F01B9"/>
    <w:rsid w:val="009F09EE"/>
    <w:rsid w:val="009F179B"/>
    <w:rsid w:val="009F24C0"/>
    <w:rsid w:val="00A02204"/>
    <w:rsid w:val="00A04071"/>
    <w:rsid w:val="00A047DE"/>
    <w:rsid w:val="00A06FD6"/>
    <w:rsid w:val="00A07E59"/>
    <w:rsid w:val="00A07F15"/>
    <w:rsid w:val="00A107BC"/>
    <w:rsid w:val="00A117A2"/>
    <w:rsid w:val="00A13138"/>
    <w:rsid w:val="00A15B2D"/>
    <w:rsid w:val="00A22D6F"/>
    <w:rsid w:val="00A252D6"/>
    <w:rsid w:val="00A30F5D"/>
    <w:rsid w:val="00A33BE5"/>
    <w:rsid w:val="00A41EB5"/>
    <w:rsid w:val="00A45457"/>
    <w:rsid w:val="00A50AAE"/>
    <w:rsid w:val="00A52154"/>
    <w:rsid w:val="00A60C46"/>
    <w:rsid w:val="00A61EB4"/>
    <w:rsid w:val="00A65505"/>
    <w:rsid w:val="00A6796F"/>
    <w:rsid w:val="00A7087B"/>
    <w:rsid w:val="00A710BA"/>
    <w:rsid w:val="00A72F11"/>
    <w:rsid w:val="00A75DAA"/>
    <w:rsid w:val="00A85B79"/>
    <w:rsid w:val="00A86B67"/>
    <w:rsid w:val="00A87AD9"/>
    <w:rsid w:val="00A92A70"/>
    <w:rsid w:val="00A93003"/>
    <w:rsid w:val="00A959C6"/>
    <w:rsid w:val="00AA0A59"/>
    <w:rsid w:val="00AA2D0D"/>
    <w:rsid w:val="00AA79D5"/>
    <w:rsid w:val="00AA7B9A"/>
    <w:rsid w:val="00AB1AF4"/>
    <w:rsid w:val="00AB718B"/>
    <w:rsid w:val="00AB7ED6"/>
    <w:rsid w:val="00AC0389"/>
    <w:rsid w:val="00AC2DD5"/>
    <w:rsid w:val="00AD4524"/>
    <w:rsid w:val="00AD56EC"/>
    <w:rsid w:val="00AD634F"/>
    <w:rsid w:val="00AD6D10"/>
    <w:rsid w:val="00AE0294"/>
    <w:rsid w:val="00AE3386"/>
    <w:rsid w:val="00AE61F3"/>
    <w:rsid w:val="00AE753D"/>
    <w:rsid w:val="00B01574"/>
    <w:rsid w:val="00B07BC7"/>
    <w:rsid w:val="00B120C0"/>
    <w:rsid w:val="00B129B8"/>
    <w:rsid w:val="00B17E00"/>
    <w:rsid w:val="00B17EBE"/>
    <w:rsid w:val="00B2228C"/>
    <w:rsid w:val="00B306BD"/>
    <w:rsid w:val="00B31D95"/>
    <w:rsid w:val="00B32F04"/>
    <w:rsid w:val="00B33844"/>
    <w:rsid w:val="00B34BD1"/>
    <w:rsid w:val="00B40DDB"/>
    <w:rsid w:val="00B44800"/>
    <w:rsid w:val="00B44B2E"/>
    <w:rsid w:val="00B45977"/>
    <w:rsid w:val="00B51C29"/>
    <w:rsid w:val="00B52CAE"/>
    <w:rsid w:val="00B56447"/>
    <w:rsid w:val="00B615AE"/>
    <w:rsid w:val="00B61D06"/>
    <w:rsid w:val="00B62A5B"/>
    <w:rsid w:val="00B7542A"/>
    <w:rsid w:val="00B85D7D"/>
    <w:rsid w:val="00B911FE"/>
    <w:rsid w:val="00B91DDE"/>
    <w:rsid w:val="00B97F56"/>
    <w:rsid w:val="00BA1EB1"/>
    <w:rsid w:val="00BA3021"/>
    <w:rsid w:val="00BA5EB2"/>
    <w:rsid w:val="00BB4406"/>
    <w:rsid w:val="00BB795B"/>
    <w:rsid w:val="00BC27B9"/>
    <w:rsid w:val="00BC48CF"/>
    <w:rsid w:val="00BC6E1D"/>
    <w:rsid w:val="00BC7360"/>
    <w:rsid w:val="00BC7A51"/>
    <w:rsid w:val="00BD6873"/>
    <w:rsid w:val="00BD68F8"/>
    <w:rsid w:val="00BE0564"/>
    <w:rsid w:val="00BE303D"/>
    <w:rsid w:val="00BE6C5B"/>
    <w:rsid w:val="00BF6C6D"/>
    <w:rsid w:val="00BF7827"/>
    <w:rsid w:val="00C00046"/>
    <w:rsid w:val="00C0694B"/>
    <w:rsid w:val="00C109C9"/>
    <w:rsid w:val="00C1158E"/>
    <w:rsid w:val="00C13D32"/>
    <w:rsid w:val="00C1486B"/>
    <w:rsid w:val="00C14DBE"/>
    <w:rsid w:val="00C21C15"/>
    <w:rsid w:val="00C253A6"/>
    <w:rsid w:val="00C2755E"/>
    <w:rsid w:val="00C33EE9"/>
    <w:rsid w:val="00C359C2"/>
    <w:rsid w:val="00C40CF2"/>
    <w:rsid w:val="00C410E0"/>
    <w:rsid w:val="00C4204B"/>
    <w:rsid w:val="00C46429"/>
    <w:rsid w:val="00C512DB"/>
    <w:rsid w:val="00C54A71"/>
    <w:rsid w:val="00C57A98"/>
    <w:rsid w:val="00C57CDE"/>
    <w:rsid w:val="00C611C7"/>
    <w:rsid w:val="00C662E9"/>
    <w:rsid w:val="00C71F6E"/>
    <w:rsid w:val="00C75AC4"/>
    <w:rsid w:val="00C767F5"/>
    <w:rsid w:val="00C8090A"/>
    <w:rsid w:val="00C85C95"/>
    <w:rsid w:val="00C95F87"/>
    <w:rsid w:val="00C96C7E"/>
    <w:rsid w:val="00C97763"/>
    <w:rsid w:val="00CA4238"/>
    <w:rsid w:val="00CA5D73"/>
    <w:rsid w:val="00CB31B3"/>
    <w:rsid w:val="00CB3C11"/>
    <w:rsid w:val="00CB7664"/>
    <w:rsid w:val="00CC0406"/>
    <w:rsid w:val="00CC5AD7"/>
    <w:rsid w:val="00CC5B13"/>
    <w:rsid w:val="00CC73EB"/>
    <w:rsid w:val="00CC7904"/>
    <w:rsid w:val="00CD7554"/>
    <w:rsid w:val="00CE7998"/>
    <w:rsid w:val="00CF3D9B"/>
    <w:rsid w:val="00CF439A"/>
    <w:rsid w:val="00D02242"/>
    <w:rsid w:val="00D0525B"/>
    <w:rsid w:val="00D05591"/>
    <w:rsid w:val="00D05858"/>
    <w:rsid w:val="00D1078A"/>
    <w:rsid w:val="00D11DD4"/>
    <w:rsid w:val="00D12420"/>
    <w:rsid w:val="00D13FD0"/>
    <w:rsid w:val="00D23354"/>
    <w:rsid w:val="00D33065"/>
    <w:rsid w:val="00D347DB"/>
    <w:rsid w:val="00D3595E"/>
    <w:rsid w:val="00D40F97"/>
    <w:rsid w:val="00D41C32"/>
    <w:rsid w:val="00D46CF6"/>
    <w:rsid w:val="00D6480F"/>
    <w:rsid w:val="00D712B6"/>
    <w:rsid w:val="00D726B3"/>
    <w:rsid w:val="00D74BA9"/>
    <w:rsid w:val="00D83F0F"/>
    <w:rsid w:val="00D845F1"/>
    <w:rsid w:val="00D86563"/>
    <w:rsid w:val="00D92AC6"/>
    <w:rsid w:val="00D97441"/>
    <w:rsid w:val="00DA15DC"/>
    <w:rsid w:val="00DA26FF"/>
    <w:rsid w:val="00DA6473"/>
    <w:rsid w:val="00DA7228"/>
    <w:rsid w:val="00DB436E"/>
    <w:rsid w:val="00DB4CC5"/>
    <w:rsid w:val="00DB5128"/>
    <w:rsid w:val="00DB7BA3"/>
    <w:rsid w:val="00DC1284"/>
    <w:rsid w:val="00DC233A"/>
    <w:rsid w:val="00DC47EE"/>
    <w:rsid w:val="00DD622C"/>
    <w:rsid w:val="00DE6679"/>
    <w:rsid w:val="00DF34D9"/>
    <w:rsid w:val="00E020CE"/>
    <w:rsid w:val="00E02CCE"/>
    <w:rsid w:val="00E06BE2"/>
    <w:rsid w:val="00E11524"/>
    <w:rsid w:val="00E11B53"/>
    <w:rsid w:val="00E124C5"/>
    <w:rsid w:val="00E15975"/>
    <w:rsid w:val="00E20426"/>
    <w:rsid w:val="00E245D1"/>
    <w:rsid w:val="00E27D9A"/>
    <w:rsid w:val="00E36307"/>
    <w:rsid w:val="00E36958"/>
    <w:rsid w:val="00E400E5"/>
    <w:rsid w:val="00E414B4"/>
    <w:rsid w:val="00E45F95"/>
    <w:rsid w:val="00E50B60"/>
    <w:rsid w:val="00E52552"/>
    <w:rsid w:val="00E574B3"/>
    <w:rsid w:val="00E640A4"/>
    <w:rsid w:val="00E704FF"/>
    <w:rsid w:val="00E70870"/>
    <w:rsid w:val="00E74D38"/>
    <w:rsid w:val="00E77F8F"/>
    <w:rsid w:val="00E8191E"/>
    <w:rsid w:val="00E81A2A"/>
    <w:rsid w:val="00E86785"/>
    <w:rsid w:val="00E92086"/>
    <w:rsid w:val="00E92658"/>
    <w:rsid w:val="00E92C0C"/>
    <w:rsid w:val="00E93C7F"/>
    <w:rsid w:val="00E93F78"/>
    <w:rsid w:val="00E943C7"/>
    <w:rsid w:val="00EA1CDD"/>
    <w:rsid w:val="00EA30CC"/>
    <w:rsid w:val="00EA38F4"/>
    <w:rsid w:val="00EA63F8"/>
    <w:rsid w:val="00EA7F38"/>
    <w:rsid w:val="00EB544C"/>
    <w:rsid w:val="00EC1E6B"/>
    <w:rsid w:val="00EC318F"/>
    <w:rsid w:val="00ED182A"/>
    <w:rsid w:val="00ED5D17"/>
    <w:rsid w:val="00ED6EA6"/>
    <w:rsid w:val="00EE0747"/>
    <w:rsid w:val="00EE2376"/>
    <w:rsid w:val="00EE4EEC"/>
    <w:rsid w:val="00EE557E"/>
    <w:rsid w:val="00EE5D59"/>
    <w:rsid w:val="00EE7B6F"/>
    <w:rsid w:val="00EF2122"/>
    <w:rsid w:val="00EF35AB"/>
    <w:rsid w:val="00EF4BAB"/>
    <w:rsid w:val="00EF4C11"/>
    <w:rsid w:val="00EF5026"/>
    <w:rsid w:val="00EF51E0"/>
    <w:rsid w:val="00EF6646"/>
    <w:rsid w:val="00EF7945"/>
    <w:rsid w:val="00F01F40"/>
    <w:rsid w:val="00F033A2"/>
    <w:rsid w:val="00F03941"/>
    <w:rsid w:val="00F06B68"/>
    <w:rsid w:val="00F07F0F"/>
    <w:rsid w:val="00F1156E"/>
    <w:rsid w:val="00F15290"/>
    <w:rsid w:val="00F2219B"/>
    <w:rsid w:val="00F23536"/>
    <w:rsid w:val="00F3009E"/>
    <w:rsid w:val="00F30469"/>
    <w:rsid w:val="00F37157"/>
    <w:rsid w:val="00F4056E"/>
    <w:rsid w:val="00F406BD"/>
    <w:rsid w:val="00F438F6"/>
    <w:rsid w:val="00F51CA2"/>
    <w:rsid w:val="00F54E1F"/>
    <w:rsid w:val="00F56B9E"/>
    <w:rsid w:val="00F605B9"/>
    <w:rsid w:val="00F66040"/>
    <w:rsid w:val="00F6674C"/>
    <w:rsid w:val="00F70D62"/>
    <w:rsid w:val="00F73407"/>
    <w:rsid w:val="00F779F6"/>
    <w:rsid w:val="00F77EAE"/>
    <w:rsid w:val="00F83D89"/>
    <w:rsid w:val="00F85625"/>
    <w:rsid w:val="00F91FB8"/>
    <w:rsid w:val="00F93D48"/>
    <w:rsid w:val="00FA0C43"/>
    <w:rsid w:val="00FA36C4"/>
    <w:rsid w:val="00FA3AE3"/>
    <w:rsid w:val="00FA42FD"/>
    <w:rsid w:val="00FC3109"/>
    <w:rsid w:val="00FC7EFA"/>
    <w:rsid w:val="00FD44F8"/>
    <w:rsid w:val="00FE5D3A"/>
    <w:rsid w:val="00FF2DE7"/>
    <w:rsid w:val="00FF36FB"/>
    <w:rsid w:val="00FF59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D8"/>
    <w:pPr>
      <w:jc w:val="both"/>
    </w:pPr>
    <w:rPr>
      <w:sz w:val="24"/>
      <w:lang w:val="en-GB" w:eastAsia="en-AU"/>
    </w:rPr>
  </w:style>
  <w:style w:type="paragraph" w:styleId="Heading1">
    <w:name w:val="heading 1"/>
    <w:aliases w:val="Report Title,Heading 1 Char,Heading 1 Char2 Char1,Heading 1 Char1 Char Char,Heading 1 Char Char Char Char,Heading 1 Char1 Char Char Char Char1,Heading 1 Char Char Char Char Char Char1,Heading 1 Char2 Char Char Char Char Char Char"/>
    <w:basedOn w:val="Normal"/>
    <w:next w:val="Normal"/>
    <w:link w:val="Heading1Char1"/>
    <w:qFormat/>
    <w:pPr>
      <w:keepNext/>
      <w:pBdr>
        <w:bottom w:val="single" w:sz="4" w:space="6" w:color="auto"/>
      </w:pBdr>
      <w:jc w:val="left"/>
      <w:outlineLvl w:val="0"/>
    </w:pPr>
    <w:rPr>
      <w:b/>
      <w:caps/>
      <w:sz w:val="26"/>
      <w:lang w:val="en-NZ"/>
    </w:rPr>
  </w:style>
  <w:style w:type="paragraph" w:styleId="Heading2">
    <w:name w:val="heading 2"/>
    <w:aliases w:val="Heading 2 Char1,Heading 2 Char Char"/>
    <w:basedOn w:val="Normal"/>
    <w:next w:val="Normal"/>
    <w:link w:val="Heading2Char"/>
    <w:qFormat/>
    <w:pPr>
      <w:keepNext/>
      <w:outlineLvl w:val="1"/>
    </w:pPr>
    <w:rPr>
      <w:b/>
    </w:rPr>
  </w:style>
  <w:style w:type="paragraph" w:styleId="Heading3">
    <w:name w:val="heading 3"/>
    <w:aliases w:val="Clauses"/>
    <w:basedOn w:val="Normal"/>
    <w:next w:val="Normal"/>
    <w:qFormat/>
    <w:pPr>
      <w:keepNext/>
      <w:outlineLvl w:val="2"/>
    </w:pPr>
    <w:rPr>
      <w:b/>
      <w:i/>
    </w:rPr>
  </w:style>
  <w:style w:type="paragraph" w:styleId="Heading4">
    <w:name w:val="heading 4"/>
    <w:basedOn w:val="Normal"/>
    <w:next w:val="Normal"/>
    <w:link w:val="Heading4Char"/>
    <w:qFormat/>
    <w:pPr>
      <w:keepNext/>
      <w:outlineLvl w:val="3"/>
    </w:pPr>
    <w:rPr>
      <w:i/>
    </w:rPr>
  </w:style>
  <w:style w:type="paragraph" w:styleId="Heading5">
    <w:name w:val="heading 5"/>
    <w:aliases w:val="Heading 5 Char,Heading 5 Char1 Char,Heading 5 Char Char Char"/>
    <w:basedOn w:val="Normal"/>
    <w:next w:val="Normal"/>
    <w:link w:val="Heading5Char1"/>
    <w:qFormat/>
    <w:pPr>
      <w:keepNext/>
      <w:tabs>
        <w:tab w:val="left" w:pos="794"/>
      </w:tabs>
      <w:outlineLvl w:val="4"/>
    </w:pPr>
    <w:rPr>
      <w:b/>
      <w:sz w:val="26"/>
    </w:rPr>
  </w:style>
  <w:style w:type="paragraph" w:styleId="Heading6">
    <w:name w:val="heading 6"/>
    <w:basedOn w:val="Normal"/>
    <w:next w:val="Normal"/>
    <w:qFormat/>
    <w:pPr>
      <w:keepNext/>
      <w:outlineLvl w:val="5"/>
    </w:pPr>
    <w:rPr>
      <w:i/>
      <w:sz w:val="32"/>
    </w:rPr>
  </w:style>
  <w:style w:type="paragraph" w:styleId="Heading7">
    <w:name w:val="heading 7"/>
    <w:basedOn w:val="Normal"/>
    <w:next w:val="Normal"/>
    <w:qFormat/>
    <w:pPr>
      <w:keepNext/>
      <w:outlineLvl w:val="6"/>
    </w:pPr>
    <w:rPr>
      <w:b/>
      <w:smallCaps/>
      <w:spacing w:val="8"/>
    </w:rPr>
  </w:style>
  <w:style w:type="paragraph" w:styleId="Heading8">
    <w:name w:val="heading 8"/>
    <w:aliases w:val="Table heading"/>
    <w:basedOn w:val="Normal"/>
    <w:next w:val="Normal"/>
    <w:qFormat/>
    <w:pPr>
      <w:keepNext/>
      <w:outlineLvl w:val="7"/>
    </w:pPr>
    <w:rPr>
      <w:sz w:val="28"/>
    </w:rPr>
  </w:style>
  <w:style w:type="paragraph" w:styleId="Heading9">
    <w:name w:val="heading 9"/>
    <w:basedOn w:val="Normal"/>
    <w:next w:val="Normal"/>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pPr>
      <w:numPr>
        <w:numId w:val="17"/>
      </w:numPr>
      <w:spacing w:after="140"/>
    </w:pPr>
  </w:style>
  <w:style w:type="paragraph" w:styleId="BodyText">
    <w:name w:val="Body Text"/>
    <w:basedOn w:val="Normal"/>
    <w:link w:val="BodyTextCha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Pr>
      <w:sz w:val="22"/>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79424B"/>
    <w:pPr>
      <w:tabs>
        <w:tab w:val="right" w:pos="8222"/>
      </w:tabs>
      <w:spacing w:before="360" w:after="240"/>
      <w:jc w:val="left"/>
    </w:pPr>
    <w:rPr>
      <w:b/>
      <w:noProof/>
      <w:sz w:val="28"/>
    </w:rPr>
  </w:style>
  <w:style w:type="paragraph" w:styleId="TOC2">
    <w:name w:val="toc 2"/>
    <w:basedOn w:val="Normal"/>
    <w:next w:val="Normal"/>
    <w:autoRedefine/>
    <w:uiPriority w:val="39"/>
    <w:rsid w:val="00F56B9E"/>
    <w:pPr>
      <w:tabs>
        <w:tab w:val="right" w:pos="8222"/>
      </w:tabs>
      <w:spacing w:after="80"/>
      <w:ind w:left="567"/>
      <w:jc w:val="left"/>
    </w:pPr>
    <w:rPr>
      <w:noProof/>
      <w:sz w:val="22"/>
    </w:rPr>
  </w:style>
  <w:style w:type="paragraph" w:styleId="TOC3">
    <w:name w:val="toc 3"/>
    <w:basedOn w:val="Normal"/>
    <w:next w:val="Normal"/>
    <w:autoRedefine/>
    <w:uiPriority w:val="39"/>
    <w:pPr>
      <w:tabs>
        <w:tab w:val="left" w:pos="1701"/>
        <w:tab w:val="right" w:pos="8222"/>
      </w:tabs>
      <w:spacing w:after="40"/>
      <w:ind w:left="1701" w:right="794" w:hanging="567"/>
      <w:jc w:val="left"/>
    </w:pPr>
    <w:rPr>
      <w:noProof/>
      <w:sz w:val="18"/>
    </w:rPr>
  </w:style>
  <w:style w:type="paragraph" w:styleId="TOC4">
    <w:name w:val="toc 4"/>
    <w:basedOn w:val="Normal"/>
    <w:next w:val="Normal"/>
    <w:autoRedefine/>
    <w:semiHidden/>
    <w:pPr>
      <w:tabs>
        <w:tab w:val="right" w:pos="8302"/>
      </w:tabs>
      <w:spacing w:after="60"/>
      <w:ind w:left="1134"/>
    </w:pPr>
    <w:rPr>
      <w:smallCaps/>
      <w:noProof/>
      <w:spacing w:val="8"/>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BodyTextIndent">
    <w:name w:val="Body Text Indent"/>
    <w:basedOn w:val="Normal"/>
    <w:pPr>
      <w:ind w:left="450"/>
    </w:pPr>
    <w:rPr>
      <w:lang w:val="en-NZ"/>
    </w:rPr>
  </w:style>
  <w:style w:type="paragraph" w:styleId="BodyTextIndent2">
    <w:name w:val="Body Text Indent 2"/>
    <w:basedOn w:val="Normal"/>
    <w:pPr>
      <w:ind w:left="450"/>
    </w:pPr>
    <w:rPr>
      <w:lang w:val="en-US"/>
    </w:rPr>
  </w:style>
  <w:style w:type="paragraph" w:styleId="BodyTextIndent3">
    <w:name w:val="Body Text Indent 3"/>
    <w:basedOn w:val="Normal"/>
    <w:pPr>
      <w:ind w:left="465"/>
    </w:pPr>
    <w:rPr>
      <w:lang w:val="en-US"/>
    </w:rPr>
  </w:style>
  <w:style w:type="paragraph" w:styleId="BodyText2">
    <w:name w:val="Body Text 2"/>
    <w:basedOn w:val="Normal"/>
    <w:pPr>
      <w:jc w:val="center"/>
    </w:pPr>
    <w:rPr>
      <w:b/>
      <w:lang w:val="en-US"/>
    </w:rPr>
  </w:style>
  <w:style w:type="paragraph" w:customStyle="1" w:styleId="BodyTextChapter2">
    <w:name w:val="Body Text Chapter 2"/>
    <w:pPr>
      <w:numPr>
        <w:numId w:val="1"/>
      </w:numPr>
      <w:jc w:val="both"/>
    </w:pPr>
    <w:rPr>
      <w:noProof/>
      <w:sz w:val="24"/>
      <w:lang w:val="en-AU" w:eastAsia="en-AU"/>
    </w:rPr>
  </w:style>
  <w:style w:type="paragraph" w:customStyle="1" w:styleId="PartHeading">
    <w:name w:val="PartHeading"/>
    <w:basedOn w:val="Heading1"/>
    <w:pPr>
      <w:pBdr>
        <w:top w:val="single" w:sz="4" w:space="8" w:color="auto"/>
        <w:bottom w:val="single" w:sz="4" w:space="8" w:color="auto"/>
      </w:pBdr>
      <w:jc w:val="center"/>
    </w:pPr>
    <w:rPr>
      <w:b w:val="0"/>
      <w:sz w:val="60"/>
    </w:rPr>
  </w:style>
  <w:style w:type="paragraph" w:customStyle="1" w:styleId="BodyTextChapter11">
    <w:name w:val="Body Text Chapter 11"/>
    <w:pPr>
      <w:numPr>
        <w:numId w:val="2"/>
      </w:numPr>
      <w:jc w:val="both"/>
    </w:pPr>
    <w:rPr>
      <w:noProof/>
      <w:sz w:val="24"/>
      <w:lang w:val="en-AU" w:eastAsia="en-AU"/>
    </w:rPr>
  </w:style>
  <w:style w:type="paragraph" w:customStyle="1" w:styleId="BodyTextChapter14">
    <w:name w:val="Body Text Chapter 14"/>
    <w:pPr>
      <w:numPr>
        <w:numId w:val="3"/>
      </w:numPr>
      <w:jc w:val="both"/>
    </w:pPr>
    <w:rPr>
      <w:noProof/>
      <w:sz w:val="24"/>
      <w:lang w:val="en-AU" w:eastAsia="en-AU"/>
    </w:rPr>
  </w:style>
  <w:style w:type="paragraph" w:customStyle="1" w:styleId="BodyTextChapter17">
    <w:name w:val="Body Text Chapter 17"/>
    <w:pPr>
      <w:numPr>
        <w:numId w:val="4"/>
      </w:numPr>
      <w:jc w:val="both"/>
    </w:pPr>
    <w:rPr>
      <w:noProof/>
      <w:sz w:val="24"/>
      <w:lang w:val="en-AU" w:eastAsia="en-AU"/>
    </w:rPr>
  </w:style>
  <w:style w:type="paragraph" w:customStyle="1" w:styleId="BodyTextChapter15">
    <w:name w:val="Body Text Chapter 15"/>
    <w:pPr>
      <w:numPr>
        <w:numId w:val="5"/>
      </w:numPr>
      <w:jc w:val="both"/>
    </w:pPr>
    <w:rPr>
      <w:noProof/>
      <w:sz w:val="24"/>
      <w:lang w:val="en-AU" w:eastAsia="en-AU"/>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sz w:val="20"/>
    </w:rPr>
  </w:style>
  <w:style w:type="paragraph" w:styleId="DocumentMap">
    <w:name w:val="Document Map"/>
    <w:basedOn w:val="Normal"/>
    <w:semiHidden/>
    <w:pPr>
      <w:shd w:val="clear" w:color="auto" w:fill="000080"/>
    </w:pPr>
    <w:rPr>
      <w:rFonts w:ascii="Tahoma" w:hAnsi="Tahoma"/>
    </w:rPr>
  </w:style>
  <w:style w:type="paragraph" w:customStyle="1" w:styleId="Style1">
    <w:name w:val="Style1"/>
    <w:basedOn w:val="Normal"/>
    <w:rPr>
      <w:lang w:val="en-NZ"/>
    </w:rPr>
  </w:style>
  <w:style w:type="paragraph" w:customStyle="1" w:styleId="TRNormal">
    <w:name w:val="_TRNormal"/>
    <w:pPr>
      <w:numPr>
        <w:numId w:val="10"/>
      </w:numPr>
      <w:tabs>
        <w:tab w:val="clear" w:pos="360"/>
      </w:tabs>
      <w:spacing w:after="240" w:line="300" w:lineRule="atLeast"/>
      <w:ind w:left="567" w:hanging="567"/>
      <w:jc w:val="both"/>
    </w:pPr>
    <w:rPr>
      <w:sz w:val="24"/>
      <w:lang w:eastAsia="en-AU"/>
    </w:rPr>
  </w:style>
  <w:style w:type="paragraph" w:customStyle="1" w:styleId="dotpoint2">
    <w:name w:val="dot point2"/>
    <w:basedOn w:val="Normal"/>
    <w:pPr>
      <w:widowControl w:val="0"/>
      <w:numPr>
        <w:numId w:val="9"/>
      </w:numPr>
    </w:pPr>
  </w:style>
  <w:style w:type="paragraph" w:customStyle="1" w:styleId="recomendation">
    <w:name w:val="recomendation"/>
    <w:basedOn w:val="BodyText"/>
    <w:pPr>
      <w:tabs>
        <w:tab w:val="left" w:pos="567"/>
        <w:tab w:val="left" w:pos="1134"/>
      </w:tabs>
      <w:spacing w:after="180"/>
      <w:ind w:left="567" w:hanging="567"/>
    </w:pPr>
    <w:rPr>
      <w:rFonts w:ascii="Arial" w:hAnsi="Arial"/>
    </w:rPr>
  </w:style>
  <w:style w:type="paragraph" w:customStyle="1" w:styleId="Subrec">
    <w:name w:val="Subrec"/>
    <w:basedOn w:val="BodyText"/>
    <w:pPr>
      <w:numPr>
        <w:numId w:val="6"/>
      </w:numPr>
      <w:spacing w:after="180"/>
    </w:pPr>
    <w:rPr>
      <w:rFonts w:ascii="Arial" w:hAnsi="Arial"/>
    </w:rPr>
  </w:style>
  <w:style w:type="paragraph" w:customStyle="1" w:styleId="Dotpointtwo">
    <w:name w:val="Dot point two"/>
    <w:basedOn w:val="dotpoint"/>
    <w:next w:val="BlockText"/>
    <w:pPr>
      <w:widowControl w:val="0"/>
      <w:numPr>
        <w:numId w:val="7"/>
      </w:numPr>
      <w:spacing w:after="240"/>
    </w:pPr>
  </w:style>
  <w:style w:type="paragraph" w:styleId="BlockText">
    <w:name w:val="Block Text"/>
    <w:basedOn w:val="Normal"/>
    <w:pPr>
      <w:spacing w:after="120"/>
      <w:ind w:left="1440" w:right="1440"/>
    </w:pPr>
    <w:rPr>
      <w:lang w:val="en-NZ"/>
    </w:rPr>
  </w:style>
  <w:style w:type="paragraph" w:customStyle="1" w:styleId="Tabledotpoint">
    <w:name w:val="Table dot point"/>
    <w:basedOn w:val="Normal"/>
    <w:pPr>
      <w:numPr>
        <w:numId w:val="8"/>
      </w:numPr>
      <w:spacing w:after="240"/>
    </w:pPr>
    <w:rPr>
      <w:sz w:val="20"/>
      <w:lang w:val="en-NZ"/>
    </w:rPr>
  </w:style>
  <w:style w:type="paragraph" w:customStyle="1" w:styleId="TRFooter">
    <w:name w:val="_TRFooter"/>
    <w:basedOn w:val="TRNormal"/>
    <w:pPr>
      <w:numPr>
        <w:numId w:val="0"/>
      </w:numPr>
      <w:tabs>
        <w:tab w:val="right" w:pos="9071"/>
      </w:tabs>
      <w:spacing w:after="0" w:line="240" w:lineRule="atLeast"/>
      <w:jc w:val="left"/>
    </w:pPr>
    <w:rPr>
      <w:sz w:val="16"/>
    </w:rPr>
  </w:style>
  <w:style w:type="paragraph" w:customStyle="1" w:styleId="TRHeader">
    <w:name w:val="_TRHeader"/>
    <w:basedOn w:val="TRNormal"/>
    <w:pPr>
      <w:numPr>
        <w:numId w:val="0"/>
      </w:numPr>
      <w:spacing w:after="0"/>
      <w:jc w:val="left"/>
    </w:pPr>
    <w:rPr>
      <w:b/>
      <w:sz w:val="16"/>
    </w:rPr>
  </w:style>
  <w:style w:type="paragraph" w:customStyle="1" w:styleId="TRTitle">
    <w:name w:val="_TRTitle"/>
    <w:basedOn w:val="TRNormal"/>
    <w:next w:val="TRNormal"/>
    <w:pPr>
      <w:numPr>
        <w:numId w:val="0"/>
      </w:numPr>
      <w:pBdr>
        <w:bottom w:val="single" w:sz="8" w:space="1" w:color="auto"/>
      </w:pBdr>
      <w:spacing w:before="360" w:after="120"/>
      <w:ind w:left="2552" w:hanging="2552"/>
      <w:jc w:val="left"/>
    </w:pPr>
    <w:rPr>
      <w:b/>
      <w:sz w:val="32"/>
    </w:rPr>
  </w:style>
  <w:style w:type="paragraph" w:customStyle="1" w:styleId="TRNormalIndent">
    <w:name w:val="_TRNormal Indent"/>
    <w:basedOn w:val="TRNormal"/>
    <w:pPr>
      <w:numPr>
        <w:numId w:val="0"/>
      </w:numPr>
      <w:spacing w:after="0"/>
      <w:jc w:val="left"/>
    </w:pPr>
  </w:style>
  <w:style w:type="paragraph" w:customStyle="1" w:styleId="TRListBullet">
    <w:name w:val="_TRList Bullet"/>
    <w:basedOn w:val="TRNormal"/>
    <w:link w:val="TRListBulletChar"/>
    <w:pPr>
      <w:numPr>
        <w:numId w:val="0"/>
      </w:numPr>
      <w:spacing w:after="200"/>
      <w:ind w:left="539" w:hanging="539"/>
    </w:pPr>
  </w:style>
  <w:style w:type="paragraph" w:customStyle="1" w:styleId="Chapter16">
    <w:name w:val="Chapter16"/>
    <w:pPr>
      <w:tabs>
        <w:tab w:val="left" w:pos="709"/>
      </w:tabs>
      <w:ind w:left="709" w:hanging="709"/>
      <w:jc w:val="both"/>
    </w:pPr>
    <w:rPr>
      <w:sz w:val="24"/>
      <w:lang w:eastAsia="en-AU"/>
    </w:rPr>
  </w:style>
  <w:style w:type="paragraph" w:customStyle="1" w:styleId="Chapter19">
    <w:name w:val="Chapter19"/>
    <w:pPr>
      <w:tabs>
        <w:tab w:val="num" w:pos="720"/>
      </w:tabs>
      <w:ind w:left="709" w:hanging="709"/>
      <w:jc w:val="both"/>
    </w:pPr>
    <w:rPr>
      <w:sz w:val="24"/>
      <w:lang w:eastAsia="en-AU"/>
    </w:rPr>
  </w:style>
  <w:style w:type="paragraph" w:customStyle="1" w:styleId="Chapter110">
    <w:name w:val="Chapter11"/>
    <w:pPr>
      <w:tabs>
        <w:tab w:val="left" w:pos="709"/>
      </w:tabs>
      <w:ind w:left="709" w:hanging="709"/>
      <w:jc w:val="both"/>
    </w:pPr>
    <w:rPr>
      <w:sz w:val="24"/>
      <w:lang w:eastAsia="en-AU"/>
    </w:rPr>
  </w:style>
  <w:style w:type="paragraph" w:customStyle="1" w:styleId="Chapter13">
    <w:name w:val="Chapter13"/>
    <w:pPr>
      <w:tabs>
        <w:tab w:val="left" w:pos="709"/>
      </w:tabs>
      <w:ind w:left="709" w:hanging="709"/>
      <w:jc w:val="both"/>
    </w:pPr>
    <w:rPr>
      <w:sz w:val="24"/>
      <w:lang w:eastAsia="en-AU"/>
    </w:rPr>
  </w:style>
  <w:style w:type="paragraph" w:customStyle="1" w:styleId="dotpointindent">
    <w:name w:val="dot point indent"/>
    <w:pPr>
      <w:tabs>
        <w:tab w:val="num" w:pos="1134"/>
      </w:tabs>
      <w:spacing w:after="140"/>
      <w:ind w:left="1134" w:hanging="567"/>
    </w:pPr>
    <w:rPr>
      <w:noProof/>
      <w:sz w:val="24"/>
      <w:lang w:val="en-AU" w:eastAsia="en-AU"/>
    </w:rPr>
  </w:style>
  <w:style w:type="paragraph" w:customStyle="1" w:styleId="TRFootnoteText">
    <w:name w:val="_TRFootnote Text"/>
    <w:basedOn w:val="Normal"/>
    <w:pPr>
      <w:spacing w:line="300" w:lineRule="atLeast"/>
    </w:pPr>
    <w:rPr>
      <w:sz w:val="16"/>
      <w:lang w:val="en-NZ"/>
    </w:rPr>
  </w:style>
  <w:style w:type="paragraph" w:customStyle="1" w:styleId="TRBodyText">
    <w:name w:val="_TRBody Text"/>
    <w:pPr>
      <w:spacing w:line="300" w:lineRule="atLeast"/>
      <w:jc w:val="both"/>
    </w:pPr>
    <w:rPr>
      <w:sz w:val="24"/>
      <w:lang w:eastAsia="en-AU"/>
    </w:rPr>
  </w:style>
  <w:style w:type="paragraph" w:customStyle="1" w:styleId="IndentedQuotedotpoint">
    <w:name w:val="Indented Quote dot point"/>
    <w:basedOn w:val="Normal"/>
    <w:pPr>
      <w:numPr>
        <w:numId w:val="18"/>
      </w:numPr>
      <w:spacing w:after="120"/>
      <w:ind w:right="749"/>
    </w:pPr>
    <w:rPr>
      <w:sz w:val="20"/>
      <w:lang w:val="en-NZ"/>
    </w:rPr>
  </w:style>
  <w:style w:type="paragraph" w:customStyle="1" w:styleId="Indentedquotenumbered">
    <w:name w:val="Indented quote numbered"/>
    <w:basedOn w:val="Normal"/>
    <w:autoRedefine/>
    <w:pPr>
      <w:numPr>
        <w:numId w:val="19"/>
      </w:numPr>
      <w:tabs>
        <w:tab w:val="left" w:pos="990"/>
        <w:tab w:val="left" w:pos="1350"/>
      </w:tabs>
      <w:spacing w:after="240"/>
      <w:ind w:right="749"/>
    </w:pPr>
    <w:rPr>
      <w:sz w:val="20"/>
      <w:lang w:val="en-NZ"/>
    </w:rPr>
  </w:style>
  <w:style w:type="paragraph" w:customStyle="1" w:styleId="quote-legislation-definitions-paragrapha">
    <w:name w:val="quote - legislation - definitions - paragraph(a)"/>
    <w:basedOn w:val="Normal"/>
    <w:autoRedefine/>
    <w:pPr>
      <w:tabs>
        <w:tab w:val="num" w:pos="360"/>
        <w:tab w:val="left" w:pos="2268"/>
      </w:tabs>
      <w:ind w:left="360" w:right="1785" w:hanging="360"/>
    </w:pPr>
    <w:rPr>
      <w:sz w:val="20"/>
      <w:lang w:val="en-US"/>
    </w:rPr>
  </w:style>
  <w:style w:type="paragraph" w:customStyle="1" w:styleId="quote-legislation-definitions-subparagraphi">
    <w:name w:val="quote - legislation - definitions - subparagraph(i)"/>
    <w:basedOn w:val="Normal"/>
    <w:autoRedefine/>
    <w:pPr>
      <w:tabs>
        <w:tab w:val="num" w:pos="720"/>
        <w:tab w:val="left" w:pos="3261"/>
      </w:tabs>
      <w:ind w:left="720" w:right="1785" w:hanging="720"/>
    </w:pPr>
    <w:rPr>
      <w:sz w:val="20"/>
      <w:lang w:val="en-US"/>
    </w:rPr>
  </w:style>
  <w:style w:type="paragraph" w:customStyle="1" w:styleId="quote-numbered">
    <w:name w:val="quote - numbered"/>
    <w:basedOn w:val="Normal"/>
    <w:autoRedefine/>
    <w:pPr>
      <w:tabs>
        <w:tab w:val="num" w:pos="360"/>
      </w:tabs>
      <w:ind w:left="360" w:hanging="360"/>
    </w:pPr>
    <w:rPr>
      <w:sz w:val="20"/>
      <w:lang w:val="en-US"/>
    </w:rPr>
  </w:style>
  <w:style w:type="paragraph" w:customStyle="1" w:styleId="quote-bullet">
    <w:name w:val="quote - bullet"/>
    <w:basedOn w:val="Normal"/>
    <w:pPr>
      <w:tabs>
        <w:tab w:val="num" w:pos="360"/>
      </w:tabs>
      <w:spacing w:after="120"/>
      <w:ind w:left="360" w:right="1133" w:hanging="360"/>
    </w:pPr>
    <w:rPr>
      <w:sz w:val="20"/>
      <w:lang w:eastAsia="en-US"/>
    </w:rPr>
  </w:style>
  <w:style w:type="paragraph" w:customStyle="1" w:styleId="Bullet">
    <w:name w:val="Bullet"/>
    <w:basedOn w:val="Normal"/>
    <w:pPr>
      <w:tabs>
        <w:tab w:val="num" w:pos="567"/>
      </w:tabs>
      <w:spacing w:after="140"/>
      <w:ind w:left="567" w:hanging="567"/>
    </w:pPr>
    <w:rPr>
      <w:lang w:val="en-NZ"/>
    </w:rPr>
  </w:style>
  <w:style w:type="paragraph" w:customStyle="1" w:styleId="IndentQuote">
    <w:name w:val="IndentQuote"/>
    <w:basedOn w:val="Normal"/>
    <w:pPr>
      <w:ind w:left="567" w:right="657"/>
    </w:pPr>
    <w:rPr>
      <w:sz w:val="22"/>
    </w:rPr>
  </w:style>
  <w:style w:type="paragraph" w:customStyle="1" w:styleId="sectionheading">
    <w:name w:val="section heading"/>
    <w:basedOn w:val="Normal"/>
    <w:autoRedefine/>
    <w:pPr>
      <w:jc w:val="left"/>
    </w:pPr>
    <w:rPr>
      <w:rFonts w:ascii="Arial" w:hAnsi="Arial"/>
      <w:b/>
    </w:rPr>
  </w:style>
  <w:style w:type="paragraph" w:customStyle="1" w:styleId="Chapter3">
    <w:name w:val="Chapter 3"/>
    <w:basedOn w:val="Normal"/>
    <w:pPr>
      <w:numPr>
        <w:numId w:val="25"/>
      </w:numPr>
      <w:spacing w:before="120" w:after="120"/>
    </w:pPr>
    <w:rPr>
      <w:snapToGrid w:val="0"/>
      <w:lang w:val="en-AU" w:eastAsia="en-US"/>
    </w:rPr>
  </w:style>
  <w:style w:type="paragraph" w:customStyle="1" w:styleId="Chapter4">
    <w:name w:val="Chapter 4"/>
    <w:basedOn w:val="Chapter3"/>
    <w:pPr>
      <w:numPr>
        <w:numId w:val="31"/>
      </w:numPr>
      <w:tabs>
        <w:tab w:val="clear" w:pos="737"/>
        <w:tab w:val="num" w:pos="360"/>
      </w:tabs>
      <w:ind w:left="360" w:hanging="360"/>
    </w:pPr>
  </w:style>
  <w:style w:type="paragraph" w:customStyle="1" w:styleId="Chapter5">
    <w:name w:val="Chapter 5"/>
    <w:basedOn w:val="Chapter4"/>
    <w:pPr>
      <w:numPr>
        <w:numId w:val="26"/>
      </w:numPr>
      <w:tabs>
        <w:tab w:val="clear" w:pos="737"/>
        <w:tab w:val="num" w:pos="360"/>
      </w:tabs>
      <w:ind w:left="360" w:hanging="360"/>
    </w:pPr>
  </w:style>
  <w:style w:type="paragraph" w:customStyle="1" w:styleId="Chapter6">
    <w:name w:val="Chapter 6"/>
    <w:basedOn w:val="Chapter5"/>
    <w:pPr>
      <w:numPr>
        <w:numId w:val="27"/>
      </w:numPr>
      <w:tabs>
        <w:tab w:val="clear" w:pos="737"/>
        <w:tab w:val="num" w:pos="360"/>
      </w:tabs>
      <w:ind w:left="360" w:hanging="360"/>
    </w:pPr>
  </w:style>
  <w:style w:type="paragraph" w:customStyle="1" w:styleId="Chapter7">
    <w:name w:val="Chapter 7"/>
    <w:basedOn w:val="Chapter6"/>
    <w:pPr>
      <w:numPr>
        <w:numId w:val="28"/>
      </w:numPr>
      <w:tabs>
        <w:tab w:val="clear" w:pos="737"/>
        <w:tab w:val="num" w:pos="360"/>
      </w:tabs>
      <w:ind w:left="360" w:hanging="360"/>
    </w:pPr>
  </w:style>
  <w:style w:type="paragraph" w:customStyle="1" w:styleId="Chapter9">
    <w:name w:val="Chapter 9"/>
    <w:basedOn w:val="Chapter7"/>
    <w:pPr>
      <w:numPr>
        <w:numId w:val="33"/>
      </w:numPr>
      <w:tabs>
        <w:tab w:val="clear" w:pos="737"/>
        <w:tab w:val="num" w:pos="360"/>
      </w:tabs>
      <w:ind w:left="360" w:hanging="360"/>
    </w:pPr>
  </w:style>
  <w:style w:type="paragraph" w:customStyle="1" w:styleId="Chapter10">
    <w:name w:val="Chapter 10"/>
    <w:basedOn w:val="Normal"/>
    <w:pPr>
      <w:numPr>
        <w:numId w:val="29"/>
      </w:numPr>
      <w:tabs>
        <w:tab w:val="left" w:pos="567"/>
      </w:tabs>
      <w:jc w:val="left"/>
    </w:pPr>
    <w:rPr>
      <w:lang w:val="en-NZ"/>
    </w:rPr>
  </w:style>
  <w:style w:type="paragraph" w:customStyle="1" w:styleId="Chapter8">
    <w:name w:val="Chapter 8"/>
    <w:basedOn w:val="Chapter9"/>
    <w:rPr>
      <w:lang w:val="en-NZ"/>
    </w:rPr>
  </w:style>
  <w:style w:type="paragraph" w:customStyle="1" w:styleId="Chapter1">
    <w:name w:val="Chapter 1"/>
    <w:basedOn w:val="Normal"/>
    <w:pPr>
      <w:numPr>
        <w:numId w:val="30"/>
      </w:numPr>
      <w:spacing w:before="120" w:after="120"/>
    </w:pPr>
    <w:rPr>
      <w:lang w:val="en-NZ"/>
    </w:rPr>
  </w:style>
  <w:style w:type="paragraph" w:customStyle="1" w:styleId="Chapter11">
    <w:name w:val="Chapter 11"/>
    <w:basedOn w:val="Chapter10"/>
    <w:pPr>
      <w:numPr>
        <w:numId w:val="32"/>
      </w:numPr>
      <w:tabs>
        <w:tab w:val="clear" w:pos="567"/>
        <w:tab w:val="clear" w:pos="737"/>
        <w:tab w:val="num" w:pos="360"/>
      </w:tabs>
      <w:spacing w:before="120" w:after="120"/>
      <w:ind w:left="360" w:hanging="360"/>
      <w:jc w:val="both"/>
    </w:pPr>
  </w:style>
  <w:style w:type="paragraph" w:customStyle="1" w:styleId="Indentbullet">
    <w:name w:val="Indent bullet"/>
    <w:basedOn w:val="BodyText"/>
    <w:pPr>
      <w:numPr>
        <w:numId w:val="34"/>
      </w:numPr>
      <w:spacing w:after="140"/>
    </w:pPr>
  </w:style>
  <w:style w:type="paragraph" w:customStyle="1" w:styleId="CharCharCharCharChar1">
    <w:name w:val="Char Char Char Char Char1"/>
    <w:basedOn w:val="Normal"/>
    <w:rsid w:val="00A72F11"/>
    <w:pPr>
      <w:spacing w:after="160" w:line="240" w:lineRule="exact"/>
      <w:jc w:val="left"/>
    </w:pPr>
    <w:rPr>
      <w:rFonts w:ascii="Verdana" w:hAnsi="Verdana"/>
      <w:sz w:val="20"/>
      <w:lang w:val="en-US" w:eastAsia="en-US"/>
    </w:rPr>
  </w:style>
  <w:style w:type="paragraph" w:customStyle="1" w:styleId="TRHeading1">
    <w:name w:val="_TRHeading 1"/>
    <w:next w:val="Normal"/>
    <w:rsid w:val="00A72F11"/>
    <w:pPr>
      <w:keepNext/>
      <w:widowControl w:val="0"/>
      <w:pBdr>
        <w:bottom w:val="single" w:sz="4" w:space="1" w:color="auto"/>
      </w:pBdr>
      <w:spacing w:before="720" w:after="360"/>
    </w:pPr>
    <w:rPr>
      <w:b/>
      <w:sz w:val="28"/>
      <w:lang w:eastAsia="en-AU"/>
    </w:rPr>
  </w:style>
  <w:style w:type="paragraph" w:styleId="ListBullet">
    <w:name w:val="List Bullet"/>
    <w:basedOn w:val="Normal"/>
    <w:rsid w:val="00043834"/>
    <w:pPr>
      <w:numPr>
        <w:numId w:val="35"/>
      </w:numPr>
    </w:pPr>
    <w:rPr>
      <w:szCs w:val="24"/>
      <w:lang w:val="en-NZ" w:eastAsia="en-NZ"/>
    </w:rPr>
  </w:style>
  <w:style w:type="paragraph" w:customStyle="1" w:styleId="Bullets">
    <w:name w:val="Bullets"/>
    <w:basedOn w:val="Normal"/>
    <w:rsid w:val="00B44B2E"/>
    <w:pPr>
      <w:numPr>
        <w:numId w:val="36"/>
      </w:numPr>
      <w:jc w:val="left"/>
    </w:pPr>
    <w:rPr>
      <w:szCs w:val="24"/>
      <w:lang w:val="en-AU"/>
    </w:rPr>
  </w:style>
  <w:style w:type="character" w:customStyle="1" w:styleId="Heading1Char1">
    <w:name w:val="Heading 1 Char1"/>
    <w:aliases w:val="Report Title Char,Heading 1 Char Char,Heading 1 Char2 Char1 Char,Heading 1 Char1 Char Char Char,Heading 1 Char Char Char Char Char,Heading 1 Char1 Char Char Char Char1 Char,Heading 1 Char Char Char Char Char Char1 Char"/>
    <w:basedOn w:val="DefaultParagraphFont"/>
    <w:link w:val="Heading1"/>
    <w:rsid w:val="003B53F6"/>
    <w:rPr>
      <w:b/>
      <w:caps/>
      <w:sz w:val="26"/>
      <w:lang w:val="en-NZ" w:eastAsia="en-AU" w:bidi="ar-SA"/>
    </w:rPr>
  </w:style>
  <w:style w:type="character" w:customStyle="1" w:styleId="BodyTextChar">
    <w:name w:val="Body Text Char"/>
    <w:basedOn w:val="DefaultParagraphFont"/>
    <w:link w:val="BodyText"/>
    <w:rsid w:val="00C662E9"/>
    <w:rPr>
      <w:sz w:val="24"/>
      <w:lang w:val="en-GB" w:eastAsia="en-AU" w:bidi="ar-SA"/>
    </w:rPr>
  </w:style>
  <w:style w:type="character" w:customStyle="1" w:styleId="Heading5Char1">
    <w:name w:val="Heading 5 Char1"/>
    <w:aliases w:val="Heading 5 Char Char,Heading 5 Char1 Char Char,Heading 5 Char Char Char Char"/>
    <w:basedOn w:val="DefaultParagraphFont"/>
    <w:link w:val="Heading5"/>
    <w:rsid w:val="00210DE8"/>
    <w:rPr>
      <w:b/>
      <w:sz w:val="26"/>
      <w:lang w:val="en-GB" w:eastAsia="en-AU" w:bidi="ar-SA"/>
    </w:rPr>
  </w:style>
  <w:style w:type="paragraph" w:styleId="BalloonText">
    <w:name w:val="Balloon Text"/>
    <w:basedOn w:val="Normal"/>
    <w:semiHidden/>
    <w:rsid w:val="00E36958"/>
    <w:rPr>
      <w:rFonts w:ascii="Tahoma" w:hAnsi="Tahoma" w:cs="Tahoma"/>
      <w:sz w:val="16"/>
      <w:szCs w:val="16"/>
    </w:rPr>
  </w:style>
  <w:style w:type="character" w:customStyle="1" w:styleId="Heading2Char">
    <w:name w:val="Heading 2 Char"/>
    <w:aliases w:val="Heading 2 Char1 Char,Heading 2 Char Char Char"/>
    <w:basedOn w:val="DefaultParagraphFont"/>
    <w:link w:val="Heading2"/>
    <w:rsid w:val="007C2865"/>
    <w:rPr>
      <w:b/>
      <w:sz w:val="24"/>
      <w:lang w:val="en-GB" w:eastAsia="en-AU" w:bidi="ar-SA"/>
    </w:rPr>
  </w:style>
  <w:style w:type="table" w:styleId="TableGrid">
    <w:name w:val="Table Grid"/>
    <w:basedOn w:val="TableNormal"/>
    <w:rsid w:val="007C2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ListBulletChar">
    <w:name w:val="_TRList Bullet Char"/>
    <w:basedOn w:val="DefaultParagraphFont"/>
    <w:link w:val="TRListBullet"/>
    <w:rsid w:val="0052585F"/>
    <w:rPr>
      <w:sz w:val="24"/>
      <w:lang w:eastAsia="en-AU"/>
    </w:rPr>
  </w:style>
  <w:style w:type="character" w:styleId="CommentReference">
    <w:name w:val="annotation reference"/>
    <w:basedOn w:val="DefaultParagraphFont"/>
    <w:semiHidden/>
    <w:rsid w:val="00B51C29"/>
    <w:rPr>
      <w:sz w:val="16"/>
      <w:szCs w:val="16"/>
    </w:rPr>
  </w:style>
  <w:style w:type="paragraph" w:styleId="CommentText">
    <w:name w:val="annotation text"/>
    <w:basedOn w:val="Normal"/>
    <w:link w:val="CommentTextChar"/>
    <w:uiPriority w:val="99"/>
    <w:semiHidden/>
    <w:rsid w:val="00B51C29"/>
    <w:rPr>
      <w:sz w:val="20"/>
    </w:rPr>
  </w:style>
  <w:style w:type="paragraph" w:styleId="ListParagraph">
    <w:name w:val="List Paragraph"/>
    <w:basedOn w:val="Normal"/>
    <w:uiPriority w:val="34"/>
    <w:qFormat/>
    <w:rsid w:val="00EF35AB"/>
    <w:pPr>
      <w:ind w:left="720"/>
      <w:contextualSpacing/>
    </w:pPr>
  </w:style>
  <w:style w:type="character" w:customStyle="1" w:styleId="CommentTextChar">
    <w:name w:val="Comment Text Char"/>
    <w:basedOn w:val="DefaultParagraphFont"/>
    <w:link w:val="CommentText"/>
    <w:uiPriority w:val="99"/>
    <w:semiHidden/>
    <w:rsid w:val="008105F1"/>
    <w:rPr>
      <w:lang w:val="en-GB" w:eastAsia="en-AU"/>
    </w:rPr>
  </w:style>
  <w:style w:type="character" w:styleId="Hyperlink">
    <w:name w:val="Hyperlink"/>
    <w:basedOn w:val="DefaultParagraphFont"/>
    <w:uiPriority w:val="99"/>
    <w:unhideWhenUsed/>
    <w:rsid w:val="00C410E0"/>
    <w:rPr>
      <w:color w:val="0000FF" w:themeColor="hyperlink"/>
      <w:u w:val="single"/>
    </w:rPr>
  </w:style>
  <w:style w:type="character" w:customStyle="1" w:styleId="label1">
    <w:name w:val="label1"/>
    <w:basedOn w:val="DefaultParagraphFont"/>
    <w:rsid w:val="002221C4"/>
  </w:style>
  <w:style w:type="character" w:customStyle="1" w:styleId="label2">
    <w:name w:val="label2"/>
    <w:basedOn w:val="DefaultParagraphFont"/>
    <w:rsid w:val="002221C4"/>
  </w:style>
  <w:style w:type="paragraph" w:customStyle="1" w:styleId="subprov1">
    <w:name w:val="subprov1"/>
    <w:basedOn w:val="Normal"/>
    <w:rsid w:val="002221C4"/>
    <w:pPr>
      <w:spacing w:before="83" w:after="216" w:line="288" w:lineRule="atLeast"/>
      <w:jc w:val="left"/>
    </w:pPr>
    <w:rPr>
      <w:szCs w:val="24"/>
      <w:lang w:val="en-NZ" w:eastAsia="en-NZ"/>
    </w:rPr>
  </w:style>
  <w:style w:type="paragraph" w:styleId="CommentSubject">
    <w:name w:val="annotation subject"/>
    <w:basedOn w:val="CommentText"/>
    <w:next w:val="CommentText"/>
    <w:link w:val="CommentSubjectChar"/>
    <w:uiPriority w:val="99"/>
    <w:semiHidden/>
    <w:unhideWhenUsed/>
    <w:rsid w:val="005659E6"/>
    <w:rPr>
      <w:b/>
      <w:bCs/>
    </w:rPr>
  </w:style>
  <w:style w:type="character" w:customStyle="1" w:styleId="CommentSubjectChar">
    <w:name w:val="Comment Subject Char"/>
    <w:basedOn w:val="CommentTextChar"/>
    <w:link w:val="CommentSubject"/>
    <w:uiPriority w:val="99"/>
    <w:semiHidden/>
    <w:rsid w:val="005659E6"/>
    <w:rPr>
      <w:b/>
      <w:bCs/>
      <w:lang w:val="en-GB" w:eastAsia="en-AU"/>
    </w:rPr>
  </w:style>
  <w:style w:type="paragraph" w:styleId="PlainText">
    <w:name w:val="Plain Text"/>
    <w:basedOn w:val="Normal"/>
    <w:link w:val="PlainTextChar"/>
    <w:uiPriority w:val="99"/>
    <w:unhideWhenUsed/>
    <w:rsid w:val="00A75DAA"/>
    <w:pPr>
      <w:jc w:val="left"/>
    </w:pPr>
    <w:rPr>
      <w:rFonts w:ascii="Verdana" w:eastAsiaTheme="minorHAnsi" w:hAnsi="Verdana" w:cstheme="minorBidi"/>
      <w:sz w:val="20"/>
      <w:szCs w:val="21"/>
      <w:lang w:val="en-NZ" w:eastAsia="en-US"/>
    </w:rPr>
  </w:style>
  <w:style w:type="character" w:customStyle="1" w:styleId="PlainTextChar">
    <w:name w:val="Plain Text Char"/>
    <w:basedOn w:val="DefaultParagraphFont"/>
    <w:link w:val="PlainText"/>
    <w:uiPriority w:val="99"/>
    <w:rsid w:val="00A75DAA"/>
    <w:rPr>
      <w:rFonts w:ascii="Verdana" w:eastAsiaTheme="minorHAnsi" w:hAnsi="Verdana" w:cstheme="minorBidi"/>
      <w:szCs w:val="21"/>
      <w:lang w:eastAsia="en-US"/>
    </w:rPr>
  </w:style>
  <w:style w:type="paragraph" w:styleId="Revision">
    <w:name w:val="Revision"/>
    <w:hidden/>
    <w:uiPriority w:val="99"/>
    <w:semiHidden/>
    <w:rsid w:val="0061452C"/>
    <w:rPr>
      <w:sz w:val="24"/>
      <w:lang w:val="en-GB" w:eastAsia="en-AU"/>
    </w:rPr>
  </w:style>
  <w:style w:type="character" w:customStyle="1" w:styleId="Heading4Char">
    <w:name w:val="Heading 4 Char"/>
    <w:basedOn w:val="DefaultParagraphFont"/>
    <w:link w:val="Heading4"/>
    <w:rsid w:val="00F91FB8"/>
    <w:rPr>
      <w:i/>
      <w:sz w:val="24"/>
      <w:lang w:val="en-GB" w:eastAsia="en-AU"/>
    </w:rPr>
  </w:style>
  <w:style w:type="character" w:customStyle="1" w:styleId="FooterChar">
    <w:name w:val="Footer Char"/>
    <w:basedOn w:val="DefaultParagraphFont"/>
    <w:link w:val="Footer"/>
    <w:uiPriority w:val="99"/>
    <w:rsid w:val="00E93C7F"/>
    <w:rPr>
      <w:sz w:val="24"/>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D8"/>
    <w:pPr>
      <w:jc w:val="both"/>
    </w:pPr>
    <w:rPr>
      <w:sz w:val="24"/>
      <w:lang w:val="en-GB" w:eastAsia="en-AU"/>
    </w:rPr>
  </w:style>
  <w:style w:type="paragraph" w:styleId="Heading1">
    <w:name w:val="heading 1"/>
    <w:aliases w:val="Report Title,Heading 1 Char,Heading 1 Char2 Char1,Heading 1 Char1 Char Char,Heading 1 Char Char Char Char,Heading 1 Char1 Char Char Char Char1,Heading 1 Char Char Char Char Char Char1,Heading 1 Char2 Char Char Char Char Char Char"/>
    <w:basedOn w:val="Normal"/>
    <w:next w:val="Normal"/>
    <w:link w:val="Heading1Char1"/>
    <w:qFormat/>
    <w:pPr>
      <w:keepNext/>
      <w:pBdr>
        <w:bottom w:val="single" w:sz="4" w:space="6" w:color="auto"/>
      </w:pBdr>
      <w:jc w:val="left"/>
      <w:outlineLvl w:val="0"/>
    </w:pPr>
    <w:rPr>
      <w:b/>
      <w:caps/>
      <w:sz w:val="26"/>
      <w:lang w:val="en-NZ"/>
    </w:rPr>
  </w:style>
  <w:style w:type="paragraph" w:styleId="Heading2">
    <w:name w:val="heading 2"/>
    <w:aliases w:val="Heading 2 Char1,Heading 2 Char Char"/>
    <w:basedOn w:val="Normal"/>
    <w:next w:val="Normal"/>
    <w:link w:val="Heading2Char"/>
    <w:qFormat/>
    <w:pPr>
      <w:keepNext/>
      <w:outlineLvl w:val="1"/>
    </w:pPr>
    <w:rPr>
      <w:b/>
    </w:rPr>
  </w:style>
  <w:style w:type="paragraph" w:styleId="Heading3">
    <w:name w:val="heading 3"/>
    <w:aliases w:val="Clauses"/>
    <w:basedOn w:val="Normal"/>
    <w:next w:val="Normal"/>
    <w:qFormat/>
    <w:pPr>
      <w:keepNext/>
      <w:outlineLvl w:val="2"/>
    </w:pPr>
    <w:rPr>
      <w:b/>
      <w:i/>
    </w:rPr>
  </w:style>
  <w:style w:type="paragraph" w:styleId="Heading4">
    <w:name w:val="heading 4"/>
    <w:basedOn w:val="Normal"/>
    <w:next w:val="Normal"/>
    <w:link w:val="Heading4Char"/>
    <w:qFormat/>
    <w:pPr>
      <w:keepNext/>
      <w:outlineLvl w:val="3"/>
    </w:pPr>
    <w:rPr>
      <w:i/>
    </w:rPr>
  </w:style>
  <w:style w:type="paragraph" w:styleId="Heading5">
    <w:name w:val="heading 5"/>
    <w:aliases w:val="Heading 5 Char,Heading 5 Char1 Char,Heading 5 Char Char Char"/>
    <w:basedOn w:val="Normal"/>
    <w:next w:val="Normal"/>
    <w:link w:val="Heading5Char1"/>
    <w:qFormat/>
    <w:pPr>
      <w:keepNext/>
      <w:tabs>
        <w:tab w:val="left" w:pos="794"/>
      </w:tabs>
      <w:outlineLvl w:val="4"/>
    </w:pPr>
    <w:rPr>
      <w:b/>
      <w:sz w:val="26"/>
    </w:rPr>
  </w:style>
  <w:style w:type="paragraph" w:styleId="Heading6">
    <w:name w:val="heading 6"/>
    <w:basedOn w:val="Normal"/>
    <w:next w:val="Normal"/>
    <w:qFormat/>
    <w:pPr>
      <w:keepNext/>
      <w:outlineLvl w:val="5"/>
    </w:pPr>
    <w:rPr>
      <w:i/>
      <w:sz w:val="32"/>
    </w:rPr>
  </w:style>
  <w:style w:type="paragraph" w:styleId="Heading7">
    <w:name w:val="heading 7"/>
    <w:basedOn w:val="Normal"/>
    <w:next w:val="Normal"/>
    <w:qFormat/>
    <w:pPr>
      <w:keepNext/>
      <w:outlineLvl w:val="6"/>
    </w:pPr>
    <w:rPr>
      <w:b/>
      <w:smallCaps/>
      <w:spacing w:val="8"/>
    </w:rPr>
  </w:style>
  <w:style w:type="paragraph" w:styleId="Heading8">
    <w:name w:val="heading 8"/>
    <w:aliases w:val="Table heading"/>
    <w:basedOn w:val="Normal"/>
    <w:next w:val="Normal"/>
    <w:qFormat/>
    <w:pPr>
      <w:keepNext/>
      <w:outlineLvl w:val="7"/>
    </w:pPr>
    <w:rPr>
      <w:sz w:val="28"/>
    </w:rPr>
  </w:style>
  <w:style w:type="paragraph" w:styleId="Heading9">
    <w:name w:val="heading 9"/>
    <w:basedOn w:val="Normal"/>
    <w:next w:val="Normal"/>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pPr>
      <w:numPr>
        <w:numId w:val="17"/>
      </w:numPr>
      <w:spacing w:after="140"/>
    </w:pPr>
  </w:style>
  <w:style w:type="paragraph" w:styleId="BodyText">
    <w:name w:val="Body Text"/>
    <w:basedOn w:val="Normal"/>
    <w:link w:val="BodyTextCha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Pr>
      <w:sz w:val="22"/>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79424B"/>
    <w:pPr>
      <w:tabs>
        <w:tab w:val="right" w:pos="8222"/>
      </w:tabs>
      <w:spacing w:before="360" w:after="240"/>
      <w:jc w:val="left"/>
    </w:pPr>
    <w:rPr>
      <w:b/>
      <w:noProof/>
      <w:sz w:val="28"/>
    </w:rPr>
  </w:style>
  <w:style w:type="paragraph" w:styleId="TOC2">
    <w:name w:val="toc 2"/>
    <w:basedOn w:val="Normal"/>
    <w:next w:val="Normal"/>
    <w:autoRedefine/>
    <w:uiPriority w:val="39"/>
    <w:rsid w:val="00F56B9E"/>
    <w:pPr>
      <w:tabs>
        <w:tab w:val="right" w:pos="8222"/>
      </w:tabs>
      <w:spacing w:after="80"/>
      <w:ind w:left="567"/>
      <w:jc w:val="left"/>
    </w:pPr>
    <w:rPr>
      <w:noProof/>
      <w:sz w:val="22"/>
    </w:rPr>
  </w:style>
  <w:style w:type="paragraph" w:styleId="TOC3">
    <w:name w:val="toc 3"/>
    <w:basedOn w:val="Normal"/>
    <w:next w:val="Normal"/>
    <w:autoRedefine/>
    <w:uiPriority w:val="39"/>
    <w:pPr>
      <w:tabs>
        <w:tab w:val="left" w:pos="1701"/>
        <w:tab w:val="right" w:pos="8222"/>
      </w:tabs>
      <w:spacing w:after="40"/>
      <w:ind w:left="1701" w:right="794" w:hanging="567"/>
      <w:jc w:val="left"/>
    </w:pPr>
    <w:rPr>
      <w:noProof/>
      <w:sz w:val="18"/>
    </w:rPr>
  </w:style>
  <w:style w:type="paragraph" w:styleId="TOC4">
    <w:name w:val="toc 4"/>
    <w:basedOn w:val="Normal"/>
    <w:next w:val="Normal"/>
    <w:autoRedefine/>
    <w:semiHidden/>
    <w:pPr>
      <w:tabs>
        <w:tab w:val="right" w:pos="8302"/>
      </w:tabs>
      <w:spacing w:after="60"/>
      <w:ind w:left="1134"/>
    </w:pPr>
    <w:rPr>
      <w:smallCaps/>
      <w:noProof/>
      <w:spacing w:val="8"/>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BodyTextIndent">
    <w:name w:val="Body Text Indent"/>
    <w:basedOn w:val="Normal"/>
    <w:pPr>
      <w:ind w:left="450"/>
    </w:pPr>
    <w:rPr>
      <w:lang w:val="en-NZ"/>
    </w:rPr>
  </w:style>
  <w:style w:type="paragraph" w:styleId="BodyTextIndent2">
    <w:name w:val="Body Text Indent 2"/>
    <w:basedOn w:val="Normal"/>
    <w:pPr>
      <w:ind w:left="450"/>
    </w:pPr>
    <w:rPr>
      <w:lang w:val="en-US"/>
    </w:rPr>
  </w:style>
  <w:style w:type="paragraph" w:styleId="BodyTextIndent3">
    <w:name w:val="Body Text Indent 3"/>
    <w:basedOn w:val="Normal"/>
    <w:pPr>
      <w:ind w:left="465"/>
    </w:pPr>
    <w:rPr>
      <w:lang w:val="en-US"/>
    </w:rPr>
  </w:style>
  <w:style w:type="paragraph" w:styleId="BodyText2">
    <w:name w:val="Body Text 2"/>
    <w:basedOn w:val="Normal"/>
    <w:pPr>
      <w:jc w:val="center"/>
    </w:pPr>
    <w:rPr>
      <w:b/>
      <w:lang w:val="en-US"/>
    </w:rPr>
  </w:style>
  <w:style w:type="paragraph" w:customStyle="1" w:styleId="BodyTextChapter2">
    <w:name w:val="Body Text Chapter 2"/>
    <w:pPr>
      <w:numPr>
        <w:numId w:val="1"/>
      </w:numPr>
      <w:jc w:val="both"/>
    </w:pPr>
    <w:rPr>
      <w:noProof/>
      <w:sz w:val="24"/>
      <w:lang w:val="en-AU" w:eastAsia="en-AU"/>
    </w:rPr>
  </w:style>
  <w:style w:type="paragraph" w:customStyle="1" w:styleId="PartHeading">
    <w:name w:val="PartHeading"/>
    <w:basedOn w:val="Heading1"/>
    <w:pPr>
      <w:pBdr>
        <w:top w:val="single" w:sz="4" w:space="8" w:color="auto"/>
        <w:bottom w:val="single" w:sz="4" w:space="8" w:color="auto"/>
      </w:pBdr>
      <w:jc w:val="center"/>
    </w:pPr>
    <w:rPr>
      <w:b w:val="0"/>
      <w:sz w:val="60"/>
    </w:rPr>
  </w:style>
  <w:style w:type="paragraph" w:customStyle="1" w:styleId="BodyTextChapter11">
    <w:name w:val="Body Text Chapter 11"/>
    <w:pPr>
      <w:numPr>
        <w:numId w:val="2"/>
      </w:numPr>
      <w:jc w:val="both"/>
    </w:pPr>
    <w:rPr>
      <w:noProof/>
      <w:sz w:val="24"/>
      <w:lang w:val="en-AU" w:eastAsia="en-AU"/>
    </w:rPr>
  </w:style>
  <w:style w:type="paragraph" w:customStyle="1" w:styleId="BodyTextChapter14">
    <w:name w:val="Body Text Chapter 14"/>
    <w:pPr>
      <w:numPr>
        <w:numId w:val="3"/>
      </w:numPr>
      <w:jc w:val="both"/>
    </w:pPr>
    <w:rPr>
      <w:noProof/>
      <w:sz w:val="24"/>
      <w:lang w:val="en-AU" w:eastAsia="en-AU"/>
    </w:rPr>
  </w:style>
  <w:style w:type="paragraph" w:customStyle="1" w:styleId="BodyTextChapter17">
    <w:name w:val="Body Text Chapter 17"/>
    <w:pPr>
      <w:numPr>
        <w:numId w:val="4"/>
      </w:numPr>
      <w:jc w:val="both"/>
    </w:pPr>
    <w:rPr>
      <w:noProof/>
      <w:sz w:val="24"/>
      <w:lang w:val="en-AU" w:eastAsia="en-AU"/>
    </w:rPr>
  </w:style>
  <w:style w:type="paragraph" w:customStyle="1" w:styleId="BodyTextChapter15">
    <w:name w:val="Body Text Chapter 15"/>
    <w:pPr>
      <w:numPr>
        <w:numId w:val="5"/>
      </w:numPr>
      <w:jc w:val="both"/>
    </w:pPr>
    <w:rPr>
      <w:noProof/>
      <w:sz w:val="24"/>
      <w:lang w:val="en-AU" w:eastAsia="en-AU"/>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sz w:val="20"/>
    </w:rPr>
  </w:style>
  <w:style w:type="paragraph" w:styleId="DocumentMap">
    <w:name w:val="Document Map"/>
    <w:basedOn w:val="Normal"/>
    <w:semiHidden/>
    <w:pPr>
      <w:shd w:val="clear" w:color="auto" w:fill="000080"/>
    </w:pPr>
    <w:rPr>
      <w:rFonts w:ascii="Tahoma" w:hAnsi="Tahoma"/>
    </w:rPr>
  </w:style>
  <w:style w:type="paragraph" w:customStyle="1" w:styleId="Style1">
    <w:name w:val="Style1"/>
    <w:basedOn w:val="Normal"/>
    <w:rPr>
      <w:lang w:val="en-NZ"/>
    </w:rPr>
  </w:style>
  <w:style w:type="paragraph" w:customStyle="1" w:styleId="TRNormal">
    <w:name w:val="_TRNormal"/>
    <w:pPr>
      <w:numPr>
        <w:numId w:val="10"/>
      </w:numPr>
      <w:tabs>
        <w:tab w:val="clear" w:pos="360"/>
      </w:tabs>
      <w:spacing w:after="240" w:line="300" w:lineRule="atLeast"/>
      <w:ind w:left="567" w:hanging="567"/>
      <w:jc w:val="both"/>
    </w:pPr>
    <w:rPr>
      <w:sz w:val="24"/>
      <w:lang w:eastAsia="en-AU"/>
    </w:rPr>
  </w:style>
  <w:style w:type="paragraph" w:customStyle="1" w:styleId="dotpoint2">
    <w:name w:val="dot point2"/>
    <w:basedOn w:val="Normal"/>
    <w:pPr>
      <w:widowControl w:val="0"/>
      <w:numPr>
        <w:numId w:val="9"/>
      </w:numPr>
    </w:pPr>
  </w:style>
  <w:style w:type="paragraph" w:customStyle="1" w:styleId="recomendation">
    <w:name w:val="recomendation"/>
    <w:basedOn w:val="BodyText"/>
    <w:pPr>
      <w:tabs>
        <w:tab w:val="left" w:pos="567"/>
        <w:tab w:val="left" w:pos="1134"/>
      </w:tabs>
      <w:spacing w:after="180"/>
      <w:ind w:left="567" w:hanging="567"/>
    </w:pPr>
    <w:rPr>
      <w:rFonts w:ascii="Arial" w:hAnsi="Arial"/>
    </w:rPr>
  </w:style>
  <w:style w:type="paragraph" w:customStyle="1" w:styleId="Subrec">
    <w:name w:val="Subrec"/>
    <w:basedOn w:val="BodyText"/>
    <w:pPr>
      <w:numPr>
        <w:numId w:val="6"/>
      </w:numPr>
      <w:spacing w:after="180"/>
    </w:pPr>
    <w:rPr>
      <w:rFonts w:ascii="Arial" w:hAnsi="Arial"/>
    </w:rPr>
  </w:style>
  <w:style w:type="paragraph" w:customStyle="1" w:styleId="Dotpointtwo">
    <w:name w:val="Dot point two"/>
    <w:basedOn w:val="dotpoint"/>
    <w:next w:val="BlockText"/>
    <w:pPr>
      <w:widowControl w:val="0"/>
      <w:numPr>
        <w:numId w:val="7"/>
      </w:numPr>
      <w:spacing w:after="240"/>
    </w:pPr>
  </w:style>
  <w:style w:type="paragraph" w:styleId="BlockText">
    <w:name w:val="Block Text"/>
    <w:basedOn w:val="Normal"/>
    <w:pPr>
      <w:spacing w:after="120"/>
      <w:ind w:left="1440" w:right="1440"/>
    </w:pPr>
    <w:rPr>
      <w:lang w:val="en-NZ"/>
    </w:rPr>
  </w:style>
  <w:style w:type="paragraph" w:customStyle="1" w:styleId="Tabledotpoint">
    <w:name w:val="Table dot point"/>
    <w:basedOn w:val="Normal"/>
    <w:pPr>
      <w:numPr>
        <w:numId w:val="8"/>
      </w:numPr>
      <w:spacing w:after="240"/>
    </w:pPr>
    <w:rPr>
      <w:sz w:val="20"/>
      <w:lang w:val="en-NZ"/>
    </w:rPr>
  </w:style>
  <w:style w:type="paragraph" w:customStyle="1" w:styleId="TRFooter">
    <w:name w:val="_TRFooter"/>
    <w:basedOn w:val="TRNormal"/>
    <w:pPr>
      <w:numPr>
        <w:numId w:val="0"/>
      </w:numPr>
      <w:tabs>
        <w:tab w:val="right" w:pos="9071"/>
      </w:tabs>
      <w:spacing w:after="0" w:line="240" w:lineRule="atLeast"/>
      <w:jc w:val="left"/>
    </w:pPr>
    <w:rPr>
      <w:sz w:val="16"/>
    </w:rPr>
  </w:style>
  <w:style w:type="paragraph" w:customStyle="1" w:styleId="TRHeader">
    <w:name w:val="_TRHeader"/>
    <w:basedOn w:val="TRNormal"/>
    <w:pPr>
      <w:numPr>
        <w:numId w:val="0"/>
      </w:numPr>
      <w:spacing w:after="0"/>
      <w:jc w:val="left"/>
    </w:pPr>
    <w:rPr>
      <w:b/>
      <w:sz w:val="16"/>
    </w:rPr>
  </w:style>
  <w:style w:type="paragraph" w:customStyle="1" w:styleId="TRTitle">
    <w:name w:val="_TRTitle"/>
    <w:basedOn w:val="TRNormal"/>
    <w:next w:val="TRNormal"/>
    <w:pPr>
      <w:numPr>
        <w:numId w:val="0"/>
      </w:numPr>
      <w:pBdr>
        <w:bottom w:val="single" w:sz="8" w:space="1" w:color="auto"/>
      </w:pBdr>
      <w:spacing w:before="360" w:after="120"/>
      <w:ind w:left="2552" w:hanging="2552"/>
      <w:jc w:val="left"/>
    </w:pPr>
    <w:rPr>
      <w:b/>
      <w:sz w:val="32"/>
    </w:rPr>
  </w:style>
  <w:style w:type="paragraph" w:customStyle="1" w:styleId="TRNormalIndent">
    <w:name w:val="_TRNormal Indent"/>
    <w:basedOn w:val="TRNormal"/>
    <w:pPr>
      <w:numPr>
        <w:numId w:val="0"/>
      </w:numPr>
      <w:spacing w:after="0"/>
      <w:jc w:val="left"/>
    </w:pPr>
  </w:style>
  <w:style w:type="paragraph" w:customStyle="1" w:styleId="TRListBullet">
    <w:name w:val="_TRList Bullet"/>
    <w:basedOn w:val="TRNormal"/>
    <w:link w:val="TRListBulletChar"/>
    <w:pPr>
      <w:numPr>
        <w:numId w:val="0"/>
      </w:numPr>
      <w:spacing w:after="200"/>
      <w:ind w:left="539" w:hanging="539"/>
    </w:pPr>
  </w:style>
  <w:style w:type="paragraph" w:customStyle="1" w:styleId="Chapter16">
    <w:name w:val="Chapter16"/>
    <w:pPr>
      <w:tabs>
        <w:tab w:val="left" w:pos="709"/>
      </w:tabs>
      <w:ind w:left="709" w:hanging="709"/>
      <w:jc w:val="both"/>
    </w:pPr>
    <w:rPr>
      <w:sz w:val="24"/>
      <w:lang w:eastAsia="en-AU"/>
    </w:rPr>
  </w:style>
  <w:style w:type="paragraph" w:customStyle="1" w:styleId="Chapter19">
    <w:name w:val="Chapter19"/>
    <w:pPr>
      <w:tabs>
        <w:tab w:val="num" w:pos="720"/>
      </w:tabs>
      <w:ind w:left="709" w:hanging="709"/>
      <w:jc w:val="both"/>
    </w:pPr>
    <w:rPr>
      <w:sz w:val="24"/>
      <w:lang w:eastAsia="en-AU"/>
    </w:rPr>
  </w:style>
  <w:style w:type="paragraph" w:customStyle="1" w:styleId="Chapter110">
    <w:name w:val="Chapter11"/>
    <w:pPr>
      <w:tabs>
        <w:tab w:val="left" w:pos="709"/>
      </w:tabs>
      <w:ind w:left="709" w:hanging="709"/>
      <w:jc w:val="both"/>
    </w:pPr>
    <w:rPr>
      <w:sz w:val="24"/>
      <w:lang w:eastAsia="en-AU"/>
    </w:rPr>
  </w:style>
  <w:style w:type="paragraph" w:customStyle="1" w:styleId="Chapter13">
    <w:name w:val="Chapter13"/>
    <w:pPr>
      <w:tabs>
        <w:tab w:val="left" w:pos="709"/>
      </w:tabs>
      <w:ind w:left="709" w:hanging="709"/>
      <w:jc w:val="both"/>
    </w:pPr>
    <w:rPr>
      <w:sz w:val="24"/>
      <w:lang w:eastAsia="en-AU"/>
    </w:rPr>
  </w:style>
  <w:style w:type="paragraph" w:customStyle="1" w:styleId="dotpointindent">
    <w:name w:val="dot point indent"/>
    <w:pPr>
      <w:tabs>
        <w:tab w:val="num" w:pos="1134"/>
      </w:tabs>
      <w:spacing w:after="140"/>
      <w:ind w:left="1134" w:hanging="567"/>
    </w:pPr>
    <w:rPr>
      <w:noProof/>
      <w:sz w:val="24"/>
      <w:lang w:val="en-AU" w:eastAsia="en-AU"/>
    </w:rPr>
  </w:style>
  <w:style w:type="paragraph" w:customStyle="1" w:styleId="TRFootnoteText">
    <w:name w:val="_TRFootnote Text"/>
    <w:basedOn w:val="Normal"/>
    <w:pPr>
      <w:spacing w:line="300" w:lineRule="atLeast"/>
    </w:pPr>
    <w:rPr>
      <w:sz w:val="16"/>
      <w:lang w:val="en-NZ"/>
    </w:rPr>
  </w:style>
  <w:style w:type="paragraph" w:customStyle="1" w:styleId="TRBodyText">
    <w:name w:val="_TRBody Text"/>
    <w:pPr>
      <w:spacing w:line="300" w:lineRule="atLeast"/>
      <w:jc w:val="both"/>
    </w:pPr>
    <w:rPr>
      <w:sz w:val="24"/>
      <w:lang w:eastAsia="en-AU"/>
    </w:rPr>
  </w:style>
  <w:style w:type="paragraph" w:customStyle="1" w:styleId="IndentedQuotedotpoint">
    <w:name w:val="Indented Quote dot point"/>
    <w:basedOn w:val="Normal"/>
    <w:pPr>
      <w:numPr>
        <w:numId w:val="18"/>
      </w:numPr>
      <w:spacing w:after="120"/>
      <w:ind w:right="749"/>
    </w:pPr>
    <w:rPr>
      <w:sz w:val="20"/>
      <w:lang w:val="en-NZ"/>
    </w:rPr>
  </w:style>
  <w:style w:type="paragraph" w:customStyle="1" w:styleId="Indentedquotenumbered">
    <w:name w:val="Indented quote numbered"/>
    <w:basedOn w:val="Normal"/>
    <w:autoRedefine/>
    <w:pPr>
      <w:numPr>
        <w:numId w:val="19"/>
      </w:numPr>
      <w:tabs>
        <w:tab w:val="left" w:pos="990"/>
        <w:tab w:val="left" w:pos="1350"/>
      </w:tabs>
      <w:spacing w:after="240"/>
      <w:ind w:right="749"/>
    </w:pPr>
    <w:rPr>
      <w:sz w:val="20"/>
      <w:lang w:val="en-NZ"/>
    </w:rPr>
  </w:style>
  <w:style w:type="paragraph" w:customStyle="1" w:styleId="quote-legislation-definitions-paragrapha">
    <w:name w:val="quote - legislation - definitions - paragraph(a)"/>
    <w:basedOn w:val="Normal"/>
    <w:autoRedefine/>
    <w:pPr>
      <w:tabs>
        <w:tab w:val="num" w:pos="360"/>
        <w:tab w:val="left" w:pos="2268"/>
      </w:tabs>
      <w:ind w:left="360" w:right="1785" w:hanging="360"/>
    </w:pPr>
    <w:rPr>
      <w:sz w:val="20"/>
      <w:lang w:val="en-US"/>
    </w:rPr>
  </w:style>
  <w:style w:type="paragraph" w:customStyle="1" w:styleId="quote-legislation-definitions-subparagraphi">
    <w:name w:val="quote - legislation - definitions - subparagraph(i)"/>
    <w:basedOn w:val="Normal"/>
    <w:autoRedefine/>
    <w:pPr>
      <w:tabs>
        <w:tab w:val="num" w:pos="720"/>
        <w:tab w:val="left" w:pos="3261"/>
      </w:tabs>
      <w:ind w:left="720" w:right="1785" w:hanging="720"/>
    </w:pPr>
    <w:rPr>
      <w:sz w:val="20"/>
      <w:lang w:val="en-US"/>
    </w:rPr>
  </w:style>
  <w:style w:type="paragraph" w:customStyle="1" w:styleId="quote-numbered">
    <w:name w:val="quote - numbered"/>
    <w:basedOn w:val="Normal"/>
    <w:autoRedefine/>
    <w:pPr>
      <w:tabs>
        <w:tab w:val="num" w:pos="360"/>
      </w:tabs>
      <w:ind w:left="360" w:hanging="360"/>
    </w:pPr>
    <w:rPr>
      <w:sz w:val="20"/>
      <w:lang w:val="en-US"/>
    </w:rPr>
  </w:style>
  <w:style w:type="paragraph" w:customStyle="1" w:styleId="quote-bullet">
    <w:name w:val="quote - bullet"/>
    <w:basedOn w:val="Normal"/>
    <w:pPr>
      <w:tabs>
        <w:tab w:val="num" w:pos="360"/>
      </w:tabs>
      <w:spacing w:after="120"/>
      <w:ind w:left="360" w:right="1133" w:hanging="360"/>
    </w:pPr>
    <w:rPr>
      <w:sz w:val="20"/>
      <w:lang w:eastAsia="en-US"/>
    </w:rPr>
  </w:style>
  <w:style w:type="paragraph" w:customStyle="1" w:styleId="Bullet">
    <w:name w:val="Bullet"/>
    <w:basedOn w:val="Normal"/>
    <w:pPr>
      <w:tabs>
        <w:tab w:val="num" w:pos="567"/>
      </w:tabs>
      <w:spacing w:after="140"/>
      <w:ind w:left="567" w:hanging="567"/>
    </w:pPr>
    <w:rPr>
      <w:lang w:val="en-NZ"/>
    </w:rPr>
  </w:style>
  <w:style w:type="paragraph" w:customStyle="1" w:styleId="IndentQuote">
    <w:name w:val="IndentQuote"/>
    <w:basedOn w:val="Normal"/>
    <w:pPr>
      <w:ind w:left="567" w:right="657"/>
    </w:pPr>
    <w:rPr>
      <w:sz w:val="22"/>
    </w:rPr>
  </w:style>
  <w:style w:type="paragraph" w:customStyle="1" w:styleId="sectionheading">
    <w:name w:val="section heading"/>
    <w:basedOn w:val="Normal"/>
    <w:autoRedefine/>
    <w:pPr>
      <w:jc w:val="left"/>
    </w:pPr>
    <w:rPr>
      <w:rFonts w:ascii="Arial" w:hAnsi="Arial"/>
      <w:b/>
    </w:rPr>
  </w:style>
  <w:style w:type="paragraph" w:customStyle="1" w:styleId="Chapter3">
    <w:name w:val="Chapter 3"/>
    <w:basedOn w:val="Normal"/>
    <w:pPr>
      <w:numPr>
        <w:numId w:val="25"/>
      </w:numPr>
      <w:spacing w:before="120" w:after="120"/>
    </w:pPr>
    <w:rPr>
      <w:snapToGrid w:val="0"/>
      <w:lang w:val="en-AU" w:eastAsia="en-US"/>
    </w:rPr>
  </w:style>
  <w:style w:type="paragraph" w:customStyle="1" w:styleId="Chapter4">
    <w:name w:val="Chapter 4"/>
    <w:basedOn w:val="Chapter3"/>
    <w:pPr>
      <w:numPr>
        <w:numId w:val="31"/>
      </w:numPr>
      <w:tabs>
        <w:tab w:val="clear" w:pos="737"/>
        <w:tab w:val="num" w:pos="360"/>
      </w:tabs>
      <w:ind w:left="360" w:hanging="360"/>
    </w:pPr>
  </w:style>
  <w:style w:type="paragraph" w:customStyle="1" w:styleId="Chapter5">
    <w:name w:val="Chapter 5"/>
    <w:basedOn w:val="Chapter4"/>
    <w:pPr>
      <w:numPr>
        <w:numId w:val="26"/>
      </w:numPr>
      <w:tabs>
        <w:tab w:val="clear" w:pos="737"/>
        <w:tab w:val="num" w:pos="360"/>
      </w:tabs>
      <w:ind w:left="360" w:hanging="360"/>
    </w:pPr>
  </w:style>
  <w:style w:type="paragraph" w:customStyle="1" w:styleId="Chapter6">
    <w:name w:val="Chapter 6"/>
    <w:basedOn w:val="Chapter5"/>
    <w:pPr>
      <w:numPr>
        <w:numId w:val="27"/>
      </w:numPr>
      <w:tabs>
        <w:tab w:val="clear" w:pos="737"/>
        <w:tab w:val="num" w:pos="360"/>
      </w:tabs>
      <w:ind w:left="360" w:hanging="360"/>
    </w:pPr>
  </w:style>
  <w:style w:type="paragraph" w:customStyle="1" w:styleId="Chapter7">
    <w:name w:val="Chapter 7"/>
    <w:basedOn w:val="Chapter6"/>
    <w:pPr>
      <w:numPr>
        <w:numId w:val="28"/>
      </w:numPr>
      <w:tabs>
        <w:tab w:val="clear" w:pos="737"/>
        <w:tab w:val="num" w:pos="360"/>
      </w:tabs>
      <w:ind w:left="360" w:hanging="360"/>
    </w:pPr>
  </w:style>
  <w:style w:type="paragraph" w:customStyle="1" w:styleId="Chapter9">
    <w:name w:val="Chapter 9"/>
    <w:basedOn w:val="Chapter7"/>
    <w:pPr>
      <w:numPr>
        <w:numId w:val="33"/>
      </w:numPr>
      <w:tabs>
        <w:tab w:val="clear" w:pos="737"/>
        <w:tab w:val="num" w:pos="360"/>
      </w:tabs>
      <w:ind w:left="360" w:hanging="360"/>
    </w:pPr>
  </w:style>
  <w:style w:type="paragraph" w:customStyle="1" w:styleId="Chapter10">
    <w:name w:val="Chapter 10"/>
    <w:basedOn w:val="Normal"/>
    <w:pPr>
      <w:numPr>
        <w:numId w:val="29"/>
      </w:numPr>
      <w:tabs>
        <w:tab w:val="left" w:pos="567"/>
      </w:tabs>
      <w:jc w:val="left"/>
    </w:pPr>
    <w:rPr>
      <w:lang w:val="en-NZ"/>
    </w:rPr>
  </w:style>
  <w:style w:type="paragraph" w:customStyle="1" w:styleId="Chapter8">
    <w:name w:val="Chapter 8"/>
    <w:basedOn w:val="Chapter9"/>
    <w:rPr>
      <w:lang w:val="en-NZ"/>
    </w:rPr>
  </w:style>
  <w:style w:type="paragraph" w:customStyle="1" w:styleId="Chapter1">
    <w:name w:val="Chapter 1"/>
    <w:basedOn w:val="Normal"/>
    <w:pPr>
      <w:numPr>
        <w:numId w:val="30"/>
      </w:numPr>
      <w:spacing w:before="120" w:after="120"/>
    </w:pPr>
    <w:rPr>
      <w:lang w:val="en-NZ"/>
    </w:rPr>
  </w:style>
  <w:style w:type="paragraph" w:customStyle="1" w:styleId="Chapter11">
    <w:name w:val="Chapter 11"/>
    <w:basedOn w:val="Chapter10"/>
    <w:pPr>
      <w:numPr>
        <w:numId w:val="32"/>
      </w:numPr>
      <w:tabs>
        <w:tab w:val="clear" w:pos="567"/>
        <w:tab w:val="clear" w:pos="737"/>
        <w:tab w:val="num" w:pos="360"/>
      </w:tabs>
      <w:spacing w:before="120" w:after="120"/>
      <w:ind w:left="360" w:hanging="360"/>
      <w:jc w:val="both"/>
    </w:pPr>
  </w:style>
  <w:style w:type="paragraph" w:customStyle="1" w:styleId="Indentbullet">
    <w:name w:val="Indent bullet"/>
    <w:basedOn w:val="BodyText"/>
    <w:pPr>
      <w:numPr>
        <w:numId w:val="34"/>
      </w:numPr>
      <w:spacing w:after="140"/>
    </w:pPr>
  </w:style>
  <w:style w:type="paragraph" w:customStyle="1" w:styleId="CharCharCharCharChar1">
    <w:name w:val="Char Char Char Char Char1"/>
    <w:basedOn w:val="Normal"/>
    <w:rsid w:val="00A72F11"/>
    <w:pPr>
      <w:spacing w:after="160" w:line="240" w:lineRule="exact"/>
      <w:jc w:val="left"/>
    </w:pPr>
    <w:rPr>
      <w:rFonts w:ascii="Verdana" w:hAnsi="Verdana"/>
      <w:sz w:val="20"/>
      <w:lang w:val="en-US" w:eastAsia="en-US"/>
    </w:rPr>
  </w:style>
  <w:style w:type="paragraph" w:customStyle="1" w:styleId="TRHeading1">
    <w:name w:val="_TRHeading 1"/>
    <w:next w:val="Normal"/>
    <w:rsid w:val="00A72F11"/>
    <w:pPr>
      <w:keepNext/>
      <w:widowControl w:val="0"/>
      <w:pBdr>
        <w:bottom w:val="single" w:sz="4" w:space="1" w:color="auto"/>
      </w:pBdr>
      <w:spacing w:before="720" w:after="360"/>
    </w:pPr>
    <w:rPr>
      <w:b/>
      <w:sz w:val="28"/>
      <w:lang w:eastAsia="en-AU"/>
    </w:rPr>
  </w:style>
  <w:style w:type="paragraph" w:styleId="ListBullet">
    <w:name w:val="List Bullet"/>
    <w:basedOn w:val="Normal"/>
    <w:rsid w:val="00043834"/>
    <w:pPr>
      <w:numPr>
        <w:numId w:val="35"/>
      </w:numPr>
    </w:pPr>
    <w:rPr>
      <w:szCs w:val="24"/>
      <w:lang w:val="en-NZ" w:eastAsia="en-NZ"/>
    </w:rPr>
  </w:style>
  <w:style w:type="paragraph" w:customStyle="1" w:styleId="Bullets">
    <w:name w:val="Bullets"/>
    <w:basedOn w:val="Normal"/>
    <w:rsid w:val="00B44B2E"/>
    <w:pPr>
      <w:numPr>
        <w:numId w:val="36"/>
      </w:numPr>
      <w:jc w:val="left"/>
    </w:pPr>
    <w:rPr>
      <w:szCs w:val="24"/>
      <w:lang w:val="en-AU"/>
    </w:rPr>
  </w:style>
  <w:style w:type="character" w:customStyle="1" w:styleId="Heading1Char1">
    <w:name w:val="Heading 1 Char1"/>
    <w:aliases w:val="Report Title Char,Heading 1 Char Char,Heading 1 Char2 Char1 Char,Heading 1 Char1 Char Char Char,Heading 1 Char Char Char Char Char,Heading 1 Char1 Char Char Char Char1 Char,Heading 1 Char Char Char Char Char Char1 Char"/>
    <w:basedOn w:val="DefaultParagraphFont"/>
    <w:link w:val="Heading1"/>
    <w:rsid w:val="003B53F6"/>
    <w:rPr>
      <w:b/>
      <w:caps/>
      <w:sz w:val="26"/>
      <w:lang w:val="en-NZ" w:eastAsia="en-AU" w:bidi="ar-SA"/>
    </w:rPr>
  </w:style>
  <w:style w:type="character" w:customStyle="1" w:styleId="BodyTextChar">
    <w:name w:val="Body Text Char"/>
    <w:basedOn w:val="DefaultParagraphFont"/>
    <w:link w:val="BodyText"/>
    <w:rsid w:val="00C662E9"/>
    <w:rPr>
      <w:sz w:val="24"/>
      <w:lang w:val="en-GB" w:eastAsia="en-AU" w:bidi="ar-SA"/>
    </w:rPr>
  </w:style>
  <w:style w:type="character" w:customStyle="1" w:styleId="Heading5Char1">
    <w:name w:val="Heading 5 Char1"/>
    <w:aliases w:val="Heading 5 Char Char,Heading 5 Char1 Char Char,Heading 5 Char Char Char Char"/>
    <w:basedOn w:val="DefaultParagraphFont"/>
    <w:link w:val="Heading5"/>
    <w:rsid w:val="00210DE8"/>
    <w:rPr>
      <w:b/>
      <w:sz w:val="26"/>
      <w:lang w:val="en-GB" w:eastAsia="en-AU" w:bidi="ar-SA"/>
    </w:rPr>
  </w:style>
  <w:style w:type="paragraph" w:styleId="BalloonText">
    <w:name w:val="Balloon Text"/>
    <w:basedOn w:val="Normal"/>
    <w:semiHidden/>
    <w:rsid w:val="00E36958"/>
    <w:rPr>
      <w:rFonts w:ascii="Tahoma" w:hAnsi="Tahoma" w:cs="Tahoma"/>
      <w:sz w:val="16"/>
      <w:szCs w:val="16"/>
    </w:rPr>
  </w:style>
  <w:style w:type="character" w:customStyle="1" w:styleId="Heading2Char">
    <w:name w:val="Heading 2 Char"/>
    <w:aliases w:val="Heading 2 Char1 Char,Heading 2 Char Char Char"/>
    <w:basedOn w:val="DefaultParagraphFont"/>
    <w:link w:val="Heading2"/>
    <w:rsid w:val="007C2865"/>
    <w:rPr>
      <w:b/>
      <w:sz w:val="24"/>
      <w:lang w:val="en-GB" w:eastAsia="en-AU" w:bidi="ar-SA"/>
    </w:rPr>
  </w:style>
  <w:style w:type="table" w:styleId="TableGrid">
    <w:name w:val="Table Grid"/>
    <w:basedOn w:val="TableNormal"/>
    <w:rsid w:val="007C2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ListBulletChar">
    <w:name w:val="_TRList Bullet Char"/>
    <w:basedOn w:val="DefaultParagraphFont"/>
    <w:link w:val="TRListBullet"/>
    <w:rsid w:val="0052585F"/>
    <w:rPr>
      <w:sz w:val="24"/>
      <w:lang w:eastAsia="en-AU"/>
    </w:rPr>
  </w:style>
  <w:style w:type="character" w:styleId="CommentReference">
    <w:name w:val="annotation reference"/>
    <w:basedOn w:val="DefaultParagraphFont"/>
    <w:semiHidden/>
    <w:rsid w:val="00B51C29"/>
    <w:rPr>
      <w:sz w:val="16"/>
      <w:szCs w:val="16"/>
    </w:rPr>
  </w:style>
  <w:style w:type="paragraph" w:styleId="CommentText">
    <w:name w:val="annotation text"/>
    <w:basedOn w:val="Normal"/>
    <w:link w:val="CommentTextChar"/>
    <w:uiPriority w:val="99"/>
    <w:semiHidden/>
    <w:rsid w:val="00B51C29"/>
    <w:rPr>
      <w:sz w:val="20"/>
    </w:rPr>
  </w:style>
  <w:style w:type="paragraph" w:styleId="ListParagraph">
    <w:name w:val="List Paragraph"/>
    <w:basedOn w:val="Normal"/>
    <w:uiPriority w:val="34"/>
    <w:qFormat/>
    <w:rsid w:val="00EF35AB"/>
    <w:pPr>
      <w:ind w:left="720"/>
      <w:contextualSpacing/>
    </w:pPr>
  </w:style>
  <w:style w:type="character" w:customStyle="1" w:styleId="CommentTextChar">
    <w:name w:val="Comment Text Char"/>
    <w:basedOn w:val="DefaultParagraphFont"/>
    <w:link w:val="CommentText"/>
    <w:uiPriority w:val="99"/>
    <w:semiHidden/>
    <w:rsid w:val="008105F1"/>
    <w:rPr>
      <w:lang w:val="en-GB" w:eastAsia="en-AU"/>
    </w:rPr>
  </w:style>
  <w:style w:type="character" w:styleId="Hyperlink">
    <w:name w:val="Hyperlink"/>
    <w:basedOn w:val="DefaultParagraphFont"/>
    <w:uiPriority w:val="99"/>
    <w:unhideWhenUsed/>
    <w:rsid w:val="00C410E0"/>
    <w:rPr>
      <w:color w:val="0000FF" w:themeColor="hyperlink"/>
      <w:u w:val="single"/>
    </w:rPr>
  </w:style>
  <w:style w:type="character" w:customStyle="1" w:styleId="label1">
    <w:name w:val="label1"/>
    <w:basedOn w:val="DefaultParagraphFont"/>
    <w:rsid w:val="002221C4"/>
  </w:style>
  <w:style w:type="character" w:customStyle="1" w:styleId="label2">
    <w:name w:val="label2"/>
    <w:basedOn w:val="DefaultParagraphFont"/>
    <w:rsid w:val="002221C4"/>
  </w:style>
  <w:style w:type="paragraph" w:customStyle="1" w:styleId="subprov1">
    <w:name w:val="subprov1"/>
    <w:basedOn w:val="Normal"/>
    <w:rsid w:val="002221C4"/>
    <w:pPr>
      <w:spacing w:before="83" w:after="216" w:line="288" w:lineRule="atLeast"/>
      <w:jc w:val="left"/>
    </w:pPr>
    <w:rPr>
      <w:szCs w:val="24"/>
      <w:lang w:val="en-NZ" w:eastAsia="en-NZ"/>
    </w:rPr>
  </w:style>
  <w:style w:type="paragraph" w:styleId="CommentSubject">
    <w:name w:val="annotation subject"/>
    <w:basedOn w:val="CommentText"/>
    <w:next w:val="CommentText"/>
    <w:link w:val="CommentSubjectChar"/>
    <w:uiPriority w:val="99"/>
    <w:semiHidden/>
    <w:unhideWhenUsed/>
    <w:rsid w:val="005659E6"/>
    <w:rPr>
      <w:b/>
      <w:bCs/>
    </w:rPr>
  </w:style>
  <w:style w:type="character" w:customStyle="1" w:styleId="CommentSubjectChar">
    <w:name w:val="Comment Subject Char"/>
    <w:basedOn w:val="CommentTextChar"/>
    <w:link w:val="CommentSubject"/>
    <w:uiPriority w:val="99"/>
    <w:semiHidden/>
    <w:rsid w:val="005659E6"/>
    <w:rPr>
      <w:b/>
      <w:bCs/>
      <w:lang w:val="en-GB" w:eastAsia="en-AU"/>
    </w:rPr>
  </w:style>
  <w:style w:type="paragraph" w:styleId="PlainText">
    <w:name w:val="Plain Text"/>
    <w:basedOn w:val="Normal"/>
    <w:link w:val="PlainTextChar"/>
    <w:uiPriority w:val="99"/>
    <w:unhideWhenUsed/>
    <w:rsid w:val="00A75DAA"/>
    <w:pPr>
      <w:jc w:val="left"/>
    </w:pPr>
    <w:rPr>
      <w:rFonts w:ascii="Verdana" w:eastAsiaTheme="minorHAnsi" w:hAnsi="Verdana" w:cstheme="minorBidi"/>
      <w:sz w:val="20"/>
      <w:szCs w:val="21"/>
      <w:lang w:val="en-NZ" w:eastAsia="en-US"/>
    </w:rPr>
  </w:style>
  <w:style w:type="character" w:customStyle="1" w:styleId="PlainTextChar">
    <w:name w:val="Plain Text Char"/>
    <w:basedOn w:val="DefaultParagraphFont"/>
    <w:link w:val="PlainText"/>
    <w:uiPriority w:val="99"/>
    <w:rsid w:val="00A75DAA"/>
    <w:rPr>
      <w:rFonts w:ascii="Verdana" w:eastAsiaTheme="minorHAnsi" w:hAnsi="Verdana" w:cstheme="minorBidi"/>
      <w:szCs w:val="21"/>
      <w:lang w:eastAsia="en-US"/>
    </w:rPr>
  </w:style>
  <w:style w:type="paragraph" w:styleId="Revision">
    <w:name w:val="Revision"/>
    <w:hidden/>
    <w:uiPriority w:val="99"/>
    <w:semiHidden/>
    <w:rsid w:val="0061452C"/>
    <w:rPr>
      <w:sz w:val="24"/>
      <w:lang w:val="en-GB" w:eastAsia="en-AU"/>
    </w:rPr>
  </w:style>
  <w:style w:type="character" w:customStyle="1" w:styleId="Heading4Char">
    <w:name w:val="Heading 4 Char"/>
    <w:basedOn w:val="DefaultParagraphFont"/>
    <w:link w:val="Heading4"/>
    <w:rsid w:val="00F91FB8"/>
    <w:rPr>
      <w:i/>
      <w:sz w:val="24"/>
      <w:lang w:val="en-GB" w:eastAsia="en-AU"/>
    </w:rPr>
  </w:style>
  <w:style w:type="character" w:customStyle="1" w:styleId="FooterChar">
    <w:name w:val="Footer Char"/>
    <w:basedOn w:val="DefaultParagraphFont"/>
    <w:link w:val="Footer"/>
    <w:uiPriority w:val="99"/>
    <w:rsid w:val="00E93C7F"/>
    <w:rPr>
      <w:sz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56956">
      <w:bodyDiv w:val="1"/>
      <w:marLeft w:val="0"/>
      <w:marRight w:val="0"/>
      <w:marTop w:val="0"/>
      <w:marBottom w:val="0"/>
      <w:divBdr>
        <w:top w:val="none" w:sz="0" w:space="0" w:color="auto"/>
        <w:left w:val="none" w:sz="0" w:space="0" w:color="auto"/>
        <w:bottom w:val="none" w:sz="0" w:space="0" w:color="auto"/>
        <w:right w:val="none" w:sz="0" w:space="0" w:color="auto"/>
      </w:divBdr>
    </w:div>
    <w:div w:id="361170008">
      <w:bodyDiv w:val="1"/>
      <w:marLeft w:val="0"/>
      <w:marRight w:val="0"/>
      <w:marTop w:val="0"/>
      <w:marBottom w:val="0"/>
      <w:divBdr>
        <w:top w:val="none" w:sz="0" w:space="0" w:color="auto"/>
        <w:left w:val="none" w:sz="0" w:space="0" w:color="auto"/>
        <w:bottom w:val="none" w:sz="0" w:space="0" w:color="auto"/>
        <w:right w:val="none" w:sz="0" w:space="0" w:color="auto"/>
      </w:divBdr>
    </w:div>
    <w:div w:id="405804741">
      <w:bodyDiv w:val="1"/>
      <w:marLeft w:val="0"/>
      <w:marRight w:val="0"/>
      <w:marTop w:val="0"/>
      <w:marBottom w:val="0"/>
      <w:divBdr>
        <w:top w:val="none" w:sz="0" w:space="0" w:color="auto"/>
        <w:left w:val="none" w:sz="0" w:space="0" w:color="auto"/>
        <w:bottom w:val="none" w:sz="0" w:space="0" w:color="auto"/>
        <w:right w:val="none" w:sz="0" w:space="0" w:color="auto"/>
      </w:divBdr>
    </w:div>
    <w:div w:id="487745767">
      <w:bodyDiv w:val="1"/>
      <w:marLeft w:val="48"/>
      <w:marRight w:val="48"/>
      <w:marTop w:val="48"/>
      <w:marBottom w:val="12"/>
      <w:divBdr>
        <w:top w:val="none" w:sz="0" w:space="0" w:color="auto"/>
        <w:left w:val="none" w:sz="0" w:space="0" w:color="auto"/>
        <w:bottom w:val="none" w:sz="0" w:space="0" w:color="auto"/>
        <w:right w:val="none" w:sz="0" w:space="0" w:color="auto"/>
      </w:divBdr>
      <w:divsChild>
        <w:div w:id="309791248">
          <w:marLeft w:val="0"/>
          <w:marRight w:val="0"/>
          <w:marTop w:val="0"/>
          <w:marBottom w:val="0"/>
          <w:divBdr>
            <w:top w:val="none" w:sz="0" w:space="0" w:color="auto"/>
            <w:left w:val="none" w:sz="0" w:space="0" w:color="auto"/>
            <w:bottom w:val="single" w:sz="4" w:space="1" w:color="auto"/>
            <w:right w:val="none" w:sz="0" w:space="0" w:color="auto"/>
          </w:divBdr>
        </w:div>
      </w:divsChild>
    </w:div>
    <w:div w:id="601259894">
      <w:bodyDiv w:val="1"/>
      <w:marLeft w:val="0"/>
      <w:marRight w:val="0"/>
      <w:marTop w:val="0"/>
      <w:marBottom w:val="0"/>
      <w:divBdr>
        <w:top w:val="none" w:sz="0" w:space="0" w:color="auto"/>
        <w:left w:val="none" w:sz="0" w:space="0" w:color="auto"/>
        <w:bottom w:val="none" w:sz="0" w:space="0" w:color="auto"/>
        <w:right w:val="none" w:sz="0" w:space="0" w:color="auto"/>
      </w:divBdr>
      <w:divsChild>
        <w:div w:id="1349210022">
          <w:marLeft w:val="0"/>
          <w:marRight w:val="0"/>
          <w:marTop w:val="0"/>
          <w:marBottom w:val="0"/>
          <w:divBdr>
            <w:top w:val="none" w:sz="0" w:space="0" w:color="auto"/>
            <w:left w:val="none" w:sz="0" w:space="0" w:color="auto"/>
            <w:bottom w:val="none" w:sz="0" w:space="0" w:color="auto"/>
            <w:right w:val="none" w:sz="0" w:space="0" w:color="auto"/>
          </w:divBdr>
          <w:divsChild>
            <w:div w:id="1427264820">
              <w:marLeft w:val="0"/>
              <w:marRight w:val="0"/>
              <w:marTop w:val="0"/>
              <w:marBottom w:val="0"/>
              <w:divBdr>
                <w:top w:val="none" w:sz="0" w:space="0" w:color="auto"/>
                <w:left w:val="none" w:sz="0" w:space="0" w:color="auto"/>
                <w:bottom w:val="none" w:sz="0" w:space="0" w:color="auto"/>
                <w:right w:val="none" w:sz="0" w:space="0" w:color="auto"/>
              </w:divBdr>
              <w:divsChild>
                <w:div w:id="1130709636">
                  <w:marLeft w:val="0"/>
                  <w:marRight w:val="0"/>
                  <w:marTop w:val="105"/>
                  <w:marBottom w:val="0"/>
                  <w:divBdr>
                    <w:top w:val="none" w:sz="0" w:space="0" w:color="auto"/>
                    <w:left w:val="none" w:sz="0" w:space="0" w:color="auto"/>
                    <w:bottom w:val="none" w:sz="0" w:space="0" w:color="auto"/>
                    <w:right w:val="none" w:sz="0" w:space="0" w:color="auto"/>
                  </w:divBdr>
                  <w:divsChild>
                    <w:div w:id="1671834025">
                      <w:marLeft w:val="450"/>
                      <w:marRight w:val="225"/>
                      <w:marTop w:val="0"/>
                      <w:marBottom w:val="0"/>
                      <w:divBdr>
                        <w:top w:val="none" w:sz="0" w:space="0" w:color="auto"/>
                        <w:left w:val="none" w:sz="0" w:space="0" w:color="auto"/>
                        <w:bottom w:val="none" w:sz="0" w:space="0" w:color="auto"/>
                        <w:right w:val="none" w:sz="0" w:space="0" w:color="auto"/>
                      </w:divBdr>
                      <w:divsChild>
                        <w:div w:id="447315899">
                          <w:marLeft w:val="0"/>
                          <w:marRight w:val="0"/>
                          <w:marTop w:val="0"/>
                          <w:marBottom w:val="600"/>
                          <w:divBdr>
                            <w:top w:val="single" w:sz="6" w:space="0" w:color="314664"/>
                            <w:left w:val="single" w:sz="6" w:space="0" w:color="314664"/>
                            <w:bottom w:val="single" w:sz="6" w:space="0" w:color="314664"/>
                            <w:right w:val="single" w:sz="6" w:space="0" w:color="314664"/>
                          </w:divBdr>
                          <w:divsChild>
                            <w:div w:id="518202575">
                              <w:marLeft w:val="0"/>
                              <w:marRight w:val="0"/>
                              <w:marTop w:val="0"/>
                              <w:marBottom w:val="0"/>
                              <w:divBdr>
                                <w:top w:val="none" w:sz="0" w:space="0" w:color="auto"/>
                                <w:left w:val="none" w:sz="0" w:space="0" w:color="auto"/>
                                <w:bottom w:val="none" w:sz="0" w:space="0" w:color="auto"/>
                                <w:right w:val="none" w:sz="0" w:space="0" w:color="auto"/>
                              </w:divBdr>
                              <w:divsChild>
                                <w:div w:id="1218277478">
                                  <w:marLeft w:val="0"/>
                                  <w:marRight w:val="0"/>
                                  <w:marTop w:val="0"/>
                                  <w:marBottom w:val="0"/>
                                  <w:divBdr>
                                    <w:top w:val="none" w:sz="0" w:space="0" w:color="auto"/>
                                    <w:left w:val="none" w:sz="0" w:space="0" w:color="auto"/>
                                    <w:bottom w:val="none" w:sz="0" w:space="0" w:color="auto"/>
                                    <w:right w:val="none" w:sz="0" w:space="0" w:color="auto"/>
                                  </w:divBdr>
                                  <w:divsChild>
                                    <w:div w:id="1613051339">
                                      <w:marLeft w:val="0"/>
                                      <w:marRight w:val="0"/>
                                      <w:marTop w:val="0"/>
                                      <w:marBottom w:val="0"/>
                                      <w:divBdr>
                                        <w:top w:val="none" w:sz="0" w:space="0" w:color="auto"/>
                                        <w:left w:val="none" w:sz="0" w:space="0" w:color="auto"/>
                                        <w:bottom w:val="none" w:sz="0" w:space="0" w:color="auto"/>
                                        <w:right w:val="none" w:sz="0" w:space="0" w:color="auto"/>
                                      </w:divBdr>
                                      <w:divsChild>
                                        <w:div w:id="1124152713">
                                          <w:marLeft w:val="0"/>
                                          <w:marRight w:val="0"/>
                                          <w:marTop w:val="0"/>
                                          <w:marBottom w:val="0"/>
                                          <w:divBdr>
                                            <w:top w:val="none" w:sz="0" w:space="0" w:color="auto"/>
                                            <w:left w:val="none" w:sz="0" w:space="0" w:color="auto"/>
                                            <w:bottom w:val="none" w:sz="0" w:space="0" w:color="auto"/>
                                            <w:right w:val="none" w:sz="0" w:space="0" w:color="auto"/>
                                          </w:divBdr>
                                          <w:divsChild>
                                            <w:div w:id="116148117">
                                              <w:marLeft w:val="0"/>
                                              <w:marRight w:val="0"/>
                                              <w:marTop w:val="0"/>
                                              <w:marBottom w:val="0"/>
                                              <w:divBdr>
                                                <w:top w:val="none" w:sz="0" w:space="0" w:color="auto"/>
                                                <w:left w:val="none" w:sz="0" w:space="0" w:color="auto"/>
                                                <w:bottom w:val="none" w:sz="0" w:space="0" w:color="auto"/>
                                                <w:right w:val="none" w:sz="0" w:space="0" w:color="auto"/>
                                              </w:divBdr>
                                              <w:divsChild>
                                                <w:div w:id="1316303896">
                                                  <w:marLeft w:val="0"/>
                                                  <w:marRight w:val="0"/>
                                                  <w:marTop w:val="0"/>
                                                  <w:marBottom w:val="0"/>
                                                  <w:divBdr>
                                                    <w:top w:val="none" w:sz="0" w:space="0" w:color="auto"/>
                                                    <w:left w:val="none" w:sz="0" w:space="0" w:color="auto"/>
                                                    <w:bottom w:val="none" w:sz="0" w:space="0" w:color="auto"/>
                                                    <w:right w:val="none" w:sz="0" w:space="0" w:color="auto"/>
                                                  </w:divBdr>
                                                  <w:divsChild>
                                                    <w:div w:id="257519265">
                                                      <w:marLeft w:val="0"/>
                                                      <w:marRight w:val="0"/>
                                                      <w:marTop w:val="0"/>
                                                      <w:marBottom w:val="0"/>
                                                      <w:divBdr>
                                                        <w:top w:val="none" w:sz="0" w:space="0" w:color="auto"/>
                                                        <w:left w:val="none" w:sz="0" w:space="0" w:color="auto"/>
                                                        <w:bottom w:val="none" w:sz="0" w:space="0" w:color="auto"/>
                                                        <w:right w:val="none" w:sz="0" w:space="0" w:color="auto"/>
                                                      </w:divBdr>
                                                      <w:divsChild>
                                                        <w:div w:id="1228809939">
                                                          <w:marLeft w:val="0"/>
                                                          <w:marRight w:val="0"/>
                                                          <w:marTop w:val="0"/>
                                                          <w:marBottom w:val="0"/>
                                                          <w:divBdr>
                                                            <w:top w:val="none" w:sz="0" w:space="0" w:color="auto"/>
                                                            <w:left w:val="none" w:sz="0" w:space="0" w:color="auto"/>
                                                            <w:bottom w:val="none" w:sz="0" w:space="0" w:color="auto"/>
                                                            <w:right w:val="none" w:sz="0" w:space="0" w:color="auto"/>
                                                          </w:divBdr>
                                                          <w:divsChild>
                                                            <w:div w:id="202596878">
                                                              <w:marLeft w:val="0"/>
                                                              <w:marRight w:val="0"/>
                                                              <w:marTop w:val="0"/>
                                                              <w:marBottom w:val="0"/>
                                                              <w:divBdr>
                                                                <w:top w:val="none" w:sz="0" w:space="0" w:color="auto"/>
                                                                <w:left w:val="none" w:sz="0" w:space="0" w:color="auto"/>
                                                                <w:bottom w:val="none" w:sz="0" w:space="0" w:color="auto"/>
                                                                <w:right w:val="none" w:sz="0" w:space="0" w:color="auto"/>
                                                              </w:divBdr>
                                                              <w:divsChild>
                                                                <w:div w:id="143782497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80987">
      <w:bodyDiv w:val="1"/>
      <w:marLeft w:val="0"/>
      <w:marRight w:val="0"/>
      <w:marTop w:val="0"/>
      <w:marBottom w:val="0"/>
      <w:divBdr>
        <w:top w:val="none" w:sz="0" w:space="0" w:color="auto"/>
        <w:left w:val="none" w:sz="0" w:space="0" w:color="auto"/>
        <w:bottom w:val="none" w:sz="0" w:space="0" w:color="auto"/>
        <w:right w:val="none" w:sz="0" w:space="0" w:color="auto"/>
      </w:divBdr>
    </w:div>
    <w:div w:id="691761224">
      <w:bodyDiv w:val="1"/>
      <w:marLeft w:val="0"/>
      <w:marRight w:val="0"/>
      <w:marTop w:val="0"/>
      <w:marBottom w:val="0"/>
      <w:divBdr>
        <w:top w:val="none" w:sz="0" w:space="0" w:color="auto"/>
        <w:left w:val="none" w:sz="0" w:space="0" w:color="auto"/>
        <w:bottom w:val="none" w:sz="0" w:space="0" w:color="auto"/>
        <w:right w:val="none" w:sz="0" w:space="0" w:color="auto"/>
      </w:divBdr>
    </w:div>
    <w:div w:id="934552573">
      <w:bodyDiv w:val="1"/>
      <w:marLeft w:val="48"/>
      <w:marRight w:val="48"/>
      <w:marTop w:val="48"/>
      <w:marBottom w:val="12"/>
      <w:divBdr>
        <w:top w:val="none" w:sz="0" w:space="0" w:color="auto"/>
        <w:left w:val="none" w:sz="0" w:space="0" w:color="auto"/>
        <w:bottom w:val="none" w:sz="0" w:space="0" w:color="auto"/>
        <w:right w:val="none" w:sz="0" w:space="0" w:color="auto"/>
      </w:divBdr>
      <w:divsChild>
        <w:div w:id="1389694848">
          <w:marLeft w:val="0"/>
          <w:marRight w:val="0"/>
          <w:marTop w:val="0"/>
          <w:marBottom w:val="0"/>
          <w:divBdr>
            <w:top w:val="none" w:sz="0" w:space="0" w:color="auto"/>
            <w:left w:val="none" w:sz="0" w:space="0" w:color="auto"/>
            <w:bottom w:val="none" w:sz="0" w:space="0" w:color="auto"/>
            <w:right w:val="none" w:sz="0" w:space="0" w:color="auto"/>
          </w:divBdr>
        </w:div>
      </w:divsChild>
    </w:div>
    <w:div w:id="948121366">
      <w:bodyDiv w:val="1"/>
      <w:marLeft w:val="0"/>
      <w:marRight w:val="0"/>
      <w:marTop w:val="0"/>
      <w:marBottom w:val="0"/>
      <w:divBdr>
        <w:top w:val="none" w:sz="0" w:space="0" w:color="auto"/>
        <w:left w:val="none" w:sz="0" w:space="0" w:color="auto"/>
        <w:bottom w:val="none" w:sz="0" w:space="0" w:color="auto"/>
        <w:right w:val="none" w:sz="0" w:space="0" w:color="auto"/>
      </w:divBdr>
    </w:div>
    <w:div w:id="1119298347">
      <w:bodyDiv w:val="1"/>
      <w:marLeft w:val="0"/>
      <w:marRight w:val="0"/>
      <w:marTop w:val="0"/>
      <w:marBottom w:val="0"/>
      <w:divBdr>
        <w:top w:val="none" w:sz="0" w:space="0" w:color="auto"/>
        <w:left w:val="none" w:sz="0" w:space="0" w:color="auto"/>
        <w:bottom w:val="none" w:sz="0" w:space="0" w:color="auto"/>
        <w:right w:val="none" w:sz="0" w:space="0" w:color="auto"/>
      </w:divBdr>
    </w:div>
    <w:div w:id="1255943718">
      <w:bodyDiv w:val="1"/>
      <w:marLeft w:val="0"/>
      <w:marRight w:val="0"/>
      <w:marTop w:val="0"/>
      <w:marBottom w:val="0"/>
      <w:divBdr>
        <w:top w:val="none" w:sz="0" w:space="0" w:color="auto"/>
        <w:left w:val="none" w:sz="0" w:space="0" w:color="auto"/>
        <w:bottom w:val="none" w:sz="0" w:space="0" w:color="auto"/>
        <w:right w:val="none" w:sz="0" w:space="0" w:color="auto"/>
      </w:divBdr>
    </w:div>
    <w:div w:id="1527869534">
      <w:bodyDiv w:val="1"/>
      <w:marLeft w:val="0"/>
      <w:marRight w:val="0"/>
      <w:marTop w:val="0"/>
      <w:marBottom w:val="0"/>
      <w:divBdr>
        <w:top w:val="none" w:sz="0" w:space="0" w:color="auto"/>
        <w:left w:val="none" w:sz="0" w:space="0" w:color="auto"/>
        <w:bottom w:val="none" w:sz="0" w:space="0" w:color="auto"/>
        <w:right w:val="none" w:sz="0" w:space="0" w:color="auto"/>
      </w:divBdr>
    </w:div>
    <w:div w:id="1544291481">
      <w:bodyDiv w:val="1"/>
      <w:marLeft w:val="0"/>
      <w:marRight w:val="0"/>
      <w:marTop w:val="0"/>
      <w:marBottom w:val="0"/>
      <w:divBdr>
        <w:top w:val="none" w:sz="0" w:space="0" w:color="auto"/>
        <w:left w:val="none" w:sz="0" w:space="0" w:color="auto"/>
        <w:bottom w:val="none" w:sz="0" w:space="0" w:color="auto"/>
        <w:right w:val="none" w:sz="0" w:space="0" w:color="auto"/>
      </w:divBdr>
    </w:div>
    <w:div w:id="1951432272">
      <w:bodyDiv w:val="1"/>
      <w:marLeft w:val="48"/>
      <w:marRight w:val="48"/>
      <w:marTop w:val="48"/>
      <w:marBottom w:val="12"/>
      <w:divBdr>
        <w:top w:val="none" w:sz="0" w:space="0" w:color="auto"/>
        <w:left w:val="none" w:sz="0" w:space="0" w:color="auto"/>
        <w:bottom w:val="none" w:sz="0" w:space="0" w:color="auto"/>
        <w:right w:val="none" w:sz="0" w:space="0" w:color="auto"/>
      </w:divBdr>
      <w:divsChild>
        <w:div w:id="206798189">
          <w:marLeft w:val="0"/>
          <w:marRight w:val="0"/>
          <w:marTop w:val="0"/>
          <w:marBottom w:val="0"/>
          <w:divBdr>
            <w:top w:val="none" w:sz="0" w:space="0" w:color="auto"/>
            <w:left w:val="none" w:sz="0" w:space="0" w:color="auto"/>
            <w:bottom w:val="none" w:sz="0" w:space="0" w:color="auto"/>
            <w:right w:val="none" w:sz="0" w:space="0" w:color="auto"/>
          </w:divBdr>
        </w:div>
        <w:div w:id="1246912085">
          <w:marLeft w:val="0"/>
          <w:marRight w:val="0"/>
          <w:marTop w:val="0"/>
          <w:marBottom w:val="0"/>
          <w:divBdr>
            <w:top w:val="none" w:sz="0" w:space="0" w:color="auto"/>
            <w:left w:val="none" w:sz="0" w:space="0" w:color="auto"/>
            <w:bottom w:val="none" w:sz="0" w:space="0" w:color="auto"/>
            <w:right w:val="none" w:sz="0" w:space="0" w:color="auto"/>
          </w:divBdr>
        </w:div>
        <w:div w:id="137908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taxpolicy.ird.govt.nz/how-we-develop-tax-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8328-9F5D-483C-BDF4-93D5271C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11793</Words>
  <Characters>67943</Characters>
  <Application>Microsoft Office Word</Application>
  <DocSecurity>0</DocSecurity>
  <Lines>2613</Lines>
  <Paragraphs>996</Paragraphs>
  <ScaleCrop>false</ScaleCrop>
  <HeadingPairs>
    <vt:vector size="2" baseType="variant">
      <vt:variant>
        <vt:lpstr>Title</vt:lpstr>
      </vt:variant>
      <vt:variant>
        <vt:i4>1</vt:i4>
      </vt:variant>
    </vt:vector>
  </HeadingPairs>
  <TitlesOfParts>
    <vt:vector size="1" baseType="lpstr">
      <vt:lpstr>Taxation (Land Information and Offshore Persons Information) Bill</vt:lpstr>
    </vt:vector>
  </TitlesOfParts>
  <Company>Inland Revenue</Company>
  <LinksUpToDate>false</LinksUpToDate>
  <CharactersWithSpaces>78740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(Land Information and Offshore Persons Information) Bill</dc:title>
  <dc:subject>Officials' report to Finance and Expenditure Committee on submissions on the bill</dc:subject>
  <dc:creator>Policy and Strategy</dc:creator>
  <cp:lastModifiedBy>Joanne Scott</cp:lastModifiedBy>
  <cp:revision>3</cp:revision>
  <cp:lastPrinted>2015-08-13T03:48:00Z</cp:lastPrinted>
  <dcterms:created xsi:type="dcterms:W3CDTF">2015-08-13T03:41:00Z</dcterms:created>
  <dcterms:modified xsi:type="dcterms:W3CDTF">2015-08-13T03:51:00Z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