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Default="001005B7" w:rsidP="001005B7">
      <w:pPr>
        <w:jc w:val="center"/>
        <w:rPr>
          <w:b/>
        </w:rPr>
      </w:pPr>
    </w:p>
    <w:p w:rsidR="00374B22" w:rsidRPr="006861E2" w:rsidRDefault="00374B22" w:rsidP="001005B7">
      <w:pPr>
        <w:jc w:val="center"/>
        <w:rPr>
          <w:b/>
        </w:rPr>
      </w:pPr>
    </w:p>
    <w:p w:rsidR="001005B7" w:rsidRPr="006861E2" w:rsidRDefault="001005B7" w:rsidP="001005B7">
      <w:pPr>
        <w:jc w:val="center"/>
        <w:rPr>
          <w:b/>
        </w:rPr>
      </w:pPr>
    </w:p>
    <w:p w:rsidR="001005B7" w:rsidRPr="006861E2" w:rsidRDefault="001005B7" w:rsidP="001005B7">
      <w:pPr>
        <w:jc w:val="center"/>
        <w:rPr>
          <w:b/>
        </w:rPr>
      </w:pPr>
    </w:p>
    <w:p w:rsidR="001005B7" w:rsidRPr="006861E2" w:rsidRDefault="001005B7" w:rsidP="001005B7">
      <w:pPr>
        <w:jc w:val="center"/>
        <w:rPr>
          <w:b/>
        </w:rPr>
      </w:pPr>
    </w:p>
    <w:p w:rsidR="001005B7" w:rsidRPr="006861E2" w:rsidRDefault="001A7DB1" w:rsidP="001005B7">
      <w:pPr>
        <w:pBdr>
          <w:bottom w:val="single" w:sz="4" w:space="5" w:color="auto"/>
        </w:pBdr>
        <w:jc w:val="center"/>
        <w:rPr>
          <w:sz w:val="68"/>
          <w:szCs w:val="68"/>
        </w:rPr>
      </w:pPr>
      <w:r w:rsidRPr="006861E2">
        <w:rPr>
          <w:sz w:val="68"/>
          <w:szCs w:val="68"/>
        </w:rPr>
        <w:t xml:space="preserve">Loss </w:t>
      </w:r>
      <w:r w:rsidR="0018008C" w:rsidRPr="006861E2">
        <w:rPr>
          <w:sz w:val="68"/>
          <w:szCs w:val="68"/>
        </w:rPr>
        <w:t xml:space="preserve">grouping </w:t>
      </w:r>
      <w:r w:rsidRPr="006861E2">
        <w:rPr>
          <w:sz w:val="68"/>
          <w:szCs w:val="68"/>
        </w:rPr>
        <w:t>and imputation credits</w:t>
      </w:r>
    </w:p>
    <w:p w:rsidR="001005B7" w:rsidRPr="006861E2" w:rsidRDefault="001005B7" w:rsidP="001005B7">
      <w:pPr>
        <w:jc w:val="center"/>
        <w:rPr>
          <w:b/>
          <w:sz w:val="40"/>
          <w:szCs w:val="40"/>
        </w:rPr>
      </w:pPr>
    </w:p>
    <w:p w:rsidR="001005B7" w:rsidRPr="006861E2" w:rsidRDefault="001005B7" w:rsidP="001005B7">
      <w:pPr>
        <w:jc w:val="center"/>
        <w:rPr>
          <w:i/>
          <w:sz w:val="28"/>
          <w:szCs w:val="28"/>
        </w:rPr>
      </w:pPr>
      <w:r w:rsidRPr="006861E2">
        <w:rPr>
          <w:i/>
          <w:sz w:val="28"/>
          <w:szCs w:val="28"/>
        </w:rPr>
        <w:t>An officials’ issues paper</w:t>
      </w:r>
    </w:p>
    <w:p w:rsidR="001005B7" w:rsidRPr="00D62A4D" w:rsidRDefault="001005B7" w:rsidP="00D62A4D">
      <w:pPr>
        <w:rPr>
          <w:szCs w:val="20"/>
        </w:rPr>
      </w:pPr>
    </w:p>
    <w:p w:rsidR="001005B7" w:rsidRPr="00D62A4D" w:rsidRDefault="001005B7" w:rsidP="00D62A4D"/>
    <w:p w:rsidR="001005B7" w:rsidRPr="00D62A4D" w:rsidRDefault="001005B7" w:rsidP="00D62A4D"/>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D730CF" w:rsidRPr="006861E2" w:rsidRDefault="00D730CF" w:rsidP="001005B7"/>
    <w:p w:rsidR="00D730CF" w:rsidRPr="006861E2" w:rsidRDefault="00D730CF" w:rsidP="001005B7"/>
    <w:p w:rsidR="00D730CF" w:rsidRPr="006861E2" w:rsidRDefault="00D730CF" w:rsidP="001005B7"/>
    <w:p w:rsidR="00D730CF" w:rsidRPr="006861E2" w:rsidRDefault="00D730CF"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D62A4D"/>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D730CF" w:rsidP="001005B7">
      <w:pPr>
        <w:tabs>
          <w:tab w:val="left" w:pos="6237"/>
        </w:tabs>
        <w:rPr>
          <w:sz w:val="28"/>
          <w:szCs w:val="28"/>
        </w:rPr>
      </w:pPr>
      <w:r w:rsidRPr="006861E2">
        <w:rPr>
          <w:sz w:val="28"/>
          <w:szCs w:val="28"/>
        </w:rPr>
        <w:t>Septe</w:t>
      </w:r>
      <w:r w:rsidR="00DF67D0" w:rsidRPr="006861E2">
        <w:rPr>
          <w:sz w:val="28"/>
          <w:szCs w:val="28"/>
        </w:rPr>
        <w:t>m</w:t>
      </w:r>
      <w:r w:rsidRPr="006861E2">
        <w:rPr>
          <w:sz w:val="28"/>
          <w:szCs w:val="28"/>
        </w:rPr>
        <w:t xml:space="preserve">ber </w:t>
      </w:r>
      <w:r w:rsidR="001A7DB1" w:rsidRPr="006861E2">
        <w:rPr>
          <w:sz w:val="28"/>
          <w:szCs w:val="28"/>
        </w:rPr>
        <w:t>201</w:t>
      </w:r>
      <w:r w:rsidR="0018008C" w:rsidRPr="006861E2">
        <w:rPr>
          <w:sz w:val="28"/>
          <w:szCs w:val="28"/>
        </w:rPr>
        <w:t>5</w:t>
      </w:r>
    </w:p>
    <w:p w:rsidR="001005B7" w:rsidRPr="006861E2" w:rsidRDefault="001005B7" w:rsidP="001005B7">
      <w:pPr>
        <w:tabs>
          <w:tab w:val="left" w:pos="6237"/>
        </w:tabs>
        <w:rPr>
          <w:sz w:val="28"/>
          <w:szCs w:val="28"/>
        </w:rPr>
      </w:pPr>
    </w:p>
    <w:p w:rsidR="001005B7" w:rsidRPr="006861E2" w:rsidRDefault="001005B7" w:rsidP="001005B7">
      <w:pPr>
        <w:tabs>
          <w:tab w:val="left" w:pos="6237"/>
        </w:tabs>
        <w:rPr>
          <w:sz w:val="28"/>
          <w:szCs w:val="28"/>
        </w:rPr>
      </w:pPr>
    </w:p>
    <w:p w:rsidR="001005B7" w:rsidRPr="006861E2" w:rsidRDefault="001005B7" w:rsidP="001005B7">
      <w:pPr>
        <w:tabs>
          <w:tab w:val="left" w:pos="6237"/>
        </w:tabs>
        <w:rPr>
          <w:i/>
        </w:rPr>
      </w:pPr>
      <w:r w:rsidRPr="006861E2">
        <w:rPr>
          <w:i/>
        </w:rPr>
        <w:t xml:space="preserve">Prepared by Policy </w:t>
      </w:r>
      <w:r w:rsidR="00B94457" w:rsidRPr="006861E2">
        <w:rPr>
          <w:i/>
        </w:rPr>
        <w:t>and Strategy</w:t>
      </w:r>
      <w:r w:rsidR="001A7DB1" w:rsidRPr="006861E2">
        <w:rPr>
          <w:i/>
        </w:rPr>
        <w:t>,</w:t>
      </w:r>
      <w:r w:rsidR="00B94457" w:rsidRPr="006861E2">
        <w:rPr>
          <w:i/>
        </w:rPr>
        <w:t xml:space="preserve"> </w:t>
      </w:r>
      <w:r w:rsidRPr="006861E2">
        <w:rPr>
          <w:i/>
        </w:rPr>
        <w:t xml:space="preserve">Inland Revenue </w:t>
      </w:r>
      <w:r w:rsidR="00C859EF" w:rsidRPr="006861E2">
        <w:rPr>
          <w:i/>
        </w:rPr>
        <w:t xml:space="preserve">and </w:t>
      </w:r>
      <w:proofErr w:type="gramStart"/>
      <w:r w:rsidR="00C859EF" w:rsidRPr="006861E2">
        <w:rPr>
          <w:i/>
        </w:rPr>
        <w:t>The</w:t>
      </w:r>
      <w:proofErr w:type="gramEnd"/>
      <w:r w:rsidR="00C859EF" w:rsidRPr="006861E2">
        <w:rPr>
          <w:i/>
        </w:rPr>
        <w:t xml:space="preserve"> Treasury</w:t>
      </w:r>
    </w:p>
    <w:p w:rsidR="001005B7" w:rsidRPr="006861E2" w:rsidRDefault="001005B7" w:rsidP="001005B7">
      <w:r w:rsidRPr="006861E2">
        <w:br w:type="page"/>
      </w:r>
    </w:p>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 w:rsidR="001005B7" w:rsidRPr="006861E2" w:rsidRDefault="001005B7" w:rsidP="001005B7">
      <w:pPr>
        <w:jc w:val="left"/>
        <w:rPr>
          <w:sz w:val="20"/>
        </w:rPr>
      </w:pPr>
      <w:proofErr w:type="gramStart"/>
      <w:r w:rsidRPr="006861E2">
        <w:rPr>
          <w:sz w:val="20"/>
        </w:rPr>
        <w:t>First published in</w:t>
      </w:r>
      <w:r w:rsidR="001A7DB1" w:rsidRPr="006861E2">
        <w:rPr>
          <w:sz w:val="20"/>
        </w:rPr>
        <w:t xml:space="preserve"> </w:t>
      </w:r>
      <w:r w:rsidR="00EB65F6" w:rsidRPr="006861E2">
        <w:rPr>
          <w:sz w:val="20"/>
        </w:rPr>
        <w:t xml:space="preserve">September </w:t>
      </w:r>
      <w:r w:rsidR="001A7DB1" w:rsidRPr="006861E2">
        <w:rPr>
          <w:sz w:val="20"/>
        </w:rPr>
        <w:t>201</w:t>
      </w:r>
      <w:r w:rsidR="0018008C" w:rsidRPr="006861E2">
        <w:rPr>
          <w:sz w:val="20"/>
        </w:rPr>
        <w:t>5</w:t>
      </w:r>
      <w:r w:rsidRPr="006861E2">
        <w:rPr>
          <w:sz w:val="20"/>
        </w:rPr>
        <w:t xml:space="preserve"> by Policy </w:t>
      </w:r>
      <w:r w:rsidR="00B94457" w:rsidRPr="006861E2">
        <w:rPr>
          <w:sz w:val="20"/>
        </w:rPr>
        <w:t>and Strategy</w:t>
      </w:r>
      <w:r w:rsidR="00F36FF2" w:rsidRPr="006861E2">
        <w:rPr>
          <w:sz w:val="20"/>
        </w:rPr>
        <w:t>,</w:t>
      </w:r>
      <w:r w:rsidRPr="006861E2">
        <w:rPr>
          <w:sz w:val="20"/>
        </w:rPr>
        <w:t xml:space="preserve"> Inland Revenue, </w:t>
      </w:r>
      <w:r w:rsidR="009368ED" w:rsidRPr="006861E2">
        <w:rPr>
          <w:sz w:val="20"/>
        </w:rPr>
        <w:t>P</w:t>
      </w:r>
      <w:r w:rsidRPr="006861E2">
        <w:rPr>
          <w:sz w:val="20"/>
        </w:rPr>
        <w:t>O Box 2198, Wellington</w:t>
      </w:r>
      <w:r w:rsidR="001B1FAA" w:rsidRPr="006861E2">
        <w:rPr>
          <w:sz w:val="20"/>
        </w:rPr>
        <w:t>, 6140</w:t>
      </w:r>
      <w:r w:rsidR="00F36FF2" w:rsidRPr="006861E2">
        <w:rPr>
          <w:sz w:val="20"/>
        </w:rPr>
        <w:t>.</w:t>
      </w:r>
      <w:proofErr w:type="gramEnd"/>
    </w:p>
    <w:p w:rsidR="001005B7" w:rsidRPr="006861E2" w:rsidRDefault="001005B7" w:rsidP="001005B7">
      <w:pPr>
        <w:jc w:val="left"/>
        <w:rPr>
          <w:sz w:val="20"/>
        </w:rPr>
      </w:pPr>
    </w:p>
    <w:p w:rsidR="001005B7" w:rsidRPr="006861E2" w:rsidRDefault="001A7DB1" w:rsidP="001A7DB1">
      <w:pPr>
        <w:rPr>
          <w:sz w:val="20"/>
        </w:rPr>
      </w:pPr>
      <w:proofErr w:type="gramStart"/>
      <w:r w:rsidRPr="006861E2">
        <w:rPr>
          <w:sz w:val="20"/>
        </w:rPr>
        <w:t xml:space="preserve">Loss </w:t>
      </w:r>
      <w:r w:rsidR="0018008C" w:rsidRPr="006861E2">
        <w:rPr>
          <w:sz w:val="20"/>
        </w:rPr>
        <w:t xml:space="preserve">grouping </w:t>
      </w:r>
      <w:r w:rsidRPr="006861E2">
        <w:rPr>
          <w:sz w:val="20"/>
        </w:rPr>
        <w:t xml:space="preserve">and imputation credits </w:t>
      </w:r>
      <w:r w:rsidR="001005B7" w:rsidRPr="006861E2">
        <w:rPr>
          <w:sz w:val="20"/>
        </w:rPr>
        <w:t>– an officials’ issues paper.</w:t>
      </w:r>
      <w:proofErr w:type="gramEnd"/>
    </w:p>
    <w:p w:rsidR="001005B7" w:rsidRPr="006861E2" w:rsidRDefault="001005B7" w:rsidP="001005B7">
      <w:pPr>
        <w:rPr>
          <w:sz w:val="20"/>
        </w:rPr>
      </w:pPr>
      <w:r w:rsidRPr="006861E2">
        <w:rPr>
          <w:sz w:val="20"/>
        </w:rPr>
        <w:t xml:space="preserve">ISBN </w:t>
      </w:r>
      <w:r w:rsidR="002C7D90" w:rsidRPr="006861E2">
        <w:rPr>
          <w:sz w:val="20"/>
        </w:rPr>
        <w:t>978-0-478-42418-8</w:t>
      </w:r>
    </w:p>
    <w:p w:rsidR="001005B7" w:rsidRPr="006861E2" w:rsidRDefault="001005B7" w:rsidP="001005B7">
      <w:pPr>
        <w:jc w:val="center"/>
        <w:rPr>
          <w:b/>
          <w:sz w:val="28"/>
          <w:szCs w:val="28"/>
        </w:rPr>
      </w:pPr>
      <w:r w:rsidRPr="006861E2">
        <w:br w:type="page"/>
      </w:r>
    </w:p>
    <w:p w:rsidR="002A788F" w:rsidRPr="006861E2" w:rsidRDefault="002A788F" w:rsidP="002A788F">
      <w:pPr>
        <w:jc w:val="center"/>
        <w:rPr>
          <w:b/>
          <w:sz w:val="28"/>
          <w:szCs w:val="28"/>
        </w:rPr>
      </w:pPr>
      <w:r w:rsidRPr="006861E2">
        <w:rPr>
          <w:b/>
          <w:sz w:val="28"/>
          <w:szCs w:val="28"/>
        </w:rPr>
        <w:lastRenderedPageBreak/>
        <w:t>CONTENTS</w:t>
      </w:r>
    </w:p>
    <w:p w:rsidR="002A788F" w:rsidRPr="006861E2" w:rsidRDefault="002A788F" w:rsidP="002A788F">
      <w:pPr>
        <w:jc w:val="center"/>
        <w:rPr>
          <w:b/>
          <w:sz w:val="28"/>
          <w:szCs w:val="28"/>
        </w:rPr>
      </w:pPr>
    </w:p>
    <w:p w:rsidR="004B3387" w:rsidRDefault="003F2097">
      <w:pPr>
        <w:pStyle w:val="TOC1"/>
        <w:rPr>
          <w:rFonts w:asciiTheme="minorHAnsi" w:eastAsiaTheme="minorEastAsia" w:hAnsiTheme="minorHAnsi" w:cstheme="minorBidi"/>
          <w:b w:val="0"/>
          <w:sz w:val="22"/>
          <w:szCs w:val="22"/>
        </w:rPr>
      </w:pPr>
      <w:r>
        <w:fldChar w:fldCharType="begin"/>
      </w:r>
      <w:r>
        <w:instrText xml:space="preserve"> TOC \h \z \t "Heading 1,2,Chapter heading,1" </w:instrText>
      </w:r>
      <w:r>
        <w:fldChar w:fldCharType="separate"/>
      </w:r>
      <w:hyperlink w:anchor="_Toc430002421" w:history="1">
        <w:r w:rsidR="004B3387" w:rsidRPr="00A3379E">
          <w:rPr>
            <w:rStyle w:val="Hyperlink"/>
          </w:rPr>
          <w:t>CHAPTER 1</w:t>
        </w:r>
        <w:r w:rsidR="004B3387">
          <w:rPr>
            <w:webHidden/>
          </w:rPr>
          <w:tab/>
        </w:r>
      </w:hyperlink>
      <w:hyperlink w:anchor="_Toc430002422" w:history="1">
        <w:r w:rsidR="004B3387" w:rsidRPr="00A3379E">
          <w:rPr>
            <w:rStyle w:val="Hyperlink"/>
          </w:rPr>
          <w:t>Introduction</w:t>
        </w:r>
        <w:r w:rsidR="004B3387">
          <w:rPr>
            <w:webHidden/>
          </w:rPr>
          <w:tab/>
        </w:r>
        <w:r w:rsidR="004B3387">
          <w:rPr>
            <w:webHidden/>
          </w:rPr>
          <w:fldChar w:fldCharType="begin"/>
        </w:r>
        <w:r w:rsidR="004B3387">
          <w:rPr>
            <w:webHidden/>
          </w:rPr>
          <w:instrText xml:space="preserve"> PAGEREF _Toc430002422 \h </w:instrText>
        </w:r>
        <w:r w:rsidR="004B3387">
          <w:rPr>
            <w:webHidden/>
          </w:rPr>
        </w:r>
        <w:r w:rsidR="004B3387">
          <w:rPr>
            <w:webHidden/>
          </w:rPr>
          <w:fldChar w:fldCharType="separate"/>
        </w:r>
        <w:r w:rsidR="00F90C53">
          <w:rPr>
            <w:webHidden/>
          </w:rPr>
          <w:t>1</w:t>
        </w:r>
        <w:r w:rsidR="004B3387">
          <w:rPr>
            <w:webHidden/>
          </w:rPr>
          <w:fldChar w:fldCharType="end"/>
        </w:r>
      </w:hyperlink>
    </w:p>
    <w:p w:rsidR="004B3387" w:rsidRDefault="00F90C53">
      <w:pPr>
        <w:pStyle w:val="TOC2"/>
        <w:rPr>
          <w:rFonts w:asciiTheme="minorHAnsi" w:eastAsiaTheme="minorEastAsia" w:hAnsiTheme="minorHAnsi" w:cstheme="minorBidi"/>
          <w:noProof/>
          <w:szCs w:val="22"/>
        </w:rPr>
      </w:pPr>
      <w:hyperlink w:anchor="_Toc430002423" w:history="1">
        <w:r w:rsidR="004B3387" w:rsidRPr="00A3379E">
          <w:rPr>
            <w:rStyle w:val="Hyperlink"/>
            <w:noProof/>
          </w:rPr>
          <w:t>How to make a submission</w:t>
        </w:r>
        <w:r w:rsidR="004B3387">
          <w:rPr>
            <w:noProof/>
            <w:webHidden/>
          </w:rPr>
          <w:tab/>
        </w:r>
        <w:r w:rsidR="004B3387">
          <w:rPr>
            <w:noProof/>
            <w:webHidden/>
          </w:rPr>
          <w:fldChar w:fldCharType="begin"/>
        </w:r>
        <w:r w:rsidR="004B3387">
          <w:rPr>
            <w:noProof/>
            <w:webHidden/>
          </w:rPr>
          <w:instrText xml:space="preserve"> PAGEREF _Toc430002423 \h </w:instrText>
        </w:r>
        <w:r w:rsidR="004B3387">
          <w:rPr>
            <w:noProof/>
            <w:webHidden/>
          </w:rPr>
        </w:r>
        <w:r w:rsidR="004B3387">
          <w:rPr>
            <w:noProof/>
            <w:webHidden/>
          </w:rPr>
          <w:fldChar w:fldCharType="separate"/>
        </w:r>
        <w:r>
          <w:rPr>
            <w:noProof/>
            <w:webHidden/>
          </w:rPr>
          <w:t>1</w:t>
        </w:r>
        <w:r w:rsidR="004B3387">
          <w:rPr>
            <w:noProof/>
            <w:webHidden/>
          </w:rPr>
          <w:fldChar w:fldCharType="end"/>
        </w:r>
      </w:hyperlink>
    </w:p>
    <w:p w:rsidR="004B3387" w:rsidRDefault="00F90C53">
      <w:pPr>
        <w:pStyle w:val="TOC1"/>
        <w:rPr>
          <w:rFonts w:asciiTheme="minorHAnsi" w:eastAsiaTheme="minorEastAsia" w:hAnsiTheme="minorHAnsi" w:cstheme="minorBidi"/>
          <w:b w:val="0"/>
          <w:sz w:val="22"/>
          <w:szCs w:val="22"/>
        </w:rPr>
      </w:pPr>
      <w:hyperlink w:anchor="_Toc430002424" w:history="1">
        <w:r w:rsidR="004B3387" w:rsidRPr="00A3379E">
          <w:rPr>
            <w:rStyle w:val="Hyperlink"/>
          </w:rPr>
          <w:t>CHAPTER 2</w:t>
        </w:r>
        <w:r w:rsidR="004B3387">
          <w:rPr>
            <w:webHidden/>
          </w:rPr>
          <w:tab/>
        </w:r>
      </w:hyperlink>
      <w:hyperlink w:anchor="_Toc430002425" w:history="1">
        <w:r w:rsidR="004B3387" w:rsidRPr="00A3379E">
          <w:rPr>
            <w:rStyle w:val="Hyperlink"/>
          </w:rPr>
          <w:t>The issue</w:t>
        </w:r>
        <w:r w:rsidR="004B3387">
          <w:rPr>
            <w:webHidden/>
          </w:rPr>
          <w:tab/>
        </w:r>
        <w:r w:rsidR="004B3387">
          <w:rPr>
            <w:webHidden/>
          </w:rPr>
          <w:fldChar w:fldCharType="begin"/>
        </w:r>
        <w:r w:rsidR="004B3387">
          <w:rPr>
            <w:webHidden/>
          </w:rPr>
          <w:instrText xml:space="preserve"> PAGEREF _Toc430002425 \h </w:instrText>
        </w:r>
        <w:r w:rsidR="004B3387">
          <w:rPr>
            <w:webHidden/>
          </w:rPr>
        </w:r>
        <w:r w:rsidR="004B3387">
          <w:rPr>
            <w:webHidden/>
          </w:rPr>
          <w:fldChar w:fldCharType="separate"/>
        </w:r>
        <w:r>
          <w:rPr>
            <w:webHidden/>
          </w:rPr>
          <w:t>3</w:t>
        </w:r>
        <w:r w:rsidR="004B3387">
          <w:rPr>
            <w:webHidden/>
          </w:rPr>
          <w:fldChar w:fldCharType="end"/>
        </w:r>
      </w:hyperlink>
    </w:p>
    <w:p w:rsidR="004B3387" w:rsidRDefault="00F90C53">
      <w:pPr>
        <w:pStyle w:val="TOC2"/>
        <w:rPr>
          <w:rFonts w:asciiTheme="minorHAnsi" w:eastAsiaTheme="minorEastAsia" w:hAnsiTheme="minorHAnsi" w:cstheme="minorBidi"/>
          <w:noProof/>
          <w:szCs w:val="22"/>
        </w:rPr>
      </w:pPr>
      <w:hyperlink w:anchor="_Toc430002426" w:history="1">
        <w:r w:rsidR="004B3387" w:rsidRPr="00A3379E">
          <w:rPr>
            <w:rStyle w:val="Hyperlink"/>
            <w:noProof/>
          </w:rPr>
          <w:t>Imputation rules</w:t>
        </w:r>
        <w:r w:rsidR="004B3387">
          <w:rPr>
            <w:noProof/>
            <w:webHidden/>
          </w:rPr>
          <w:tab/>
        </w:r>
        <w:r w:rsidR="004B3387">
          <w:rPr>
            <w:noProof/>
            <w:webHidden/>
          </w:rPr>
          <w:fldChar w:fldCharType="begin"/>
        </w:r>
        <w:r w:rsidR="004B3387">
          <w:rPr>
            <w:noProof/>
            <w:webHidden/>
          </w:rPr>
          <w:instrText xml:space="preserve"> PAGEREF _Toc430002426 \h </w:instrText>
        </w:r>
        <w:r w:rsidR="004B3387">
          <w:rPr>
            <w:noProof/>
            <w:webHidden/>
          </w:rPr>
        </w:r>
        <w:r w:rsidR="004B3387">
          <w:rPr>
            <w:noProof/>
            <w:webHidden/>
          </w:rPr>
          <w:fldChar w:fldCharType="separate"/>
        </w:r>
        <w:r>
          <w:rPr>
            <w:noProof/>
            <w:webHidden/>
          </w:rPr>
          <w:t>3</w:t>
        </w:r>
        <w:r w:rsidR="004B3387">
          <w:rPr>
            <w:noProof/>
            <w:webHidden/>
          </w:rPr>
          <w:fldChar w:fldCharType="end"/>
        </w:r>
      </w:hyperlink>
    </w:p>
    <w:p w:rsidR="004B3387" w:rsidRDefault="00F90C53">
      <w:pPr>
        <w:pStyle w:val="TOC2"/>
        <w:rPr>
          <w:rFonts w:asciiTheme="minorHAnsi" w:eastAsiaTheme="minorEastAsia" w:hAnsiTheme="minorHAnsi" w:cstheme="minorBidi"/>
          <w:noProof/>
          <w:szCs w:val="22"/>
        </w:rPr>
      </w:pPr>
      <w:hyperlink w:anchor="_Toc430002427" w:history="1">
        <w:r w:rsidR="004B3387" w:rsidRPr="00A3379E">
          <w:rPr>
            <w:rStyle w:val="Hyperlink"/>
            <w:noProof/>
          </w:rPr>
          <w:t>Loss grouping rules</w:t>
        </w:r>
        <w:r w:rsidR="004B3387">
          <w:rPr>
            <w:noProof/>
            <w:webHidden/>
          </w:rPr>
          <w:tab/>
        </w:r>
        <w:r w:rsidR="004B3387">
          <w:rPr>
            <w:noProof/>
            <w:webHidden/>
          </w:rPr>
          <w:fldChar w:fldCharType="begin"/>
        </w:r>
        <w:r w:rsidR="004B3387">
          <w:rPr>
            <w:noProof/>
            <w:webHidden/>
          </w:rPr>
          <w:instrText xml:space="preserve"> PAGEREF _Toc430002427 \h </w:instrText>
        </w:r>
        <w:r w:rsidR="004B3387">
          <w:rPr>
            <w:noProof/>
            <w:webHidden/>
          </w:rPr>
        </w:r>
        <w:r w:rsidR="004B3387">
          <w:rPr>
            <w:noProof/>
            <w:webHidden/>
          </w:rPr>
          <w:fldChar w:fldCharType="separate"/>
        </w:r>
        <w:r>
          <w:rPr>
            <w:noProof/>
            <w:webHidden/>
          </w:rPr>
          <w:t>4</w:t>
        </w:r>
        <w:r w:rsidR="004B3387">
          <w:rPr>
            <w:noProof/>
            <w:webHidden/>
          </w:rPr>
          <w:fldChar w:fldCharType="end"/>
        </w:r>
      </w:hyperlink>
    </w:p>
    <w:p w:rsidR="004B3387" w:rsidRDefault="00F90C53">
      <w:pPr>
        <w:pStyle w:val="TOC2"/>
        <w:rPr>
          <w:rFonts w:asciiTheme="minorHAnsi" w:eastAsiaTheme="minorEastAsia" w:hAnsiTheme="minorHAnsi" w:cstheme="minorBidi"/>
          <w:noProof/>
          <w:szCs w:val="22"/>
        </w:rPr>
      </w:pPr>
      <w:hyperlink w:anchor="_Toc430002428" w:history="1">
        <w:r w:rsidR="004B3387" w:rsidRPr="00A3379E">
          <w:rPr>
            <w:rStyle w:val="Hyperlink"/>
            <w:noProof/>
          </w:rPr>
          <w:t>Interaction of the two regimes</w:t>
        </w:r>
        <w:r w:rsidR="004B3387">
          <w:rPr>
            <w:noProof/>
            <w:webHidden/>
          </w:rPr>
          <w:tab/>
        </w:r>
        <w:r w:rsidR="004B3387">
          <w:rPr>
            <w:noProof/>
            <w:webHidden/>
          </w:rPr>
          <w:fldChar w:fldCharType="begin"/>
        </w:r>
        <w:r w:rsidR="004B3387">
          <w:rPr>
            <w:noProof/>
            <w:webHidden/>
          </w:rPr>
          <w:instrText xml:space="preserve"> PAGEREF _Toc430002428 \h </w:instrText>
        </w:r>
        <w:r w:rsidR="004B3387">
          <w:rPr>
            <w:noProof/>
            <w:webHidden/>
          </w:rPr>
        </w:r>
        <w:r w:rsidR="004B3387">
          <w:rPr>
            <w:noProof/>
            <w:webHidden/>
          </w:rPr>
          <w:fldChar w:fldCharType="separate"/>
        </w:r>
        <w:r>
          <w:rPr>
            <w:noProof/>
            <w:webHidden/>
          </w:rPr>
          <w:t>5</w:t>
        </w:r>
        <w:r w:rsidR="004B3387">
          <w:rPr>
            <w:noProof/>
            <w:webHidden/>
          </w:rPr>
          <w:fldChar w:fldCharType="end"/>
        </w:r>
      </w:hyperlink>
    </w:p>
    <w:p w:rsidR="004B3387" w:rsidRDefault="00F90C53">
      <w:pPr>
        <w:pStyle w:val="TOC2"/>
        <w:rPr>
          <w:rFonts w:asciiTheme="minorHAnsi" w:eastAsiaTheme="minorEastAsia" w:hAnsiTheme="minorHAnsi" w:cstheme="minorBidi"/>
          <w:noProof/>
          <w:szCs w:val="22"/>
        </w:rPr>
      </w:pPr>
      <w:hyperlink w:anchor="_Toc430002429" w:history="1">
        <w:r w:rsidR="004B3387" w:rsidRPr="00A3379E">
          <w:rPr>
            <w:rStyle w:val="Hyperlink"/>
            <w:noProof/>
          </w:rPr>
          <w:t>Why is there a need to address this issue?</w:t>
        </w:r>
        <w:r w:rsidR="004B3387">
          <w:rPr>
            <w:noProof/>
            <w:webHidden/>
          </w:rPr>
          <w:tab/>
        </w:r>
        <w:r w:rsidR="004B3387">
          <w:rPr>
            <w:noProof/>
            <w:webHidden/>
          </w:rPr>
          <w:fldChar w:fldCharType="begin"/>
        </w:r>
        <w:r w:rsidR="004B3387">
          <w:rPr>
            <w:noProof/>
            <w:webHidden/>
          </w:rPr>
          <w:instrText xml:space="preserve"> PAGEREF _Toc430002429 \h </w:instrText>
        </w:r>
        <w:r w:rsidR="004B3387">
          <w:rPr>
            <w:noProof/>
            <w:webHidden/>
          </w:rPr>
        </w:r>
        <w:r w:rsidR="004B3387">
          <w:rPr>
            <w:noProof/>
            <w:webHidden/>
          </w:rPr>
          <w:fldChar w:fldCharType="separate"/>
        </w:r>
        <w:r>
          <w:rPr>
            <w:noProof/>
            <w:webHidden/>
          </w:rPr>
          <w:t>7</w:t>
        </w:r>
        <w:r w:rsidR="004B3387">
          <w:rPr>
            <w:noProof/>
            <w:webHidden/>
          </w:rPr>
          <w:fldChar w:fldCharType="end"/>
        </w:r>
      </w:hyperlink>
    </w:p>
    <w:p w:rsidR="004B3387" w:rsidRDefault="00F90C53">
      <w:pPr>
        <w:pStyle w:val="TOC1"/>
        <w:rPr>
          <w:rFonts w:asciiTheme="minorHAnsi" w:eastAsiaTheme="minorEastAsia" w:hAnsiTheme="minorHAnsi" w:cstheme="minorBidi"/>
          <w:b w:val="0"/>
          <w:sz w:val="22"/>
          <w:szCs w:val="22"/>
        </w:rPr>
      </w:pPr>
      <w:hyperlink w:anchor="_Toc430002430" w:history="1">
        <w:r w:rsidR="004B3387" w:rsidRPr="00A3379E">
          <w:rPr>
            <w:rStyle w:val="Hyperlink"/>
          </w:rPr>
          <w:t>CHAPTER 3</w:t>
        </w:r>
        <w:r w:rsidR="004B3387">
          <w:rPr>
            <w:webHidden/>
          </w:rPr>
          <w:tab/>
        </w:r>
      </w:hyperlink>
      <w:hyperlink w:anchor="_Toc430002431" w:history="1">
        <w:r w:rsidR="004B3387" w:rsidRPr="00A3379E">
          <w:rPr>
            <w:rStyle w:val="Hyperlink"/>
          </w:rPr>
          <w:t>Suggested solution</w:t>
        </w:r>
        <w:r w:rsidR="004B3387">
          <w:rPr>
            <w:webHidden/>
          </w:rPr>
          <w:tab/>
        </w:r>
        <w:r w:rsidR="004B3387">
          <w:rPr>
            <w:webHidden/>
          </w:rPr>
          <w:fldChar w:fldCharType="begin"/>
        </w:r>
        <w:r w:rsidR="004B3387">
          <w:rPr>
            <w:webHidden/>
          </w:rPr>
          <w:instrText xml:space="preserve"> PAGEREF _Toc430002431 \h </w:instrText>
        </w:r>
        <w:r w:rsidR="004B3387">
          <w:rPr>
            <w:webHidden/>
          </w:rPr>
        </w:r>
        <w:r w:rsidR="004B3387">
          <w:rPr>
            <w:webHidden/>
          </w:rPr>
          <w:fldChar w:fldCharType="separate"/>
        </w:r>
        <w:r>
          <w:rPr>
            <w:webHidden/>
          </w:rPr>
          <w:t>9</w:t>
        </w:r>
        <w:r w:rsidR="004B3387">
          <w:rPr>
            <w:webHidden/>
          </w:rPr>
          <w:fldChar w:fldCharType="end"/>
        </w:r>
      </w:hyperlink>
    </w:p>
    <w:p w:rsidR="004B3387" w:rsidRDefault="00F90C53">
      <w:pPr>
        <w:pStyle w:val="TOC2"/>
        <w:rPr>
          <w:rFonts w:asciiTheme="minorHAnsi" w:eastAsiaTheme="minorEastAsia" w:hAnsiTheme="minorHAnsi" w:cstheme="minorBidi"/>
          <w:noProof/>
          <w:szCs w:val="22"/>
        </w:rPr>
      </w:pPr>
      <w:hyperlink w:anchor="_Toc430002432" w:history="1">
        <w:r w:rsidR="004B3387" w:rsidRPr="00A3379E">
          <w:rPr>
            <w:rStyle w:val="Hyperlink"/>
            <w:noProof/>
          </w:rPr>
          <w:t>Details of the suggested solution</w:t>
        </w:r>
        <w:r w:rsidR="004B3387">
          <w:rPr>
            <w:noProof/>
            <w:webHidden/>
          </w:rPr>
          <w:tab/>
        </w:r>
        <w:r w:rsidR="004B3387">
          <w:rPr>
            <w:noProof/>
            <w:webHidden/>
          </w:rPr>
          <w:fldChar w:fldCharType="begin"/>
        </w:r>
        <w:r w:rsidR="004B3387">
          <w:rPr>
            <w:noProof/>
            <w:webHidden/>
          </w:rPr>
          <w:instrText xml:space="preserve"> PAGEREF _Toc430002432 \h </w:instrText>
        </w:r>
        <w:r w:rsidR="004B3387">
          <w:rPr>
            <w:noProof/>
            <w:webHidden/>
          </w:rPr>
        </w:r>
        <w:r w:rsidR="004B3387">
          <w:rPr>
            <w:noProof/>
            <w:webHidden/>
          </w:rPr>
          <w:fldChar w:fldCharType="separate"/>
        </w:r>
        <w:r>
          <w:rPr>
            <w:noProof/>
            <w:webHidden/>
          </w:rPr>
          <w:t>11</w:t>
        </w:r>
        <w:r w:rsidR="004B3387">
          <w:rPr>
            <w:noProof/>
            <w:webHidden/>
          </w:rPr>
          <w:fldChar w:fldCharType="end"/>
        </w:r>
      </w:hyperlink>
    </w:p>
    <w:p w:rsidR="003F2097" w:rsidRPr="00D62A4D" w:rsidRDefault="003F2097" w:rsidP="00D62A4D">
      <w:r>
        <w:fldChar w:fldCharType="end"/>
      </w:r>
    </w:p>
    <w:p w:rsidR="003F2097" w:rsidRPr="003F2097" w:rsidRDefault="003F2097" w:rsidP="00D62A4D"/>
    <w:p w:rsidR="004B37FB" w:rsidRPr="006861E2" w:rsidRDefault="004B37FB" w:rsidP="00E253EA">
      <w:pPr>
        <w:jc w:val="center"/>
        <w:rPr>
          <w:b/>
        </w:rPr>
      </w:pPr>
    </w:p>
    <w:p w:rsidR="00725975" w:rsidRPr="006861E2" w:rsidRDefault="00725975" w:rsidP="00E253EA">
      <w:pPr>
        <w:jc w:val="center"/>
        <w:rPr>
          <w:b/>
        </w:rPr>
        <w:sectPr w:rsidR="00725975" w:rsidRPr="006861E2" w:rsidSect="008840A1">
          <w:footerReference w:type="even" r:id="rId9"/>
          <w:pgSz w:w="11906" w:h="16838" w:code="9"/>
          <w:pgMar w:top="1134" w:right="1797" w:bottom="567" w:left="1797" w:header="709" w:footer="709" w:gutter="0"/>
          <w:cols w:space="708"/>
          <w:titlePg/>
          <w:docGrid w:linePitch="360"/>
        </w:sectPr>
      </w:pPr>
    </w:p>
    <w:p w:rsidR="007809E0" w:rsidRPr="00D62A4D" w:rsidRDefault="00CD7C3C" w:rsidP="00EC0AB8">
      <w:pPr>
        <w:pStyle w:val="Chapterheading"/>
        <w:rPr>
          <w:b w:val="0"/>
          <w:bCs w:val="0"/>
          <w:caps/>
        </w:rPr>
      </w:pPr>
      <w:bookmarkStart w:id="0" w:name="_Toc147567992"/>
      <w:bookmarkStart w:id="1" w:name="_Toc414373045"/>
      <w:bookmarkStart w:id="2" w:name="_Toc414373795"/>
      <w:bookmarkStart w:id="3" w:name="_Toc424108906"/>
      <w:bookmarkStart w:id="4" w:name="_Toc424108983"/>
      <w:bookmarkStart w:id="5" w:name="_Toc429994487"/>
      <w:bookmarkStart w:id="6" w:name="_Toc429994567"/>
      <w:bookmarkStart w:id="7" w:name="_Toc430002421"/>
      <w:r w:rsidRPr="00D62A4D">
        <w:t xml:space="preserve">CHAPTER </w:t>
      </w:r>
      <w:r w:rsidR="00C15285" w:rsidRPr="00D62A4D">
        <w:t>1</w:t>
      </w:r>
      <w:bookmarkEnd w:id="0"/>
      <w:bookmarkEnd w:id="1"/>
      <w:bookmarkEnd w:id="2"/>
      <w:bookmarkEnd w:id="3"/>
      <w:bookmarkEnd w:id="4"/>
      <w:bookmarkEnd w:id="5"/>
      <w:bookmarkEnd w:id="6"/>
      <w:bookmarkEnd w:id="7"/>
    </w:p>
    <w:p w:rsidR="007809E0" w:rsidRPr="006861E2" w:rsidRDefault="007809E0" w:rsidP="00D10025">
      <w:pPr>
        <w:pStyle w:val="Chapterheading"/>
      </w:pPr>
    </w:p>
    <w:p w:rsidR="00EA330F" w:rsidRPr="00D62A4D" w:rsidRDefault="00E4123A" w:rsidP="00EC0AB8">
      <w:pPr>
        <w:pStyle w:val="Chapterheading"/>
        <w:rPr>
          <w:b w:val="0"/>
          <w:bCs w:val="0"/>
          <w:caps/>
        </w:rPr>
      </w:pPr>
      <w:bookmarkStart w:id="8" w:name="_Toc414373046"/>
      <w:bookmarkStart w:id="9" w:name="_Toc429994568"/>
      <w:bookmarkStart w:id="10" w:name="_Toc430002422"/>
      <w:r w:rsidRPr="00D62A4D">
        <w:t>Introduction</w:t>
      </w:r>
      <w:bookmarkEnd w:id="8"/>
      <w:bookmarkEnd w:id="9"/>
      <w:bookmarkEnd w:id="10"/>
    </w:p>
    <w:p w:rsidR="00EA330F" w:rsidRPr="006861E2" w:rsidRDefault="00EA330F" w:rsidP="00D62A4D">
      <w:pPr>
        <w:pStyle w:val="Chapter1"/>
        <w:numPr>
          <w:ilvl w:val="0"/>
          <w:numId w:val="0"/>
        </w:numPr>
        <w:ind w:left="851"/>
      </w:pPr>
    </w:p>
    <w:p w:rsidR="002152CE" w:rsidRPr="006861E2" w:rsidRDefault="002152CE" w:rsidP="00D62A4D">
      <w:pPr>
        <w:pStyle w:val="Chapter1"/>
        <w:numPr>
          <w:ilvl w:val="0"/>
          <w:numId w:val="0"/>
        </w:numPr>
        <w:ind w:left="851"/>
      </w:pPr>
    </w:p>
    <w:p w:rsidR="00E807BC" w:rsidRPr="006861E2" w:rsidRDefault="00F809D9">
      <w:pPr>
        <w:pStyle w:val="Chapter1"/>
      </w:pPr>
      <w:r w:rsidRPr="006861E2">
        <w:t>The transfer of losses from one company in a group to a profit-making company in the same group is a common business practice.  It reduces the profit</w:t>
      </w:r>
      <w:r w:rsidR="00FE73AD">
        <w:t xml:space="preserve"> </w:t>
      </w:r>
      <w:r w:rsidRPr="006861E2">
        <w:t xml:space="preserve">company’s </w:t>
      </w:r>
      <w:r w:rsidR="00206EDB" w:rsidRPr="006861E2">
        <w:t>taxable income and its tax liability</w:t>
      </w:r>
      <w:r w:rsidR="00DB27BE" w:rsidRPr="006861E2">
        <w:t xml:space="preserve"> while reducing the amount of losses the loss</w:t>
      </w:r>
      <w:r w:rsidR="00FE73AD">
        <w:t xml:space="preserve"> </w:t>
      </w:r>
      <w:r w:rsidR="00DB27BE" w:rsidRPr="006861E2">
        <w:t>company would otherwise carry forward to a future period</w:t>
      </w:r>
      <w:r w:rsidRPr="006861E2">
        <w:t>.</w:t>
      </w:r>
      <w:r w:rsidR="00DA18D2">
        <w:t xml:space="preserve">  It is commonly known as loss grouping.</w:t>
      </w:r>
    </w:p>
    <w:p w:rsidR="00F809D9" w:rsidRPr="00DA18D2" w:rsidRDefault="00F809D9" w:rsidP="00D62A4D">
      <w:pPr>
        <w:pStyle w:val="Chapter1"/>
        <w:numPr>
          <w:ilvl w:val="0"/>
          <w:numId w:val="0"/>
        </w:numPr>
        <w:ind w:left="851"/>
      </w:pPr>
    </w:p>
    <w:p w:rsidR="00F809D9" w:rsidRPr="006861E2" w:rsidRDefault="00F809D9">
      <w:pPr>
        <w:pStyle w:val="Chapter1"/>
      </w:pPr>
      <w:r w:rsidRPr="006861E2">
        <w:t xml:space="preserve">Another established practice is </w:t>
      </w:r>
      <w:r w:rsidR="00BA64D4" w:rsidRPr="006861E2">
        <w:t>attaching</w:t>
      </w:r>
      <w:r w:rsidRPr="006861E2">
        <w:t xml:space="preserve"> imputation credits</w:t>
      </w:r>
      <w:r w:rsidR="00BA64D4" w:rsidRPr="006861E2">
        <w:t xml:space="preserve"> to dividends paid by a company.  These represent</w:t>
      </w:r>
      <w:r w:rsidRPr="006861E2">
        <w:t xml:space="preserve"> tax already paid </w:t>
      </w:r>
      <w:r w:rsidR="00BA64D4" w:rsidRPr="006861E2">
        <w:t>by the company, or tax-paid income received by the company</w:t>
      </w:r>
      <w:r w:rsidRPr="006861E2">
        <w:t xml:space="preserve">.  A problem </w:t>
      </w:r>
      <w:r w:rsidR="00BA64D4" w:rsidRPr="006861E2">
        <w:t xml:space="preserve">can </w:t>
      </w:r>
      <w:r w:rsidRPr="006861E2">
        <w:t xml:space="preserve">arise for </w:t>
      </w:r>
      <w:r w:rsidR="00BA64D4" w:rsidRPr="006861E2">
        <w:t>a</w:t>
      </w:r>
      <w:r w:rsidRPr="006861E2">
        <w:t xml:space="preserve"> </w:t>
      </w:r>
      <w:r w:rsidR="00BA64D4" w:rsidRPr="006861E2">
        <w:t>profit</w:t>
      </w:r>
      <w:r w:rsidR="00FE73AD">
        <w:t xml:space="preserve"> </w:t>
      </w:r>
      <w:r w:rsidRPr="006861E2">
        <w:t>company</w:t>
      </w:r>
      <w:r w:rsidR="00BA64D4" w:rsidRPr="006861E2">
        <w:t xml:space="preserve"> following loss</w:t>
      </w:r>
      <w:r w:rsidR="00FE73AD">
        <w:t xml:space="preserve"> </w:t>
      </w:r>
      <w:r w:rsidR="00BA64D4" w:rsidRPr="006861E2">
        <w:t>grouping</w:t>
      </w:r>
      <w:r w:rsidR="00F56118" w:rsidRPr="006861E2">
        <w:t xml:space="preserve">. </w:t>
      </w:r>
      <w:r w:rsidR="00A266F1" w:rsidRPr="006861E2">
        <w:t xml:space="preserve"> </w:t>
      </w:r>
      <w:r w:rsidR="00F56118" w:rsidRPr="006861E2">
        <w:t>B</w:t>
      </w:r>
      <w:r w:rsidRPr="006861E2">
        <w:t xml:space="preserve">y reducing its tax </w:t>
      </w:r>
      <w:r w:rsidR="00BA64D4" w:rsidRPr="006861E2">
        <w:t>the profit</w:t>
      </w:r>
      <w:r w:rsidR="00FE73AD">
        <w:t xml:space="preserve"> </w:t>
      </w:r>
      <w:r w:rsidR="00BA64D4" w:rsidRPr="006861E2">
        <w:t xml:space="preserve">company </w:t>
      </w:r>
      <w:r w:rsidRPr="006861E2">
        <w:t>also has fewer imputation credits to pass on to shareholders.</w:t>
      </w:r>
    </w:p>
    <w:p w:rsidR="00A778E2" w:rsidRPr="00DA18D2" w:rsidRDefault="00A778E2" w:rsidP="00D62A4D">
      <w:pPr>
        <w:pStyle w:val="Chapter1"/>
        <w:numPr>
          <w:ilvl w:val="0"/>
          <w:numId w:val="0"/>
        </w:numPr>
        <w:ind w:left="851"/>
      </w:pPr>
    </w:p>
    <w:p w:rsidR="00AC2197" w:rsidRPr="006861E2" w:rsidRDefault="00206EDB">
      <w:pPr>
        <w:pStyle w:val="Chapter1"/>
      </w:pPr>
      <w:r w:rsidRPr="006861E2">
        <w:t>If the profit company is not wholly</w:t>
      </w:r>
      <w:r w:rsidR="00782620" w:rsidRPr="006861E2">
        <w:t xml:space="preserve"> </w:t>
      </w:r>
      <w:r w:rsidRPr="006861E2">
        <w:t xml:space="preserve">owned by another company, the lack of imputation credits </w:t>
      </w:r>
      <w:r w:rsidR="00174096" w:rsidRPr="006861E2">
        <w:t>may</w:t>
      </w:r>
      <w:r w:rsidRPr="006861E2">
        <w:t xml:space="preserve"> result in additional tax being payable by the shareholders of the profit company upon the payment of a partially imputed dividend.</w:t>
      </w:r>
      <w:r w:rsidR="00AC2197" w:rsidRPr="006861E2">
        <w:t xml:space="preserve">  This</w:t>
      </w:r>
      <w:r w:rsidR="00CB0B62" w:rsidRPr="006861E2">
        <w:t xml:space="preserve"> effectively</w:t>
      </w:r>
      <w:r w:rsidR="00AC2197" w:rsidRPr="006861E2">
        <w:t xml:space="preserve"> </w:t>
      </w:r>
      <w:r w:rsidR="00F809D9" w:rsidRPr="006861E2">
        <w:t xml:space="preserve">negates </w:t>
      </w:r>
      <w:r w:rsidR="00AC2197" w:rsidRPr="006861E2">
        <w:t>the benefit of loss grouping</w:t>
      </w:r>
      <w:r w:rsidR="0088037C" w:rsidRPr="006861E2">
        <w:t xml:space="preserve">, and </w:t>
      </w:r>
      <w:r w:rsidR="00174096" w:rsidRPr="006861E2">
        <w:t>can</w:t>
      </w:r>
      <w:r w:rsidR="001125D2" w:rsidRPr="006861E2">
        <w:t xml:space="preserve"> result in over-taxation of corporate profits.</w:t>
      </w:r>
    </w:p>
    <w:p w:rsidR="00AC2197" w:rsidRPr="006861E2" w:rsidRDefault="00AC2197" w:rsidP="00D62A4D">
      <w:pPr>
        <w:pStyle w:val="Chapter1"/>
        <w:numPr>
          <w:ilvl w:val="0"/>
          <w:numId w:val="0"/>
        </w:numPr>
        <w:ind w:left="851"/>
      </w:pPr>
    </w:p>
    <w:p w:rsidR="00AC2197" w:rsidRPr="006861E2" w:rsidRDefault="00206EDB">
      <w:pPr>
        <w:pStyle w:val="Chapter1"/>
      </w:pPr>
      <w:r w:rsidRPr="006861E2">
        <w:t>Because this issue does not arise when the profit company is wholly</w:t>
      </w:r>
      <w:r w:rsidR="00782620" w:rsidRPr="006861E2">
        <w:t xml:space="preserve"> </w:t>
      </w:r>
      <w:r w:rsidRPr="006861E2">
        <w:t>owned by a corporate parent (as a result of the inter</w:t>
      </w:r>
      <w:r w:rsidR="00240C80" w:rsidRPr="006861E2">
        <w:t>-</w:t>
      </w:r>
      <w:r w:rsidRPr="006861E2">
        <w:t xml:space="preserve">corporate dividend exemption), the current tax settings </w:t>
      </w:r>
      <w:r w:rsidR="00174096" w:rsidRPr="006861E2">
        <w:t xml:space="preserve">may </w:t>
      </w:r>
      <w:r w:rsidRPr="006861E2">
        <w:t>create a</w:t>
      </w:r>
      <w:r w:rsidR="002A29E3" w:rsidRPr="006861E2">
        <w:t>n</w:t>
      </w:r>
      <w:r w:rsidRPr="006861E2">
        <w:t xml:space="preserve"> incentive for 100</w:t>
      </w:r>
      <w:r w:rsidR="001C171C" w:rsidRPr="006861E2">
        <w:t xml:space="preserve"> percent</w:t>
      </w:r>
      <w:r w:rsidRPr="006861E2">
        <w:t xml:space="preserve">, rather than partial, </w:t>
      </w:r>
      <w:r w:rsidR="00AC2197" w:rsidRPr="006861E2">
        <w:t xml:space="preserve">corporate </w:t>
      </w:r>
      <w:r w:rsidRPr="006861E2">
        <w:t xml:space="preserve">acquisitions in circumstances where this </w:t>
      </w:r>
      <w:r w:rsidR="00174096" w:rsidRPr="006861E2">
        <w:t xml:space="preserve">may </w:t>
      </w:r>
      <w:r w:rsidRPr="006861E2">
        <w:t xml:space="preserve">not </w:t>
      </w:r>
      <w:r w:rsidR="00174096" w:rsidRPr="006861E2">
        <w:t xml:space="preserve">be </w:t>
      </w:r>
      <w:r w:rsidRPr="006861E2">
        <w:t>the most economically efficient outcome.</w:t>
      </w:r>
    </w:p>
    <w:p w:rsidR="00AC2197" w:rsidRPr="006861E2" w:rsidRDefault="00AC2197" w:rsidP="00D62A4D">
      <w:pPr>
        <w:pStyle w:val="Chapter1"/>
        <w:numPr>
          <w:ilvl w:val="0"/>
          <w:numId w:val="0"/>
        </w:numPr>
        <w:ind w:left="851"/>
      </w:pPr>
    </w:p>
    <w:p w:rsidR="00F809D9" w:rsidRPr="006861E2" w:rsidRDefault="00AC2197">
      <w:pPr>
        <w:pStyle w:val="Chapter1"/>
      </w:pPr>
      <w:r w:rsidRPr="006861E2">
        <w:t xml:space="preserve">This issues paper proposes </w:t>
      </w:r>
      <w:r w:rsidR="00174096" w:rsidRPr="006861E2">
        <w:t xml:space="preserve">that </w:t>
      </w:r>
      <w:r w:rsidRPr="006861E2">
        <w:t xml:space="preserve">a loss company </w:t>
      </w:r>
      <w:r w:rsidR="00174096" w:rsidRPr="006861E2">
        <w:t xml:space="preserve">be able </w:t>
      </w:r>
      <w:r w:rsidRPr="006861E2">
        <w:t xml:space="preserve">to transfer imputation credits to a profit company in conjunction with undertaking a loss offset.  The imputation credit transfer mechanism would allow the profit company to pay a fully imputed dividend despite engaging in loss grouping; thus removing </w:t>
      </w:r>
      <w:r w:rsidR="00174096" w:rsidRPr="006861E2">
        <w:t>any</w:t>
      </w:r>
      <w:r w:rsidRPr="006861E2">
        <w:t xml:space="preserve"> </w:t>
      </w:r>
      <w:r w:rsidR="00174096" w:rsidRPr="006861E2">
        <w:t xml:space="preserve">potential </w:t>
      </w:r>
      <w:r w:rsidRPr="006861E2">
        <w:t>economic distortions created by the existing rules.</w:t>
      </w:r>
      <w:r w:rsidR="00F809D9" w:rsidRPr="006861E2">
        <w:t xml:space="preserve">  This paper seeks readers’ views on whether the proposed solution is workable and appropriate.</w:t>
      </w:r>
    </w:p>
    <w:p w:rsidR="00373F5D" w:rsidRPr="006861E2" w:rsidRDefault="00373F5D" w:rsidP="00D62A4D">
      <w:pPr>
        <w:pStyle w:val="Chapter1"/>
        <w:numPr>
          <w:ilvl w:val="0"/>
          <w:numId w:val="0"/>
        </w:numPr>
        <w:ind w:left="851"/>
      </w:pPr>
    </w:p>
    <w:p w:rsidR="000C6914" w:rsidRPr="006861E2" w:rsidRDefault="000C6914" w:rsidP="00D62A4D">
      <w:pPr>
        <w:pStyle w:val="Chapter1"/>
        <w:numPr>
          <w:ilvl w:val="0"/>
          <w:numId w:val="0"/>
        </w:numPr>
        <w:ind w:left="851"/>
      </w:pPr>
    </w:p>
    <w:p w:rsidR="00373F5D" w:rsidRPr="00C555FE" w:rsidRDefault="007D3079" w:rsidP="00D62A4D">
      <w:pPr>
        <w:pStyle w:val="Heading1"/>
      </w:pPr>
      <w:bookmarkStart w:id="11" w:name="_Toc414373047"/>
      <w:bookmarkStart w:id="12" w:name="_Toc429994569"/>
      <w:bookmarkStart w:id="13" w:name="_Toc429994900"/>
      <w:bookmarkStart w:id="14" w:name="_Toc430002423"/>
      <w:r w:rsidRPr="00C555FE">
        <w:t>How to make a submission</w:t>
      </w:r>
      <w:bookmarkEnd w:id="11"/>
      <w:bookmarkEnd w:id="12"/>
      <w:bookmarkEnd w:id="13"/>
      <w:bookmarkEnd w:id="14"/>
    </w:p>
    <w:p w:rsidR="00373F5D" w:rsidRPr="006861E2" w:rsidRDefault="00373F5D" w:rsidP="00D62A4D">
      <w:pPr>
        <w:pStyle w:val="Chapter1"/>
        <w:numPr>
          <w:ilvl w:val="0"/>
          <w:numId w:val="0"/>
        </w:numPr>
        <w:ind w:left="851"/>
      </w:pPr>
    </w:p>
    <w:p w:rsidR="007D3079" w:rsidRPr="006861E2" w:rsidRDefault="007D3079">
      <w:pPr>
        <w:pStyle w:val="Chapter1"/>
      </w:pPr>
      <w:r w:rsidRPr="006861E2">
        <w:rPr>
          <w:lang w:eastAsia="en-NZ"/>
        </w:rPr>
        <w:t>You are invited to make a submission on the proposed re</w:t>
      </w:r>
      <w:r w:rsidR="00E4123A" w:rsidRPr="006861E2">
        <w:rPr>
          <w:lang w:eastAsia="en-NZ"/>
        </w:rPr>
        <w:t xml:space="preserve">forms and points raised in this </w:t>
      </w:r>
      <w:r w:rsidRPr="006861E2">
        <w:rPr>
          <w:lang w:eastAsia="en-NZ"/>
        </w:rPr>
        <w:t>issues paper.</w:t>
      </w:r>
      <w:r w:rsidR="00A266F1" w:rsidRPr="006861E2">
        <w:rPr>
          <w:lang w:eastAsia="en-NZ"/>
        </w:rPr>
        <w:t xml:space="preserve"> </w:t>
      </w:r>
      <w:r w:rsidRPr="006861E2">
        <w:rPr>
          <w:lang w:eastAsia="en-NZ"/>
        </w:rPr>
        <w:t xml:space="preserve"> Submissions should be addressed to:</w:t>
      </w:r>
    </w:p>
    <w:p w:rsidR="007D3079" w:rsidRPr="00DA18D2" w:rsidRDefault="007D3079" w:rsidP="00D62A4D">
      <w:pPr>
        <w:pStyle w:val="Chapter1"/>
        <w:numPr>
          <w:ilvl w:val="0"/>
          <w:numId w:val="0"/>
        </w:numPr>
        <w:ind w:left="851"/>
      </w:pPr>
    </w:p>
    <w:p w:rsidR="007D3079" w:rsidRPr="006861E2" w:rsidRDefault="007D3079" w:rsidP="00D62A4D">
      <w:pPr>
        <w:pStyle w:val="Chapter1"/>
        <w:numPr>
          <w:ilvl w:val="0"/>
          <w:numId w:val="0"/>
        </w:numPr>
        <w:ind w:left="851"/>
      </w:pPr>
      <w:r w:rsidRPr="003C3E33">
        <w:t xml:space="preserve">Loss </w:t>
      </w:r>
      <w:r w:rsidR="00275055" w:rsidRPr="006861E2">
        <w:t xml:space="preserve">grouping </w:t>
      </w:r>
      <w:r w:rsidRPr="006861E2">
        <w:t>and imputation credits</w:t>
      </w:r>
    </w:p>
    <w:p w:rsidR="007D3079" w:rsidRPr="006861E2" w:rsidRDefault="007D3079" w:rsidP="00D62A4D">
      <w:pPr>
        <w:pStyle w:val="Chapter1"/>
        <w:numPr>
          <w:ilvl w:val="0"/>
          <w:numId w:val="0"/>
        </w:numPr>
        <w:ind w:left="851"/>
      </w:pPr>
      <w:r w:rsidRPr="006861E2">
        <w:t>C/- Deputy Commissioner, Policy and Strategy</w:t>
      </w:r>
    </w:p>
    <w:p w:rsidR="007D3079" w:rsidRPr="006861E2" w:rsidRDefault="007D3079" w:rsidP="00D62A4D">
      <w:pPr>
        <w:pStyle w:val="Chapter1"/>
        <w:numPr>
          <w:ilvl w:val="0"/>
          <w:numId w:val="0"/>
        </w:numPr>
        <w:ind w:left="851"/>
      </w:pPr>
      <w:r w:rsidRPr="006861E2">
        <w:t>Inland Revenue Department</w:t>
      </w:r>
    </w:p>
    <w:p w:rsidR="007D3079" w:rsidRPr="006861E2" w:rsidRDefault="007D3079" w:rsidP="00D62A4D">
      <w:pPr>
        <w:pStyle w:val="Chapter1"/>
        <w:numPr>
          <w:ilvl w:val="0"/>
          <w:numId w:val="0"/>
        </w:numPr>
        <w:ind w:left="851"/>
      </w:pPr>
      <w:r w:rsidRPr="006861E2">
        <w:t>PO Box 2198</w:t>
      </w:r>
    </w:p>
    <w:p w:rsidR="007D3079" w:rsidRPr="006861E2" w:rsidRDefault="00E4123A" w:rsidP="00D62A4D">
      <w:pPr>
        <w:pStyle w:val="Chapter1"/>
        <w:numPr>
          <w:ilvl w:val="0"/>
          <w:numId w:val="0"/>
        </w:numPr>
        <w:ind w:left="851"/>
      </w:pPr>
      <w:r w:rsidRPr="006861E2">
        <w:t>Wellington 6140</w:t>
      </w:r>
    </w:p>
    <w:p w:rsidR="00E4123A" w:rsidRPr="006861E2" w:rsidRDefault="00E4123A" w:rsidP="00D62A4D">
      <w:pPr>
        <w:pStyle w:val="Chapter1"/>
        <w:numPr>
          <w:ilvl w:val="0"/>
          <w:numId w:val="0"/>
        </w:numPr>
        <w:ind w:left="851"/>
      </w:pPr>
    </w:p>
    <w:p w:rsidR="00E4123A" w:rsidRPr="006861E2" w:rsidRDefault="00E4123A" w:rsidP="00D62A4D">
      <w:pPr>
        <w:pStyle w:val="Chapter1"/>
        <w:rPr>
          <w:lang w:eastAsia="en-NZ"/>
        </w:rPr>
      </w:pPr>
      <w:r w:rsidRPr="006861E2">
        <w:rPr>
          <w:lang w:eastAsia="en-NZ"/>
        </w:rPr>
        <w:t>Alternatively, submissions can be made by emailing</w:t>
      </w:r>
      <w:r w:rsidR="007D3079" w:rsidRPr="006861E2">
        <w:rPr>
          <w:lang w:eastAsia="en-NZ"/>
        </w:rPr>
        <w:t xml:space="preserve"> policy.webmaster@ird.govt.nz with “Loss </w:t>
      </w:r>
      <w:r w:rsidR="00206EDB" w:rsidRPr="006861E2">
        <w:rPr>
          <w:lang w:eastAsia="en-NZ"/>
        </w:rPr>
        <w:t xml:space="preserve">grouping </w:t>
      </w:r>
      <w:r w:rsidRPr="006861E2">
        <w:rPr>
          <w:lang w:eastAsia="en-NZ"/>
        </w:rPr>
        <w:t>and imputation credits</w:t>
      </w:r>
      <w:r w:rsidR="007D3079" w:rsidRPr="006861E2">
        <w:rPr>
          <w:lang w:eastAsia="en-NZ"/>
        </w:rPr>
        <w:t>” in</w:t>
      </w:r>
      <w:r w:rsidRPr="006861E2">
        <w:rPr>
          <w:lang w:eastAsia="en-NZ"/>
        </w:rPr>
        <w:t xml:space="preserve"> </w:t>
      </w:r>
      <w:r w:rsidR="007D3079" w:rsidRPr="006861E2">
        <w:rPr>
          <w:lang w:eastAsia="en-NZ"/>
        </w:rPr>
        <w:t xml:space="preserve">the subject line. </w:t>
      </w:r>
      <w:r w:rsidR="00A266F1" w:rsidRPr="006861E2">
        <w:rPr>
          <w:lang w:eastAsia="en-NZ"/>
        </w:rPr>
        <w:t xml:space="preserve"> </w:t>
      </w:r>
      <w:r w:rsidR="007D3079" w:rsidRPr="006861E2">
        <w:rPr>
          <w:lang w:eastAsia="en-NZ"/>
        </w:rPr>
        <w:t>Electronic submissions are encouraged.</w:t>
      </w:r>
    </w:p>
    <w:p w:rsidR="00E4123A" w:rsidRPr="006861E2" w:rsidRDefault="00E4123A" w:rsidP="00D62A4D">
      <w:pPr>
        <w:pStyle w:val="Chapter1"/>
        <w:numPr>
          <w:ilvl w:val="0"/>
          <w:numId w:val="0"/>
        </w:numPr>
        <w:ind w:left="851"/>
        <w:rPr>
          <w:lang w:eastAsia="en-NZ"/>
        </w:rPr>
      </w:pPr>
    </w:p>
    <w:p w:rsidR="00E4123A" w:rsidRPr="006861E2" w:rsidRDefault="007D3079" w:rsidP="00D62A4D">
      <w:pPr>
        <w:pStyle w:val="Chapter1"/>
        <w:rPr>
          <w:lang w:eastAsia="en-NZ"/>
        </w:rPr>
      </w:pPr>
      <w:r w:rsidRPr="006861E2">
        <w:rPr>
          <w:lang w:eastAsia="en-NZ"/>
        </w:rPr>
        <w:t>The closing date</w:t>
      </w:r>
      <w:r w:rsidR="00E4123A" w:rsidRPr="006861E2">
        <w:rPr>
          <w:lang w:eastAsia="en-NZ"/>
        </w:rPr>
        <w:t xml:space="preserve"> </w:t>
      </w:r>
      <w:r w:rsidRPr="006861E2">
        <w:rPr>
          <w:lang w:eastAsia="en-NZ"/>
        </w:rPr>
        <w:t xml:space="preserve">for submissions is </w:t>
      </w:r>
      <w:r w:rsidR="0085522C">
        <w:rPr>
          <w:lang w:eastAsia="en-NZ"/>
        </w:rPr>
        <w:t xml:space="preserve">27 </w:t>
      </w:r>
      <w:r w:rsidR="0085522C">
        <w:rPr>
          <w:szCs w:val="20"/>
          <w:lang w:eastAsia="en-NZ"/>
        </w:rPr>
        <w:t xml:space="preserve">October </w:t>
      </w:r>
      <w:r w:rsidR="00275055" w:rsidRPr="006861E2">
        <w:rPr>
          <w:lang w:eastAsia="en-NZ"/>
        </w:rPr>
        <w:t>2015</w:t>
      </w:r>
      <w:r w:rsidRPr="006861E2">
        <w:rPr>
          <w:lang w:eastAsia="en-NZ"/>
        </w:rPr>
        <w:t>.</w:t>
      </w:r>
    </w:p>
    <w:p w:rsidR="00E4123A" w:rsidRPr="00DA18D2" w:rsidRDefault="00E4123A" w:rsidP="00D62A4D">
      <w:pPr>
        <w:pStyle w:val="Chapter1"/>
        <w:numPr>
          <w:ilvl w:val="0"/>
          <w:numId w:val="0"/>
        </w:numPr>
        <w:ind w:left="851"/>
      </w:pPr>
    </w:p>
    <w:p w:rsidR="00E4123A" w:rsidRPr="006861E2" w:rsidRDefault="007D3079" w:rsidP="00D62A4D">
      <w:pPr>
        <w:pStyle w:val="Chapter1"/>
        <w:rPr>
          <w:lang w:eastAsia="en-NZ"/>
        </w:rPr>
      </w:pPr>
      <w:r w:rsidRPr="006861E2">
        <w:rPr>
          <w:lang w:eastAsia="en-NZ"/>
        </w:rPr>
        <w:t>Submissions should include a brief summary of major points and</w:t>
      </w:r>
      <w:r w:rsidR="00E4123A" w:rsidRPr="006861E2">
        <w:rPr>
          <w:lang w:eastAsia="en-NZ"/>
        </w:rPr>
        <w:t xml:space="preserve"> </w:t>
      </w:r>
      <w:r w:rsidRPr="006861E2">
        <w:rPr>
          <w:lang w:eastAsia="en-NZ"/>
        </w:rPr>
        <w:t>recommendations.</w:t>
      </w:r>
      <w:r w:rsidR="00A266F1" w:rsidRPr="006861E2">
        <w:rPr>
          <w:lang w:eastAsia="en-NZ"/>
        </w:rPr>
        <w:t xml:space="preserve"> </w:t>
      </w:r>
      <w:r w:rsidRPr="006861E2">
        <w:rPr>
          <w:lang w:eastAsia="en-NZ"/>
        </w:rPr>
        <w:t xml:space="preserve"> They should also indicate whether the authors </w:t>
      </w:r>
      <w:r w:rsidR="00E4123A" w:rsidRPr="006861E2">
        <w:rPr>
          <w:lang w:eastAsia="en-NZ"/>
        </w:rPr>
        <w:t xml:space="preserve">are happy to be contacted by officials </w:t>
      </w:r>
      <w:r w:rsidRPr="006861E2">
        <w:rPr>
          <w:lang w:eastAsia="en-NZ"/>
        </w:rPr>
        <w:t>to discuss the points raised, if required.</w:t>
      </w:r>
    </w:p>
    <w:p w:rsidR="00E4123A" w:rsidRPr="006861E2" w:rsidRDefault="00E4123A" w:rsidP="00D62A4D">
      <w:pPr>
        <w:pStyle w:val="Chapter1"/>
        <w:numPr>
          <w:ilvl w:val="0"/>
          <w:numId w:val="0"/>
        </w:numPr>
        <w:ind w:left="851"/>
        <w:rPr>
          <w:lang w:eastAsia="en-NZ"/>
        </w:rPr>
      </w:pPr>
    </w:p>
    <w:p w:rsidR="00E4123A" w:rsidRPr="006861E2" w:rsidRDefault="007D3079" w:rsidP="00D62A4D">
      <w:pPr>
        <w:pStyle w:val="Chapter1"/>
        <w:rPr>
          <w:lang w:eastAsia="en-NZ"/>
        </w:rPr>
      </w:pPr>
      <w:r w:rsidRPr="006861E2">
        <w:rPr>
          <w:lang w:eastAsia="en-NZ"/>
        </w:rPr>
        <w:t>Submissions may be the subject of a request under the Official Information</w:t>
      </w:r>
      <w:r w:rsidR="00E4123A" w:rsidRPr="006861E2">
        <w:rPr>
          <w:lang w:eastAsia="en-NZ"/>
        </w:rPr>
        <w:t xml:space="preserve"> </w:t>
      </w:r>
      <w:r w:rsidRPr="006861E2">
        <w:rPr>
          <w:lang w:eastAsia="en-NZ"/>
        </w:rPr>
        <w:t>Act 1982, which may result in their release.</w:t>
      </w:r>
      <w:r w:rsidR="00A266F1" w:rsidRPr="006861E2">
        <w:rPr>
          <w:lang w:eastAsia="en-NZ"/>
        </w:rPr>
        <w:t xml:space="preserve"> </w:t>
      </w:r>
      <w:r w:rsidRPr="006861E2">
        <w:rPr>
          <w:lang w:eastAsia="en-NZ"/>
        </w:rPr>
        <w:t xml:space="preserve"> The withholding of particular</w:t>
      </w:r>
      <w:r w:rsidR="00E4123A" w:rsidRPr="006861E2">
        <w:rPr>
          <w:lang w:eastAsia="en-NZ"/>
        </w:rPr>
        <w:t xml:space="preserve"> </w:t>
      </w:r>
      <w:r w:rsidRPr="006861E2">
        <w:rPr>
          <w:lang w:eastAsia="en-NZ"/>
        </w:rPr>
        <w:t>submissions on the grounds of privacy, or for any other reason, will be</w:t>
      </w:r>
      <w:r w:rsidR="00E4123A" w:rsidRPr="006861E2">
        <w:rPr>
          <w:lang w:eastAsia="en-NZ"/>
        </w:rPr>
        <w:t xml:space="preserve"> </w:t>
      </w:r>
      <w:r w:rsidRPr="006861E2">
        <w:rPr>
          <w:lang w:eastAsia="en-NZ"/>
        </w:rPr>
        <w:t xml:space="preserve">determined in accordance with that Act. </w:t>
      </w:r>
      <w:r w:rsidR="00A266F1" w:rsidRPr="006861E2">
        <w:rPr>
          <w:lang w:eastAsia="en-NZ"/>
        </w:rPr>
        <w:t xml:space="preserve"> </w:t>
      </w:r>
      <w:r w:rsidR="00E4123A" w:rsidRPr="006861E2">
        <w:t>You should make it clear if you consider any part your submission should be withheld under the Official Information Act.</w:t>
      </w:r>
    </w:p>
    <w:p w:rsidR="007D3079" w:rsidRPr="00DA18D2" w:rsidRDefault="007D3079" w:rsidP="00D62A4D">
      <w:pPr>
        <w:pStyle w:val="Chapter1"/>
        <w:numPr>
          <w:ilvl w:val="0"/>
          <w:numId w:val="0"/>
        </w:numPr>
        <w:ind w:left="851"/>
      </w:pPr>
    </w:p>
    <w:p w:rsidR="002C7D90" w:rsidRPr="006861E2" w:rsidRDefault="002C7D90">
      <w:pPr>
        <w:jc w:val="left"/>
        <w:rPr>
          <w:rFonts w:ascii="Times New Roman Bold" w:hAnsi="Times New Roman Bold"/>
          <w:b/>
          <w:bCs/>
          <w:sz w:val="28"/>
          <w:szCs w:val="28"/>
        </w:rPr>
      </w:pPr>
      <w:r w:rsidRPr="006861E2">
        <w:br w:type="page"/>
      </w:r>
    </w:p>
    <w:p w:rsidR="00373F5D" w:rsidRPr="006861E2" w:rsidRDefault="001005B7">
      <w:pPr>
        <w:pStyle w:val="Chapterheading"/>
      </w:pPr>
      <w:bookmarkStart w:id="15" w:name="_Toc147567996"/>
      <w:bookmarkStart w:id="16" w:name="_Toc414373048"/>
      <w:bookmarkStart w:id="17" w:name="_Toc414373798"/>
      <w:bookmarkStart w:id="18" w:name="_Toc424108909"/>
      <w:bookmarkStart w:id="19" w:name="_Toc424108986"/>
      <w:bookmarkStart w:id="20" w:name="_Toc429994490"/>
      <w:bookmarkStart w:id="21" w:name="_Toc429994570"/>
      <w:bookmarkStart w:id="22" w:name="_Toc430002424"/>
      <w:r w:rsidRPr="00D62A4D">
        <w:t xml:space="preserve">CHAPTER </w:t>
      </w:r>
      <w:r w:rsidR="00373F5D" w:rsidRPr="00D62A4D">
        <w:t>2</w:t>
      </w:r>
      <w:bookmarkEnd w:id="15"/>
      <w:bookmarkEnd w:id="16"/>
      <w:bookmarkEnd w:id="17"/>
      <w:bookmarkEnd w:id="18"/>
      <w:bookmarkEnd w:id="19"/>
      <w:bookmarkEnd w:id="20"/>
      <w:bookmarkEnd w:id="21"/>
      <w:bookmarkEnd w:id="22"/>
    </w:p>
    <w:p w:rsidR="00373F5D" w:rsidRPr="006861E2" w:rsidRDefault="00373F5D">
      <w:pPr>
        <w:pStyle w:val="Chapterheading"/>
      </w:pPr>
    </w:p>
    <w:p w:rsidR="00373F5D" w:rsidRPr="006861E2" w:rsidRDefault="00162BB9">
      <w:pPr>
        <w:pStyle w:val="Chapterheading"/>
      </w:pPr>
      <w:bookmarkStart w:id="23" w:name="_Toc414373049"/>
      <w:bookmarkStart w:id="24" w:name="_Toc429994571"/>
      <w:bookmarkStart w:id="25" w:name="_Toc430002425"/>
      <w:r w:rsidRPr="00D62A4D">
        <w:t xml:space="preserve">The </w:t>
      </w:r>
      <w:bookmarkEnd w:id="23"/>
      <w:r w:rsidR="00B47B60" w:rsidRPr="00D62A4D">
        <w:t>issue</w:t>
      </w:r>
      <w:bookmarkEnd w:id="24"/>
      <w:bookmarkEnd w:id="25"/>
    </w:p>
    <w:p w:rsidR="00CA33EC" w:rsidRPr="00DA18D2" w:rsidRDefault="00CA33EC" w:rsidP="00D62A4D">
      <w:pPr>
        <w:pStyle w:val="Chapter2"/>
        <w:numPr>
          <w:ilvl w:val="0"/>
          <w:numId w:val="0"/>
        </w:numPr>
        <w:ind w:left="851"/>
      </w:pPr>
    </w:p>
    <w:p w:rsidR="00440B0B" w:rsidRPr="003C3E33" w:rsidRDefault="00440B0B" w:rsidP="00D62A4D">
      <w:pPr>
        <w:pStyle w:val="Chapter2"/>
        <w:numPr>
          <w:ilvl w:val="0"/>
          <w:numId w:val="0"/>
        </w:numPr>
        <w:ind w:left="851"/>
      </w:pPr>
    </w:p>
    <w:p w:rsidR="00C31518" w:rsidRPr="006861E2" w:rsidRDefault="00440B0B">
      <w:pPr>
        <w:pStyle w:val="Chapter2"/>
      </w:pPr>
      <w:r w:rsidRPr="006861E2">
        <w:t xml:space="preserve">This paper addresses an issue with </w:t>
      </w:r>
      <w:r w:rsidR="00DF5F47" w:rsidRPr="006861E2">
        <w:t xml:space="preserve">the interaction between </w:t>
      </w:r>
      <w:r w:rsidR="004E47F3" w:rsidRPr="006861E2">
        <w:t>two sets of taxation rules.</w:t>
      </w:r>
      <w:r w:rsidRPr="006861E2">
        <w:t xml:space="preserve"> </w:t>
      </w:r>
      <w:r w:rsidR="00A47855" w:rsidRPr="006861E2">
        <w:t xml:space="preserve"> </w:t>
      </w:r>
      <w:r w:rsidR="00271063" w:rsidRPr="006861E2">
        <w:t xml:space="preserve">The issue is </w:t>
      </w:r>
      <w:r w:rsidR="004E47F3" w:rsidRPr="006861E2">
        <w:t>outlined</w:t>
      </w:r>
      <w:r w:rsidR="00271063" w:rsidRPr="006861E2">
        <w:t xml:space="preserve"> below, and the </w:t>
      </w:r>
      <w:r w:rsidR="0089060D" w:rsidRPr="006861E2">
        <w:t>associated</w:t>
      </w:r>
      <w:r w:rsidR="00114F2B" w:rsidRPr="006861E2">
        <w:t xml:space="preserve"> </w:t>
      </w:r>
      <w:r w:rsidR="00271063" w:rsidRPr="006861E2">
        <w:t xml:space="preserve">consequences of it are also </w:t>
      </w:r>
      <w:r w:rsidR="004E47F3" w:rsidRPr="006861E2">
        <w:t>explained</w:t>
      </w:r>
      <w:r w:rsidR="00271063" w:rsidRPr="006861E2">
        <w:t xml:space="preserve">. </w:t>
      </w:r>
      <w:r w:rsidR="004E47F3" w:rsidRPr="006861E2">
        <w:t xml:space="preserve"> The two </w:t>
      </w:r>
      <w:r w:rsidR="006F5616" w:rsidRPr="006861E2">
        <w:t>set</w:t>
      </w:r>
      <w:r w:rsidR="00D66B84" w:rsidRPr="006861E2">
        <w:t>s</w:t>
      </w:r>
      <w:r w:rsidR="006F5616" w:rsidRPr="006861E2">
        <w:t xml:space="preserve"> of tax rules</w:t>
      </w:r>
      <w:r w:rsidR="00D66B84" w:rsidRPr="006861E2">
        <w:t xml:space="preserve"> which underlie this issue</w:t>
      </w:r>
      <w:r w:rsidR="004E47F3" w:rsidRPr="006861E2">
        <w:t xml:space="preserve"> are the loss grouping rules </w:t>
      </w:r>
      <w:r w:rsidR="00275055" w:rsidRPr="006861E2">
        <w:t xml:space="preserve">(found in subpart IC of the Income Tax Act 2007) </w:t>
      </w:r>
      <w:r w:rsidR="004E47F3" w:rsidRPr="006861E2">
        <w:t xml:space="preserve">and the imputation </w:t>
      </w:r>
      <w:r w:rsidR="00240C80" w:rsidRPr="006861E2">
        <w:t xml:space="preserve">rules </w:t>
      </w:r>
      <w:r w:rsidR="00275055" w:rsidRPr="006861E2">
        <w:t>(found in subpart OB of the Income Tax Act 2007)</w:t>
      </w:r>
      <w:r w:rsidR="004E47F3" w:rsidRPr="006861E2">
        <w:t>.</w:t>
      </w:r>
    </w:p>
    <w:p w:rsidR="00C31518" w:rsidRPr="006861E2" w:rsidRDefault="00C31518" w:rsidP="00D62A4D">
      <w:pPr>
        <w:pStyle w:val="Chapter2"/>
        <w:numPr>
          <w:ilvl w:val="0"/>
          <w:numId w:val="0"/>
        </w:numPr>
        <w:ind w:left="851"/>
      </w:pPr>
    </w:p>
    <w:p w:rsidR="00E807BC" w:rsidRPr="006861E2" w:rsidRDefault="00275055">
      <w:pPr>
        <w:pStyle w:val="Chapter2"/>
      </w:pPr>
      <w:r w:rsidRPr="006861E2">
        <w:t>When a profit company and loss company e</w:t>
      </w:r>
      <w:r w:rsidR="006F5616" w:rsidRPr="006861E2">
        <w:t>ngag</w:t>
      </w:r>
      <w:r w:rsidRPr="006861E2">
        <w:t>e</w:t>
      </w:r>
      <w:r w:rsidR="006F5616" w:rsidRPr="006861E2">
        <w:t xml:space="preserve"> in </w:t>
      </w:r>
      <w:r w:rsidR="00440B0B" w:rsidRPr="006861E2">
        <w:t xml:space="preserve">loss </w:t>
      </w:r>
      <w:r w:rsidR="00FD1E2F" w:rsidRPr="006861E2">
        <w:t>grouping</w:t>
      </w:r>
      <w:r w:rsidR="00E807BC" w:rsidRPr="006861E2">
        <w:t xml:space="preserve"> less income tax is paid </w:t>
      </w:r>
      <w:r w:rsidR="00FD1E2F" w:rsidRPr="006861E2">
        <w:t>which</w:t>
      </w:r>
      <w:r w:rsidR="00440B0B" w:rsidRPr="006861E2">
        <w:t xml:space="preserve"> </w:t>
      </w:r>
      <w:r w:rsidR="006F5616" w:rsidRPr="006861E2">
        <w:t>result</w:t>
      </w:r>
      <w:r w:rsidRPr="006861E2">
        <w:t>s</w:t>
      </w:r>
      <w:r w:rsidR="006F5616" w:rsidRPr="006861E2">
        <w:t xml:space="preserve"> in</w:t>
      </w:r>
      <w:r w:rsidR="004E47F3" w:rsidRPr="006861E2">
        <w:t xml:space="preserve"> </w:t>
      </w:r>
      <w:r w:rsidRPr="006861E2">
        <w:t>the</w:t>
      </w:r>
      <w:r w:rsidR="004E47F3" w:rsidRPr="006861E2">
        <w:t xml:space="preserve"> profit company </w:t>
      </w:r>
      <w:r w:rsidR="006F5616" w:rsidRPr="006861E2">
        <w:t>receiving</w:t>
      </w:r>
      <w:r w:rsidR="004E47F3" w:rsidRPr="006861E2">
        <w:t xml:space="preserve"> fewer imputation credits</w:t>
      </w:r>
      <w:r w:rsidR="006F5616" w:rsidRPr="006861E2">
        <w:t xml:space="preserve"> than it would have</w:t>
      </w:r>
      <w:r w:rsidR="00D82A32" w:rsidRPr="006861E2">
        <w:t xml:space="preserve"> had it not engaged in loss grouping</w:t>
      </w:r>
      <w:r w:rsidR="006F5616" w:rsidRPr="006861E2">
        <w:t>.</w:t>
      </w:r>
    </w:p>
    <w:p w:rsidR="00A778E2" w:rsidRPr="00DA18D2" w:rsidRDefault="00A778E2" w:rsidP="00D62A4D">
      <w:pPr>
        <w:pStyle w:val="Chapter2"/>
        <w:numPr>
          <w:ilvl w:val="0"/>
          <w:numId w:val="0"/>
        </w:numPr>
        <w:ind w:left="851"/>
      </w:pPr>
    </w:p>
    <w:p w:rsidR="006F5616" w:rsidRPr="006861E2" w:rsidRDefault="00F809D9">
      <w:pPr>
        <w:pStyle w:val="Chapter2"/>
      </w:pPr>
      <w:r w:rsidRPr="006861E2">
        <w:t>H</w:t>
      </w:r>
      <w:r w:rsidR="006F5616" w:rsidRPr="006861E2">
        <w:t xml:space="preserve">aving fewer imputation credits </w:t>
      </w:r>
      <w:r w:rsidR="00D82A32" w:rsidRPr="006861E2">
        <w:t xml:space="preserve">becomes </w:t>
      </w:r>
      <w:r w:rsidR="008A3661" w:rsidRPr="006861E2">
        <w:t>an issue</w:t>
      </w:r>
      <w:r w:rsidR="006F5616" w:rsidRPr="006861E2">
        <w:t xml:space="preserve"> when that profit company later chooses to pay a dividend to its shareholders</w:t>
      </w:r>
      <w:r w:rsidRPr="006861E2">
        <w:t xml:space="preserve"> and the companies are not wholly owned</w:t>
      </w:r>
      <w:r w:rsidR="006F5616" w:rsidRPr="006861E2">
        <w:t>.  Unless the profit company is wholly</w:t>
      </w:r>
      <w:r w:rsidR="00782620" w:rsidRPr="006861E2">
        <w:t xml:space="preserve"> </w:t>
      </w:r>
      <w:r w:rsidR="006F5616" w:rsidRPr="006861E2">
        <w:t>owned</w:t>
      </w:r>
      <w:r w:rsidR="00D82A32" w:rsidRPr="006861E2">
        <w:t xml:space="preserve"> by a corporate parent</w:t>
      </w:r>
      <w:r w:rsidR="006F5616" w:rsidRPr="006861E2">
        <w:t xml:space="preserve">, the dividend will be taxable, and the imputation credits </w:t>
      </w:r>
      <w:r w:rsidR="00D82A32" w:rsidRPr="006861E2">
        <w:t xml:space="preserve">in </w:t>
      </w:r>
      <w:r w:rsidR="006F5616" w:rsidRPr="006861E2">
        <w:t>the profit company</w:t>
      </w:r>
      <w:r w:rsidR="00D82A32" w:rsidRPr="006861E2">
        <w:t>’s imputation credit account</w:t>
      </w:r>
      <w:r w:rsidR="006F5616" w:rsidRPr="006861E2">
        <w:t xml:space="preserve"> will determine whether it is able to fully impute that dividend.</w:t>
      </w:r>
      <w:r w:rsidR="00D82A32" w:rsidRPr="006861E2">
        <w:t xml:space="preserve">  In </w:t>
      </w:r>
      <w:r w:rsidR="00E807BC" w:rsidRPr="006861E2">
        <w:t>some</w:t>
      </w:r>
      <w:r w:rsidR="00D82A32" w:rsidRPr="006861E2">
        <w:t xml:space="preserve"> cases, the profit company will have insufficient imputation credit</w:t>
      </w:r>
      <w:r w:rsidR="00240C80" w:rsidRPr="006861E2">
        <w:t>s</w:t>
      </w:r>
      <w:r w:rsidR="00D82A32" w:rsidRPr="006861E2">
        <w:t xml:space="preserve"> to enable it to pay a fully imputed dividend.  This results in a tax impost </w:t>
      </w:r>
      <w:r w:rsidRPr="006861E2">
        <w:t xml:space="preserve">for the shareholder </w:t>
      </w:r>
      <w:r w:rsidR="00D82A32" w:rsidRPr="006861E2">
        <w:t>upon distribution of the loss-sheltered profits</w:t>
      </w:r>
      <w:r w:rsidR="00240C80" w:rsidRPr="006861E2">
        <w:t>,</w:t>
      </w:r>
      <w:r w:rsidR="00D82A32" w:rsidRPr="006861E2">
        <w:t xml:space="preserve"> effectively clawing</w:t>
      </w:r>
      <w:r w:rsidR="00FE73AD">
        <w:t xml:space="preserve"> </w:t>
      </w:r>
      <w:r w:rsidR="00D82A32" w:rsidRPr="006861E2">
        <w:t>back the benefit of the loss grouping.</w:t>
      </w:r>
    </w:p>
    <w:p w:rsidR="006F5616" w:rsidRPr="006861E2" w:rsidRDefault="006F5616" w:rsidP="00D62A4D">
      <w:pPr>
        <w:pStyle w:val="Chapter2"/>
        <w:numPr>
          <w:ilvl w:val="0"/>
          <w:numId w:val="0"/>
        </w:numPr>
        <w:ind w:left="851"/>
      </w:pPr>
    </w:p>
    <w:p w:rsidR="006F5616" w:rsidRPr="00D62A4D" w:rsidRDefault="006F5616">
      <w:pPr>
        <w:pStyle w:val="Chapter2"/>
      </w:pPr>
      <w:r w:rsidRPr="006861E2">
        <w:t>This issues paper discusses whether this inability for non-wholly</w:t>
      </w:r>
      <w:r w:rsidR="00782620" w:rsidRPr="006861E2">
        <w:t xml:space="preserve"> </w:t>
      </w:r>
      <w:r w:rsidRPr="006861E2">
        <w:t xml:space="preserve">owned companies to fully impute dividends </w:t>
      </w:r>
      <w:r w:rsidR="00843466" w:rsidRPr="006861E2">
        <w:t>as a result of</w:t>
      </w:r>
      <w:r w:rsidRPr="006861E2">
        <w:t xml:space="preserve"> loss </w:t>
      </w:r>
      <w:r w:rsidR="00D82A32" w:rsidRPr="006861E2">
        <w:t xml:space="preserve">grouping </w:t>
      </w:r>
      <w:r w:rsidRPr="006861E2">
        <w:t>is appropriate</w:t>
      </w:r>
      <w:r w:rsidR="00D82A32" w:rsidRPr="006861E2">
        <w:t xml:space="preserve">; and, if not, what </w:t>
      </w:r>
      <w:r w:rsidR="00EB65F6" w:rsidRPr="006861E2">
        <w:t>a feasible</w:t>
      </w:r>
      <w:r w:rsidR="00D82A32" w:rsidRPr="006861E2">
        <w:t xml:space="preserve"> solution may be</w:t>
      </w:r>
      <w:r w:rsidRPr="006861E2">
        <w:t>.</w:t>
      </w:r>
    </w:p>
    <w:p w:rsidR="00271063" w:rsidRPr="00DA18D2" w:rsidRDefault="00271063" w:rsidP="00D62A4D">
      <w:pPr>
        <w:pStyle w:val="Chapter2"/>
        <w:numPr>
          <w:ilvl w:val="0"/>
          <w:numId w:val="0"/>
        </w:numPr>
        <w:ind w:left="851"/>
      </w:pPr>
    </w:p>
    <w:p w:rsidR="00271063" w:rsidRPr="006861E2" w:rsidRDefault="00D82A32">
      <w:pPr>
        <w:pStyle w:val="Chapter2"/>
      </w:pPr>
      <w:r w:rsidRPr="006861E2">
        <w:t xml:space="preserve">A brief discussion of the policy underlying the two sets of tax rules is set out </w:t>
      </w:r>
      <w:r w:rsidR="00271063" w:rsidRPr="006861E2">
        <w:t>below.</w:t>
      </w:r>
    </w:p>
    <w:p w:rsidR="00EF2B9D" w:rsidRPr="006861E2" w:rsidRDefault="00EF2B9D" w:rsidP="00D62A4D">
      <w:pPr>
        <w:pStyle w:val="Chapter2"/>
        <w:numPr>
          <w:ilvl w:val="0"/>
          <w:numId w:val="0"/>
        </w:numPr>
        <w:ind w:left="851"/>
      </w:pPr>
    </w:p>
    <w:p w:rsidR="000C6914" w:rsidRPr="006861E2" w:rsidRDefault="000C6914" w:rsidP="00D62A4D">
      <w:pPr>
        <w:pStyle w:val="Chapter2"/>
        <w:numPr>
          <w:ilvl w:val="0"/>
          <w:numId w:val="0"/>
        </w:numPr>
        <w:ind w:left="851"/>
      </w:pPr>
    </w:p>
    <w:p w:rsidR="00EF2B9D" w:rsidRPr="006861E2" w:rsidRDefault="00EF2B9D">
      <w:pPr>
        <w:pStyle w:val="Heading1"/>
      </w:pPr>
      <w:bookmarkStart w:id="26" w:name="_Toc429994572"/>
      <w:bookmarkStart w:id="27" w:name="_Toc429994901"/>
      <w:bookmarkStart w:id="28" w:name="_Toc430002426"/>
      <w:r w:rsidRPr="006861E2">
        <w:t xml:space="preserve">Imputation </w:t>
      </w:r>
      <w:r w:rsidR="00240C80" w:rsidRPr="006861E2">
        <w:t>rules</w:t>
      </w:r>
      <w:bookmarkEnd w:id="26"/>
      <w:bookmarkEnd w:id="27"/>
      <w:bookmarkEnd w:id="28"/>
    </w:p>
    <w:p w:rsidR="00EF2B9D" w:rsidRPr="00DA18D2" w:rsidRDefault="00EF2B9D" w:rsidP="00D62A4D">
      <w:pPr>
        <w:pStyle w:val="Chapter2"/>
        <w:numPr>
          <w:ilvl w:val="0"/>
          <w:numId w:val="0"/>
        </w:numPr>
        <w:ind w:left="851"/>
      </w:pPr>
    </w:p>
    <w:p w:rsidR="00EF2B9D" w:rsidRPr="006861E2" w:rsidRDefault="00D27A7B">
      <w:pPr>
        <w:pStyle w:val="Chapter2"/>
      </w:pPr>
      <w:r w:rsidRPr="006861E2">
        <w:t>Imputation is a mechanism that allow</w:t>
      </w:r>
      <w:r w:rsidR="00F809D9" w:rsidRPr="006861E2">
        <w:t>s</w:t>
      </w:r>
      <w:r w:rsidRPr="006861E2">
        <w:t xml:space="preserve"> </w:t>
      </w:r>
      <w:r w:rsidR="00D82A32" w:rsidRPr="006861E2">
        <w:t>the benefit of</w:t>
      </w:r>
      <w:r w:rsidRPr="006861E2">
        <w:t xml:space="preserve"> income tax paid at the company level to be passed through to shareholders </w:t>
      </w:r>
      <w:r w:rsidR="00F809D9" w:rsidRPr="006861E2">
        <w:t xml:space="preserve">by </w:t>
      </w:r>
      <w:r w:rsidR="00FB3A5B" w:rsidRPr="006861E2">
        <w:t xml:space="preserve">attaching imputation credits to </w:t>
      </w:r>
      <w:r w:rsidRPr="006861E2">
        <w:t>dividends paid by the company</w:t>
      </w:r>
      <w:r w:rsidR="00FB3A5B" w:rsidRPr="006861E2">
        <w:t xml:space="preserve"> to its shareholders</w:t>
      </w:r>
      <w:r w:rsidRPr="006861E2">
        <w:t xml:space="preserve">. </w:t>
      </w:r>
      <w:r w:rsidR="00EF2B9D" w:rsidRPr="006861E2">
        <w:t xml:space="preserve"> </w:t>
      </w:r>
      <w:r w:rsidRPr="006861E2">
        <w:t>Resident r</w:t>
      </w:r>
      <w:r w:rsidR="00EF2B9D" w:rsidRPr="006861E2">
        <w:t xml:space="preserve">ecipients of imputation credits </w:t>
      </w:r>
      <w:r w:rsidR="00F60658" w:rsidRPr="006861E2">
        <w:t>may use the credits to offset the amount of</w:t>
      </w:r>
      <w:r w:rsidR="00EF2B9D" w:rsidRPr="006861E2">
        <w:t xml:space="preserve"> tax </w:t>
      </w:r>
      <w:r w:rsidR="00F60658" w:rsidRPr="006861E2">
        <w:t>they would otherwise be liable to pay on those</w:t>
      </w:r>
      <w:r w:rsidR="00EF2B9D" w:rsidRPr="006861E2">
        <w:t xml:space="preserve"> dividends.</w:t>
      </w:r>
    </w:p>
    <w:p w:rsidR="00EF2B9D" w:rsidRPr="006861E2" w:rsidRDefault="00EF2B9D" w:rsidP="00D62A4D">
      <w:pPr>
        <w:pStyle w:val="Chapter2"/>
        <w:numPr>
          <w:ilvl w:val="0"/>
          <w:numId w:val="0"/>
        </w:numPr>
        <w:ind w:left="851"/>
      </w:pPr>
    </w:p>
    <w:p w:rsidR="000C6914" w:rsidRPr="00DA18D2" w:rsidRDefault="002277F2" w:rsidP="00D62A4D">
      <w:pPr>
        <w:pStyle w:val="Chapter2"/>
      </w:pPr>
      <w:r w:rsidRPr="006861E2">
        <w:t>D</w:t>
      </w:r>
      <w:r w:rsidR="00FA57A7" w:rsidRPr="006861E2">
        <w:t>ividends paid between members of wholly</w:t>
      </w:r>
      <w:r w:rsidR="00782620" w:rsidRPr="006861E2">
        <w:t xml:space="preserve"> </w:t>
      </w:r>
      <w:r w:rsidR="00FA57A7" w:rsidRPr="006861E2">
        <w:t xml:space="preserve">owned </w:t>
      </w:r>
      <w:r w:rsidR="00FB3A5B" w:rsidRPr="006861E2">
        <w:t xml:space="preserve">corporate </w:t>
      </w:r>
      <w:r w:rsidR="00FA57A7" w:rsidRPr="006861E2">
        <w:t>groups are generally exempt income</w:t>
      </w:r>
      <w:r w:rsidR="00600D39" w:rsidRPr="006861E2">
        <w:t xml:space="preserve"> (referred to as the inter</w:t>
      </w:r>
      <w:r w:rsidR="007F1449" w:rsidRPr="006861E2">
        <w:t>-</w:t>
      </w:r>
      <w:r w:rsidR="00600D39" w:rsidRPr="006861E2">
        <w:t>corporate dividend exemption)</w:t>
      </w:r>
      <w:r w:rsidR="00FA57A7" w:rsidRPr="006861E2">
        <w:t>.</w:t>
      </w:r>
    </w:p>
    <w:p w:rsidR="00790A2A" w:rsidRPr="00DA18D2" w:rsidRDefault="00790A2A" w:rsidP="00D62A4D">
      <w:pPr>
        <w:pStyle w:val="Chapter2"/>
        <w:numPr>
          <w:ilvl w:val="0"/>
          <w:numId w:val="0"/>
        </w:numPr>
        <w:ind w:left="851"/>
      </w:pPr>
    </w:p>
    <w:p w:rsidR="00790A2A" w:rsidRPr="003C3E33" w:rsidRDefault="00790A2A" w:rsidP="00D62A4D">
      <w:pPr>
        <w:pStyle w:val="Chapter2"/>
        <w:numPr>
          <w:ilvl w:val="0"/>
          <w:numId w:val="0"/>
        </w:numPr>
        <w:ind w:left="851"/>
      </w:pPr>
    </w:p>
    <w:p w:rsidR="006861E2" w:rsidRPr="006861E2" w:rsidRDefault="006861E2">
      <w:pPr>
        <w:jc w:val="left"/>
        <w:rPr>
          <w:rFonts w:ascii="Times New Roman Bold" w:hAnsi="Times New Roman Bold"/>
          <w:b/>
        </w:rPr>
      </w:pPr>
      <w:r w:rsidRPr="006861E2">
        <w:br w:type="page"/>
      </w:r>
    </w:p>
    <w:p w:rsidR="00BB25E1" w:rsidRPr="006861E2" w:rsidRDefault="0094273D">
      <w:pPr>
        <w:pStyle w:val="Heading1"/>
      </w:pPr>
      <w:bookmarkStart w:id="29" w:name="_Toc429994573"/>
      <w:bookmarkStart w:id="30" w:name="_Toc429994902"/>
      <w:bookmarkStart w:id="31" w:name="_Toc430002427"/>
      <w:r w:rsidRPr="006861E2">
        <w:t>Loss grouping rules</w:t>
      </w:r>
      <w:bookmarkEnd w:id="29"/>
      <w:bookmarkEnd w:id="30"/>
      <w:bookmarkEnd w:id="31"/>
    </w:p>
    <w:p w:rsidR="00A245C4" w:rsidRPr="006861E2" w:rsidRDefault="00A245C4" w:rsidP="00D62A4D">
      <w:pPr>
        <w:pStyle w:val="Chapter2"/>
        <w:numPr>
          <w:ilvl w:val="0"/>
          <w:numId w:val="0"/>
        </w:numPr>
        <w:ind w:left="851"/>
      </w:pPr>
    </w:p>
    <w:p w:rsidR="00D213BB" w:rsidRPr="006861E2" w:rsidRDefault="00D213BB">
      <w:pPr>
        <w:pStyle w:val="Chapter2"/>
      </w:pPr>
      <w:r w:rsidRPr="006861E2">
        <w:t xml:space="preserve">The Income Tax Act 2007 permits the sharing of losses between companies that are in the same </w:t>
      </w:r>
      <w:r w:rsidR="005F6830" w:rsidRPr="006861E2">
        <w:t>“</w:t>
      </w:r>
      <w:r w:rsidRPr="006861E2">
        <w:t>group of companies</w:t>
      </w:r>
      <w:r w:rsidR="005F6830" w:rsidRPr="006861E2">
        <w:t>”, that is, they have at least 66</w:t>
      </w:r>
      <w:r w:rsidR="00D62A4D">
        <w:t> </w:t>
      </w:r>
      <w:r w:rsidR="00C0268B" w:rsidRPr="006861E2">
        <w:t>percent</w:t>
      </w:r>
      <w:r w:rsidR="005F6830" w:rsidRPr="006861E2">
        <w:t xml:space="preserve"> common ownership</w:t>
      </w:r>
      <w:r w:rsidRPr="006861E2">
        <w:t xml:space="preserve">.  If a company has made a loss it may elect to </w:t>
      </w:r>
      <w:r w:rsidR="004E5801" w:rsidRPr="006861E2">
        <w:t>make</w:t>
      </w:r>
      <w:r w:rsidRPr="006861E2">
        <w:t xml:space="preserve"> </w:t>
      </w:r>
      <w:r w:rsidR="00F60658" w:rsidRPr="006861E2">
        <w:t xml:space="preserve">the benefit of the loss </w:t>
      </w:r>
      <w:r w:rsidR="004E5801" w:rsidRPr="006861E2">
        <w:t xml:space="preserve">available </w:t>
      </w:r>
      <w:r w:rsidR="00F60658" w:rsidRPr="006861E2">
        <w:t xml:space="preserve">to </w:t>
      </w:r>
      <w:r w:rsidRPr="006861E2">
        <w:t>another group company that is in profit.</w:t>
      </w:r>
    </w:p>
    <w:p w:rsidR="00F60658" w:rsidRPr="006861E2" w:rsidRDefault="00F60658" w:rsidP="00D62A4D">
      <w:pPr>
        <w:pStyle w:val="Chapter2"/>
        <w:numPr>
          <w:ilvl w:val="0"/>
          <w:numId w:val="0"/>
        </w:numPr>
        <w:ind w:left="851"/>
      </w:pPr>
    </w:p>
    <w:p w:rsidR="00B90028" w:rsidRPr="006861E2" w:rsidRDefault="00F809D9">
      <w:pPr>
        <w:pStyle w:val="Chapter2"/>
      </w:pPr>
      <w:r w:rsidRPr="006861E2">
        <w:t>Offsetting some or all of the loss against the net income of the profit company</w:t>
      </w:r>
      <w:r w:rsidR="007F1449" w:rsidRPr="006861E2">
        <w:t xml:space="preserve"> means</w:t>
      </w:r>
      <w:r w:rsidR="00B90028" w:rsidRPr="006861E2">
        <w:t xml:space="preserve"> </w:t>
      </w:r>
      <w:r w:rsidRPr="006861E2">
        <w:t xml:space="preserve">the profit company </w:t>
      </w:r>
      <w:r w:rsidR="00B90028" w:rsidRPr="006861E2">
        <w:t xml:space="preserve">will not be liable to pay as much tax as it would otherwise.  </w:t>
      </w:r>
      <w:r w:rsidR="007B3E40" w:rsidRPr="006861E2">
        <w:t>However a</w:t>
      </w:r>
      <w:r w:rsidR="00B90028" w:rsidRPr="006861E2">
        <w:t xml:space="preserve"> consequence of paying less tax is that the company will </w:t>
      </w:r>
      <w:r w:rsidR="004E5801" w:rsidRPr="006861E2">
        <w:t xml:space="preserve">generate </w:t>
      </w:r>
      <w:r w:rsidR="00B90028" w:rsidRPr="006861E2">
        <w:t xml:space="preserve">fewer imputation credits than </w:t>
      </w:r>
      <w:r w:rsidR="00FB3A5B" w:rsidRPr="006861E2">
        <w:t xml:space="preserve">it </w:t>
      </w:r>
      <w:r w:rsidR="00B90028" w:rsidRPr="006861E2">
        <w:t>otherwise would have.</w:t>
      </w:r>
    </w:p>
    <w:p w:rsidR="00B90028" w:rsidRPr="006861E2" w:rsidRDefault="00B90028" w:rsidP="00D62A4D">
      <w:pPr>
        <w:pStyle w:val="Chapter2"/>
        <w:numPr>
          <w:ilvl w:val="0"/>
          <w:numId w:val="0"/>
        </w:numPr>
        <w:ind w:left="851"/>
      </w:pPr>
    </w:p>
    <w:p w:rsidR="00EF2B9D" w:rsidRPr="006861E2" w:rsidRDefault="007F1449">
      <w:pPr>
        <w:pStyle w:val="Chapter2"/>
      </w:pPr>
      <w:r w:rsidRPr="006861E2">
        <w:t>Group</w:t>
      </w:r>
      <w:r w:rsidR="00F60658" w:rsidRPr="006861E2">
        <w:t xml:space="preserve"> companies can choose whether to </w:t>
      </w:r>
      <w:proofErr w:type="gramStart"/>
      <w:r w:rsidR="00847D4F" w:rsidRPr="006861E2">
        <w:t>effect</w:t>
      </w:r>
      <w:proofErr w:type="gramEnd"/>
      <w:r w:rsidR="00847D4F" w:rsidRPr="006861E2">
        <w:t xml:space="preserve"> </w:t>
      </w:r>
      <w:r w:rsidR="00F60658" w:rsidRPr="006861E2">
        <w:t>the loss offset by way of a subvention payment, or simply by electing to offset the amount</w:t>
      </w:r>
      <w:r w:rsidR="00847D4F" w:rsidRPr="006861E2">
        <w:t xml:space="preserve"> (or a combination of loss offset </w:t>
      </w:r>
      <w:r w:rsidR="00FB3A5B" w:rsidRPr="006861E2">
        <w:t xml:space="preserve">election </w:t>
      </w:r>
      <w:r w:rsidR="00847D4F" w:rsidRPr="006861E2">
        <w:t>and subvention payment)</w:t>
      </w:r>
      <w:r w:rsidR="00F60658" w:rsidRPr="006861E2">
        <w:t xml:space="preserve">.  A subvention payment is a </w:t>
      </w:r>
      <w:r w:rsidR="00847D4F" w:rsidRPr="006861E2">
        <w:t xml:space="preserve">deductible </w:t>
      </w:r>
      <w:r w:rsidR="00F60658" w:rsidRPr="006861E2">
        <w:t xml:space="preserve">payment from the profit company to the loss company in return for the use of the loss.  </w:t>
      </w:r>
      <w:r w:rsidR="00847D4F" w:rsidRPr="006861E2">
        <w:t xml:space="preserve">The subvention payment is assessable income to the </w:t>
      </w:r>
      <w:r w:rsidR="00FB3A5B" w:rsidRPr="006861E2">
        <w:t>loss company</w:t>
      </w:r>
      <w:r w:rsidR="00847D4F" w:rsidRPr="006861E2">
        <w:t xml:space="preserve"> (thus </w:t>
      </w:r>
      <w:r w:rsidR="00FB3A5B" w:rsidRPr="006861E2">
        <w:t xml:space="preserve">it </w:t>
      </w:r>
      <w:r w:rsidR="00847D4F" w:rsidRPr="006861E2">
        <w:t xml:space="preserve">extinguishes </w:t>
      </w:r>
      <w:r w:rsidR="00FB3A5B" w:rsidRPr="006861E2">
        <w:t xml:space="preserve">the loss company’s </w:t>
      </w:r>
      <w:r w:rsidR="00847D4F" w:rsidRPr="006861E2">
        <w:t>tax losses).</w:t>
      </w:r>
    </w:p>
    <w:p w:rsidR="00EF2B9D" w:rsidRPr="006861E2" w:rsidRDefault="00EF2B9D" w:rsidP="00D62A4D">
      <w:pPr>
        <w:pStyle w:val="Chapter2"/>
        <w:numPr>
          <w:ilvl w:val="0"/>
          <w:numId w:val="0"/>
        </w:numPr>
        <w:ind w:left="851"/>
      </w:pPr>
    </w:p>
    <w:p w:rsidR="00A47855" w:rsidRPr="006861E2" w:rsidRDefault="00F60658">
      <w:pPr>
        <w:pStyle w:val="Chapter2"/>
      </w:pPr>
      <w:r w:rsidRPr="006861E2">
        <w:t xml:space="preserve">There are several conditions </w:t>
      </w:r>
      <w:r w:rsidR="00FB3A5B" w:rsidRPr="006861E2">
        <w:t xml:space="preserve">that </w:t>
      </w:r>
      <w:r w:rsidRPr="006861E2">
        <w:t>must be met in order for companies to under</w:t>
      </w:r>
      <w:r w:rsidR="00B90028" w:rsidRPr="006861E2">
        <w:t xml:space="preserve">take a loss offset.  </w:t>
      </w:r>
      <w:r w:rsidR="00FB3A5B" w:rsidRPr="006861E2">
        <w:t xml:space="preserve">In particular, </w:t>
      </w:r>
      <w:r w:rsidRPr="006861E2">
        <w:t xml:space="preserve">the two companies </w:t>
      </w:r>
      <w:r w:rsidR="004E47F3" w:rsidRPr="006861E2">
        <w:t>must have at least 66</w:t>
      </w:r>
      <w:r w:rsidR="00C0268B" w:rsidRPr="006861E2">
        <w:t xml:space="preserve"> percent</w:t>
      </w:r>
      <w:r w:rsidR="004E47F3" w:rsidRPr="006861E2">
        <w:t xml:space="preserve"> common </w:t>
      </w:r>
      <w:r w:rsidR="007F1449" w:rsidRPr="006861E2">
        <w:t>shareholding</w:t>
      </w:r>
      <w:r w:rsidR="004E47F3" w:rsidRPr="006861E2">
        <w:t xml:space="preserve"> interests</w:t>
      </w:r>
      <w:r w:rsidR="00FB3A5B" w:rsidRPr="006861E2">
        <w:t xml:space="preserve"> </w:t>
      </w:r>
      <w:r w:rsidR="00211A16" w:rsidRPr="006861E2">
        <w:t>from the start of the income year in which the tax loss arose to the end of the income year in which the tax loss is grouped</w:t>
      </w:r>
      <w:r w:rsidR="004E47F3" w:rsidRPr="006861E2">
        <w:t>.</w:t>
      </w:r>
    </w:p>
    <w:p w:rsidR="00C615E4" w:rsidRPr="00DA18D2" w:rsidRDefault="00C615E4" w:rsidP="00D62A4D">
      <w:pPr>
        <w:pStyle w:val="Chapter2"/>
        <w:numPr>
          <w:ilvl w:val="0"/>
          <w:numId w:val="0"/>
        </w:numPr>
        <w:ind w:left="851"/>
      </w:pPr>
    </w:p>
    <w:p w:rsidR="00C615E4" w:rsidRPr="006861E2" w:rsidRDefault="00C615E4">
      <w:pPr>
        <w:pStyle w:val="Chapter2"/>
      </w:pPr>
      <w:r w:rsidRPr="006861E2">
        <w:t xml:space="preserve">The policy underlying loss grouping is essentially a consolidation </w:t>
      </w:r>
      <w:r w:rsidR="00135243" w:rsidRPr="006861E2">
        <w:t xml:space="preserve">or “single economic entity” </w:t>
      </w:r>
      <w:r w:rsidRPr="006861E2">
        <w:t>policy.  If two companies have 100</w:t>
      </w:r>
      <w:r w:rsidR="00A266F1" w:rsidRPr="006861E2">
        <w:t xml:space="preserve"> percent </w:t>
      </w:r>
      <w:r w:rsidRPr="006861E2">
        <w:t xml:space="preserve">common ownership, </w:t>
      </w:r>
      <w:r w:rsidR="00211A16" w:rsidRPr="006861E2">
        <w:t>it is</w:t>
      </w:r>
      <w:r w:rsidRPr="006861E2">
        <w:t xml:space="preserve"> economically equivalent to conducting the same two activities </w:t>
      </w:r>
      <w:r w:rsidR="00211A16" w:rsidRPr="006861E2">
        <w:t>through</w:t>
      </w:r>
      <w:r w:rsidRPr="006861E2">
        <w:t xml:space="preserve"> a single company.  If the ultimate shareholders have a choice between operating </w:t>
      </w:r>
      <w:r w:rsidR="00135243" w:rsidRPr="006861E2">
        <w:t xml:space="preserve">an identical enterprise </w:t>
      </w:r>
      <w:r w:rsidRPr="006861E2">
        <w:t xml:space="preserve">through a single company, or through two companies, tax </w:t>
      </w:r>
      <w:r w:rsidR="007B3E40" w:rsidRPr="006861E2">
        <w:t xml:space="preserve">consequences </w:t>
      </w:r>
      <w:r w:rsidR="00211A16" w:rsidRPr="006861E2">
        <w:t xml:space="preserve">should not </w:t>
      </w:r>
      <w:r w:rsidRPr="006861E2">
        <w:t xml:space="preserve">distort the decision – the choice should be made for commercial reasons.  </w:t>
      </w:r>
      <w:r w:rsidR="00135243" w:rsidRPr="006861E2">
        <w:t>For historic reasons,</w:t>
      </w:r>
      <w:r w:rsidR="00135243" w:rsidRPr="006861E2">
        <w:rPr>
          <w:rStyle w:val="FootnoteReference"/>
        </w:rPr>
        <w:footnoteReference w:id="1"/>
      </w:r>
      <w:r w:rsidR="00135243" w:rsidRPr="006861E2">
        <w:t xml:space="preserve"> t</w:t>
      </w:r>
      <w:r w:rsidRPr="006861E2">
        <w:t xml:space="preserve">his consolidation policy </w:t>
      </w:r>
      <w:r w:rsidR="00135243" w:rsidRPr="006861E2">
        <w:t>w</w:t>
      </w:r>
      <w:r w:rsidRPr="006861E2">
        <w:t>a</w:t>
      </w:r>
      <w:r w:rsidR="00135243" w:rsidRPr="006861E2">
        <w:t>s extended to 66</w:t>
      </w:r>
      <w:r w:rsidR="00C0268B" w:rsidRPr="006861E2">
        <w:t xml:space="preserve"> percent</w:t>
      </w:r>
      <w:r w:rsidR="00135243" w:rsidRPr="006861E2">
        <w:t xml:space="preserve"> commonly</w:t>
      </w:r>
      <w:r w:rsidR="00DA18D2">
        <w:t xml:space="preserve"> </w:t>
      </w:r>
      <w:r w:rsidRPr="006861E2">
        <w:t xml:space="preserve">owned companies for </w:t>
      </w:r>
      <w:r w:rsidR="00135243" w:rsidRPr="006861E2">
        <w:t xml:space="preserve">the </w:t>
      </w:r>
      <w:r w:rsidRPr="006861E2">
        <w:t>loss grouping</w:t>
      </w:r>
      <w:r w:rsidR="00135243" w:rsidRPr="006861E2">
        <w:t xml:space="preserve"> regime only.  In contrast, the </w:t>
      </w:r>
      <w:r w:rsidR="00240C80" w:rsidRPr="006861E2">
        <w:t>inter-corporate</w:t>
      </w:r>
      <w:r w:rsidR="00135243" w:rsidRPr="006861E2">
        <w:t xml:space="preserve"> dividend exemption applies only to a true “single economic enterprise” scenario – that </w:t>
      </w:r>
      <w:r w:rsidR="00CB1DDF" w:rsidRPr="006861E2">
        <w:t xml:space="preserve">is, </w:t>
      </w:r>
      <w:r w:rsidR="00135243" w:rsidRPr="006861E2">
        <w:t>within a wholly</w:t>
      </w:r>
      <w:r w:rsidR="00782620" w:rsidRPr="006861E2">
        <w:t xml:space="preserve"> </w:t>
      </w:r>
      <w:r w:rsidR="00135243" w:rsidRPr="006861E2">
        <w:t>owned corporate group (100</w:t>
      </w:r>
      <w:r w:rsidR="00C0268B" w:rsidRPr="006861E2">
        <w:t xml:space="preserve"> percent</w:t>
      </w:r>
      <w:r w:rsidRPr="006861E2">
        <w:t xml:space="preserve"> </w:t>
      </w:r>
      <w:r w:rsidR="00135243" w:rsidRPr="006861E2">
        <w:t>common ownership).</w:t>
      </w:r>
    </w:p>
    <w:p w:rsidR="00A11898" w:rsidRPr="00DA18D2" w:rsidRDefault="00A11898" w:rsidP="00D62A4D">
      <w:pPr>
        <w:pStyle w:val="Chapter2"/>
        <w:numPr>
          <w:ilvl w:val="0"/>
          <w:numId w:val="0"/>
        </w:numPr>
        <w:ind w:left="851"/>
      </w:pPr>
    </w:p>
    <w:p w:rsidR="00BA5BD6" w:rsidRPr="003C3E33" w:rsidRDefault="00BA5BD6" w:rsidP="00D62A4D">
      <w:pPr>
        <w:pStyle w:val="Chapter2"/>
        <w:numPr>
          <w:ilvl w:val="0"/>
          <w:numId w:val="0"/>
        </w:numPr>
        <w:ind w:left="851"/>
      </w:pPr>
    </w:p>
    <w:p w:rsidR="00271063" w:rsidRPr="006861E2" w:rsidRDefault="00EF2B9D">
      <w:pPr>
        <w:pStyle w:val="Heading1"/>
      </w:pPr>
      <w:bookmarkStart w:id="32" w:name="_Toc429994574"/>
      <w:bookmarkStart w:id="33" w:name="_Toc429994903"/>
      <w:bookmarkStart w:id="34" w:name="_Toc430002428"/>
      <w:r w:rsidRPr="006861E2">
        <w:t>Interaction of the two regimes</w:t>
      </w:r>
      <w:bookmarkEnd w:id="32"/>
      <w:bookmarkEnd w:id="33"/>
      <w:bookmarkEnd w:id="34"/>
    </w:p>
    <w:p w:rsidR="00EF2B9D" w:rsidRPr="00DA18D2" w:rsidRDefault="00EF2B9D" w:rsidP="00D62A4D">
      <w:pPr>
        <w:pStyle w:val="Chapter2"/>
        <w:numPr>
          <w:ilvl w:val="0"/>
          <w:numId w:val="0"/>
        </w:numPr>
        <w:ind w:left="851"/>
      </w:pPr>
    </w:p>
    <w:p w:rsidR="00C66419" w:rsidRPr="006861E2" w:rsidRDefault="00EE674E">
      <w:pPr>
        <w:pStyle w:val="Chapter2"/>
      </w:pPr>
      <w:r w:rsidRPr="006861E2">
        <w:t>Issues arise, however</w:t>
      </w:r>
      <w:r w:rsidR="00FE73AD">
        <w:t>,</w:t>
      </w:r>
      <w:r w:rsidRPr="006861E2">
        <w:t xml:space="preserve"> when the</w:t>
      </w:r>
      <w:r w:rsidR="00F60658" w:rsidRPr="006861E2">
        <w:t xml:space="preserve"> two regimes interact</w:t>
      </w:r>
      <w:r w:rsidRPr="006861E2">
        <w:t xml:space="preserve"> and the ownership is grea</w:t>
      </w:r>
      <w:r w:rsidR="004731CB" w:rsidRPr="006861E2">
        <w:t>ter than 66</w:t>
      </w:r>
      <w:r w:rsidR="00A266F1" w:rsidRPr="006861E2">
        <w:t xml:space="preserve"> percent </w:t>
      </w:r>
      <w:r w:rsidR="004731CB" w:rsidRPr="006861E2">
        <w:t>but less than 100</w:t>
      </w:r>
      <w:r w:rsidR="00A266F1" w:rsidRPr="006861E2">
        <w:t xml:space="preserve"> percent.  </w:t>
      </w:r>
      <w:r w:rsidRPr="006861E2">
        <w:t xml:space="preserve">Losses can be grouped but tax is also reduced with consequently fewer imputation credits generated. </w:t>
      </w:r>
      <w:r w:rsidR="00A266F1" w:rsidRPr="006861E2">
        <w:t xml:space="preserve"> </w:t>
      </w:r>
      <w:r w:rsidRPr="006861E2">
        <w:t xml:space="preserve">If the profit company </w:t>
      </w:r>
      <w:r w:rsidR="00C66419" w:rsidRPr="006861E2">
        <w:t xml:space="preserve">subsequently wishes to </w:t>
      </w:r>
      <w:r w:rsidR="00847D4F" w:rsidRPr="006861E2">
        <w:t>pay a</w:t>
      </w:r>
      <w:r w:rsidR="004731CB" w:rsidRPr="006861E2">
        <w:t>n</w:t>
      </w:r>
      <w:r w:rsidR="00C66419" w:rsidRPr="006861E2">
        <w:t xml:space="preserve"> </w:t>
      </w:r>
      <w:r w:rsidR="00847D4F" w:rsidRPr="006861E2">
        <w:t>imputed dividend to</w:t>
      </w:r>
      <w:r w:rsidR="00B36DED" w:rsidRPr="006861E2">
        <w:t xml:space="preserve"> one of</w:t>
      </w:r>
      <w:r w:rsidR="00847D4F" w:rsidRPr="006861E2">
        <w:t xml:space="preserve"> its </w:t>
      </w:r>
      <w:r w:rsidR="00B36DED" w:rsidRPr="006861E2">
        <w:t xml:space="preserve">corporate group </w:t>
      </w:r>
      <w:r w:rsidR="00847D4F" w:rsidRPr="006861E2">
        <w:t>shareholders</w:t>
      </w:r>
      <w:r w:rsidRPr="006861E2">
        <w:t xml:space="preserve"> </w:t>
      </w:r>
      <w:r w:rsidR="00C66419" w:rsidRPr="006861E2">
        <w:t>the profit company may have insufficient imputation credits to be able to fully impute the dividend</w:t>
      </w:r>
      <w:r w:rsidR="004731CB" w:rsidRPr="006861E2">
        <w:t>.</w:t>
      </w:r>
      <w:r w:rsidR="00CD24B9" w:rsidRPr="006861E2">
        <w:rPr>
          <w:rStyle w:val="FootnoteReference"/>
        </w:rPr>
        <w:footnoteReference w:id="2"/>
      </w:r>
    </w:p>
    <w:p w:rsidR="00C66419" w:rsidRPr="006861E2" w:rsidRDefault="00C66419" w:rsidP="00D62A4D">
      <w:pPr>
        <w:pStyle w:val="Chapter2"/>
        <w:numPr>
          <w:ilvl w:val="0"/>
          <w:numId w:val="0"/>
        </w:numPr>
        <w:ind w:left="851"/>
      </w:pPr>
    </w:p>
    <w:p w:rsidR="00F60658" w:rsidRPr="006861E2" w:rsidRDefault="00F60658">
      <w:pPr>
        <w:pStyle w:val="Chapter2"/>
      </w:pPr>
      <w:r w:rsidRPr="006861E2">
        <w:t xml:space="preserve">This </w:t>
      </w:r>
      <w:r w:rsidR="00847D4F" w:rsidRPr="006861E2">
        <w:t xml:space="preserve">is </w:t>
      </w:r>
      <w:r w:rsidR="00E51C4C" w:rsidRPr="006861E2">
        <w:t xml:space="preserve">only </w:t>
      </w:r>
      <w:r w:rsidR="00847D4F" w:rsidRPr="006861E2">
        <w:t>problematic</w:t>
      </w:r>
      <w:r w:rsidR="00533566" w:rsidRPr="006861E2">
        <w:t xml:space="preserve"> </w:t>
      </w:r>
      <w:r w:rsidRPr="006861E2">
        <w:t>when the</w:t>
      </w:r>
      <w:r w:rsidR="00E51C4C" w:rsidRPr="006861E2">
        <w:t xml:space="preserve">re is a minority shareholder </w:t>
      </w:r>
      <w:r w:rsidR="00C66419" w:rsidRPr="006861E2">
        <w:t>in the profit company</w:t>
      </w:r>
      <w:r w:rsidR="00A266F1" w:rsidRPr="006861E2">
        <w:t>, that is,</w:t>
      </w:r>
      <w:r w:rsidRPr="006861E2">
        <w:t xml:space="preserve"> common </w:t>
      </w:r>
      <w:r w:rsidR="00282ADA" w:rsidRPr="006861E2">
        <w:t>shareholding</w:t>
      </w:r>
      <w:r w:rsidRPr="006861E2">
        <w:t xml:space="preserve"> between the </w:t>
      </w:r>
      <w:r w:rsidR="00E51C4C" w:rsidRPr="006861E2">
        <w:t xml:space="preserve">loss company and profit company </w:t>
      </w:r>
      <w:r w:rsidRPr="006861E2">
        <w:t>is 66</w:t>
      </w:r>
      <w:r w:rsidR="00C0268B" w:rsidRPr="006861E2">
        <w:t xml:space="preserve"> percent</w:t>
      </w:r>
      <w:r w:rsidRPr="006861E2">
        <w:t xml:space="preserve"> or higher, but </w:t>
      </w:r>
      <w:r w:rsidR="00E51C4C" w:rsidRPr="006861E2">
        <w:t xml:space="preserve">less than </w:t>
      </w:r>
      <w:r w:rsidRPr="006861E2">
        <w:t>100</w:t>
      </w:r>
      <w:r w:rsidR="00C0268B" w:rsidRPr="006861E2">
        <w:t xml:space="preserve"> percent</w:t>
      </w:r>
      <w:r w:rsidR="003141BE" w:rsidRPr="006861E2">
        <w:t xml:space="preserve"> and the profit company does not have additional imputation credits from past tax payments</w:t>
      </w:r>
      <w:r w:rsidRPr="006861E2">
        <w:t>.</w:t>
      </w:r>
      <w:r w:rsidR="00C66419" w:rsidRPr="006861E2">
        <w:t xml:space="preserve">  If the loss company and profit company are within a wholly</w:t>
      </w:r>
      <w:r w:rsidR="00782620" w:rsidRPr="006861E2">
        <w:t xml:space="preserve"> </w:t>
      </w:r>
      <w:r w:rsidR="00C66419" w:rsidRPr="006861E2">
        <w:t>owned group of companies (100</w:t>
      </w:r>
      <w:r w:rsidR="00C0268B" w:rsidRPr="006861E2">
        <w:t xml:space="preserve"> percent</w:t>
      </w:r>
      <w:r w:rsidR="00C66419" w:rsidRPr="006861E2">
        <w:t xml:space="preserve"> commonly owned), the </w:t>
      </w:r>
      <w:r w:rsidR="00240C80" w:rsidRPr="006861E2">
        <w:t>inter-corporate</w:t>
      </w:r>
      <w:r w:rsidR="00C66419" w:rsidRPr="006861E2">
        <w:t xml:space="preserve"> dividend exemption means that lack of imputation credits </w:t>
      </w:r>
      <w:r w:rsidR="009B7EF9" w:rsidRPr="006861E2">
        <w:t xml:space="preserve">to fully impute dividends </w:t>
      </w:r>
      <w:r w:rsidR="00C66419" w:rsidRPr="006861E2">
        <w:t xml:space="preserve">is not </w:t>
      </w:r>
      <w:r w:rsidR="008A3661" w:rsidRPr="006861E2">
        <w:t>an issue.</w:t>
      </w:r>
    </w:p>
    <w:p w:rsidR="00F60658" w:rsidRPr="006861E2" w:rsidRDefault="00F60658" w:rsidP="00D62A4D">
      <w:pPr>
        <w:pStyle w:val="Chapter2"/>
        <w:numPr>
          <w:ilvl w:val="0"/>
          <w:numId w:val="0"/>
        </w:numPr>
        <w:ind w:left="851"/>
      </w:pPr>
    </w:p>
    <w:p w:rsidR="00B90028" w:rsidRPr="006861E2" w:rsidRDefault="007E0D65">
      <w:pPr>
        <w:pStyle w:val="Chapter2"/>
      </w:pPr>
      <w:r w:rsidRPr="006861E2">
        <w:t>F</w:t>
      </w:r>
      <w:r w:rsidR="00C66419" w:rsidRPr="006861E2">
        <w:t xml:space="preserve">or shareholders </w:t>
      </w:r>
      <w:r w:rsidRPr="006861E2">
        <w:t>in a</w:t>
      </w:r>
      <w:r w:rsidR="00C66419" w:rsidRPr="006861E2">
        <w:t xml:space="preserve"> non-wholly owned </w:t>
      </w:r>
      <w:r w:rsidRPr="006861E2">
        <w:t>profit company,</w:t>
      </w:r>
      <w:r w:rsidR="00C66419" w:rsidRPr="006861E2">
        <w:t xml:space="preserve"> </w:t>
      </w:r>
      <w:r w:rsidR="00B90028" w:rsidRPr="006861E2">
        <w:t xml:space="preserve">the </w:t>
      </w:r>
      <w:r w:rsidRPr="006861E2">
        <w:t xml:space="preserve">receipt of an unimputed or partially imputed dividend is </w:t>
      </w:r>
      <w:r w:rsidR="008A3661" w:rsidRPr="006861E2">
        <w:t>an issue for them as</w:t>
      </w:r>
      <w:r w:rsidR="00C66419" w:rsidRPr="006861E2">
        <w:t xml:space="preserve"> </w:t>
      </w:r>
      <w:r w:rsidR="00B90028" w:rsidRPr="006861E2">
        <w:t xml:space="preserve">they will be required to pay extra tax. </w:t>
      </w:r>
      <w:r w:rsidR="00AC2C6A" w:rsidRPr="006861E2">
        <w:t xml:space="preserve"> </w:t>
      </w:r>
      <w:r w:rsidR="00B90028" w:rsidRPr="006861E2">
        <w:t xml:space="preserve">This </w:t>
      </w:r>
      <w:r w:rsidR="008A3661" w:rsidRPr="006861E2">
        <w:t>is particularly the case</w:t>
      </w:r>
      <w:r w:rsidR="00B90028" w:rsidRPr="006861E2">
        <w:t xml:space="preserve"> when there is an unrelated minority shareholder</w:t>
      </w:r>
      <w:r w:rsidR="003478C9" w:rsidRPr="006861E2">
        <w:t xml:space="preserve"> who </w:t>
      </w:r>
      <w:r w:rsidRPr="006861E2">
        <w:t xml:space="preserve">may </w:t>
      </w:r>
      <w:r w:rsidR="003478C9" w:rsidRPr="006861E2">
        <w:t xml:space="preserve">not </w:t>
      </w:r>
      <w:r w:rsidRPr="006861E2">
        <w:t xml:space="preserve">have </w:t>
      </w:r>
      <w:r w:rsidR="003478C9" w:rsidRPr="006861E2">
        <w:t xml:space="preserve">benefitted from the loss </w:t>
      </w:r>
      <w:r w:rsidR="009B7EF9" w:rsidRPr="006861E2">
        <w:t>grouping</w:t>
      </w:r>
      <w:r w:rsidRPr="006861E2">
        <w:t>, but still suffers as a result of the reduced imputation credits</w:t>
      </w:r>
      <w:r w:rsidR="00AC2C6A" w:rsidRPr="006861E2">
        <w:t>.</w:t>
      </w:r>
      <w:r w:rsidRPr="006861E2">
        <w:rPr>
          <w:rStyle w:val="FootnoteReference"/>
        </w:rPr>
        <w:footnoteReference w:id="3"/>
      </w:r>
    </w:p>
    <w:p w:rsidR="00EE2B6A" w:rsidRPr="006861E2" w:rsidRDefault="00EE2B6A" w:rsidP="00D62A4D">
      <w:pPr>
        <w:pStyle w:val="Chapter2"/>
        <w:numPr>
          <w:ilvl w:val="0"/>
          <w:numId w:val="0"/>
        </w:numPr>
        <w:ind w:left="851"/>
      </w:pPr>
    </w:p>
    <w:p w:rsidR="00EE2B6A" w:rsidRPr="006861E2" w:rsidRDefault="00533566">
      <w:pPr>
        <w:pStyle w:val="Chapter2"/>
      </w:pPr>
      <w:r w:rsidRPr="006861E2">
        <w:t>As discussed above, th</w:t>
      </w:r>
      <w:r w:rsidR="00EE2B6A" w:rsidRPr="006861E2">
        <w:t xml:space="preserve">is </w:t>
      </w:r>
      <w:r w:rsidR="008A3661" w:rsidRPr="006861E2">
        <w:t>issue</w:t>
      </w:r>
      <w:r w:rsidR="00EE2B6A" w:rsidRPr="006861E2">
        <w:t xml:space="preserve"> arises because the underlying policy approach to groups of companies for the </w:t>
      </w:r>
      <w:r w:rsidRPr="006861E2">
        <w:t>dividend</w:t>
      </w:r>
      <w:r w:rsidR="00EE2B6A" w:rsidRPr="006861E2">
        <w:t xml:space="preserve"> regime and the loss grouping regime differs.</w:t>
      </w:r>
    </w:p>
    <w:p w:rsidR="003A5A14" w:rsidRPr="006861E2" w:rsidRDefault="003A5A14" w:rsidP="00D62A4D">
      <w:pPr>
        <w:pStyle w:val="Chapter2"/>
        <w:numPr>
          <w:ilvl w:val="0"/>
          <w:numId w:val="0"/>
        </w:numPr>
        <w:ind w:left="851"/>
      </w:pPr>
    </w:p>
    <w:p w:rsidR="003A5A14" w:rsidRPr="006861E2" w:rsidRDefault="003A5A14">
      <w:pPr>
        <w:pStyle w:val="Heading2"/>
      </w:pPr>
      <w:bookmarkStart w:id="35" w:name="_Toc429994904"/>
      <w:r w:rsidRPr="006861E2">
        <w:t>Example</w:t>
      </w:r>
      <w:bookmarkEnd w:id="35"/>
    </w:p>
    <w:p w:rsidR="003A5A14" w:rsidRPr="006861E2" w:rsidRDefault="003A5A14" w:rsidP="00D62A4D">
      <w:pPr>
        <w:pStyle w:val="Chapter2"/>
        <w:numPr>
          <w:ilvl w:val="0"/>
          <w:numId w:val="0"/>
        </w:numPr>
        <w:ind w:left="851"/>
      </w:pPr>
    </w:p>
    <w:p w:rsidR="003A5A14" w:rsidRPr="006861E2" w:rsidRDefault="00EC7CA4">
      <w:pPr>
        <w:pStyle w:val="Chapter2"/>
      </w:pPr>
      <w:r>
        <w:t>D</w:t>
      </w:r>
      <w:r w:rsidR="003A5A14" w:rsidRPr="006861E2">
        <w:t xml:space="preserve">iagram </w:t>
      </w:r>
      <w:r>
        <w:t xml:space="preserve">1 </w:t>
      </w:r>
      <w:proofErr w:type="gramStart"/>
      <w:r w:rsidR="003A5A14" w:rsidRPr="006861E2">
        <w:t>sets</w:t>
      </w:r>
      <w:proofErr w:type="gramEnd"/>
      <w:r w:rsidR="003A5A14" w:rsidRPr="006861E2">
        <w:t xml:space="preserve"> out an example of how this issue arises in practice.  It shows a loss company which has a 90</w:t>
      </w:r>
      <w:r w:rsidR="00C0268B" w:rsidRPr="006861E2">
        <w:t xml:space="preserve"> percent</w:t>
      </w:r>
      <w:r w:rsidR="003A5A14" w:rsidRPr="006861E2">
        <w:t xml:space="preserve"> shareholding in a profit company</w:t>
      </w:r>
      <w:r w:rsidR="00174EE8" w:rsidRPr="006861E2">
        <w:t xml:space="preserve"> (which makes those companies eligible to </w:t>
      </w:r>
      <w:r w:rsidR="00533566" w:rsidRPr="006861E2">
        <w:t xml:space="preserve">group </w:t>
      </w:r>
      <w:r w:rsidR="00174EE8" w:rsidRPr="006861E2">
        <w:t>loss</w:t>
      </w:r>
      <w:r w:rsidR="00533566" w:rsidRPr="006861E2">
        <w:t>es</w:t>
      </w:r>
      <w:r w:rsidR="00174EE8" w:rsidRPr="006861E2">
        <w:t>)</w:t>
      </w:r>
      <w:r w:rsidR="003A5A14" w:rsidRPr="006861E2">
        <w:t xml:space="preserve">.  It shows the profit company </w:t>
      </w:r>
      <w:r w:rsidR="00282ADA" w:rsidRPr="006861E2">
        <w:t>making</w:t>
      </w:r>
      <w:r w:rsidR="003A5A14" w:rsidRPr="006861E2">
        <w:t xml:space="preserve"> a subvention payment for the use of the loss company’s losses,</w:t>
      </w:r>
      <w:r w:rsidR="00CD24B9" w:rsidRPr="006861E2">
        <w:rPr>
          <w:rStyle w:val="FootnoteReference"/>
        </w:rPr>
        <w:footnoteReference w:id="4"/>
      </w:r>
      <w:r w:rsidR="003A5A14" w:rsidRPr="006861E2">
        <w:t xml:space="preserve"> and the </w:t>
      </w:r>
      <w:r w:rsidR="00533566" w:rsidRPr="006861E2">
        <w:t xml:space="preserve">subsequent </w:t>
      </w:r>
      <w:r w:rsidR="003A5A14" w:rsidRPr="006861E2">
        <w:t>dividend</w:t>
      </w:r>
      <w:r w:rsidR="00174EE8" w:rsidRPr="006861E2">
        <w:t>s paid out by the profit company</w:t>
      </w:r>
      <w:r w:rsidR="003A5A14" w:rsidRPr="006861E2">
        <w:t xml:space="preserve"> being </w:t>
      </w:r>
      <w:r w:rsidR="00533566" w:rsidRPr="006861E2">
        <w:t>only partially</w:t>
      </w:r>
      <w:r w:rsidR="003A5A14" w:rsidRPr="006861E2">
        <w:t xml:space="preserve"> imputed.  </w:t>
      </w:r>
      <w:r w:rsidR="00225322" w:rsidRPr="006861E2">
        <w:t>This results in the shareholders</w:t>
      </w:r>
      <w:r w:rsidR="003141BE" w:rsidRPr="006861E2">
        <w:t xml:space="preserve"> of the </w:t>
      </w:r>
      <w:r w:rsidR="004234F8" w:rsidRPr="006861E2">
        <w:t>profit</w:t>
      </w:r>
      <w:r w:rsidR="003141BE" w:rsidRPr="006861E2">
        <w:t xml:space="preserve"> company </w:t>
      </w:r>
      <w:r w:rsidR="00225322" w:rsidRPr="006861E2">
        <w:t xml:space="preserve">having to pay extra tax on the dividends they receive, which </w:t>
      </w:r>
      <w:r w:rsidR="00533566" w:rsidRPr="006861E2">
        <w:t xml:space="preserve">they </w:t>
      </w:r>
      <w:r w:rsidR="00225322" w:rsidRPr="006861E2">
        <w:t xml:space="preserve">would not </w:t>
      </w:r>
      <w:r w:rsidR="00533566" w:rsidRPr="006861E2">
        <w:t xml:space="preserve">have had to pay </w:t>
      </w:r>
      <w:r w:rsidR="00225322" w:rsidRPr="006861E2">
        <w:t xml:space="preserve">if the loss </w:t>
      </w:r>
      <w:r w:rsidR="00533566" w:rsidRPr="006861E2">
        <w:t xml:space="preserve">grouping </w:t>
      </w:r>
      <w:r w:rsidR="00225322" w:rsidRPr="006861E2">
        <w:t>had not occurred</w:t>
      </w:r>
      <w:r w:rsidR="003141BE" w:rsidRPr="006861E2">
        <w:t xml:space="preserve"> and tax had been paid</w:t>
      </w:r>
      <w:r w:rsidR="007B3E40" w:rsidRPr="006861E2">
        <w:t xml:space="preserve"> at the company level</w:t>
      </w:r>
      <w:r w:rsidR="00225322" w:rsidRPr="006861E2">
        <w:t>.  The minority shareholder has not benefited from the loss offset, and</w:t>
      </w:r>
      <w:r w:rsidR="00533566" w:rsidRPr="006861E2">
        <w:t>,</w:t>
      </w:r>
      <w:r w:rsidR="00225322" w:rsidRPr="006861E2">
        <w:t xml:space="preserve"> in fact</w:t>
      </w:r>
      <w:r w:rsidR="00533566" w:rsidRPr="006861E2">
        <w:t>,</w:t>
      </w:r>
      <w:r w:rsidR="00225322" w:rsidRPr="006861E2">
        <w:t xml:space="preserve"> has been disadvantaged relative </w:t>
      </w:r>
      <w:r w:rsidR="00575CC7" w:rsidRPr="006861E2">
        <w:t>to the situation</w:t>
      </w:r>
      <w:r w:rsidR="00225322" w:rsidRPr="006861E2">
        <w:t xml:space="preserve"> </w:t>
      </w:r>
      <w:r w:rsidR="00575CC7" w:rsidRPr="006861E2">
        <w:t>where</w:t>
      </w:r>
      <w:r w:rsidR="00225322" w:rsidRPr="006861E2">
        <w:t xml:space="preserve"> no loss offset had occurred.</w:t>
      </w:r>
    </w:p>
    <w:p w:rsidR="003C3E33" w:rsidRDefault="003C3E33">
      <w:pPr>
        <w:jc w:val="left"/>
        <w:rPr>
          <w:b/>
          <w:noProof/>
        </w:rPr>
      </w:pPr>
      <w:r>
        <w:br w:type="page"/>
      </w:r>
    </w:p>
    <w:p w:rsidR="003A5A14" w:rsidRPr="006861E2" w:rsidRDefault="003A5A14" w:rsidP="004B3387">
      <w:pPr>
        <w:pStyle w:val="Figurecaption"/>
        <w:ind w:left="0"/>
      </w:pPr>
      <w:bookmarkStart w:id="36" w:name="_Toc147568000"/>
      <w:r w:rsidRPr="006861E2">
        <w:t>Diagram 1: A loss offset by a 90</w:t>
      </w:r>
      <w:r w:rsidR="00C0268B" w:rsidRPr="006861E2">
        <w:t xml:space="preserve"> percent</w:t>
      </w:r>
      <w:r w:rsidRPr="006861E2">
        <w:t xml:space="preserve"> shareholding company</w:t>
      </w:r>
      <w:r w:rsidR="00FE73AD">
        <w:rPr>
          <w:rStyle w:val="FootnoteReference"/>
        </w:rPr>
        <w:footnoteReference w:id="5"/>
      </w:r>
    </w:p>
    <w:p w:rsidR="0014402C" w:rsidRPr="00D62A4D" w:rsidRDefault="0014402C" w:rsidP="003A5A14">
      <w:pPr>
        <w:pStyle w:val="Chapter2"/>
        <w:numPr>
          <w:ilvl w:val="0"/>
          <w:numId w:val="0"/>
        </w:numPr>
        <w:ind w:left="851"/>
      </w:pPr>
    </w:p>
    <w:p w:rsidR="00EC7CA4" w:rsidRDefault="00EC7CA4" w:rsidP="00D62A4D">
      <w:pPr>
        <w:pStyle w:val="Chapter2"/>
        <w:numPr>
          <w:ilvl w:val="0"/>
          <w:numId w:val="0"/>
        </w:numPr>
        <w:ind w:left="851"/>
      </w:pPr>
    </w:p>
    <w:p w:rsidR="00EC7CA4" w:rsidRPr="006861E2" w:rsidRDefault="00CA41A0" w:rsidP="00D62A4D">
      <w:pPr>
        <w:pStyle w:val="Chapter2"/>
        <w:numPr>
          <w:ilvl w:val="0"/>
          <w:numId w:val="0"/>
        </w:numPr>
        <w:jc w:val="center"/>
      </w:pPr>
      <w:r w:rsidRPr="00D62A4D">
        <w:rPr>
          <w:noProof/>
          <w:snapToGrid/>
          <w:lang w:eastAsia="en-NZ"/>
        </w:rPr>
        <w:drawing>
          <wp:inline distT="0" distB="0" distL="0" distR="0" wp14:anchorId="363C2DFC" wp14:editId="3DBCF56A">
            <wp:extent cx="5278120" cy="28426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2842656"/>
                    </a:xfrm>
                    <a:prstGeom prst="rect">
                      <a:avLst/>
                    </a:prstGeom>
                    <a:noFill/>
                    <a:ln>
                      <a:noFill/>
                    </a:ln>
                  </pic:spPr>
                </pic:pic>
              </a:graphicData>
            </a:graphic>
          </wp:inline>
        </w:drawing>
      </w:r>
    </w:p>
    <w:p w:rsidR="00EC0AB8" w:rsidRDefault="00EC0AB8" w:rsidP="00D62A4D">
      <w:pPr>
        <w:pStyle w:val="Chapter2"/>
        <w:numPr>
          <w:ilvl w:val="0"/>
          <w:numId w:val="0"/>
        </w:numPr>
        <w:ind w:left="851"/>
      </w:pPr>
    </w:p>
    <w:p w:rsidR="003C3E33" w:rsidRPr="006861E2" w:rsidRDefault="003C3E33" w:rsidP="00D62A4D">
      <w:pPr>
        <w:pStyle w:val="Chapter2"/>
        <w:numPr>
          <w:ilvl w:val="0"/>
          <w:numId w:val="0"/>
        </w:numPr>
        <w:ind w:left="851"/>
      </w:pPr>
    </w:p>
    <w:p w:rsidR="003A5A14" w:rsidRPr="006861E2" w:rsidRDefault="003A5A14">
      <w:pPr>
        <w:pStyle w:val="Chapter2"/>
      </w:pPr>
      <w:r w:rsidRPr="006861E2">
        <w:t>The following tables set out the relevant entries in the imputation credit accounts of the loss company and the profit company.</w:t>
      </w:r>
    </w:p>
    <w:p w:rsidR="003A5A14" w:rsidRPr="006861E2" w:rsidRDefault="003A5A14" w:rsidP="00D62A4D">
      <w:pPr>
        <w:pStyle w:val="Chapter2"/>
        <w:numPr>
          <w:ilvl w:val="0"/>
          <w:numId w:val="0"/>
        </w:numPr>
        <w:ind w:left="851"/>
      </w:pPr>
    </w:p>
    <w:p w:rsidR="00C31518" w:rsidRPr="00DA18D2" w:rsidRDefault="0088037C" w:rsidP="00D62A4D">
      <w:pPr>
        <w:pStyle w:val="Tablecaption"/>
      </w:pPr>
      <w:r w:rsidRPr="00C555FE">
        <w:t xml:space="preserve">Table 1: </w:t>
      </w:r>
      <w:proofErr w:type="spellStart"/>
      <w:r w:rsidRPr="00C555FE">
        <w:t>LossCo</w:t>
      </w:r>
      <w:proofErr w:type="spellEnd"/>
      <w:r w:rsidRPr="00C555FE">
        <w:t xml:space="preserve"> i</w:t>
      </w:r>
      <w:r w:rsidR="00C31518" w:rsidRPr="00D62A4D">
        <w:t xml:space="preserve">mputation </w:t>
      </w:r>
      <w:r w:rsidRPr="00D62A4D">
        <w:t>credit a</w:t>
      </w:r>
      <w:r w:rsidR="00C31518" w:rsidRPr="00D62A4D">
        <w:t>ccount</w:t>
      </w:r>
    </w:p>
    <w:tbl>
      <w:tblPr>
        <w:tblStyle w:val="TableGrid"/>
        <w:tblW w:w="4438" w:type="pct"/>
        <w:tblInd w:w="959" w:type="dxa"/>
        <w:tblLook w:val="0420" w:firstRow="1" w:lastRow="0" w:firstColumn="0" w:lastColumn="0" w:noHBand="0" w:noVBand="1"/>
      </w:tblPr>
      <w:tblGrid>
        <w:gridCol w:w="2276"/>
        <w:gridCol w:w="2642"/>
        <w:gridCol w:w="2651"/>
      </w:tblGrid>
      <w:tr w:rsidR="00C31518" w:rsidRPr="006861E2" w:rsidTr="003A5A14">
        <w:trPr>
          <w:trHeight w:val="290"/>
        </w:trPr>
        <w:tc>
          <w:tcPr>
            <w:tcW w:w="1504" w:type="pct"/>
            <w:hideMark/>
          </w:tcPr>
          <w:p w:rsidR="00C31518" w:rsidRPr="00D62A4D" w:rsidRDefault="00C31518" w:rsidP="00D62A4D">
            <w:pPr>
              <w:pStyle w:val="Chapter1"/>
              <w:numPr>
                <w:ilvl w:val="0"/>
                <w:numId w:val="0"/>
              </w:numPr>
              <w:spacing w:before="120" w:after="120"/>
              <w:rPr>
                <w:sz w:val="20"/>
              </w:rPr>
            </w:pPr>
          </w:p>
        </w:tc>
        <w:tc>
          <w:tcPr>
            <w:tcW w:w="1745" w:type="pct"/>
            <w:hideMark/>
          </w:tcPr>
          <w:p w:rsidR="00C31518" w:rsidRPr="00D62A4D" w:rsidRDefault="00C31518" w:rsidP="00D62A4D">
            <w:pPr>
              <w:pStyle w:val="Chapter1"/>
              <w:numPr>
                <w:ilvl w:val="0"/>
                <w:numId w:val="0"/>
              </w:numPr>
              <w:spacing w:before="120" w:after="120"/>
              <w:jc w:val="center"/>
              <w:rPr>
                <w:b/>
                <w:sz w:val="20"/>
              </w:rPr>
            </w:pPr>
            <w:r w:rsidRPr="00D62A4D">
              <w:rPr>
                <w:b/>
                <w:sz w:val="20"/>
              </w:rPr>
              <w:t>Debit</w:t>
            </w:r>
          </w:p>
        </w:tc>
        <w:tc>
          <w:tcPr>
            <w:tcW w:w="1751" w:type="pct"/>
            <w:hideMark/>
          </w:tcPr>
          <w:p w:rsidR="00C31518" w:rsidRPr="00D62A4D" w:rsidRDefault="00C31518" w:rsidP="00D62A4D">
            <w:pPr>
              <w:pStyle w:val="Chapter1"/>
              <w:numPr>
                <w:ilvl w:val="0"/>
                <w:numId w:val="0"/>
              </w:numPr>
              <w:spacing w:before="120" w:after="120"/>
              <w:jc w:val="center"/>
              <w:rPr>
                <w:b/>
                <w:sz w:val="20"/>
              </w:rPr>
            </w:pPr>
            <w:r w:rsidRPr="00D62A4D">
              <w:rPr>
                <w:b/>
                <w:sz w:val="20"/>
              </w:rPr>
              <w:t>Credit</w:t>
            </w:r>
          </w:p>
        </w:tc>
      </w:tr>
      <w:tr w:rsidR="00C31518" w:rsidRPr="006861E2" w:rsidTr="003A5A14">
        <w:trPr>
          <w:trHeight w:val="257"/>
        </w:trPr>
        <w:tc>
          <w:tcPr>
            <w:tcW w:w="1504" w:type="pct"/>
            <w:hideMark/>
          </w:tcPr>
          <w:p w:rsidR="00C31518" w:rsidRPr="00D62A4D" w:rsidRDefault="00C31518" w:rsidP="00D62A4D">
            <w:pPr>
              <w:pStyle w:val="Chapter1"/>
              <w:numPr>
                <w:ilvl w:val="0"/>
                <w:numId w:val="0"/>
              </w:numPr>
              <w:spacing w:before="80" w:after="80"/>
              <w:rPr>
                <w:sz w:val="20"/>
              </w:rPr>
            </w:pPr>
            <w:r w:rsidRPr="00D62A4D">
              <w:rPr>
                <w:sz w:val="20"/>
              </w:rPr>
              <w:t xml:space="preserve">Dividend received </w:t>
            </w:r>
          </w:p>
        </w:tc>
        <w:tc>
          <w:tcPr>
            <w:tcW w:w="1745" w:type="pct"/>
            <w:hideMark/>
          </w:tcPr>
          <w:p w:rsidR="00C31518" w:rsidRPr="00D62A4D" w:rsidRDefault="00C31518" w:rsidP="00D62A4D">
            <w:pPr>
              <w:pStyle w:val="Chapter1"/>
              <w:numPr>
                <w:ilvl w:val="0"/>
                <w:numId w:val="0"/>
              </w:numPr>
              <w:spacing w:before="80" w:after="80"/>
              <w:jc w:val="right"/>
              <w:rPr>
                <w:sz w:val="20"/>
              </w:rPr>
            </w:pPr>
          </w:p>
        </w:tc>
        <w:tc>
          <w:tcPr>
            <w:tcW w:w="1751" w:type="pct"/>
            <w:hideMark/>
          </w:tcPr>
          <w:p w:rsidR="00C31518" w:rsidRPr="00D62A4D" w:rsidRDefault="00F72787" w:rsidP="00D62A4D">
            <w:pPr>
              <w:pStyle w:val="Chapter1"/>
              <w:numPr>
                <w:ilvl w:val="0"/>
                <w:numId w:val="0"/>
              </w:numPr>
              <w:spacing w:before="80" w:after="80"/>
              <w:jc w:val="right"/>
              <w:rPr>
                <w:sz w:val="20"/>
              </w:rPr>
            </w:pPr>
            <w:r w:rsidRPr="00D62A4D">
              <w:rPr>
                <w:sz w:val="20"/>
              </w:rPr>
              <w:t>$2,520</w:t>
            </w:r>
          </w:p>
        </w:tc>
      </w:tr>
      <w:tr w:rsidR="00C31518" w:rsidRPr="006861E2" w:rsidTr="00D62A4D">
        <w:trPr>
          <w:trHeight w:val="226"/>
        </w:trPr>
        <w:tc>
          <w:tcPr>
            <w:tcW w:w="1504" w:type="pct"/>
            <w:hideMark/>
          </w:tcPr>
          <w:p w:rsidR="00C31518" w:rsidRPr="00D62A4D" w:rsidRDefault="00AB6A7D" w:rsidP="00D62A4D">
            <w:pPr>
              <w:pStyle w:val="Chapter1"/>
              <w:numPr>
                <w:ilvl w:val="0"/>
                <w:numId w:val="0"/>
              </w:numPr>
              <w:spacing w:before="80" w:after="80"/>
              <w:rPr>
                <w:sz w:val="20"/>
              </w:rPr>
            </w:pPr>
            <w:r w:rsidRPr="00D62A4D">
              <w:rPr>
                <w:sz w:val="20"/>
              </w:rPr>
              <w:t>Tax paid</w:t>
            </w:r>
          </w:p>
        </w:tc>
        <w:tc>
          <w:tcPr>
            <w:tcW w:w="1745" w:type="pct"/>
            <w:hideMark/>
          </w:tcPr>
          <w:p w:rsidR="00C31518" w:rsidRPr="00D62A4D" w:rsidRDefault="00C31518" w:rsidP="00D62A4D">
            <w:pPr>
              <w:pStyle w:val="Chapter1"/>
              <w:numPr>
                <w:ilvl w:val="0"/>
                <w:numId w:val="0"/>
              </w:numPr>
              <w:spacing w:before="80" w:after="80"/>
              <w:jc w:val="right"/>
              <w:rPr>
                <w:sz w:val="20"/>
                <w:highlight w:val="yellow"/>
              </w:rPr>
            </w:pPr>
          </w:p>
        </w:tc>
        <w:tc>
          <w:tcPr>
            <w:tcW w:w="1751" w:type="pct"/>
            <w:hideMark/>
          </w:tcPr>
          <w:p w:rsidR="00C31518" w:rsidRPr="00D62A4D" w:rsidRDefault="00F72787" w:rsidP="00D62A4D">
            <w:pPr>
              <w:pStyle w:val="Chapter1"/>
              <w:numPr>
                <w:ilvl w:val="0"/>
                <w:numId w:val="0"/>
              </w:numPr>
              <w:spacing w:before="80" w:after="80"/>
              <w:jc w:val="right"/>
              <w:rPr>
                <w:sz w:val="20"/>
              </w:rPr>
            </w:pPr>
            <w:r w:rsidRPr="00D62A4D">
              <w:rPr>
                <w:sz w:val="20"/>
              </w:rPr>
              <w:t>$1,814</w:t>
            </w:r>
          </w:p>
        </w:tc>
      </w:tr>
      <w:tr w:rsidR="00F72787" w:rsidRPr="006861E2" w:rsidTr="003A5A14">
        <w:trPr>
          <w:trHeight w:val="260"/>
        </w:trPr>
        <w:tc>
          <w:tcPr>
            <w:tcW w:w="1504" w:type="pct"/>
          </w:tcPr>
          <w:p w:rsidR="00F72787" w:rsidRPr="00D62A4D" w:rsidRDefault="00F72787" w:rsidP="00D62A4D">
            <w:pPr>
              <w:pStyle w:val="Chapter1"/>
              <w:numPr>
                <w:ilvl w:val="0"/>
                <w:numId w:val="0"/>
              </w:numPr>
              <w:spacing w:before="80" w:after="80"/>
              <w:rPr>
                <w:sz w:val="20"/>
              </w:rPr>
            </w:pPr>
            <w:r w:rsidRPr="00D62A4D">
              <w:rPr>
                <w:sz w:val="20"/>
              </w:rPr>
              <w:t>Dividend paid</w:t>
            </w:r>
          </w:p>
        </w:tc>
        <w:tc>
          <w:tcPr>
            <w:tcW w:w="1745" w:type="pct"/>
          </w:tcPr>
          <w:p w:rsidR="00F72787" w:rsidRPr="00D62A4D" w:rsidRDefault="00F72787" w:rsidP="00D62A4D">
            <w:pPr>
              <w:pStyle w:val="Chapter1"/>
              <w:numPr>
                <w:ilvl w:val="0"/>
                <w:numId w:val="0"/>
              </w:numPr>
              <w:spacing w:before="80" w:after="80"/>
              <w:jc w:val="right"/>
              <w:rPr>
                <w:sz w:val="20"/>
              </w:rPr>
            </w:pPr>
            <w:r w:rsidRPr="00D62A4D">
              <w:rPr>
                <w:sz w:val="20"/>
              </w:rPr>
              <w:t>($1,534)</w:t>
            </w:r>
          </w:p>
        </w:tc>
        <w:tc>
          <w:tcPr>
            <w:tcW w:w="1751" w:type="pct"/>
          </w:tcPr>
          <w:p w:rsidR="00F72787" w:rsidRPr="00D62A4D" w:rsidRDefault="00F72787" w:rsidP="00D62A4D">
            <w:pPr>
              <w:pStyle w:val="Chapter1"/>
              <w:numPr>
                <w:ilvl w:val="0"/>
                <w:numId w:val="0"/>
              </w:numPr>
              <w:spacing w:before="80" w:after="80"/>
              <w:jc w:val="right"/>
              <w:rPr>
                <w:sz w:val="20"/>
              </w:rPr>
            </w:pPr>
          </w:p>
        </w:tc>
      </w:tr>
      <w:tr w:rsidR="00F72787" w:rsidRPr="006861E2" w:rsidTr="00F72787">
        <w:trPr>
          <w:trHeight w:val="249"/>
        </w:trPr>
        <w:tc>
          <w:tcPr>
            <w:tcW w:w="1504" w:type="pct"/>
            <w:hideMark/>
          </w:tcPr>
          <w:p w:rsidR="00F72787" w:rsidRPr="00D62A4D" w:rsidRDefault="00F72787" w:rsidP="00D62A4D">
            <w:pPr>
              <w:pStyle w:val="Chapter1"/>
              <w:numPr>
                <w:ilvl w:val="0"/>
                <w:numId w:val="0"/>
              </w:numPr>
              <w:spacing w:before="80" w:after="80"/>
              <w:rPr>
                <w:sz w:val="20"/>
              </w:rPr>
            </w:pPr>
            <w:r w:rsidRPr="00D62A4D">
              <w:rPr>
                <w:sz w:val="20"/>
              </w:rPr>
              <w:t>Balance</w:t>
            </w:r>
          </w:p>
        </w:tc>
        <w:tc>
          <w:tcPr>
            <w:tcW w:w="3496" w:type="pct"/>
            <w:gridSpan w:val="2"/>
            <w:hideMark/>
          </w:tcPr>
          <w:p w:rsidR="00F72787" w:rsidRPr="00D62A4D" w:rsidRDefault="00F72787" w:rsidP="00D62A4D">
            <w:pPr>
              <w:pStyle w:val="Chapter1"/>
              <w:numPr>
                <w:ilvl w:val="0"/>
                <w:numId w:val="0"/>
              </w:numPr>
              <w:spacing w:before="80" w:after="80"/>
              <w:jc w:val="right"/>
              <w:rPr>
                <w:sz w:val="20"/>
              </w:rPr>
            </w:pPr>
            <w:r w:rsidRPr="00D62A4D">
              <w:rPr>
                <w:sz w:val="20"/>
              </w:rPr>
              <w:t>$2,800</w:t>
            </w:r>
          </w:p>
        </w:tc>
      </w:tr>
    </w:tbl>
    <w:p w:rsidR="00C31518" w:rsidRPr="00DA18D2" w:rsidRDefault="00C31518" w:rsidP="00D62A4D">
      <w:pPr>
        <w:pStyle w:val="Chapter2"/>
        <w:numPr>
          <w:ilvl w:val="0"/>
          <w:numId w:val="0"/>
        </w:numPr>
        <w:ind w:left="851"/>
      </w:pPr>
    </w:p>
    <w:p w:rsidR="00C31518" w:rsidRPr="00DA18D2" w:rsidRDefault="00C31518" w:rsidP="00D62A4D">
      <w:pPr>
        <w:pStyle w:val="Tablecaption"/>
      </w:pPr>
      <w:r w:rsidRPr="006861E2">
        <w:t xml:space="preserve">Table 2: </w:t>
      </w:r>
      <w:proofErr w:type="spellStart"/>
      <w:r w:rsidRPr="006861E2">
        <w:t>ProfitCo</w:t>
      </w:r>
      <w:proofErr w:type="spellEnd"/>
      <w:r w:rsidRPr="006861E2">
        <w:t xml:space="preserve"> </w:t>
      </w:r>
      <w:r w:rsidR="0088037C" w:rsidRPr="006861E2">
        <w:t>i</w:t>
      </w:r>
      <w:r w:rsidRPr="006861E2">
        <w:t xml:space="preserve">mputation </w:t>
      </w:r>
      <w:r w:rsidR="0088037C" w:rsidRPr="006861E2">
        <w:t>credit a</w:t>
      </w:r>
      <w:r w:rsidRPr="006861E2">
        <w:t>ccount</w:t>
      </w:r>
    </w:p>
    <w:tbl>
      <w:tblPr>
        <w:tblStyle w:val="TableGrid"/>
        <w:tblW w:w="4438" w:type="pct"/>
        <w:tblInd w:w="959" w:type="dxa"/>
        <w:tblLook w:val="0420" w:firstRow="1" w:lastRow="0" w:firstColumn="0" w:lastColumn="0" w:noHBand="0" w:noVBand="1"/>
      </w:tblPr>
      <w:tblGrid>
        <w:gridCol w:w="2276"/>
        <w:gridCol w:w="2657"/>
        <w:gridCol w:w="2636"/>
      </w:tblGrid>
      <w:tr w:rsidR="00C31518" w:rsidRPr="006861E2" w:rsidTr="00F72787">
        <w:trPr>
          <w:trHeight w:val="256"/>
        </w:trPr>
        <w:tc>
          <w:tcPr>
            <w:tcW w:w="1504" w:type="pct"/>
            <w:hideMark/>
          </w:tcPr>
          <w:p w:rsidR="00C31518" w:rsidRPr="00D62A4D" w:rsidRDefault="00C31518" w:rsidP="00D62A4D">
            <w:pPr>
              <w:pStyle w:val="Chapter1"/>
              <w:numPr>
                <w:ilvl w:val="0"/>
                <w:numId w:val="0"/>
              </w:numPr>
              <w:spacing w:before="120" w:after="120"/>
              <w:rPr>
                <w:sz w:val="20"/>
              </w:rPr>
            </w:pPr>
          </w:p>
        </w:tc>
        <w:tc>
          <w:tcPr>
            <w:tcW w:w="1755" w:type="pct"/>
            <w:hideMark/>
          </w:tcPr>
          <w:p w:rsidR="00C31518" w:rsidRPr="00D62A4D" w:rsidRDefault="00C31518" w:rsidP="00D62A4D">
            <w:pPr>
              <w:pStyle w:val="Chapter1"/>
              <w:numPr>
                <w:ilvl w:val="0"/>
                <w:numId w:val="0"/>
              </w:numPr>
              <w:spacing w:before="120" w:after="120"/>
              <w:jc w:val="center"/>
              <w:rPr>
                <w:b/>
                <w:sz w:val="20"/>
              </w:rPr>
            </w:pPr>
            <w:r w:rsidRPr="00D62A4D">
              <w:rPr>
                <w:b/>
                <w:sz w:val="20"/>
              </w:rPr>
              <w:t>Debit</w:t>
            </w:r>
          </w:p>
        </w:tc>
        <w:tc>
          <w:tcPr>
            <w:tcW w:w="1741" w:type="pct"/>
            <w:hideMark/>
          </w:tcPr>
          <w:p w:rsidR="00C31518" w:rsidRPr="00D62A4D" w:rsidRDefault="00C31518" w:rsidP="00D62A4D">
            <w:pPr>
              <w:pStyle w:val="Chapter1"/>
              <w:numPr>
                <w:ilvl w:val="0"/>
                <w:numId w:val="0"/>
              </w:numPr>
              <w:spacing w:before="120" w:after="120"/>
              <w:jc w:val="center"/>
              <w:rPr>
                <w:b/>
                <w:sz w:val="20"/>
              </w:rPr>
            </w:pPr>
            <w:r w:rsidRPr="00D62A4D">
              <w:rPr>
                <w:b/>
                <w:sz w:val="20"/>
              </w:rPr>
              <w:t>Credit</w:t>
            </w:r>
          </w:p>
        </w:tc>
      </w:tr>
      <w:tr w:rsidR="00C31518" w:rsidRPr="006861E2" w:rsidTr="00F72787">
        <w:trPr>
          <w:trHeight w:val="260"/>
        </w:trPr>
        <w:tc>
          <w:tcPr>
            <w:tcW w:w="1504" w:type="pct"/>
            <w:hideMark/>
          </w:tcPr>
          <w:p w:rsidR="00C31518" w:rsidRPr="00D62A4D" w:rsidRDefault="00C31518" w:rsidP="00D62A4D">
            <w:pPr>
              <w:pStyle w:val="Chapter1"/>
              <w:numPr>
                <w:ilvl w:val="0"/>
                <w:numId w:val="0"/>
              </w:numPr>
              <w:spacing w:before="80" w:after="80"/>
              <w:rPr>
                <w:sz w:val="20"/>
              </w:rPr>
            </w:pPr>
            <w:r w:rsidRPr="00D62A4D">
              <w:rPr>
                <w:sz w:val="20"/>
              </w:rPr>
              <w:t xml:space="preserve">Tax </w:t>
            </w:r>
            <w:r w:rsidR="00B27E89" w:rsidRPr="006861E2">
              <w:rPr>
                <w:sz w:val="20"/>
              </w:rPr>
              <w:t>p</w:t>
            </w:r>
            <w:r w:rsidRPr="00D62A4D">
              <w:rPr>
                <w:sz w:val="20"/>
              </w:rPr>
              <w:t>aid</w:t>
            </w:r>
          </w:p>
        </w:tc>
        <w:tc>
          <w:tcPr>
            <w:tcW w:w="1755" w:type="pct"/>
            <w:hideMark/>
          </w:tcPr>
          <w:p w:rsidR="00C31518" w:rsidRPr="00D62A4D" w:rsidRDefault="00C31518" w:rsidP="00D62A4D">
            <w:pPr>
              <w:pStyle w:val="Chapter1"/>
              <w:numPr>
                <w:ilvl w:val="0"/>
                <w:numId w:val="0"/>
              </w:numPr>
              <w:spacing w:before="80" w:after="80"/>
              <w:jc w:val="right"/>
              <w:rPr>
                <w:sz w:val="20"/>
              </w:rPr>
            </w:pPr>
          </w:p>
        </w:tc>
        <w:tc>
          <w:tcPr>
            <w:tcW w:w="1741" w:type="pct"/>
            <w:hideMark/>
          </w:tcPr>
          <w:p w:rsidR="00C31518" w:rsidRPr="00D62A4D" w:rsidRDefault="00C31518" w:rsidP="00D62A4D">
            <w:pPr>
              <w:pStyle w:val="Chapter1"/>
              <w:numPr>
                <w:ilvl w:val="0"/>
                <w:numId w:val="0"/>
              </w:numPr>
              <w:spacing w:before="80" w:after="80"/>
              <w:jc w:val="right"/>
              <w:rPr>
                <w:sz w:val="20"/>
              </w:rPr>
            </w:pPr>
            <w:r w:rsidRPr="00D62A4D">
              <w:rPr>
                <w:sz w:val="20"/>
              </w:rPr>
              <w:t>$2,800</w:t>
            </w:r>
          </w:p>
        </w:tc>
      </w:tr>
      <w:tr w:rsidR="00C31518" w:rsidRPr="006861E2" w:rsidTr="00F72787">
        <w:trPr>
          <w:trHeight w:val="560"/>
        </w:trPr>
        <w:tc>
          <w:tcPr>
            <w:tcW w:w="1504" w:type="pct"/>
            <w:hideMark/>
          </w:tcPr>
          <w:p w:rsidR="00C31518" w:rsidRPr="00D62A4D" w:rsidRDefault="00C31518" w:rsidP="00D62A4D">
            <w:pPr>
              <w:pStyle w:val="Chapter1"/>
              <w:numPr>
                <w:ilvl w:val="0"/>
                <w:numId w:val="0"/>
              </w:numPr>
              <w:spacing w:before="80" w:after="80"/>
              <w:rPr>
                <w:sz w:val="20"/>
              </w:rPr>
            </w:pPr>
            <w:r w:rsidRPr="00D62A4D">
              <w:rPr>
                <w:sz w:val="20"/>
              </w:rPr>
              <w:t>Dividends paid</w:t>
            </w:r>
          </w:p>
        </w:tc>
        <w:tc>
          <w:tcPr>
            <w:tcW w:w="1755" w:type="pct"/>
            <w:hideMark/>
          </w:tcPr>
          <w:p w:rsidR="00C31518" w:rsidRPr="00D62A4D" w:rsidRDefault="00AB6A7D" w:rsidP="00D62A4D">
            <w:pPr>
              <w:pStyle w:val="Chapter1"/>
              <w:numPr>
                <w:ilvl w:val="0"/>
                <w:numId w:val="0"/>
              </w:numPr>
              <w:spacing w:before="80" w:after="80"/>
              <w:jc w:val="right"/>
              <w:rPr>
                <w:sz w:val="20"/>
              </w:rPr>
            </w:pPr>
            <w:r w:rsidRPr="00D62A4D">
              <w:rPr>
                <w:sz w:val="20"/>
              </w:rPr>
              <w:t>($2</w:t>
            </w:r>
            <w:r w:rsidR="00C31518" w:rsidRPr="00D62A4D">
              <w:rPr>
                <w:sz w:val="20"/>
              </w:rPr>
              <w:t>,</w:t>
            </w:r>
            <w:r w:rsidRPr="00D62A4D">
              <w:rPr>
                <w:sz w:val="20"/>
              </w:rPr>
              <w:t>520</w:t>
            </w:r>
            <w:r w:rsidR="00C31518" w:rsidRPr="00D62A4D">
              <w:rPr>
                <w:sz w:val="20"/>
              </w:rPr>
              <w:t>)</w:t>
            </w:r>
          </w:p>
          <w:p w:rsidR="00C31518" w:rsidRPr="00D62A4D" w:rsidRDefault="00AB6A7D" w:rsidP="00D62A4D">
            <w:pPr>
              <w:pStyle w:val="Chapter1"/>
              <w:numPr>
                <w:ilvl w:val="0"/>
                <w:numId w:val="0"/>
              </w:numPr>
              <w:spacing w:before="80" w:after="80"/>
              <w:jc w:val="right"/>
              <w:rPr>
                <w:sz w:val="20"/>
              </w:rPr>
            </w:pPr>
            <w:r w:rsidRPr="00D62A4D">
              <w:rPr>
                <w:sz w:val="20"/>
              </w:rPr>
              <w:t>($280</w:t>
            </w:r>
            <w:r w:rsidR="00C31518" w:rsidRPr="00D62A4D">
              <w:rPr>
                <w:sz w:val="20"/>
              </w:rPr>
              <w:t>)</w:t>
            </w:r>
          </w:p>
        </w:tc>
        <w:tc>
          <w:tcPr>
            <w:tcW w:w="1741" w:type="pct"/>
            <w:hideMark/>
          </w:tcPr>
          <w:p w:rsidR="00C31518" w:rsidRPr="00D62A4D" w:rsidRDefault="00C31518" w:rsidP="00D62A4D">
            <w:pPr>
              <w:pStyle w:val="Chapter1"/>
              <w:numPr>
                <w:ilvl w:val="0"/>
                <w:numId w:val="0"/>
              </w:numPr>
              <w:spacing w:before="80" w:after="80"/>
              <w:jc w:val="right"/>
              <w:rPr>
                <w:sz w:val="20"/>
              </w:rPr>
            </w:pPr>
          </w:p>
        </w:tc>
      </w:tr>
      <w:tr w:rsidR="00F72787" w:rsidRPr="006861E2" w:rsidTr="00F72787">
        <w:trPr>
          <w:trHeight w:val="262"/>
        </w:trPr>
        <w:tc>
          <w:tcPr>
            <w:tcW w:w="1504" w:type="pct"/>
            <w:hideMark/>
          </w:tcPr>
          <w:p w:rsidR="00F72787" w:rsidRPr="00D62A4D" w:rsidRDefault="00F72787" w:rsidP="00D62A4D">
            <w:pPr>
              <w:pStyle w:val="Chapter1"/>
              <w:numPr>
                <w:ilvl w:val="0"/>
                <w:numId w:val="0"/>
              </w:numPr>
              <w:spacing w:before="80" w:after="80"/>
              <w:rPr>
                <w:sz w:val="20"/>
              </w:rPr>
            </w:pPr>
            <w:r w:rsidRPr="00D62A4D">
              <w:rPr>
                <w:sz w:val="20"/>
              </w:rPr>
              <w:t>Balance</w:t>
            </w:r>
          </w:p>
        </w:tc>
        <w:tc>
          <w:tcPr>
            <w:tcW w:w="3496" w:type="pct"/>
            <w:gridSpan w:val="2"/>
            <w:hideMark/>
          </w:tcPr>
          <w:p w:rsidR="00F72787" w:rsidRPr="00D62A4D" w:rsidRDefault="00F72787" w:rsidP="00D62A4D">
            <w:pPr>
              <w:pStyle w:val="Chapter1"/>
              <w:numPr>
                <w:ilvl w:val="0"/>
                <w:numId w:val="0"/>
              </w:numPr>
              <w:spacing w:before="80" w:after="80"/>
              <w:jc w:val="right"/>
              <w:rPr>
                <w:sz w:val="20"/>
              </w:rPr>
            </w:pPr>
            <w:r w:rsidRPr="00D62A4D">
              <w:rPr>
                <w:sz w:val="20"/>
              </w:rPr>
              <w:t>$0</w:t>
            </w:r>
          </w:p>
        </w:tc>
      </w:tr>
    </w:tbl>
    <w:p w:rsidR="00D1780F" w:rsidRPr="006861E2" w:rsidRDefault="00D1780F" w:rsidP="00D62A4D">
      <w:pPr>
        <w:pStyle w:val="Chapter2"/>
        <w:numPr>
          <w:ilvl w:val="0"/>
          <w:numId w:val="0"/>
        </w:numPr>
        <w:ind w:left="851"/>
      </w:pPr>
    </w:p>
    <w:p w:rsidR="000C6914" w:rsidRPr="006861E2" w:rsidRDefault="000C6914" w:rsidP="00D62A4D">
      <w:pPr>
        <w:pStyle w:val="Chapter2"/>
        <w:numPr>
          <w:ilvl w:val="0"/>
          <w:numId w:val="0"/>
        </w:numPr>
        <w:ind w:left="851"/>
      </w:pPr>
    </w:p>
    <w:p w:rsidR="006D4AB0" w:rsidRPr="006861E2" w:rsidRDefault="00D1780F">
      <w:pPr>
        <w:pStyle w:val="Chapter2"/>
      </w:pPr>
      <w:r w:rsidRPr="006861E2">
        <w:t xml:space="preserve">This example highlights the </w:t>
      </w:r>
      <w:r w:rsidR="001B228A" w:rsidRPr="006861E2">
        <w:t>outcome</w:t>
      </w:r>
      <w:r w:rsidRPr="006861E2">
        <w:t xml:space="preserve"> when the loss </w:t>
      </w:r>
      <w:r w:rsidR="00533566" w:rsidRPr="006861E2">
        <w:t xml:space="preserve">grouping </w:t>
      </w:r>
      <w:r w:rsidRPr="006861E2">
        <w:t xml:space="preserve">rules interact with the imputation regime. </w:t>
      </w:r>
      <w:r w:rsidR="00A266F1" w:rsidRPr="006861E2">
        <w:t xml:space="preserve"> </w:t>
      </w:r>
      <w:r w:rsidR="00C739F7" w:rsidRPr="006861E2">
        <w:t xml:space="preserve">Namely, the overlay of the imputation regime effectively claws back some of the </w:t>
      </w:r>
      <w:r w:rsidR="00087A92" w:rsidRPr="006861E2">
        <w:t xml:space="preserve">benefit </w:t>
      </w:r>
      <w:r w:rsidR="00C739F7" w:rsidRPr="006861E2">
        <w:t xml:space="preserve">afforded by the loss </w:t>
      </w:r>
      <w:r w:rsidR="00533566" w:rsidRPr="006861E2">
        <w:t xml:space="preserve">grouping </w:t>
      </w:r>
      <w:r w:rsidR="00C739F7" w:rsidRPr="006861E2">
        <w:t>rules.</w:t>
      </w:r>
      <w:r w:rsidR="006D4AB0" w:rsidRPr="006861E2">
        <w:t xml:space="preserve">  The shareholders pay extra tax of $2,016 ($1,814 by the majority shareholder and $202 by the minority shareholder).  </w:t>
      </w:r>
      <w:r w:rsidR="00A70F3B" w:rsidRPr="006861E2">
        <w:t>The minority</w:t>
      </w:r>
      <w:r w:rsidR="006D4AB0" w:rsidRPr="006861E2">
        <w:t xml:space="preserve"> shareholder</w:t>
      </w:r>
      <w:r w:rsidR="00A70F3B" w:rsidRPr="006861E2">
        <w:t xml:space="preserve"> is</w:t>
      </w:r>
      <w:r w:rsidR="006D4AB0" w:rsidRPr="006861E2">
        <w:t xml:space="preserve"> worse off than if the loss grouping had not occurred</w:t>
      </w:r>
      <w:r w:rsidR="003141BE" w:rsidRPr="006861E2">
        <w:t xml:space="preserve"> and the profit company had paid the </w:t>
      </w:r>
      <w:r w:rsidR="007B3E40" w:rsidRPr="006861E2">
        <w:t xml:space="preserve">full amount of </w:t>
      </w:r>
      <w:r w:rsidR="003141BE" w:rsidRPr="006861E2">
        <w:t>tax</w:t>
      </w:r>
      <w:r w:rsidR="006D4AB0" w:rsidRPr="006861E2">
        <w:t>.</w:t>
      </w:r>
      <w:r w:rsidR="00A70F3B" w:rsidRPr="006861E2">
        <w:t xml:space="preserve">  </w:t>
      </w:r>
      <w:r w:rsidR="00C0268B" w:rsidRPr="006861E2">
        <w:t>T</w:t>
      </w:r>
      <w:r w:rsidR="00A70F3B" w:rsidRPr="006861E2">
        <w:t xml:space="preserve">he majority shareholder </w:t>
      </w:r>
      <w:r w:rsidR="00C0268B" w:rsidRPr="006861E2">
        <w:t>is also worse off than if the loss grouping had not occurred</w:t>
      </w:r>
      <w:r w:rsidR="009649E6" w:rsidRPr="006861E2">
        <w:t>,</w:t>
      </w:r>
      <w:r w:rsidR="00C0268B" w:rsidRPr="006861E2">
        <w:t xml:space="preserve"> provided they </w:t>
      </w:r>
      <w:r w:rsidR="00A70F3B" w:rsidRPr="006861E2">
        <w:t xml:space="preserve">could </w:t>
      </w:r>
      <w:r w:rsidR="00C0268B" w:rsidRPr="006861E2">
        <w:t xml:space="preserve">have </w:t>
      </w:r>
      <w:r w:rsidR="00A70F3B" w:rsidRPr="006861E2">
        <w:t>eventually use</w:t>
      </w:r>
      <w:r w:rsidR="00C0268B" w:rsidRPr="006861E2">
        <w:t>d</w:t>
      </w:r>
      <w:r w:rsidR="00A70F3B" w:rsidRPr="006861E2">
        <w:t xml:space="preserve"> the loss against other income.</w:t>
      </w:r>
    </w:p>
    <w:p w:rsidR="00BA5BD6" w:rsidRPr="006861E2" w:rsidRDefault="00BA5BD6" w:rsidP="00D62A4D">
      <w:pPr>
        <w:pStyle w:val="Chapter2"/>
        <w:numPr>
          <w:ilvl w:val="0"/>
          <w:numId w:val="0"/>
        </w:numPr>
        <w:ind w:left="851"/>
      </w:pPr>
    </w:p>
    <w:p w:rsidR="003F1850" w:rsidRPr="006861E2" w:rsidRDefault="00030EA4">
      <w:pPr>
        <w:pStyle w:val="Chapter2"/>
      </w:pPr>
      <w:r w:rsidRPr="006861E2">
        <w:t xml:space="preserve">Another way of looking at this, is that if the activities of </w:t>
      </w:r>
      <w:proofErr w:type="spellStart"/>
      <w:r w:rsidRPr="006861E2">
        <w:t>ProfitCo</w:t>
      </w:r>
      <w:proofErr w:type="spellEnd"/>
      <w:r w:rsidRPr="006861E2">
        <w:t xml:space="preserve"> and </w:t>
      </w:r>
      <w:proofErr w:type="spellStart"/>
      <w:r w:rsidRPr="006861E2">
        <w:t>LossCo</w:t>
      </w:r>
      <w:proofErr w:type="spellEnd"/>
      <w:r w:rsidRPr="006861E2">
        <w:t xml:space="preserve"> were carried</w:t>
      </w:r>
      <w:r w:rsidR="00D81E40" w:rsidRPr="006861E2">
        <w:t xml:space="preserve"> on</w:t>
      </w:r>
      <w:r w:rsidRPr="006861E2">
        <w:t xml:space="preserve"> directly by the </w:t>
      </w:r>
      <w:r w:rsidR="008F4C45" w:rsidRPr="006861E2">
        <w:t xml:space="preserve">corporate </w:t>
      </w:r>
      <w:r w:rsidRPr="006861E2">
        <w:t>shareholders, the total tax payable on the $10,000 net income would be $2,800 (an effective tax rate of 28</w:t>
      </w:r>
      <w:r w:rsidR="00C0268B" w:rsidRPr="006861E2">
        <w:t xml:space="preserve"> percent</w:t>
      </w:r>
      <w:r w:rsidRPr="006861E2">
        <w:t xml:space="preserve">).  However, because </w:t>
      </w:r>
      <w:proofErr w:type="spellStart"/>
      <w:r w:rsidR="0003165E" w:rsidRPr="006861E2">
        <w:t>ProfitCo</w:t>
      </w:r>
      <w:proofErr w:type="spellEnd"/>
      <w:r w:rsidR="0003165E" w:rsidRPr="006861E2">
        <w:t xml:space="preserve"> and </w:t>
      </w:r>
      <w:proofErr w:type="spellStart"/>
      <w:r w:rsidR="0003165E" w:rsidRPr="006861E2">
        <w:t>LossCo</w:t>
      </w:r>
      <w:proofErr w:type="spellEnd"/>
      <w:r w:rsidR="0003165E" w:rsidRPr="006861E2">
        <w:t xml:space="preserve"> are not part of a wholly</w:t>
      </w:r>
      <w:r w:rsidR="00782620" w:rsidRPr="006861E2">
        <w:t xml:space="preserve"> </w:t>
      </w:r>
      <w:r w:rsidR="0003165E" w:rsidRPr="006861E2">
        <w:t xml:space="preserve">owned group, </w:t>
      </w:r>
      <w:r w:rsidRPr="006861E2">
        <w:t>the interaction of the loss grouping and imputation rules means that the total tax payable on the $10,000 of group net income is $4,816 (</w:t>
      </w:r>
      <w:r w:rsidR="009649E6" w:rsidRPr="006861E2">
        <w:t>although additional imputation credits are generated</w:t>
      </w:r>
      <w:r w:rsidRPr="006861E2">
        <w:t>).</w:t>
      </w:r>
    </w:p>
    <w:p w:rsidR="00C739F7" w:rsidRPr="006861E2" w:rsidRDefault="00C739F7" w:rsidP="00D62A4D">
      <w:pPr>
        <w:pStyle w:val="Chapter2"/>
        <w:numPr>
          <w:ilvl w:val="0"/>
          <w:numId w:val="0"/>
        </w:numPr>
        <w:ind w:left="851"/>
      </w:pPr>
    </w:p>
    <w:p w:rsidR="000C6914" w:rsidRPr="006861E2" w:rsidRDefault="000C6914" w:rsidP="00D62A4D">
      <w:pPr>
        <w:pStyle w:val="Chapter2"/>
        <w:numPr>
          <w:ilvl w:val="0"/>
          <w:numId w:val="0"/>
        </w:numPr>
        <w:ind w:left="851"/>
      </w:pPr>
    </w:p>
    <w:p w:rsidR="003F1850" w:rsidRPr="006861E2" w:rsidRDefault="00313F9E">
      <w:pPr>
        <w:pStyle w:val="Heading1"/>
      </w:pPr>
      <w:bookmarkStart w:id="38" w:name="_Toc429994575"/>
      <w:bookmarkStart w:id="39" w:name="_Toc429994905"/>
      <w:bookmarkStart w:id="40" w:name="_Toc430002429"/>
      <w:r w:rsidRPr="006861E2">
        <w:t>Why i</w:t>
      </w:r>
      <w:r w:rsidR="003F1850" w:rsidRPr="006861E2">
        <w:t>s there a need to address this issue?</w:t>
      </w:r>
      <w:bookmarkEnd w:id="38"/>
      <w:bookmarkEnd w:id="39"/>
      <w:bookmarkEnd w:id="40"/>
    </w:p>
    <w:p w:rsidR="003F1850" w:rsidRPr="00DA18D2" w:rsidRDefault="003F1850" w:rsidP="00D62A4D">
      <w:pPr>
        <w:pStyle w:val="Chapter2"/>
        <w:numPr>
          <w:ilvl w:val="0"/>
          <w:numId w:val="0"/>
        </w:numPr>
        <w:ind w:left="851"/>
      </w:pPr>
    </w:p>
    <w:p w:rsidR="00AB6A7D" w:rsidRPr="00D62A4D" w:rsidRDefault="000B1B94">
      <w:pPr>
        <w:pStyle w:val="Chapter2"/>
        <w:rPr>
          <w:szCs w:val="20"/>
        </w:rPr>
      </w:pPr>
      <w:r w:rsidRPr="006861E2">
        <w:t xml:space="preserve">Officials have been advised </w:t>
      </w:r>
      <w:r w:rsidR="00C739F7" w:rsidRPr="006861E2">
        <w:t xml:space="preserve">that </w:t>
      </w:r>
      <w:r w:rsidR="008F4C45" w:rsidRPr="006861E2">
        <w:t xml:space="preserve">the interaction </w:t>
      </w:r>
      <w:r w:rsidRPr="006861E2">
        <w:t>o</w:t>
      </w:r>
      <w:r w:rsidR="008F4C45" w:rsidRPr="006861E2">
        <w:t>f</w:t>
      </w:r>
      <w:r w:rsidRPr="006861E2">
        <w:t xml:space="preserve"> the regimes described above </w:t>
      </w:r>
      <w:r w:rsidR="009E706E" w:rsidRPr="006861E2">
        <w:t>may be</w:t>
      </w:r>
      <w:r w:rsidRPr="006861E2">
        <w:t xml:space="preserve"> causing problems in practice and distorting economic decisions.  For example, </w:t>
      </w:r>
      <w:r w:rsidR="00C739F7" w:rsidRPr="006861E2">
        <w:t>a c</w:t>
      </w:r>
      <w:r w:rsidR="00C0268B" w:rsidRPr="006861E2">
        <w:t>ompany considering acquiring 66 percent</w:t>
      </w:r>
      <w:r w:rsidR="00C739F7" w:rsidRPr="006861E2">
        <w:t xml:space="preserve"> or </w:t>
      </w:r>
      <w:r w:rsidR="00087A92" w:rsidRPr="006861E2">
        <w:t xml:space="preserve">more of the shares </w:t>
      </w:r>
      <w:r w:rsidR="00C739F7" w:rsidRPr="006861E2">
        <w:t>in a</w:t>
      </w:r>
      <w:r w:rsidRPr="006861E2">
        <w:t>nother</w:t>
      </w:r>
      <w:r w:rsidR="00C739F7" w:rsidRPr="006861E2">
        <w:t xml:space="preserve"> company is </w:t>
      </w:r>
      <w:r w:rsidRPr="006861E2">
        <w:t xml:space="preserve">currently </w:t>
      </w:r>
      <w:r w:rsidR="00C739F7" w:rsidRPr="006861E2">
        <w:t>incentivised to acquire 100</w:t>
      </w:r>
      <w:r w:rsidR="00C0268B" w:rsidRPr="006861E2">
        <w:t xml:space="preserve"> percent</w:t>
      </w:r>
      <w:r w:rsidR="00C739F7" w:rsidRPr="006861E2">
        <w:t xml:space="preserve"> of the </w:t>
      </w:r>
      <w:r w:rsidRPr="006861E2">
        <w:t xml:space="preserve">target </w:t>
      </w:r>
      <w:r w:rsidR="00C739F7" w:rsidRPr="006861E2">
        <w:t>company in order to access the inter</w:t>
      </w:r>
      <w:r w:rsidR="00DA18D2">
        <w:t>-</w:t>
      </w:r>
      <w:r w:rsidR="00C739F7" w:rsidRPr="006861E2">
        <w:t xml:space="preserve">corporate dividend exemption to avoid </w:t>
      </w:r>
      <w:r w:rsidR="00087A92" w:rsidRPr="006861E2">
        <w:t>th</w:t>
      </w:r>
      <w:r w:rsidR="003F1850" w:rsidRPr="006861E2">
        <w:t>e</w:t>
      </w:r>
      <w:r w:rsidR="00087A92" w:rsidRPr="006861E2">
        <w:t xml:space="preserve"> </w:t>
      </w:r>
      <w:r w:rsidR="009E706E" w:rsidRPr="006861E2">
        <w:t>issue</w:t>
      </w:r>
      <w:r w:rsidR="00087A92" w:rsidRPr="006861E2">
        <w:t xml:space="preserve"> </w:t>
      </w:r>
      <w:r w:rsidR="003F1850" w:rsidRPr="006861E2">
        <w:t xml:space="preserve">identified above which ultimately </w:t>
      </w:r>
      <w:r w:rsidR="00087A92" w:rsidRPr="006861E2">
        <w:t>result</w:t>
      </w:r>
      <w:r w:rsidR="003F1850" w:rsidRPr="006861E2">
        <w:t>s in</w:t>
      </w:r>
      <w:r w:rsidR="00087A92" w:rsidRPr="006861E2">
        <w:t xml:space="preserve"> </w:t>
      </w:r>
      <w:r w:rsidR="008A357C" w:rsidRPr="006861E2">
        <w:t xml:space="preserve">an </w:t>
      </w:r>
      <w:r w:rsidR="00087A92" w:rsidRPr="006861E2">
        <w:t xml:space="preserve">additional tax cost to </w:t>
      </w:r>
      <w:r w:rsidR="00C739F7" w:rsidRPr="006861E2">
        <w:t>shareholders.  This suggest</w:t>
      </w:r>
      <w:r w:rsidRPr="006861E2">
        <w:t>s</w:t>
      </w:r>
      <w:r w:rsidR="00C739F7" w:rsidRPr="006861E2">
        <w:t xml:space="preserve"> that interaction of these two regimes could be </w:t>
      </w:r>
      <w:r w:rsidR="000046FC" w:rsidRPr="006861E2">
        <w:t xml:space="preserve">distorting </w:t>
      </w:r>
      <w:r w:rsidR="00C739F7" w:rsidRPr="006861E2">
        <w:t>potential business combinations.  This could provide an incentive to shut</w:t>
      </w:r>
      <w:r w:rsidR="00DA18D2">
        <w:t xml:space="preserve"> </w:t>
      </w:r>
      <w:r w:rsidR="00C739F7" w:rsidRPr="006861E2">
        <w:t xml:space="preserve">out minority investors, and could prevent an owner/operator or </w:t>
      </w:r>
      <w:r w:rsidRPr="006861E2">
        <w:t xml:space="preserve">key </w:t>
      </w:r>
      <w:r w:rsidR="00C739F7" w:rsidRPr="006861E2">
        <w:t>employees retaining a stake in the company when they sell more than 66</w:t>
      </w:r>
      <w:r w:rsidR="00C0268B" w:rsidRPr="006861E2">
        <w:t xml:space="preserve"> percent</w:t>
      </w:r>
      <w:r w:rsidR="00C739F7" w:rsidRPr="006861E2">
        <w:t xml:space="preserve"> of that company to an investor.</w:t>
      </w:r>
    </w:p>
    <w:p w:rsidR="00464C63" w:rsidRPr="00D62A4D" w:rsidRDefault="00464C63" w:rsidP="00D62A4D">
      <w:pPr>
        <w:pStyle w:val="Chapter2"/>
        <w:numPr>
          <w:ilvl w:val="0"/>
          <w:numId w:val="0"/>
        </w:numPr>
        <w:ind w:left="851"/>
        <w:rPr>
          <w:szCs w:val="20"/>
        </w:rPr>
      </w:pPr>
    </w:p>
    <w:p w:rsidR="003F1850" w:rsidRPr="00D62A4D" w:rsidRDefault="00087A92">
      <w:pPr>
        <w:pStyle w:val="Chapter2"/>
        <w:rPr>
          <w:szCs w:val="20"/>
        </w:rPr>
      </w:pPr>
      <w:r w:rsidRPr="006861E2">
        <w:t xml:space="preserve">Shareholder </w:t>
      </w:r>
      <w:r w:rsidR="00464C63" w:rsidRPr="006861E2">
        <w:t xml:space="preserve">companies </w:t>
      </w:r>
      <w:r w:rsidRPr="006861E2">
        <w:t xml:space="preserve">may be </w:t>
      </w:r>
      <w:r w:rsidR="007B3158" w:rsidRPr="006861E2">
        <w:t xml:space="preserve">more </w:t>
      </w:r>
      <w:r w:rsidR="00464C63" w:rsidRPr="006861E2">
        <w:t xml:space="preserve">likely to be in </w:t>
      </w:r>
      <w:r w:rsidRPr="006861E2">
        <w:t xml:space="preserve">tax </w:t>
      </w:r>
      <w:r w:rsidR="00464C63" w:rsidRPr="006861E2">
        <w:t xml:space="preserve">loss when they have recently </w:t>
      </w:r>
      <w:r w:rsidR="000B1B94" w:rsidRPr="006861E2">
        <w:t>undertaken a debt-</w:t>
      </w:r>
      <w:r w:rsidRPr="006861E2">
        <w:t>financed acquisition of an</w:t>
      </w:r>
      <w:r w:rsidR="00464C63" w:rsidRPr="006861E2">
        <w:t>other company</w:t>
      </w:r>
      <w:r w:rsidRPr="006861E2">
        <w:t xml:space="preserve"> because the acquisition vehicle </w:t>
      </w:r>
      <w:r w:rsidR="00CD45CC">
        <w:t>normally</w:t>
      </w:r>
      <w:r w:rsidR="00CD45CC" w:rsidRPr="006861E2">
        <w:t xml:space="preserve"> </w:t>
      </w:r>
      <w:r w:rsidRPr="006861E2">
        <w:t>bear</w:t>
      </w:r>
      <w:r w:rsidR="00CD45CC">
        <w:t>s</w:t>
      </w:r>
      <w:r w:rsidRPr="006861E2">
        <w:t xml:space="preserve"> </w:t>
      </w:r>
      <w:r w:rsidR="008F4C45" w:rsidRPr="006861E2">
        <w:t xml:space="preserve">the </w:t>
      </w:r>
      <w:r w:rsidRPr="006861E2">
        <w:t>interest costs on the debt funding</w:t>
      </w:r>
      <w:r w:rsidR="00464C63" w:rsidRPr="006861E2">
        <w:t>.</w:t>
      </w:r>
      <w:r w:rsidR="003F1850" w:rsidRPr="006861E2">
        <w:t xml:space="preserve">  This suggests that this </w:t>
      </w:r>
      <w:r w:rsidR="009E706E" w:rsidRPr="006861E2">
        <w:t>issue</w:t>
      </w:r>
      <w:r w:rsidR="003F1850" w:rsidRPr="006861E2">
        <w:t xml:space="preserve"> may be more prevalent </w:t>
      </w:r>
      <w:r w:rsidR="00313F9E" w:rsidRPr="006861E2">
        <w:t>in the context of mergers and acquisitions</w:t>
      </w:r>
      <w:r w:rsidR="003F1850" w:rsidRPr="006861E2">
        <w:t>.</w:t>
      </w:r>
    </w:p>
    <w:p w:rsidR="000B1B94" w:rsidRPr="00D62A4D" w:rsidRDefault="000B1B94" w:rsidP="00D62A4D">
      <w:pPr>
        <w:pStyle w:val="Chapter2"/>
        <w:numPr>
          <w:ilvl w:val="0"/>
          <w:numId w:val="0"/>
        </w:numPr>
        <w:ind w:left="851"/>
        <w:rPr>
          <w:szCs w:val="20"/>
        </w:rPr>
      </w:pPr>
    </w:p>
    <w:p w:rsidR="000B1B94" w:rsidRPr="00D62A4D" w:rsidRDefault="000B1B94">
      <w:pPr>
        <w:pStyle w:val="Chapter2"/>
        <w:rPr>
          <w:szCs w:val="20"/>
        </w:rPr>
      </w:pPr>
      <w:r w:rsidRPr="006861E2">
        <w:t xml:space="preserve">Officials have also been advised that this is one factor that could </w:t>
      </w:r>
      <w:r w:rsidR="00856BBC" w:rsidRPr="006861E2">
        <w:t>act as a barrier to</w:t>
      </w:r>
      <w:r w:rsidRPr="006861E2">
        <w:t xml:space="preserve"> </w:t>
      </w:r>
      <w:r w:rsidR="00772C31" w:rsidRPr="006861E2">
        <w:t xml:space="preserve">partial </w:t>
      </w:r>
      <w:r w:rsidRPr="006861E2">
        <w:t>corporate listings on the New Zealand stock exchange</w:t>
      </w:r>
      <w:r w:rsidR="00105854" w:rsidRPr="006861E2">
        <w:t xml:space="preserve"> (NZX)</w:t>
      </w:r>
      <w:r w:rsidR="00856BBC" w:rsidRPr="006861E2">
        <w:t xml:space="preserve"> – because losing 100</w:t>
      </w:r>
      <w:r w:rsidR="00C0268B" w:rsidRPr="006861E2">
        <w:t xml:space="preserve"> percent</w:t>
      </w:r>
      <w:r w:rsidR="00856BBC" w:rsidRPr="006861E2">
        <w:t xml:space="preserve"> common ownership via listing means the </w:t>
      </w:r>
      <w:r w:rsidR="00240C80" w:rsidRPr="006861E2">
        <w:t>inter-corporate</w:t>
      </w:r>
      <w:r w:rsidR="00856BBC" w:rsidRPr="006861E2">
        <w:t xml:space="preserve"> dividend exemption is no longer available</w:t>
      </w:r>
      <w:r w:rsidRPr="006861E2">
        <w:t>.</w:t>
      </w:r>
    </w:p>
    <w:p w:rsidR="000B1B94" w:rsidRPr="00DA18D2" w:rsidRDefault="000B1B94" w:rsidP="00D62A4D">
      <w:pPr>
        <w:pStyle w:val="Chapter2"/>
        <w:numPr>
          <w:ilvl w:val="0"/>
          <w:numId w:val="0"/>
        </w:numPr>
        <w:ind w:left="851"/>
      </w:pPr>
    </w:p>
    <w:p w:rsidR="00464C63" w:rsidRPr="00D62A4D" w:rsidRDefault="000B1B94">
      <w:pPr>
        <w:pStyle w:val="Chapter2"/>
        <w:rPr>
          <w:szCs w:val="20"/>
        </w:rPr>
      </w:pPr>
      <w:r w:rsidRPr="006861E2">
        <w:t xml:space="preserve">Thus removing this </w:t>
      </w:r>
      <w:r w:rsidR="009E706E" w:rsidRPr="006861E2">
        <w:t>issue</w:t>
      </w:r>
      <w:r w:rsidRPr="006861E2">
        <w:t xml:space="preserve"> </w:t>
      </w:r>
      <w:r w:rsidR="002C12CF" w:rsidRPr="006861E2">
        <w:t>for</w:t>
      </w:r>
      <w:r w:rsidRPr="006861E2">
        <w:t xml:space="preserve"> commercially desirab</w:t>
      </w:r>
      <w:r w:rsidR="00105854" w:rsidRPr="006861E2">
        <w:t>le transactions could have flow-</w:t>
      </w:r>
      <w:r w:rsidRPr="006861E2">
        <w:t xml:space="preserve">on benefits for the New Zealand economy – both in terms of </w:t>
      </w:r>
      <w:r w:rsidR="001B228A" w:rsidRPr="006861E2">
        <w:t xml:space="preserve">facilitating </w:t>
      </w:r>
      <w:r w:rsidR="00105854" w:rsidRPr="006861E2">
        <w:t>New Zealand</w:t>
      </w:r>
      <w:r w:rsidR="001B228A" w:rsidRPr="006861E2">
        <w:t>ers</w:t>
      </w:r>
      <w:r w:rsidR="00105854" w:rsidRPr="006861E2">
        <w:t xml:space="preserve"> retain</w:t>
      </w:r>
      <w:r w:rsidR="001B228A" w:rsidRPr="006861E2">
        <w:t>ing</w:t>
      </w:r>
      <w:r w:rsidR="00105854" w:rsidRPr="006861E2">
        <w:t xml:space="preserve"> a minority stake in a successful New Zealand company and increasing the </w:t>
      </w:r>
      <w:r w:rsidR="00EB65F6" w:rsidRPr="006861E2">
        <w:t>attractiveness</w:t>
      </w:r>
      <w:r w:rsidR="00105854" w:rsidRPr="006861E2">
        <w:t xml:space="preserve"> of listing on the NZX resulting in a deeper capital market.</w:t>
      </w:r>
    </w:p>
    <w:p w:rsidR="00C53227" w:rsidRPr="00D62A4D" w:rsidRDefault="00C53227" w:rsidP="00D62A4D">
      <w:pPr>
        <w:pStyle w:val="Chapter2"/>
        <w:numPr>
          <w:ilvl w:val="0"/>
          <w:numId w:val="0"/>
        </w:numPr>
        <w:ind w:left="851"/>
        <w:rPr>
          <w:szCs w:val="20"/>
        </w:rPr>
      </w:pPr>
    </w:p>
    <w:p w:rsidR="002C7D90" w:rsidRPr="006861E2" w:rsidRDefault="002C7D90">
      <w:pPr>
        <w:jc w:val="left"/>
        <w:rPr>
          <w:rFonts w:ascii="Times New Roman Bold" w:hAnsi="Times New Roman Bold"/>
          <w:b/>
          <w:bCs/>
          <w:caps/>
        </w:rPr>
      </w:pPr>
      <w:r w:rsidRPr="006861E2">
        <w:rPr>
          <w:rFonts w:ascii="Times New Roman Bold" w:hAnsi="Times New Roman Bold"/>
          <w:b/>
          <w:bCs/>
          <w:caps/>
        </w:rPr>
        <w:br w:type="page"/>
      </w:r>
    </w:p>
    <w:p w:rsidR="00C53227" w:rsidRPr="006861E2" w:rsidRDefault="00C53227">
      <w:pPr>
        <w:jc w:val="left"/>
        <w:rPr>
          <w:rFonts w:ascii="Times New Roman Bold" w:hAnsi="Times New Roman Bold"/>
          <w:b/>
          <w:bCs/>
          <w:caps/>
          <w:snapToGrid w:val="0"/>
          <w:lang w:eastAsia="en-US"/>
        </w:rPr>
      </w:pPr>
      <w:r w:rsidRPr="006861E2">
        <w:rPr>
          <w:rFonts w:ascii="Times New Roman Bold" w:hAnsi="Times New Roman Bold"/>
          <w:b/>
          <w:bCs/>
          <w:caps/>
        </w:rPr>
        <w:br w:type="page"/>
      </w:r>
    </w:p>
    <w:p w:rsidR="00CA33EC" w:rsidRPr="006861E2" w:rsidRDefault="001005B7">
      <w:pPr>
        <w:pStyle w:val="Chapterheading"/>
      </w:pPr>
      <w:bookmarkStart w:id="41" w:name="_Toc414373050"/>
      <w:bookmarkStart w:id="42" w:name="_Toc414373800"/>
      <w:bookmarkStart w:id="43" w:name="_Toc424108916"/>
      <w:bookmarkStart w:id="44" w:name="_Toc424108993"/>
      <w:bookmarkStart w:id="45" w:name="_Toc429994497"/>
      <w:bookmarkStart w:id="46" w:name="_Toc429994576"/>
      <w:bookmarkStart w:id="47" w:name="_Toc430002430"/>
      <w:r w:rsidRPr="00D62A4D">
        <w:t xml:space="preserve">CHAPTER </w:t>
      </w:r>
      <w:r w:rsidR="00CA33EC" w:rsidRPr="00D62A4D">
        <w:t>3</w:t>
      </w:r>
      <w:bookmarkEnd w:id="36"/>
      <w:bookmarkEnd w:id="41"/>
      <w:bookmarkEnd w:id="42"/>
      <w:bookmarkEnd w:id="43"/>
      <w:bookmarkEnd w:id="44"/>
      <w:bookmarkEnd w:id="45"/>
      <w:bookmarkEnd w:id="46"/>
      <w:bookmarkEnd w:id="47"/>
    </w:p>
    <w:p w:rsidR="00CA33EC" w:rsidRPr="006861E2" w:rsidRDefault="00CA33EC">
      <w:pPr>
        <w:pStyle w:val="Chapterheading"/>
      </w:pPr>
    </w:p>
    <w:p w:rsidR="00CA33EC" w:rsidRPr="006861E2" w:rsidRDefault="00162BB9">
      <w:pPr>
        <w:pStyle w:val="Chapterheading"/>
      </w:pPr>
      <w:bookmarkStart w:id="48" w:name="_Toc414373051"/>
      <w:bookmarkStart w:id="49" w:name="_Toc429994577"/>
      <w:bookmarkStart w:id="50" w:name="_Toc430002431"/>
      <w:r w:rsidRPr="00D62A4D">
        <w:t>Suggested solution</w:t>
      </w:r>
      <w:bookmarkEnd w:id="48"/>
      <w:bookmarkEnd w:id="49"/>
      <w:bookmarkEnd w:id="50"/>
    </w:p>
    <w:p w:rsidR="00CA33EC" w:rsidRPr="00DA18D2" w:rsidRDefault="00CA33EC" w:rsidP="00D62A4D">
      <w:pPr>
        <w:pStyle w:val="Chapter3"/>
        <w:numPr>
          <w:ilvl w:val="0"/>
          <w:numId w:val="0"/>
        </w:numPr>
        <w:ind w:left="851"/>
      </w:pPr>
    </w:p>
    <w:p w:rsidR="000C6914" w:rsidRPr="003C3E33" w:rsidRDefault="000C6914" w:rsidP="00D62A4D">
      <w:pPr>
        <w:pStyle w:val="Chapter3"/>
        <w:numPr>
          <w:ilvl w:val="0"/>
          <w:numId w:val="0"/>
        </w:numPr>
        <w:ind w:left="851"/>
      </w:pPr>
    </w:p>
    <w:p w:rsidR="007B3158" w:rsidRPr="006861E2" w:rsidRDefault="00D1780F" w:rsidP="00D62A4D">
      <w:pPr>
        <w:pStyle w:val="Chapter3"/>
      </w:pPr>
      <w:r w:rsidRPr="006861E2">
        <w:t xml:space="preserve">Officials want to ensure that the current </w:t>
      </w:r>
      <w:r w:rsidR="007B3158" w:rsidRPr="006861E2">
        <w:t xml:space="preserve">tax </w:t>
      </w:r>
      <w:r w:rsidRPr="006861E2">
        <w:t xml:space="preserve">rules do not </w:t>
      </w:r>
      <w:r w:rsidR="004136D6" w:rsidRPr="006861E2">
        <w:t xml:space="preserve">potentially </w:t>
      </w:r>
      <w:r w:rsidRPr="006861E2">
        <w:t xml:space="preserve">hinder legitimate business </w:t>
      </w:r>
      <w:r w:rsidR="00D80042" w:rsidRPr="006861E2">
        <w:t>structures</w:t>
      </w:r>
      <w:r w:rsidR="007B3158" w:rsidRPr="006861E2">
        <w:t xml:space="preserve"> or distort behaviour – for example, by driving investors to acquire 100</w:t>
      </w:r>
      <w:r w:rsidR="000A4AF3" w:rsidRPr="006861E2">
        <w:t xml:space="preserve"> percent</w:t>
      </w:r>
      <w:r w:rsidR="007B3158" w:rsidRPr="006861E2">
        <w:t xml:space="preserve"> of a company </w:t>
      </w:r>
      <w:r w:rsidR="000046FC" w:rsidRPr="006861E2">
        <w:t>solely</w:t>
      </w:r>
      <w:r w:rsidR="006E040D" w:rsidRPr="006861E2">
        <w:t xml:space="preserve"> </w:t>
      </w:r>
      <w:r w:rsidR="007B3158" w:rsidRPr="006861E2">
        <w:t xml:space="preserve">to access the </w:t>
      </w:r>
      <w:r w:rsidR="00240C80" w:rsidRPr="006861E2">
        <w:t>inter-corporate</w:t>
      </w:r>
      <w:r w:rsidR="007B3158" w:rsidRPr="006861E2">
        <w:t xml:space="preserve"> dividend exemption</w:t>
      </w:r>
      <w:r w:rsidR="003F6296" w:rsidRPr="006861E2">
        <w:t>.  Such a decision would not ordinarily make good business sense in the absence of tax as a factor.</w:t>
      </w:r>
    </w:p>
    <w:p w:rsidR="007B3158" w:rsidRPr="006861E2" w:rsidRDefault="007B3158" w:rsidP="00D62A4D">
      <w:pPr>
        <w:pStyle w:val="Chapter3"/>
        <w:numPr>
          <w:ilvl w:val="0"/>
          <w:numId w:val="0"/>
        </w:numPr>
        <w:ind w:left="851"/>
      </w:pPr>
    </w:p>
    <w:p w:rsidR="007B3158" w:rsidRPr="006861E2" w:rsidRDefault="00856BBC" w:rsidP="00D62A4D">
      <w:pPr>
        <w:pStyle w:val="Chapter3"/>
      </w:pPr>
      <w:r w:rsidRPr="006861E2">
        <w:t>Accordingly</w:t>
      </w:r>
      <w:r w:rsidR="007B3158" w:rsidRPr="006861E2">
        <w:t>, the aim of any proposed solution will be to equalise the tax treatment between a wholly</w:t>
      </w:r>
      <w:r w:rsidR="00782620" w:rsidRPr="006861E2">
        <w:t xml:space="preserve"> </w:t>
      </w:r>
      <w:r w:rsidR="007B3158" w:rsidRPr="006861E2">
        <w:t xml:space="preserve">owned group </w:t>
      </w:r>
      <w:r w:rsidRPr="006861E2">
        <w:t>engaging in</w:t>
      </w:r>
      <w:r w:rsidR="007B3158" w:rsidRPr="006861E2">
        <w:t xml:space="preserve"> loss </w:t>
      </w:r>
      <w:r w:rsidRPr="006861E2">
        <w:t>grouping</w:t>
      </w:r>
      <w:r w:rsidR="007B3158" w:rsidRPr="006861E2">
        <w:t xml:space="preserve"> and a non</w:t>
      </w:r>
      <w:r w:rsidR="00782620" w:rsidRPr="006861E2">
        <w:t>-</w:t>
      </w:r>
      <w:r w:rsidR="007B3158" w:rsidRPr="006861E2">
        <w:t>wholly</w:t>
      </w:r>
      <w:r w:rsidR="00782620" w:rsidRPr="006861E2">
        <w:t xml:space="preserve"> </w:t>
      </w:r>
      <w:r w:rsidR="007B3158" w:rsidRPr="006861E2">
        <w:t xml:space="preserve">owned group undertaking an equivalent loss </w:t>
      </w:r>
      <w:r w:rsidRPr="006861E2">
        <w:t>grouping</w:t>
      </w:r>
      <w:r w:rsidR="007B3158" w:rsidRPr="006861E2">
        <w:t>.</w:t>
      </w:r>
    </w:p>
    <w:p w:rsidR="007B3158" w:rsidRPr="006861E2" w:rsidRDefault="007B3158" w:rsidP="00D62A4D">
      <w:pPr>
        <w:pStyle w:val="Chapter3"/>
        <w:numPr>
          <w:ilvl w:val="0"/>
          <w:numId w:val="0"/>
        </w:numPr>
        <w:ind w:left="851"/>
      </w:pPr>
    </w:p>
    <w:p w:rsidR="00D1780F" w:rsidRPr="006861E2" w:rsidRDefault="00311AFC" w:rsidP="00D62A4D">
      <w:pPr>
        <w:pStyle w:val="Chapter3"/>
      </w:pPr>
      <w:r w:rsidRPr="006861E2">
        <w:t>Officials</w:t>
      </w:r>
      <w:r w:rsidR="00CA33EC" w:rsidRPr="006861E2">
        <w:t xml:space="preserve"> </w:t>
      </w:r>
      <w:r w:rsidR="00D1780F" w:rsidRPr="006861E2">
        <w:t xml:space="preserve">therefore </w:t>
      </w:r>
      <w:r w:rsidRPr="006861E2">
        <w:t xml:space="preserve">suggest that companies </w:t>
      </w:r>
      <w:r w:rsidR="00117DE0" w:rsidRPr="006861E2">
        <w:t xml:space="preserve">engaging in a loss offset </w:t>
      </w:r>
      <w:r w:rsidRPr="006861E2">
        <w:t>should</w:t>
      </w:r>
      <w:r w:rsidR="00033B45" w:rsidRPr="006861E2">
        <w:t>, by mutual agreement,</w:t>
      </w:r>
      <w:r w:rsidRPr="006861E2">
        <w:t xml:space="preserve"> be </w:t>
      </w:r>
      <w:r w:rsidR="00117DE0" w:rsidRPr="006861E2">
        <w:t>allowed</w:t>
      </w:r>
      <w:r w:rsidRPr="006861E2">
        <w:t xml:space="preserve"> to perform </w:t>
      </w:r>
      <w:r w:rsidR="00117DE0" w:rsidRPr="006861E2">
        <w:t>an “imputation credit transfer”.</w:t>
      </w:r>
    </w:p>
    <w:p w:rsidR="00033B45" w:rsidRPr="006861E2" w:rsidRDefault="00033B45" w:rsidP="00D62A4D">
      <w:pPr>
        <w:pStyle w:val="Chapter3"/>
        <w:numPr>
          <w:ilvl w:val="0"/>
          <w:numId w:val="0"/>
        </w:numPr>
        <w:ind w:left="851"/>
      </w:pPr>
    </w:p>
    <w:p w:rsidR="00033B45" w:rsidRPr="006861E2" w:rsidRDefault="00033B45" w:rsidP="00D62A4D">
      <w:pPr>
        <w:pStyle w:val="Chapter3"/>
      </w:pPr>
      <w:r w:rsidRPr="006861E2">
        <w:t>The imputation credit transfer would involve</w:t>
      </w:r>
      <w:r w:rsidR="00856BBC" w:rsidRPr="006861E2">
        <w:t>, as part of a loss grouping arrangement,</w:t>
      </w:r>
      <w:r w:rsidRPr="006861E2">
        <w:t xml:space="preserve"> the loss company debiting its imputation credit account and the profit company crediting its imputation credit account by the same amount.</w:t>
      </w:r>
      <w:r w:rsidR="00856BBC" w:rsidRPr="006861E2">
        <w:t xml:space="preserve">  It is proposed that the respective debit and credit to the imputation credit accounts would occur </w:t>
      </w:r>
      <w:r w:rsidR="0058215B" w:rsidRPr="006861E2">
        <w:t>at the same time as</w:t>
      </w:r>
      <w:r w:rsidR="00856BBC" w:rsidRPr="006861E2">
        <w:t xml:space="preserve"> the payment of the dividend by the profit company to facilitate the full imputation of that dividend.</w:t>
      </w:r>
    </w:p>
    <w:p w:rsidR="00033B45" w:rsidRPr="00DA18D2" w:rsidRDefault="00033B45" w:rsidP="00D62A4D">
      <w:pPr>
        <w:pStyle w:val="Chapter3"/>
        <w:numPr>
          <w:ilvl w:val="0"/>
          <w:numId w:val="0"/>
        </w:numPr>
        <w:ind w:left="851"/>
      </w:pPr>
    </w:p>
    <w:p w:rsidR="003A5A14" w:rsidRPr="006861E2" w:rsidRDefault="009E6E51" w:rsidP="00D62A4D">
      <w:pPr>
        <w:pStyle w:val="Chapter3"/>
      </w:pPr>
      <w:r w:rsidRPr="006861E2">
        <w:t xml:space="preserve">Continuing on from the previous example the </w:t>
      </w:r>
      <w:r w:rsidR="003A5A14" w:rsidRPr="006861E2">
        <w:t xml:space="preserve">following diagrams set out how an imputation credit transfer would work in practice, and the effect on the imputation credit accounts </w:t>
      </w:r>
      <w:r w:rsidR="00D1780F" w:rsidRPr="006861E2">
        <w:t>of the loss company and the profit company</w:t>
      </w:r>
      <w:r w:rsidR="003A5A14" w:rsidRPr="006861E2">
        <w:t>.</w:t>
      </w:r>
    </w:p>
    <w:p w:rsidR="004F43BC" w:rsidRPr="00DA18D2" w:rsidRDefault="004F43BC" w:rsidP="00D62A4D">
      <w:pPr>
        <w:pStyle w:val="Chapter3"/>
        <w:numPr>
          <w:ilvl w:val="0"/>
          <w:numId w:val="0"/>
        </w:numPr>
        <w:ind w:left="851"/>
      </w:pPr>
    </w:p>
    <w:p w:rsidR="009E6E51" w:rsidRPr="006861E2" w:rsidRDefault="009E6E51" w:rsidP="00D62A4D">
      <w:pPr>
        <w:pStyle w:val="Chapter3"/>
      </w:pPr>
      <w:r w:rsidRPr="006861E2">
        <w:t xml:space="preserve">As discussed previously, the profit company has a taxable profit of $20,000 and </w:t>
      </w:r>
      <w:r w:rsidR="003F6296" w:rsidRPr="006861E2">
        <w:t>(</w:t>
      </w:r>
      <w:r w:rsidRPr="006861E2">
        <w:t>through a combination of loss offsets and subvention payments</w:t>
      </w:r>
      <w:r w:rsidR="003F6296" w:rsidRPr="006861E2">
        <w:t>)</w:t>
      </w:r>
      <w:r w:rsidRPr="006861E2">
        <w:t xml:space="preserve"> offsets the loss from the loss company of $10,000 giving a net taxable profit to the profit company of $10,000. </w:t>
      </w:r>
      <w:r w:rsidR="00A266F1" w:rsidRPr="006861E2">
        <w:t xml:space="preserve"> </w:t>
      </w:r>
      <w:r w:rsidRPr="006861E2">
        <w:t xml:space="preserve">$2800 income tax is then paid </w:t>
      </w:r>
      <w:r w:rsidR="00CD45CC">
        <w:t>generating</w:t>
      </w:r>
      <w:r w:rsidR="00CD45CC" w:rsidRPr="006861E2">
        <w:t xml:space="preserve"> </w:t>
      </w:r>
      <w:r w:rsidR="008D154B" w:rsidRPr="006861E2">
        <w:t>an imputation credit of $2800 a</w:t>
      </w:r>
      <w:r w:rsidRPr="006861E2">
        <w:t>s shown in Table 4.</w:t>
      </w:r>
    </w:p>
    <w:p w:rsidR="004F43BC" w:rsidRPr="00DA18D2" w:rsidRDefault="004F43BC" w:rsidP="00D62A4D">
      <w:pPr>
        <w:pStyle w:val="Chapter3"/>
        <w:numPr>
          <w:ilvl w:val="0"/>
          <w:numId w:val="0"/>
        </w:numPr>
        <w:ind w:left="851"/>
      </w:pPr>
    </w:p>
    <w:p w:rsidR="009E6E51" w:rsidRPr="006861E2" w:rsidRDefault="009E6E51" w:rsidP="00D62A4D">
      <w:pPr>
        <w:pStyle w:val="Chapter3"/>
      </w:pPr>
      <w:r w:rsidRPr="006861E2">
        <w:t>Then subsequently when a dividend is paid by the profit company of its entire net of tax profit ($20,000 -</w:t>
      </w:r>
      <w:r w:rsidR="008D154B" w:rsidRPr="006861E2">
        <w:t xml:space="preserve"> </w:t>
      </w:r>
      <w:r w:rsidRPr="006861E2">
        <w:t>$2800)</w:t>
      </w:r>
      <w:r w:rsidR="008D154B" w:rsidRPr="006861E2">
        <w:t xml:space="preserve"> =</w:t>
      </w:r>
      <w:r w:rsidRPr="006861E2">
        <w:t xml:space="preserve"> $17,200, an imputation credit transfer relating to the </w:t>
      </w:r>
      <w:r w:rsidR="008D154B" w:rsidRPr="006861E2">
        <w:t>tax effect</w:t>
      </w:r>
      <w:r w:rsidRPr="006861E2">
        <w:t xml:space="preserve"> of loss offset </w:t>
      </w:r>
      <w:r w:rsidR="00E548F0" w:rsidRPr="006861E2">
        <w:t>$2800 can occur between the loss company and the profit company.</w:t>
      </w:r>
      <w:r w:rsidR="003F37EC" w:rsidRPr="006861E2">
        <w:t xml:space="preserve"> </w:t>
      </w:r>
      <w:r w:rsidR="00A266F1" w:rsidRPr="006861E2">
        <w:t xml:space="preserve"> </w:t>
      </w:r>
      <w:r w:rsidR="003F37EC" w:rsidRPr="006861E2">
        <w:t>The debit is shown in Table 3 and the credit in Table 4.</w:t>
      </w:r>
    </w:p>
    <w:p w:rsidR="000A4AF3" w:rsidRPr="00DA18D2" w:rsidRDefault="000A4AF3" w:rsidP="00D62A4D">
      <w:pPr>
        <w:pStyle w:val="Chapter3"/>
        <w:numPr>
          <w:ilvl w:val="0"/>
          <w:numId w:val="0"/>
        </w:numPr>
        <w:ind w:left="851"/>
      </w:pPr>
    </w:p>
    <w:p w:rsidR="003A5A14" w:rsidRPr="003C3E33" w:rsidRDefault="003A5A14" w:rsidP="00D62A4D">
      <w:pPr>
        <w:pStyle w:val="Chapter3"/>
        <w:numPr>
          <w:ilvl w:val="0"/>
          <w:numId w:val="0"/>
        </w:numPr>
        <w:ind w:left="851"/>
      </w:pPr>
    </w:p>
    <w:p w:rsidR="003C3E33" w:rsidRDefault="003C3E33">
      <w:pPr>
        <w:jc w:val="left"/>
        <w:rPr>
          <w:b/>
          <w:noProof/>
        </w:rPr>
      </w:pPr>
      <w:r>
        <w:br w:type="page"/>
      </w:r>
    </w:p>
    <w:p w:rsidR="003A5A14" w:rsidRPr="00D62A4D" w:rsidRDefault="003A5A14" w:rsidP="00CB2EA4">
      <w:pPr>
        <w:pStyle w:val="Figurecaption"/>
        <w:ind w:left="0"/>
      </w:pPr>
      <w:r w:rsidRPr="00D62A4D">
        <w:t xml:space="preserve">Diagram 2: </w:t>
      </w:r>
      <w:r w:rsidR="00856BBC" w:rsidRPr="00D62A4D">
        <w:t>Loss grouping</w:t>
      </w:r>
      <w:r w:rsidRPr="00D62A4D">
        <w:t xml:space="preserve"> by a 90</w:t>
      </w:r>
      <w:r w:rsidR="000A4AF3" w:rsidRPr="00D62A4D">
        <w:t xml:space="preserve"> percent</w:t>
      </w:r>
      <w:r w:rsidRPr="00D62A4D">
        <w:t xml:space="preserve"> shareholding company with an imputation credit transfer</w:t>
      </w:r>
    </w:p>
    <w:p w:rsidR="00F8662D" w:rsidRDefault="00F8662D" w:rsidP="00CB2EA4">
      <w:pPr>
        <w:pStyle w:val="Chapter3"/>
        <w:numPr>
          <w:ilvl w:val="0"/>
          <w:numId w:val="0"/>
        </w:numPr>
      </w:pPr>
    </w:p>
    <w:p w:rsidR="00FE176F" w:rsidRPr="00DA18D2" w:rsidRDefault="00FE176F" w:rsidP="00CB2EA4">
      <w:pPr>
        <w:pStyle w:val="Chapter3"/>
        <w:numPr>
          <w:ilvl w:val="0"/>
          <w:numId w:val="0"/>
        </w:numPr>
      </w:pPr>
    </w:p>
    <w:p w:rsidR="00D93B22" w:rsidRDefault="00CA41A0" w:rsidP="00D62A4D">
      <w:pPr>
        <w:pStyle w:val="Chapter3"/>
        <w:numPr>
          <w:ilvl w:val="0"/>
          <w:numId w:val="0"/>
        </w:numPr>
        <w:jc w:val="center"/>
      </w:pPr>
      <w:r>
        <w:rPr>
          <w:noProof/>
          <w:snapToGrid/>
          <w:lang w:eastAsia="en-NZ"/>
        </w:rPr>
        <w:drawing>
          <wp:inline distT="0" distB="0" distL="0" distR="0" wp14:anchorId="46AE1BCD" wp14:editId="206D4EF5">
            <wp:extent cx="5278120" cy="287545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2875452"/>
                    </a:xfrm>
                    <a:prstGeom prst="rect">
                      <a:avLst/>
                    </a:prstGeom>
                    <a:noFill/>
                    <a:ln>
                      <a:noFill/>
                    </a:ln>
                  </pic:spPr>
                </pic:pic>
              </a:graphicData>
            </a:graphic>
          </wp:inline>
        </w:drawing>
      </w:r>
    </w:p>
    <w:p w:rsidR="003C3E33" w:rsidRDefault="003C3E33" w:rsidP="00D62A4D">
      <w:pPr>
        <w:pStyle w:val="Chapter3"/>
        <w:numPr>
          <w:ilvl w:val="0"/>
          <w:numId w:val="0"/>
        </w:numPr>
        <w:ind w:left="851"/>
      </w:pPr>
    </w:p>
    <w:p w:rsidR="003C3E33" w:rsidRPr="003C3E33" w:rsidRDefault="003C3E33" w:rsidP="00D62A4D">
      <w:pPr>
        <w:pStyle w:val="Chapter3"/>
        <w:numPr>
          <w:ilvl w:val="0"/>
          <w:numId w:val="0"/>
        </w:numPr>
        <w:ind w:left="851"/>
      </w:pPr>
    </w:p>
    <w:p w:rsidR="003A5A14" w:rsidRPr="006861E2" w:rsidRDefault="000A4AF3" w:rsidP="00D62A4D">
      <w:pPr>
        <w:pStyle w:val="Chapter3"/>
      </w:pPr>
      <w:r w:rsidRPr="006861E2">
        <w:t>The following tables set out the relevant</w:t>
      </w:r>
      <w:r w:rsidR="003A5A14" w:rsidRPr="006861E2">
        <w:t xml:space="preserve"> entries in the imputation credit accounts of the loss company and the profit company</w:t>
      </w:r>
      <w:r w:rsidR="00C43D2D" w:rsidRPr="006861E2">
        <w:t xml:space="preserve"> once the tax has been paid and the dividend made from </w:t>
      </w:r>
      <w:proofErr w:type="spellStart"/>
      <w:r w:rsidR="00C43D2D" w:rsidRPr="006861E2">
        <w:t>ProfitCo</w:t>
      </w:r>
      <w:proofErr w:type="spellEnd"/>
      <w:r w:rsidR="00C43D2D" w:rsidRPr="006861E2">
        <w:t xml:space="preserve"> to </w:t>
      </w:r>
      <w:proofErr w:type="spellStart"/>
      <w:r w:rsidR="00C43D2D" w:rsidRPr="006861E2">
        <w:t>LossCo</w:t>
      </w:r>
      <w:proofErr w:type="spellEnd"/>
      <w:r w:rsidR="00C43D2D" w:rsidRPr="006861E2">
        <w:t xml:space="preserve"> and Minority shareholder</w:t>
      </w:r>
      <w:r w:rsidR="003A5A14" w:rsidRPr="006861E2">
        <w:t>.</w:t>
      </w:r>
    </w:p>
    <w:p w:rsidR="003A5A14" w:rsidRPr="00DA18D2" w:rsidRDefault="003A5A14" w:rsidP="00D62A4D">
      <w:pPr>
        <w:pStyle w:val="Chapter3"/>
        <w:numPr>
          <w:ilvl w:val="0"/>
          <w:numId w:val="0"/>
        </w:numPr>
        <w:ind w:left="851"/>
      </w:pPr>
    </w:p>
    <w:p w:rsidR="00EA068E" w:rsidRPr="00DA18D2" w:rsidRDefault="00EA068E" w:rsidP="00D62A4D">
      <w:pPr>
        <w:pStyle w:val="Tablecaption"/>
      </w:pPr>
      <w:r w:rsidRPr="006861E2">
        <w:t xml:space="preserve">Table 3: </w:t>
      </w:r>
      <w:proofErr w:type="spellStart"/>
      <w:r w:rsidRPr="006861E2">
        <w:t>LossCo</w:t>
      </w:r>
      <w:r w:rsidR="008F4C45" w:rsidRPr="006861E2">
        <w:t>’s</w:t>
      </w:r>
      <w:proofErr w:type="spellEnd"/>
      <w:r w:rsidRPr="006861E2">
        <w:t xml:space="preserve"> </w:t>
      </w:r>
      <w:r w:rsidR="008F4C45" w:rsidRPr="006861E2">
        <w:t>i</w:t>
      </w:r>
      <w:r w:rsidRPr="006861E2">
        <w:t xml:space="preserve">mputation </w:t>
      </w:r>
      <w:r w:rsidR="008F4C45" w:rsidRPr="006861E2">
        <w:t>credit account</w:t>
      </w:r>
    </w:p>
    <w:tbl>
      <w:tblPr>
        <w:tblStyle w:val="TableGrid"/>
        <w:tblW w:w="4246" w:type="pct"/>
        <w:tblInd w:w="959" w:type="dxa"/>
        <w:tblLook w:val="0420" w:firstRow="1" w:lastRow="0" w:firstColumn="0" w:lastColumn="0" w:noHBand="0" w:noVBand="1"/>
      </w:tblPr>
      <w:tblGrid>
        <w:gridCol w:w="3951"/>
        <w:gridCol w:w="1036"/>
        <w:gridCol w:w="965"/>
        <w:gridCol w:w="821"/>
        <w:gridCol w:w="469"/>
      </w:tblGrid>
      <w:tr w:rsidR="00EA7FE1" w:rsidRPr="006861E2" w:rsidTr="00EA7FE1">
        <w:trPr>
          <w:trHeight w:val="290"/>
        </w:trPr>
        <w:tc>
          <w:tcPr>
            <w:tcW w:w="2728" w:type="pct"/>
            <w:hideMark/>
          </w:tcPr>
          <w:p w:rsidR="00EA7FE1" w:rsidRPr="00D62A4D" w:rsidRDefault="00EA7FE1" w:rsidP="00D62A4D">
            <w:pPr>
              <w:spacing w:before="120" w:after="120"/>
              <w:rPr>
                <w:sz w:val="20"/>
              </w:rPr>
            </w:pPr>
          </w:p>
        </w:tc>
        <w:tc>
          <w:tcPr>
            <w:tcW w:w="715" w:type="pct"/>
            <w:hideMark/>
          </w:tcPr>
          <w:p w:rsidR="00EA7FE1" w:rsidRPr="00D62A4D" w:rsidRDefault="00EA7FE1" w:rsidP="00D62A4D">
            <w:pPr>
              <w:spacing w:before="120" w:after="120"/>
              <w:jc w:val="center"/>
              <w:rPr>
                <w:b/>
                <w:sz w:val="20"/>
              </w:rPr>
            </w:pPr>
            <w:r w:rsidRPr="00D62A4D">
              <w:rPr>
                <w:b/>
                <w:sz w:val="20"/>
              </w:rPr>
              <w:t>Debit</w:t>
            </w:r>
          </w:p>
        </w:tc>
        <w:tc>
          <w:tcPr>
            <w:tcW w:w="666" w:type="pct"/>
            <w:hideMark/>
          </w:tcPr>
          <w:p w:rsidR="00EA7FE1" w:rsidRPr="00D62A4D" w:rsidRDefault="00EA7FE1" w:rsidP="00D62A4D">
            <w:pPr>
              <w:spacing w:before="120" w:after="120"/>
              <w:jc w:val="center"/>
              <w:rPr>
                <w:b/>
                <w:sz w:val="20"/>
              </w:rPr>
            </w:pPr>
            <w:r w:rsidRPr="00D62A4D">
              <w:rPr>
                <w:b/>
                <w:sz w:val="20"/>
              </w:rPr>
              <w:t>Credit</w:t>
            </w:r>
          </w:p>
        </w:tc>
        <w:tc>
          <w:tcPr>
            <w:tcW w:w="891" w:type="pct"/>
            <w:gridSpan w:val="2"/>
          </w:tcPr>
          <w:p w:rsidR="00EA7FE1" w:rsidRPr="00D62A4D" w:rsidRDefault="00EA7FE1" w:rsidP="00D62A4D">
            <w:pPr>
              <w:spacing w:before="120" w:after="120"/>
              <w:jc w:val="center"/>
              <w:rPr>
                <w:b/>
                <w:sz w:val="20"/>
              </w:rPr>
            </w:pPr>
            <w:r w:rsidRPr="00D62A4D">
              <w:rPr>
                <w:b/>
                <w:sz w:val="20"/>
              </w:rPr>
              <w:t>Balance</w:t>
            </w:r>
          </w:p>
        </w:tc>
      </w:tr>
      <w:tr w:rsidR="00EA7FE1" w:rsidRPr="006861E2" w:rsidTr="00EA7FE1">
        <w:trPr>
          <w:trHeight w:val="280"/>
        </w:trPr>
        <w:tc>
          <w:tcPr>
            <w:tcW w:w="2728" w:type="pct"/>
          </w:tcPr>
          <w:p w:rsidR="00EA7FE1" w:rsidRPr="00D62A4D" w:rsidRDefault="00EA7FE1" w:rsidP="00D62A4D">
            <w:pPr>
              <w:spacing w:before="80" w:after="80"/>
              <w:rPr>
                <w:sz w:val="20"/>
              </w:rPr>
            </w:pPr>
            <w:r w:rsidRPr="00D62A4D">
              <w:rPr>
                <w:sz w:val="20"/>
              </w:rPr>
              <w:t>Opening balance</w:t>
            </w:r>
          </w:p>
        </w:tc>
        <w:tc>
          <w:tcPr>
            <w:tcW w:w="715" w:type="pct"/>
          </w:tcPr>
          <w:p w:rsidR="00EA7FE1" w:rsidRPr="00D62A4D" w:rsidRDefault="00EA7FE1" w:rsidP="00D62A4D">
            <w:pPr>
              <w:spacing w:before="80" w:after="80"/>
              <w:jc w:val="right"/>
              <w:rPr>
                <w:sz w:val="20"/>
              </w:rPr>
            </w:pPr>
          </w:p>
        </w:tc>
        <w:tc>
          <w:tcPr>
            <w:tcW w:w="666" w:type="pct"/>
          </w:tcPr>
          <w:p w:rsidR="00EA7FE1" w:rsidRPr="00D62A4D" w:rsidRDefault="00EA7FE1" w:rsidP="00D62A4D">
            <w:pPr>
              <w:spacing w:before="80" w:after="80"/>
              <w:jc w:val="right"/>
              <w:rPr>
                <w:sz w:val="20"/>
              </w:rPr>
            </w:pPr>
          </w:p>
        </w:tc>
        <w:tc>
          <w:tcPr>
            <w:tcW w:w="567" w:type="pct"/>
          </w:tcPr>
          <w:p w:rsidR="00EA7FE1" w:rsidRPr="00D62A4D" w:rsidRDefault="00EA7FE1" w:rsidP="00D62A4D">
            <w:pPr>
              <w:spacing w:before="80" w:after="80"/>
              <w:jc w:val="right"/>
              <w:rPr>
                <w:sz w:val="20"/>
              </w:rPr>
            </w:pPr>
            <w:r w:rsidRPr="00D62A4D">
              <w:rPr>
                <w:sz w:val="20"/>
              </w:rPr>
              <w:t>0</w:t>
            </w:r>
          </w:p>
        </w:tc>
        <w:tc>
          <w:tcPr>
            <w:tcW w:w="324" w:type="pct"/>
          </w:tcPr>
          <w:p w:rsidR="00EA7FE1" w:rsidRPr="00D62A4D" w:rsidRDefault="00EA7FE1" w:rsidP="00D62A4D">
            <w:pPr>
              <w:spacing w:before="80" w:after="80"/>
              <w:rPr>
                <w:sz w:val="20"/>
              </w:rPr>
            </w:pPr>
          </w:p>
        </w:tc>
      </w:tr>
      <w:tr w:rsidR="00EA7FE1" w:rsidRPr="006861E2" w:rsidTr="00EA7FE1">
        <w:trPr>
          <w:trHeight w:val="280"/>
        </w:trPr>
        <w:tc>
          <w:tcPr>
            <w:tcW w:w="2728" w:type="pct"/>
            <w:hideMark/>
          </w:tcPr>
          <w:p w:rsidR="00EA7FE1" w:rsidRPr="00D62A4D" w:rsidRDefault="00EA7FE1" w:rsidP="00D62A4D">
            <w:pPr>
              <w:spacing w:before="80" w:after="80"/>
              <w:rPr>
                <w:sz w:val="20"/>
              </w:rPr>
            </w:pPr>
            <w:r w:rsidRPr="00D62A4D">
              <w:rPr>
                <w:sz w:val="20"/>
              </w:rPr>
              <w:t xml:space="preserve">Imputation </w:t>
            </w:r>
            <w:r w:rsidR="0087665F" w:rsidRPr="006861E2">
              <w:rPr>
                <w:sz w:val="20"/>
              </w:rPr>
              <w:t>c</w:t>
            </w:r>
            <w:r w:rsidRPr="00D62A4D">
              <w:rPr>
                <w:sz w:val="20"/>
              </w:rPr>
              <w:t xml:space="preserve">redit </w:t>
            </w:r>
            <w:r w:rsidR="0087665F" w:rsidRPr="006861E2">
              <w:rPr>
                <w:sz w:val="20"/>
              </w:rPr>
              <w:t>t</w:t>
            </w:r>
            <w:r w:rsidRPr="00D62A4D">
              <w:rPr>
                <w:sz w:val="20"/>
              </w:rPr>
              <w:t>ransfer</w:t>
            </w:r>
          </w:p>
        </w:tc>
        <w:tc>
          <w:tcPr>
            <w:tcW w:w="715" w:type="pct"/>
            <w:hideMark/>
          </w:tcPr>
          <w:p w:rsidR="00EA7FE1" w:rsidRPr="00D62A4D" w:rsidRDefault="00B27E89" w:rsidP="00D62A4D">
            <w:pPr>
              <w:spacing w:before="80" w:after="80"/>
              <w:jc w:val="right"/>
              <w:rPr>
                <w:sz w:val="20"/>
              </w:rPr>
            </w:pPr>
            <w:r w:rsidRPr="006861E2">
              <w:rPr>
                <w:sz w:val="20"/>
              </w:rPr>
              <w:t>$</w:t>
            </w:r>
            <w:r w:rsidR="00EA7FE1" w:rsidRPr="00D62A4D">
              <w:rPr>
                <w:sz w:val="20"/>
              </w:rPr>
              <w:t>2,800</w:t>
            </w:r>
          </w:p>
        </w:tc>
        <w:tc>
          <w:tcPr>
            <w:tcW w:w="666" w:type="pct"/>
            <w:hideMark/>
          </w:tcPr>
          <w:p w:rsidR="00EA7FE1" w:rsidRPr="00D62A4D" w:rsidRDefault="00EA7FE1" w:rsidP="00D62A4D">
            <w:pPr>
              <w:spacing w:before="80" w:after="80"/>
              <w:jc w:val="right"/>
              <w:rPr>
                <w:sz w:val="20"/>
              </w:rPr>
            </w:pPr>
          </w:p>
        </w:tc>
        <w:tc>
          <w:tcPr>
            <w:tcW w:w="567" w:type="pct"/>
          </w:tcPr>
          <w:p w:rsidR="00EA7FE1" w:rsidRPr="00D62A4D" w:rsidRDefault="00B27E89" w:rsidP="00D62A4D">
            <w:pPr>
              <w:spacing w:before="80" w:after="80"/>
              <w:jc w:val="right"/>
              <w:rPr>
                <w:sz w:val="20"/>
              </w:rPr>
            </w:pPr>
            <w:r w:rsidRPr="006861E2">
              <w:rPr>
                <w:sz w:val="20"/>
              </w:rPr>
              <w:t>$</w:t>
            </w:r>
            <w:r w:rsidR="00EA7FE1" w:rsidRPr="00D62A4D">
              <w:rPr>
                <w:sz w:val="20"/>
              </w:rPr>
              <w:t>2,800</w:t>
            </w:r>
          </w:p>
        </w:tc>
        <w:tc>
          <w:tcPr>
            <w:tcW w:w="324" w:type="pct"/>
          </w:tcPr>
          <w:p w:rsidR="00EA7FE1" w:rsidRPr="00D62A4D" w:rsidRDefault="00EA7FE1" w:rsidP="00D62A4D">
            <w:pPr>
              <w:spacing w:before="80" w:after="80"/>
              <w:jc w:val="center"/>
              <w:rPr>
                <w:sz w:val="20"/>
              </w:rPr>
            </w:pPr>
            <w:r w:rsidRPr="00D62A4D">
              <w:rPr>
                <w:sz w:val="20"/>
              </w:rPr>
              <w:t>Dr</w:t>
            </w:r>
          </w:p>
        </w:tc>
      </w:tr>
      <w:tr w:rsidR="00EA7FE1" w:rsidRPr="006861E2" w:rsidTr="00EA7FE1">
        <w:trPr>
          <w:trHeight w:val="257"/>
        </w:trPr>
        <w:tc>
          <w:tcPr>
            <w:tcW w:w="2728" w:type="pct"/>
            <w:hideMark/>
          </w:tcPr>
          <w:p w:rsidR="00EA7FE1" w:rsidRPr="00D62A4D" w:rsidRDefault="00EA7FE1" w:rsidP="00D62A4D">
            <w:pPr>
              <w:spacing w:before="80" w:after="80"/>
              <w:rPr>
                <w:sz w:val="20"/>
              </w:rPr>
            </w:pPr>
            <w:r w:rsidRPr="00D62A4D">
              <w:rPr>
                <w:sz w:val="20"/>
              </w:rPr>
              <w:t xml:space="preserve">Dividend received from </w:t>
            </w:r>
            <w:proofErr w:type="spellStart"/>
            <w:r w:rsidRPr="00D62A4D">
              <w:rPr>
                <w:sz w:val="20"/>
              </w:rPr>
              <w:t>ProfitCo</w:t>
            </w:r>
            <w:proofErr w:type="spellEnd"/>
          </w:p>
        </w:tc>
        <w:tc>
          <w:tcPr>
            <w:tcW w:w="715" w:type="pct"/>
            <w:hideMark/>
          </w:tcPr>
          <w:p w:rsidR="00EA7FE1" w:rsidRPr="00D62A4D" w:rsidRDefault="00EA7FE1" w:rsidP="00D62A4D">
            <w:pPr>
              <w:spacing w:before="80" w:after="80"/>
              <w:jc w:val="right"/>
              <w:rPr>
                <w:sz w:val="20"/>
              </w:rPr>
            </w:pPr>
          </w:p>
        </w:tc>
        <w:tc>
          <w:tcPr>
            <w:tcW w:w="666" w:type="pct"/>
            <w:hideMark/>
          </w:tcPr>
          <w:p w:rsidR="00EA7FE1" w:rsidRPr="00D62A4D" w:rsidRDefault="00B27E89" w:rsidP="00D62A4D">
            <w:pPr>
              <w:spacing w:before="80" w:after="80"/>
              <w:jc w:val="right"/>
              <w:rPr>
                <w:sz w:val="20"/>
              </w:rPr>
            </w:pPr>
            <w:r w:rsidRPr="006861E2">
              <w:rPr>
                <w:sz w:val="20"/>
              </w:rPr>
              <w:t>$</w:t>
            </w:r>
            <w:r w:rsidR="00EA7FE1" w:rsidRPr="00D62A4D">
              <w:rPr>
                <w:sz w:val="20"/>
              </w:rPr>
              <w:t>5,040</w:t>
            </w:r>
          </w:p>
        </w:tc>
        <w:tc>
          <w:tcPr>
            <w:tcW w:w="567" w:type="pct"/>
          </w:tcPr>
          <w:p w:rsidR="00EA7FE1" w:rsidRPr="00D62A4D" w:rsidRDefault="00B27E89" w:rsidP="00D62A4D">
            <w:pPr>
              <w:spacing w:before="80" w:after="80"/>
              <w:jc w:val="right"/>
              <w:rPr>
                <w:sz w:val="20"/>
              </w:rPr>
            </w:pPr>
            <w:r w:rsidRPr="006861E2">
              <w:rPr>
                <w:sz w:val="20"/>
              </w:rPr>
              <w:t>$</w:t>
            </w:r>
            <w:r w:rsidR="00EA7FE1" w:rsidRPr="00D62A4D">
              <w:rPr>
                <w:sz w:val="20"/>
              </w:rPr>
              <w:t>2,240</w:t>
            </w:r>
          </w:p>
        </w:tc>
        <w:tc>
          <w:tcPr>
            <w:tcW w:w="324" w:type="pct"/>
          </w:tcPr>
          <w:p w:rsidR="00EA7FE1" w:rsidRPr="00D62A4D" w:rsidRDefault="00EA7FE1" w:rsidP="00D62A4D">
            <w:pPr>
              <w:spacing w:before="80" w:after="80"/>
              <w:jc w:val="center"/>
              <w:rPr>
                <w:sz w:val="20"/>
              </w:rPr>
            </w:pPr>
            <w:r w:rsidRPr="00D62A4D">
              <w:rPr>
                <w:sz w:val="20"/>
              </w:rPr>
              <w:t>Cr</w:t>
            </w:r>
          </w:p>
        </w:tc>
      </w:tr>
      <w:tr w:rsidR="00EA7FE1" w:rsidRPr="006861E2" w:rsidTr="00EA7FE1">
        <w:trPr>
          <w:trHeight w:val="260"/>
        </w:trPr>
        <w:tc>
          <w:tcPr>
            <w:tcW w:w="2728" w:type="pct"/>
            <w:hideMark/>
          </w:tcPr>
          <w:p w:rsidR="00EA7FE1" w:rsidRPr="00D62A4D" w:rsidRDefault="00EA7FE1" w:rsidP="00D62A4D">
            <w:pPr>
              <w:spacing w:before="80" w:after="80"/>
              <w:rPr>
                <w:sz w:val="20"/>
              </w:rPr>
            </w:pPr>
            <w:r w:rsidRPr="00D62A4D">
              <w:rPr>
                <w:sz w:val="20"/>
              </w:rPr>
              <w:t>Dividend paid to Ultimate shareholder</w:t>
            </w:r>
          </w:p>
        </w:tc>
        <w:tc>
          <w:tcPr>
            <w:tcW w:w="715" w:type="pct"/>
            <w:hideMark/>
          </w:tcPr>
          <w:p w:rsidR="00EA7FE1" w:rsidRPr="00D62A4D" w:rsidRDefault="00B27E89" w:rsidP="00D62A4D">
            <w:pPr>
              <w:spacing w:before="80" w:after="80"/>
              <w:jc w:val="right"/>
              <w:rPr>
                <w:sz w:val="20"/>
              </w:rPr>
            </w:pPr>
            <w:r w:rsidRPr="006861E2">
              <w:rPr>
                <w:sz w:val="20"/>
              </w:rPr>
              <w:t>$</w:t>
            </w:r>
            <w:r w:rsidR="00EA7FE1" w:rsidRPr="00D62A4D">
              <w:rPr>
                <w:sz w:val="20"/>
              </w:rPr>
              <w:t>2,240</w:t>
            </w:r>
          </w:p>
        </w:tc>
        <w:tc>
          <w:tcPr>
            <w:tcW w:w="666" w:type="pct"/>
            <w:hideMark/>
          </w:tcPr>
          <w:p w:rsidR="00EA7FE1" w:rsidRPr="00D62A4D" w:rsidRDefault="00EA7FE1" w:rsidP="00D62A4D">
            <w:pPr>
              <w:spacing w:before="80" w:after="80"/>
              <w:jc w:val="right"/>
              <w:rPr>
                <w:sz w:val="20"/>
              </w:rPr>
            </w:pPr>
          </w:p>
        </w:tc>
        <w:tc>
          <w:tcPr>
            <w:tcW w:w="567" w:type="pct"/>
          </w:tcPr>
          <w:p w:rsidR="00EA7FE1" w:rsidRPr="00D62A4D" w:rsidRDefault="00EA7FE1" w:rsidP="00D62A4D">
            <w:pPr>
              <w:spacing w:before="80" w:after="80"/>
              <w:jc w:val="right"/>
              <w:rPr>
                <w:sz w:val="20"/>
              </w:rPr>
            </w:pPr>
            <w:r w:rsidRPr="00D62A4D">
              <w:rPr>
                <w:sz w:val="20"/>
              </w:rPr>
              <w:t>0</w:t>
            </w:r>
          </w:p>
        </w:tc>
        <w:tc>
          <w:tcPr>
            <w:tcW w:w="324" w:type="pct"/>
          </w:tcPr>
          <w:p w:rsidR="00EA7FE1" w:rsidRPr="00D62A4D" w:rsidRDefault="00EA7FE1" w:rsidP="00D62A4D">
            <w:pPr>
              <w:spacing w:before="80" w:after="80"/>
              <w:jc w:val="center"/>
              <w:rPr>
                <w:sz w:val="20"/>
              </w:rPr>
            </w:pPr>
          </w:p>
        </w:tc>
      </w:tr>
    </w:tbl>
    <w:p w:rsidR="00EA068E" w:rsidRPr="00DA18D2" w:rsidRDefault="00EA068E" w:rsidP="00D62A4D">
      <w:pPr>
        <w:pStyle w:val="Chapter3"/>
        <w:numPr>
          <w:ilvl w:val="0"/>
          <w:numId w:val="0"/>
        </w:numPr>
        <w:ind w:left="851"/>
      </w:pPr>
    </w:p>
    <w:p w:rsidR="00EA068E" w:rsidRPr="00DA18D2" w:rsidRDefault="00EA068E" w:rsidP="00D62A4D">
      <w:pPr>
        <w:pStyle w:val="Tablecaption"/>
      </w:pPr>
      <w:r w:rsidRPr="006861E2">
        <w:t xml:space="preserve">Table 4: </w:t>
      </w:r>
      <w:proofErr w:type="spellStart"/>
      <w:r w:rsidRPr="006861E2">
        <w:t>ProfitCo</w:t>
      </w:r>
      <w:r w:rsidR="008F4C45" w:rsidRPr="006861E2">
        <w:t>’s</w:t>
      </w:r>
      <w:proofErr w:type="spellEnd"/>
      <w:r w:rsidRPr="006861E2">
        <w:t xml:space="preserve"> </w:t>
      </w:r>
      <w:r w:rsidR="008F4C45" w:rsidRPr="006861E2">
        <w:t>imputation credit account</w:t>
      </w:r>
    </w:p>
    <w:tbl>
      <w:tblPr>
        <w:tblStyle w:val="TableGrid"/>
        <w:tblW w:w="4246" w:type="pct"/>
        <w:tblInd w:w="959" w:type="dxa"/>
        <w:tblLook w:val="0420" w:firstRow="1" w:lastRow="0" w:firstColumn="0" w:lastColumn="0" w:noHBand="0" w:noVBand="1"/>
      </w:tblPr>
      <w:tblGrid>
        <w:gridCol w:w="3953"/>
        <w:gridCol w:w="1039"/>
        <w:gridCol w:w="969"/>
        <w:gridCol w:w="826"/>
        <w:gridCol w:w="455"/>
      </w:tblGrid>
      <w:tr w:rsidR="00EA7FE1" w:rsidRPr="006861E2" w:rsidTr="000C6914">
        <w:trPr>
          <w:trHeight w:val="290"/>
        </w:trPr>
        <w:tc>
          <w:tcPr>
            <w:tcW w:w="2730" w:type="pct"/>
            <w:hideMark/>
          </w:tcPr>
          <w:p w:rsidR="00EA7FE1" w:rsidRPr="00D62A4D" w:rsidRDefault="00EA7FE1" w:rsidP="00D62A4D">
            <w:pPr>
              <w:spacing w:before="120" w:after="120"/>
              <w:rPr>
                <w:sz w:val="20"/>
              </w:rPr>
            </w:pPr>
          </w:p>
        </w:tc>
        <w:tc>
          <w:tcPr>
            <w:tcW w:w="717" w:type="pct"/>
            <w:hideMark/>
          </w:tcPr>
          <w:p w:rsidR="00EA7FE1" w:rsidRPr="00D62A4D" w:rsidRDefault="00EA7FE1" w:rsidP="00D62A4D">
            <w:pPr>
              <w:spacing w:before="120" w:after="120"/>
              <w:jc w:val="center"/>
              <w:rPr>
                <w:b/>
                <w:sz w:val="20"/>
              </w:rPr>
            </w:pPr>
            <w:r w:rsidRPr="00D62A4D">
              <w:rPr>
                <w:b/>
                <w:sz w:val="20"/>
              </w:rPr>
              <w:t>Debit</w:t>
            </w:r>
          </w:p>
        </w:tc>
        <w:tc>
          <w:tcPr>
            <w:tcW w:w="669" w:type="pct"/>
            <w:hideMark/>
          </w:tcPr>
          <w:p w:rsidR="00EA7FE1" w:rsidRPr="00D62A4D" w:rsidRDefault="00EA7FE1" w:rsidP="00D62A4D">
            <w:pPr>
              <w:spacing w:before="120" w:after="120"/>
              <w:jc w:val="center"/>
              <w:rPr>
                <w:b/>
                <w:sz w:val="20"/>
              </w:rPr>
            </w:pPr>
            <w:r w:rsidRPr="00D62A4D">
              <w:rPr>
                <w:b/>
                <w:sz w:val="20"/>
              </w:rPr>
              <w:t>Credit</w:t>
            </w:r>
          </w:p>
        </w:tc>
        <w:tc>
          <w:tcPr>
            <w:tcW w:w="884" w:type="pct"/>
            <w:gridSpan w:val="2"/>
          </w:tcPr>
          <w:p w:rsidR="00EA7FE1" w:rsidRPr="00D62A4D" w:rsidRDefault="00EA7FE1" w:rsidP="00D62A4D">
            <w:pPr>
              <w:spacing w:before="120" w:after="120"/>
              <w:jc w:val="center"/>
              <w:rPr>
                <w:b/>
                <w:sz w:val="20"/>
              </w:rPr>
            </w:pPr>
            <w:r w:rsidRPr="00D62A4D">
              <w:rPr>
                <w:b/>
                <w:sz w:val="20"/>
              </w:rPr>
              <w:t>Balance</w:t>
            </w:r>
          </w:p>
        </w:tc>
      </w:tr>
      <w:tr w:rsidR="00EA7FE1" w:rsidRPr="006861E2" w:rsidTr="000C6914">
        <w:trPr>
          <w:trHeight w:val="280"/>
        </w:trPr>
        <w:tc>
          <w:tcPr>
            <w:tcW w:w="2730" w:type="pct"/>
          </w:tcPr>
          <w:p w:rsidR="00EA7FE1" w:rsidRPr="00D62A4D" w:rsidRDefault="00EA7FE1" w:rsidP="00D62A4D">
            <w:pPr>
              <w:spacing w:before="80" w:after="80"/>
              <w:rPr>
                <w:sz w:val="20"/>
              </w:rPr>
            </w:pPr>
            <w:r w:rsidRPr="00D62A4D">
              <w:rPr>
                <w:sz w:val="20"/>
              </w:rPr>
              <w:t>Opening balance</w:t>
            </w:r>
          </w:p>
        </w:tc>
        <w:tc>
          <w:tcPr>
            <w:tcW w:w="717" w:type="pct"/>
          </w:tcPr>
          <w:p w:rsidR="00EA7FE1" w:rsidRPr="00D62A4D" w:rsidRDefault="00EA7FE1" w:rsidP="00D62A4D">
            <w:pPr>
              <w:spacing w:before="80" w:after="80"/>
              <w:jc w:val="right"/>
              <w:rPr>
                <w:sz w:val="20"/>
              </w:rPr>
            </w:pPr>
          </w:p>
        </w:tc>
        <w:tc>
          <w:tcPr>
            <w:tcW w:w="669" w:type="pct"/>
          </w:tcPr>
          <w:p w:rsidR="00EA7FE1" w:rsidRPr="00D62A4D" w:rsidRDefault="00EA7FE1" w:rsidP="00D62A4D">
            <w:pPr>
              <w:spacing w:before="80" w:after="80"/>
              <w:jc w:val="right"/>
              <w:rPr>
                <w:sz w:val="20"/>
              </w:rPr>
            </w:pPr>
          </w:p>
        </w:tc>
        <w:tc>
          <w:tcPr>
            <w:tcW w:w="570" w:type="pct"/>
          </w:tcPr>
          <w:p w:rsidR="00EA7FE1" w:rsidRPr="00D62A4D" w:rsidRDefault="00EA7FE1" w:rsidP="00D62A4D">
            <w:pPr>
              <w:spacing w:before="80" w:after="80"/>
              <w:jc w:val="right"/>
              <w:rPr>
                <w:sz w:val="20"/>
              </w:rPr>
            </w:pPr>
            <w:r w:rsidRPr="00D62A4D">
              <w:rPr>
                <w:sz w:val="20"/>
              </w:rPr>
              <w:t>0</w:t>
            </w:r>
          </w:p>
        </w:tc>
        <w:tc>
          <w:tcPr>
            <w:tcW w:w="315" w:type="pct"/>
          </w:tcPr>
          <w:p w:rsidR="00EA7FE1" w:rsidRPr="00D62A4D" w:rsidRDefault="00EA7FE1" w:rsidP="00D62A4D">
            <w:pPr>
              <w:spacing w:before="80" w:after="80"/>
              <w:jc w:val="center"/>
              <w:rPr>
                <w:sz w:val="20"/>
              </w:rPr>
            </w:pPr>
          </w:p>
        </w:tc>
      </w:tr>
      <w:tr w:rsidR="00EA7FE1" w:rsidRPr="006861E2" w:rsidTr="000C6914">
        <w:trPr>
          <w:trHeight w:val="280"/>
        </w:trPr>
        <w:tc>
          <w:tcPr>
            <w:tcW w:w="2730" w:type="pct"/>
          </w:tcPr>
          <w:p w:rsidR="00EA7FE1" w:rsidRPr="00D62A4D" w:rsidRDefault="00EA7FE1" w:rsidP="00D62A4D">
            <w:pPr>
              <w:spacing w:before="80" w:after="80"/>
              <w:rPr>
                <w:sz w:val="20"/>
              </w:rPr>
            </w:pPr>
            <w:r w:rsidRPr="00D62A4D">
              <w:rPr>
                <w:sz w:val="20"/>
              </w:rPr>
              <w:t xml:space="preserve">Tax </w:t>
            </w:r>
            <w:r w:rsidR="00B27E89" w:rsidRPr="006861E2">
              <w:rPr>
                <w:sz w:val="20"/>
              </w:rPr>
              <w:t>p</w:t>
            </w:r>
            <w:r w:rsidRPr="00D62A4D">
              <w:rPr>
                <w:sz w:val="20"/>
              </w:rPr>
              <w:t>aid</w:t>
            </w:r>
          </w:p>
        </w:tc>
        <w:tc>
          <w:tcPr>
            <w:tcW w:w="717" w:type="pct"/>
          </w:tcPr>
          <w:p w:rsidR="00EA7FE1" w:rsidRPr="00D62A4D" w:rsidRDefault="00EA7FE1" w:rsidP="00D62A4D">
            <w:pPr>
              <w:spacing w:before="80" w:after="80"/>
              <w:jc w:val="right"/>
              <w:rPr>
                <w:sz w:val="20"/>
              </w:rPr>
            </w:pPr>
          </w:p>
        </w:tc>
        <w:tc>
          <w:tcPr>
            <w:tcW w:w="669" w:type="pct"/>
          </w:tcPr>
          <w:p w:rsidR="00EA7FE1" w:rsidRPr="00D62A4D" w:rsidRDefault="00B27E89" w:rsidP="00D62A4D">
            <w:pPr>
              <w:spacing w:before="80" w:after="80"/>
              <w:jc w:val="right"/>
              <w:rPr>
                <w:sz w:val="20"/>
              </w:rPr>
            </w:pPr>
            <w:r w:rsidRPr="006861E2">
              <w:rPr>
                <w:sz w:val="20"/>
              </w:rPr>
              <w:t>$</w:t>
            </w:r>
            <w:r w:rsidR="00EA7FE1" w:rsidRPr="00D62A4D">
              <w:rPr>
                <w:sz w:val="20"/>
              </w:rPr>
              <w:t>2,800</w:t>
            </w:r>
          </w:p>
        </w:tc>
        <w:tc>
          <w:tcPr>
            <w:tcW w:w="570" w:type="pct"/>
          </w:tcPr>
          <w:p w:rsidR="00EA7FE1" w:rsidRPr="00D62A4D" w:rsidRDefault="00B27E89" w:rsidP="00D62A4D">
            <w:pPr>
              <w:spacing w:before="80" w:after="80"/>
              <w:jc w:val="right"/>
              <w:rPr>
                <w:sz w:val="20"/>
              </w:rPr>
            </w:pPr>
            <w:r w:rsidRPr="006861E2">
              <w:rPr>
                <w:sz w:val="20"/>
              </w:rPr>
              <w:t>$</w:t>
            </w:r>
            <w:r w:rsidR="00EA7FE1" w:rsidRPr="00D62A4D">
              <w:rPr>
                <w:sz w:val="20"/>
              </w:rPr>
              <w:t>2,800</w:t>
            </w:r>
          </w:p>
        </w:tc>
        <w:tc>
          <w:tcPr>
            <w:tcW w:w="315" w:type="pct"/>
          </w:tcPr>
          <w:p w:rsidR="00EA7FE1" w:rsidRPr="00D62A4D" w:rsidRDefault="00EA7FE1" w:rsidP="00D62A4D">
            <w:pPr>
              <w:spacing w:before="80" w:after="80"/>
              <w:jc w:val="center"/>
              <w:rPr>
                <w:sz w:val="20"/>
              </w:rPr>
            </w:pPr>
            <w:r w:rsidRPr="00D62A4D">
              <w:rPr>
                <w:sz w:val="20"/>
              </w:rPr>
              <w:t>Cr</w:t>
            </w:r>
          </w:p>
        </w:tc>
      </w:tr>
      <w:tr w:rsidR="00EA7FE1" w:rsidRPr="006861E2" w:rsidTr="000C6914">
        <w:trPr>
          <w:trHeight w:val="257"/>
        </w:trPr>
        <w:tc>
          <w:tcPr>
            <w:tcW w:w="2730" w:type="pct"/>
          </w:tcPr>
          <w:p w:rsidR="00EA7FE1" w:rsidRPr="00D62A4D" w:rsidRDefault="00EA7FE1" w:rsidP="00D62A4D">
            <w:pPr>
              <w:spacing w:before="80" w:after="80"/>
              <w:rPr>
                <w:sz w:val="20"/>
              </w:rPr>
            </w:pPr>
            <w:r w:rsidRPr="00D62A4D">
              <w:rPr>
                <w:sz w:val="20"/>
              </w:rPr>
              <w:t xml:space="preserve">Imputation </w:t>
            </w:r>
            <w:r w:rsidR="00B27E89" w:rsidRPr="006861E2">
              <w:rPr>
                <w:sz w:val="20"/>
              </w:rPr>
              <w:t>c</w:t>
            </w:r>
            <w:r w:rsidRPr="00D62A4D">
              <w:rPr>
                <w:sz w:val="20"/>
              </w:rPr>
              <w:t xml:space="preserve">redit </w:t>
            </w:r>
            <w:r w:rsidR="00B27E89" w:rsidRPr="006861E2">
              <w:rPr>
                <w:sz w:val="20"/>
              </w:rPr>
              <w:t>t</w:t>
            </w:r>
            <w:r w:rsidRPr="00D62A4D">
              <w:rPr>
                <w:sz w:val="20"/>
              </w:rPr>
              <w:t>ransfer</w:t>
            </w:r>
          </w:p>
        </w:tc>
        <w:tc>
          <w:tcPr>
            <w:tcW w:w="717" w:type="pct"/>
          </w:tcPr>
          <w:p w:rsidR="00EA7FE1" w:rsidRPr="00D62A4D" w:rsidRDefault="00EA7FE1" w:rsidP="00D62A4D">
            <w:pPr>
              <w:spacing w:before="80" w:after="80"/>
              <w:jc w:val="right"/>
              <w:rPr>
                <w:sz w:val="20"/>
              </w:rPr>
            </w:pPr>
          </w:p>
        </w:tc>
        <w:tc>
          <w:tcPr>
            <w:tcW w:w="669" w:type="pct"/>
          </w:tcPr>
          <w:p w:rsidR="00EA7FE1" w:rsidRPr="00D62A4D" w:rsidRDefault="00B27E89" w:rsidP="00D62A4D">
            <w:pPr>
              <w:spacing w:before="80" w:after="80"/>
              <w:jc w:val="right"/>
              <w:rPr>
                <w:sz w:val="20"/>
              </w:rPr>
            </w:pPr>
            <w:r w:rsidRPr="006861E2">
              <w:rPr>
                <w:sz w:val="20"/>
              </w:rPr>
              <w:t>$</w:t>
            </w:r>
            <w:r w:rsidR="00EA7FE1" w:rsidRPr="00D62A4D">
              <w:rPr>
                <w:sz w:val="20"/>
              </w:rPr>
              <w:t>2,800</w:t>
            </w:r>
          </w:p>
        </w:tc>
        <w:tc>
          <w:tcPr>
            <w:tcW w:w="570" w:type="pct"/>
          </w:tcPr>
          <w:p w:rsidR="00EA7FE1" w:rsidRPr="00D62A4D" w:rsidRDefault="00B27E89" w:rsidP="00D62A4D">
            <w:pPr>
              <w:spacing w:before="80" w:after="80"/>
              <w:jc w:val="right"/>
              <w:rPr>
                <w:sz w:val="20"/>
              </w:rPr>
            </w:pPr>
            <w:r w:rsidRPr="006861E2">
              <w:rPr>
                <w:sz w:val="20"/>
              </w:rPr>
              <w:t>$</w:t>
            </w:r>
            <w:r w:rsidR="00EA7FE1" w:rsidRPr="00D62A4D">
              <w:rPr>
                <w:sz w:val="20"/>
              </w:rPr>
              <w:t>5,600</w:t>
            </w:r>
          </w:p>
        </w:tc>
        <w:tc>
          <w:tcPr>
            <w:tcW w:w="315" w:type="pct"/>
          </w:tcPr>
          <w:p w:rsidR="00EA7FE1" w:rsidRPr="00D62A4D" w:rsidRDefault="00EA7FE1" w:rsidP="00D62A4D">
            <w:pPr>
              <w:spacing w:before="80" w:after="80"/>
              <w:jc w:val="center"/>
              <w:rPr>
                <w:sz w:val="20"/>
              </w:rPr>
            </w:pPr>
            <w:r w:rsidRPr="00D62A4D">
              <w:rPr>
                <w:sz w:val="20"/>
              </w:rPr>
              <w:t>Cr</w:t>
            </w:r>
          </w:p>
        </w:tc>
      </w:tr>
      <w:tr w:rsidR="00EA7FE1" w:rsidRPr="006861E2" w:rsidTr="000C6914">
        <w:trPr>
          <w:trHeight w:val="260"/>
        </w:trPr>
        <w:tc>
          <w:tcPr>
            <w:tcW w:w="2730" w:type="pct"/>
          </w:tcPr>
          <w:p w:rsidR="00EA7FE1" w:rsidRPr="00D62A4D" w:rsidRDefault="00EA7FE1" w:rsidP="00D62A4D">
            <w:pPr>
              <w:spacing w:before="80" w:after="80"/>
              <w:rPr>
                <w:sz w:val="20"/>
              </w:rPr>
            </w:pPr>
            <w:r w:rsidRPr="00D62A4D">
              <w:rPr>
                <w:sz w:val="20"/>
              </w:rPr>
              <w:t xml:space="preserve">Dividend to </w:t>
            </w:r>
            <w:proofErr w:type="spellStart"/>
            <w:r w:rsidRPr="00D62A4D">
              <w:rPr>
                <w:sz w:val="20"/>
              </w:rPr>
              <w:t>ProfitCo</w:t>
            </w:r>
            <w:proofErr w:type="spellEnd"/>
          </w:p>
        </w:tc>
        <w:tc>
          <w:tcPr>
            <w:tcW w:w="717" w:type="pct"/>
          </w:tcPr>
          <w:p w:rsidR="00EA7FE1" w:rsidRPr="00D62A4D" w:rsidRDefault="00B27E89" w:rsidP="00D62A4D">
            <w:pPr>
              <w:spacing w:before="80" w:after="80"/>
              <w:jc w:val="right"/>
              <w:rPr>
                <w:sz w:val="20"/>
              </w:rPr>
            </w:pPr>
            <w:r w:rsidRPr="006861E2">
              <w:rPr>
                <w:sz w:val="20"/>
              </w:rPr>
              <w:t>$</w:t>
            </w:r>
            <w:r w:rsidR="00EA7FE1" w:rsidRPr="00D62A4D">
              <w:rPr>
                <w:sz w:val="20"/>
              </w:rPr>
              <w:t>5,040</w:t>
            </w:r>
          </w:p>
        </w:tc>
        <w:tc>
          <w:tcPr>
            <w:tcW w:w="669" w:type="pct"/>
          </w:tcPr>
          <w:p w:rsidR="00EA7FE1" w:rsidRPr="00D62A4D" w:rsidRDefault="00EA7FE1" w:rsidP="00D62A4D">
            <w:pPr>
              <w:spacing w:before="80" w:after="80"/>
              <w:jc w:val="right"/>
              <w:rPr>
                <w:sz w:val="20"/>
              </w:rPr>
            </w:pPr>
          </w:p>
        </w:tc>
        <w:tc>
          <w:tcPr>
            <w:tcW w:w="570" w:type="pct"/>
          </w:tcPr>
          <w:p w:rsidR="00EA7FE1" w:rsidRPr="00D62A4D" w:rsidRDefault="00B27E89" w:rsidP="00D62A4D">
            <w:pPr>
              <w:spacing w:before="80" w:after="80"/>
              <w:jc w:val="right"/>
              <w:rPr>
                <w:sz w:val="20"/>
              </w:rPr>
            </w:pPr>
            <w:r w:rsidRPr="006861E2">
              <w:rPr>
                <w:sz w:val="20"/>
              </w:rPr>
              <w:t>$</w:t>
            </w:r>
            <w:r w:rsidR="00EA7FE1" w:rsidRPr="00D62A4D">
              <w:rPr>
                <w:sz w:val="20"/>
              </w:rPr>
              <w:t>560</w:t>
            </w:r>
          </w:p>
        </w:tc>
        <w:tc>
          <w:tcPr>
            <w:tcW w:w="315" w:type="pct"/>
          </w:tcPr>
          <w:p w:rsidR="00EA7FE1" w:rsidRPr="00D62A4D" w:rsidRDefault="00EA7FE1" w:rsidP="00D62A4D">
            <w:pPr>
              <w:spacing w:before="80" w:after="80"/>
              <w:jc w:val="center"/>
              <w:rPr>
                <w:sz w:val="20"/>
              </w:rPr>
            </w:pPr>
            <w:r w:rsidRPr="00D62A4D">
              <w:rPr>
                <w:sz w:val="20"/>
              </w:rPr>
              <w:t>Cr</w:t>
            </w:r>
          </w:p>
        </w:tc>
      </w:tr>
      <w:tr w:rsidR="00EA7FE1" w:rsidRPr="006861E2" w:rsidTr="000C6914">
        <w:trPr>
          <w:trHeight w:val="249"/>
        </w:trPr>
        <w:tc>
          <w:tcPr>
            <w:tcW w:w="2730" w:type="pct"/>
          </w:tcPr>
          <w:p w:rsidR="00EA7FE1" w:rsidRPr="00D62A4D" w:rsidRDefault="00EA7FE1" w:rsidP="00D62A4D">
            <w:pPr>
              <w:spacing w:before="80" w:after="80"/>
              <w:rPr>
                <w:sz w:val="20"/>
              </w:rPr>
            </w:pPr>
            <w:r w:rsidRPr="00D62A4D">
              <w:rPr>
                <w:sz w:val="20"/>
              </w:rPr>
              <w:t xml:space="preserve">Dividend to </w:t>
            </w:r>
            <w:r w:rsidR="005536C3" w:rsidRPr="00D62A4D">
              <w:rPr>
                <w:sz w:val="20"/>
              </w:rPr>
              <w:t>Minority shareholder</w:t>
            </w:r>
          </w:p>
        </w:tc>
        <w:tc>
          <w:tcPr>
            <w:tcW w:w="717" w:type="pct"/>
          </w:tcPr>
          <w:p w:rsidR="00EA7FE1" w:rsidRPr="00D62A4D" w:rsidRDefault="00B27E89" w:rsidP="00D62A4D">
            <w:pPr>
              <w:spacing w:before="80" w:after="80"/>
              <w:jc w:val="right"/>
              <w:rPr>
                <w:sz w:val="20"/>
              </w:rPr>
            </w:pPr>
            <w:r w:rsidRPr="006861E2">
              <w:rPr>
                <w:sz w:val="20"/>
              </w:rPr>
              <w:t>$</w:t>
            </w:r>
            <w:r w:rsidR="005536C3" w:rsidRPr="00D62A4D">
              <w:rPr>
                <w:sz w:val="20"/>
              </w:rPr>
              <w:t>560</w:t>
            </w:r>
          </w:p>
        </w:tc>
        <w:tc>
          <w:tcPr>
            <w:tcW w:w="669" w:type="pct"/>
          </w:tcPr>
          <w:p w:rsidR="00EA7FE1" w:rsidRPr="00D62A4D" w:rsidRDefault="00EA7FE1" w:rsidP="00D62A4D">
            <w:pPr>
              <w:spacing w:before="80" w:after="80"/>
              <w:jc w:val="right"/>
              <w:rPr>
                <w:sz w:val="20"/>
              </w:rPr>
            </w:pPr>
          </w:p>
        </w:tc>
        <w:tc>
          <w:tcPr>
            <w:tcW w:w="570" w:type="pct"/>
          </w:tcPr>
          <w:p w:rsidR="00EA7FE1" w:rsidRPr="00D62A4D" w:rsidRDefault="005536C3" w:rsidP="00D62A4D">
            <w:pPr>
              <w:spacing w:before="80" w:after="80"/>
              <w:jc w:val="right"/>
              <w:rPr>
                <w:sz w:val="20"/>
              </w:rPr>
            </w:pPr>
            <w:r w:rsidRPr="00D62A4D">
              <w:rPr>
                <w:sz w:val="20"/>
              </w:rPr>
              <w:t>0</w:t>
            </w:r>
          </w:p>
        </w:tc>
        <w:tc>
          <w:tcPr>
            <w:tcW w:w="315" w:type="pct"/>
          </w:tcPr>
          <w:p w:rsidR="00EA7FE1" w:rsidRPr="00D62A4D" w:rsidRDefault="00EA7FE1" w:rsidP="00D62A4D">
            <w:pPr>
              <w:spacing w:before="80" w:after="80"/>
              <w:jc w:val="center"/>
              <w:rPr>
                <w:sz w:val="20"/>
              </w:rPr>
            </w:pPr>
          </w:p>
        </w:tc>
      </w:tr>
    </w:tbl>
    <w:p w:rsidR="00EA7FE1" w:rsidRPr="00DA18D2" w:rsidRDefault="00EA7FE1" w:rsidP="00D62A4D">
      <w:pPr>
        <w:pStyle w:val="Chapter3"/>
        <w:numPr>
          <w:ilvl w:val="0"/>
          <w:numId w:val="0"/>
        </w:numPr>
        <w:ind w:left="851"/>
      </w:pPr>
    </w:p>
    <w:p w:rsidR="000C6914" w:rsidRPr="003C3E33" w:rsidRDefault="000C6914" w:rsidP="00D62A4D">
      <w:pPr>
        <w:pStyle w:val="Chapter3"/>
        <w:numPr>
          <w:ilvl w:val="0"/>
          <w:numId w:val="0"/>
        </w:numPr>
        <w:ind w:left="851"/>
      </w:pPr>
    </w:p>
    <w:p w:rsidR="00117DE0" w:rsidRPr="006861E2" w:rsidRDefault="000A4AF3" w:rsidP="00D62A4D">
      <w:pPr>
        <w:pStyle w:val="Chapter3"/>
      </w:pPr>
      <w:r w:rsidRPr="006861E2">
        <w:t xml:space="preserve">The </w:t>
      </w:r>
      <w:r w:rsidR="00415960" w:rsidRPr="006861E2">
        <w:t xml:space="preserve">imputation credit transfer would </w:t>
      </w:r>
      <w:r w:rsidR="001C4F88" w:rsidRPr="006861E2">
        <w:t>mean</w:t>
      </w:r>
      <w:r w:rsidR="00415960" w:rsidRPr="006861E2">
        <w:t xml:space="preserve"> that the profit company </w:t>
      </w:r>
      <w:r w:rsidR="001C4F88" w:rsidRPr="006861E2">
        <w:t>received</w:t>
      </w:r>
      <w:r w:rsidR="00415960" w:rsidRPr="006861E2">
        <w:t xml:space="preserve"> extra imputation cred</w:t>
      </w:r>
      <w:r w:rsidR="001C4F88" w:rsidRPr="006861E2">
        <w:t>its.  This would enable the profit company to</w:t>
      </w:r>
      <w:r w:rsidR="00415960" w:rsidRPr="006861E2">
        <w:t xml:space="preserve"> </w:t>
      </w:r>
      <w:r w:rsidR="00C06DB3" w:rsidRPr="006861E2">
        <w:t xml:space="preserve">fully impute </w:t>
      </w:r>
      <w:r w:rsidR="00415960" w:rsidRPr="006861E2">
        <w:t xml:space="preserve">a </w:t>
      </w:r>
      <w:r w:rsidR="00C06DB3" w:rsidRPr="006861E2">
        <w:t xml:space="preserve">subsequent </w:t>
      </w:r>
      <w:r w:rsidR="00415960" w:rsidRPr="006861E2">
        <w:t>dividend</w:t>
      </w:r>
      <w:r w:rsidR="001C4F88" w:rsidRPr="006861E2">
        <w:t>, a</w:t>
      </w:r>
      <w:r w:rsidR="00282ADA" w:rsidRPr="006861E2">
        <w:t xml:space="preserve">s if it had paid tax on its </w:t>
      </w:r>
      <w:r w:rsidR="00C06DB3" w:rsidRPr="006861E2">
        <w:t>taxable income before taking into account the loss grouping</w:t>
      </w:r>
      <w:r w:rsidR="00415960" w:rsidRPr="006861E2">
        <w:t xml:space="preserve">. </w:t>
      </w:r>
      <w:r w:rsidR="001C4F88" w:rsidRPr="006861E2">
        <w:t xml:space="preserve"> </w:t>
      </w:r>
      <w:r w:rsidR="00415960" w:rsidRPr="006861E2">
        <w:t>This w</w:t>
      </w:r>
      <w:r w:rsidR="001C4F88" w:rsidRPr="006861E2">
        <w:t>ould</w:t>
      </w:r>
      <w:r w:rsidR="00415960" w:rsidRPr="006861E2">
        <w:t xml:space="preserve"> </w:t>
      </w:r>
      <w:r w:rsidR="001C4F88" w:rsidRPr="006861E2">
        <w:t xml:space="preserve">consequently </w:t>
      </w:r>
      <w:r w:rsidR="00415960" w:rsidRPr="006861E2">
        <w:t>put the shareholders of the profit company in a better position, as the dividend they receive is m</w:t>
      </w:r>
      <w:r w:rsidRPr="006861E2">
        <w:t>ore likely to be fully imputed.</w:t>
      </w:r>
    </w:p>
    <w:p w:rsidR="000A4AF3" w:rsidRPr="006861E2" w:rsidRDefault="000A4AF3" w:rsidP="00D62A4D">
      <w:pPr>
        <w:pStyle w:val="Chapter3"/>
        <w:numPr>
          <w:ilvl w:val="0"/>
          <w:numId w:val="0"/>
        </w:numPr>
        <w:ind w:left="851"/>
      </w:pPr>
    </w:p>
    <w:p w:rsidR="00D80042" w:rsidRPr="006861E2" w:rsidRDefault="00B34630" w:rsidP="00D62A4D">
      <w:pPr>
        <w:pStyle w:val="Chapter3"/>
      </w:pPr>
      <w:r w:rsidRPr="006861E2">
        <w:t>The after</w:t>
      </w:r>
      <w:r w:rsidR="00C06DB3" w:rsidRPr="006861E2">
        <w:t>-</w:t>
      </w:r>
      <w:r w:rsidRPr="006861E2">
        <w:t xml:space="preserve">tax return to </w:t>
      </w:r>
      <w:r w:rsidR="00C06DB3" w:rsidRPr="006861E2">
        <w:t xml:space="preserve">the </w:t>
      </w:r>
      <w:r w:rsidRPr="006861E2">
        <w:t>shareholders, the tax paid by both the loss company and the profit company, and the imputation credit account balances are the same as they would be if the inter</w:t>
      </w:r>
      <w:r w:rsidR="00DA18D2">
        <w:t>-</w:t>
      </w:r>
      <w:r w:rsidRPr="006861E2">
        <w:t xml:space="preserve">corporate dividend exemption </w:t>
      </w:r>
      <w:proofErr w:type="gramStart"/>
      <w:r w:rsidRPr="006861E2">
        <w:t>applied.</w:t>
      </w:r>
      <w:proofErr w:type="gramEnd"/>
      <w:r w:rsidR="00CD45CC">
        <w:t xml:space="preserve">  If </w:t>
      </w:r>
      <w:proofErr w:type="spellStart"/>
      <w:r w:rsidR="00CD45CC">
        <w:t>ProfitCo</w:t>
      </w:r>
      <w:proofErr w:type="spellEnd"/>
      <w:r w:rsidR="00CD45CC">
        <w:t xml:space="preserve"> were instead a limited partnership, the tax paid and imputation credits generated would also be the same.</w:t>
      </w:r>
    </w:p>
    <w:p w:rsidR="000A4AF3" w:rsidRPr="00DA18D2" w:rsidRDefault="000A4AF3" w:rsidP="00D62A4D">
      <w:pPr>
        <w:pStyle w:val="Chapter3"/>
        <w:numPr>
          <w:ilvl w:val="0"/>
          <w:numId w:val="0"/>
        </w:numPr>
        <w:ind w:left="851"/>
      </w:pPr>
    </w:p>
    <w:p w:rsidR="005A7996" w:rsidRPr="006861E2" w:rsidRDefault="005A7996" w:rsidP="00FE176F">
      <w:pPr>
        <w:pStyle w:val="Chapter3"/>
      </w:pPr>
      <w:r w:rsidRPr="006861E2">
        <w:t xml:space="preserve">Other than the imputation shopping rules in paragraph </w:t>
      </w:r>
      <w:r w:rsidRPr="00DA18D2">
        <w:fldChar w:fldCharType="begin"/>
      </w:r>
      <w:r w:rsidRPr="006861E2">
        <w:instrText xml:space="preserve"> REF _Ref424027634 \r \h </w:instrText>
      </w:r>
      <w:r w:rsidRPr="00DA18D2">
        <w:fldChar w:fldCharType="separate"/>
      </w:r>
      <w:r w:rsidR="00F90C53">
        <w:t>3.19</w:t>
      </w:r>
      <w:r w:rsidRPr="00DA18D2">
        <w:fldChar w:fldCharType="end"/>
      </w:r>
      <w:r w:rsidRPr="006861E2">
        <w:t xml:space="preserve"> o</w:t>
      </w:r>
      <w:r w:rsidR="00C06DB3" w:rsidRPr="006861E2">
        <w:t>fficials do</w:t>
      </w:r>
      <w:r w:rsidR="00D80042" w:rsidRPr="006861E2">
        <w:t xml:space="preserve"> not propos</w:t>
      </w:r>
      <w:r w:rsidR="00C06DB3" w:rsidRPr="006861E2">
        <w:t>e</w:t>
      </w:r>
      <w:r w:rsidR="00D80042" w:rsidRPr="006861E2">
        <w:t xml:space="preserve"> chang</w:t>
      </w:r>
      <w:r w:rsidR="00C06DB3" w:rsidRPr="006861E2">
        <w:t>ing</w:t>
      </w:r>
      <w:r w:rsidR="00D80042" w:rsidRPr="006861E2">
        <w:t xml:space="preserve"> any other rules as a consequence of allowing companies to perform this imputation credit transfer.  For example, </w:t>
      </w:r>
      <w:r w:rsidR="00C06DB3" w:rsidRPr="006861E2">
        <w:t>the loss company would need to have sufficient imputation credits in its imputation credit account to undertake the transfer</w:t>
      </w:r>
      <w:r w:rsidR="00687DD8" w:rsidRPr="006861E2">
        <w:t xml:space="preserve"> (although it may take into account the </w:t>
      </w:r>
      <w:r w:rsidR="00DA18D2">
        <w:t xml:space="preserve">imputation credits </w:t>
      </w:r>
      <w:r w:rsidR="00687DD8" w:rsidRPr="006861E2">
        <w:t>it will receive when it receives the dividend)</w:t>
      </w:r>
      <w:r w:rsidR="00C06DB3" w:rsidRPr="006861E2">
        <w:t xml:space="preserve"> and </w:t>
      </w:r>
      <w:r w:rsidR="00D80042" w:rsidRPr="006861E2">
        <w:t xml:space="preserve">no relief would be afforded if the loss company’s imputation credit account was in debit </w:t>
      </w:r>
      <w:r w:rsidR="000A4AF3" w:rsidRPr="006861E2">
        <w:t>at 31 March each year</w:t>
      </w:r>
      <w:r w:rsidR="00D80042" w:rsidRPr="006861E2">
        <w:t xml:space="preserve"> as a result of debiting imputation credits for the purposes of the imputation credit transfer.</w:t>
      </w:r>
    </w:p>
    <w:p w:rsidR="005A7996" w:rsidRPr="00DA18D2" w:rsidRDefault="005A7996" w:rsidP="00D62A4D">
      <w:pPr>
        <w:pStyle w:val="Chapter3"/>
        <w:numPr>
          <w:ilvl w:val="0"/>
          <w:numId w:val="0"/>
        </w:numPr>
        <w:ind w:left="851"/>
      </w:pPr>
    </w:p>
    <w:p w:rsidR="00B34630" w:rsidRPr="006861E2" w:rsidRDefault="003F6296" w:rsidP="00D62A4D">
      <w:pPr>
        <w:pStyle w:val="Chapter3"/>
      </w:pPr>
      <w:r w:rsidRPr="006861E2">
        <w:t>In practice</w:t>
      </w:r>
      <w:r w:rsidR="0095710B" w:rsidRPr="006861E2">
        <w:t xml:space="preserve">, we anticipate that taxpayers </w:t>
      </w:r>
      <w:r w:rsidRPr="006861E2">
        <w:t>would manage the imputation credits in their accounts</w:t>
      </w:r>
      <w:r w:rsidR="0095710B" w:rsidRPr="006861E2">
        <w:t xml:space="preserve">.  For example taxpayers could choose to prepay tax in order to generate imputation credits, and ensure that the loss company’s imputation credit account </w:t>
      </w:r>
      <w:r w:rsidR="00CD45CC">
        <w:t xml:space="preserve">is not in </w:t>
      </w:r>
      <w:r w:rsidR="0095710B" w:rsidRPr="006861E2">
        <w:t xml:space="preserve">debit </w:t>
      </w:r>
      <w:r w:rsidR="00824515" w:rsidRPr="006861E2">
        <w:t>at 31 March each year</w:t>
      </w:r>
      <w:r w:rsidR="0095710B" w:rsidRPr="006861E2">
        <w:t>.</w:t>
      </w:r>
    </w:p>
    <w:p w:rsidR="00715D93" w:rsidRPr="006861E2" w:rsidRDefault="00715D93" w:rsidP="00D62A4D">
      <w:pPr>
        <w:pStyle w:val="Chapter3"/>
        <w:numPr>
          <w:ilvl w:val="0"/>
          <w:numId w:val="0"/>
        </w:numPr>
        <w:ind w:left="851"/>
      </w:pPr>
    </w:p>
    <w:p w:rsidR="000C6914" w:rsidRPr="006861E2" w:rsidRDefault="000C6914" w:rsidP="00D62A4D">
      <w:pPr>
        <w:pStyle w:val="Chapter3"/>
        <w:numPr>
          <w:ilvl w:val="0"/>
          <w:numId w:val="0"/>
        </w:numPr>
        <w:ind w:left="851"/>
      </w:pPr>
    </w:p>
    <w:p w:rsidR="00CA33EC" w:rsidRPr="006861E2" w:rsidRDefault="009D3DED">
      <w:pPr>
        <w:pStyle w:val="Heading1"/>
      </w:pPr>
      <w:bookmarkStart w:id="51" w:name="_Toc429994578"/>
      <w:bookmarkStart w:id="52" w:name="_Toc429994906"/>
      <w:bookmarkStart w:id="53" w:name="_Toc430002432"/>
      <w:r w:rsidRPr="006861E2">
        <w:t>Details of the suggested solution</w:t>
      </w:r>
      <w:bookmarkEnd w:id="51"/>
      <w:bookmarkEnd w:id="52"/>
      <w:bookmarkEnd w:id="53"/>
    </w:p>
    <w:p w:rsidR="00ED2F8A" w:rsidRPr="006861E2" w:rsidRDefault="00ED2F8A" w:rsidP="00D62A4D">
      <w:pPr>
        <w:pStyle w:val="Chapter3"/>
        <w:numPr>
          <w:ilvl w:val="0"/>
          <w:numId w:val="0"/>
        </w:numPr>
        <w:ind w:left="851"/>
      </w:pPr>
    </w:p>
    <w:p w:rsidR="00ED2F8A" w:rsidRPr="006861E2" w:rsidRDefault="00A70F3B">
      <w:pPr>
        <w:pStyle w:val="Heading2"/>
      </w:pPr>
      <w:bookmarkStart w:id="54" w:name="_Toc429994907"/>
      <w:r w:rsidRPr="006861E2">
        <w:t>O</w:t>
      </w:r>
      <w:r w:rsidR="00AC736F" w:rsidRPr="006861E2">
        <w:t>ptional</w:t>
      </w:r>
      <w:r w:rsidRPr="006861E2">
        <w:t xml:space="preserve"> mechanism</w:t>
      </w:r>
      <w:bookmarkEnd w:id="54"/>
    </w:p>
    <w:p w:rsidR="00C94510" w:rsidRPr="006861E2" w:rsidRDefault="00C94510" w:rsidP="00D62A4D">
      <w:pPr>
        <w:pStyle w:val="Chapter3"/>
        <w:numPr>
          <w:ilvl w:val="0"/>
          <w:numId w:val="0"/>
        </w:numPr>
        <w:ind w:left="851"/>
      </w:pPr>
    </w:p>
    <w:p w:rsidR="00F548B7" w:rsidRPr="006861E2" w:rsidRDefault="00C94510" w:rsidP="00D62A4D">
      <w:pPr>
        <w:pStyle w:val="Chapter3"/>
      </w:pPr>
      <w:r w:rsidRPr="006861E2">
        <w:t xml:space="preserve">The </w:t>
      </w:r>
      <w:r w:rsidR="008F4C45" w:rsidRPr="006861E2">
        <w:t>imputation credit transfer mechanism would apply at the option of the participating companies</w:t>
      </w:r>
      <w:r w:rsidR="00F548B7" w:rsidRPr="006861E2">
        <w:t xml:space="preserve">.  Companies </w:t>
      </w:r>
      <w:r w:rsidR="00C06DB3" w:rsidRPr="006861E2">
        <w:t xml:space="preserve">that </w:t>
      </w:r>
      <w:r w:rsidR="00F548B7" w:rsidRPr="006861E2">
        <w:t xml:space="preserve">chose to </w:t>
      </w:r>
      <w:r w:rsidR="00C06DB3" w:rsidRPr="006861E2">
        <w:t xml:space="preserve">use </w:t>
      </w:r>
      <w:r w:rsidR="00F548B7" w:rsidRPr="006861E2">
        <w:t xml:space="preserve">the </w:t>
      </w:r>
      <w:r w:rsidR="00C06DB3" w:rsidRPr="006861E2">
        <w:t xml:space="preserve">mechanism </w:t>
      </w:r>
      <w:r w:rsidR="00F548B7" w:rsidRPr="006861E2">
        <w:t xml:space="preserve">would not be locked into using it every time they </w:t>
      </w:r>
      <w:r w:rsidR="00C06DB3" w:rsidRPr="006861E2">
        <w:t xml:space="preserve">engaged in </w:t>
      </w:r>
      <w:r w:rsidR="00F548B7" w:rsidRPr="006861E2">
        <w:t xml:space="preserve">loss </w:t>
      </w:r>
      <w:r w:rsidR="00C06DB3" w:rsidRPr="006861E2">
        <w:t xml:space="preserve">grouping </w:t>
      </w:r>
      <w:r w:rsidRPr="006861E2">
        <w:t>in the future.</w:t>
      </w:r>
    </w:p>
    <w:p w:rsidR="00D93B22" w:rsidRPr="006861E2" w:rsidRDefault="00D93B22" w:rsidP="00D62A4D">
      <w:pPr>
        <w:pStyle w:val="Chapter3"/>
        <w:numPr>
          <w:ilvl w:val="0"/>
          <w:numId w:val="0"/>
        </w:numPr>
        <w:ind w:left="851"/>
      </w:pPr>
    </w:p>
    <w:p w:rsidR="00F548B7" w:rsidRPr="006861E2" w:rsidRDefault="00C94510" w:rsidP="00D62A4D">
      <w:pPr>
        <w:pStyle w:val="Chapter3"/>
      </w:pPr>
      <w:r w:rsidRPr="006861E2">
        <w:t xml:space="preserve">The </w:t>
      </w:r>
      <w:r w:rsidR="00F548B7" w:rsidRPr="006861E2">
        <w:t xml:space="preserve">two </w:t>
      </w:r>
      <w:r w:rsidR="00AC736F" w:rsidRPr="006861E2">
        <w:t>com</w:t>
      </w:r>
      <w:r w:rsidR="00F548B7" w:rsidRPr="006861E2">
        <w:t xml:space="preserve">panies would be required to agree whether or not to use this proposed </w:t>
      </w:r>
      <w:r w:rsidR="00C06DB3" w:rsidRPr="006861E2">
        <w:t xml:space="preserve">mechanism </w:t>
      </w:r>
      <w:r w:rsidR="00F548B7" w:rsidRPr="006861E2">
        <w:t>– this could not be a unilateral decision.</w:t>
      </w:r>
    </w:p>
    <w:p w:rsidR="007C7D50" w:rsidRPr="00DA18D2" w:rsidRDefault="007C7D50" w:rsidP="00D62A4D">
      <w:pPr>
        <w:pStyle w:val="Chapter3"/>
        <w:numPr>
          <w:ilvl w:val="0"/>
          <w:numId w:val="0"/>
        </w:numPr>
        <w:ind w:left="851"/>
      </w:pPr>
    </w:p>
    <w:p w:rsidR="00AC2197" w:rsidRPr="006861E2" w:rsidRDefault="00AC2197">
      <w:pPr>
        <w:pStyle w:val="Heading2"/>
      </w:pPr>
      <w:bookmarkStart w:id="55" w:name="_Toc429994908"/>
      <w:r w:rsidRPr="006861E2">
        <w:t>Other corporate structures</w:t>
      </w:r>
      <w:bookmarkEnd w:id="55"/>
    </w:p>
    <w:p w:rsidR="00C94510" w:rsidRPr="006861E2" w:rsidRDefault="00C94510" w:rsidP="00D62A4D">
      <w:pPr>
        <w:pStyle w:val="Chapter3"/>
        <w:numPr>
          <w:ilvl w:val="0"/>
          <w:numId w:val="0"/>
        </w:numPr>
        <w:ind w:left="851"/>
      </w:pPr>
    </w:p>
    <w:p w:rsidR="00AC2197" w:rsidRPr="006861E2" w:rsidRDefault="00AC2197" w:rsidP="00D62A4D">
      <w:pPr>
        <w:pStyle w:val="Chapter3"/>
      </w:pPr>
      <w:r w:rsidRPr="006861E2">
        <w:t>The example above involves a parent company in tax loss and a profitable subsidiary.  However, loss grouping can also occur between a profitable parent and a subsidiary with tax losses, or sister companies (o</w:t>
      </w:r>
      <w:r w:rsidR="00C94510" w:rsidRPr="006861E2">
        <w:t>ne in profit and one in loss).</w:t>
      </w:r>
    </w:p>
    <w:p w:rsidR="00C94510" w:rsidRPr="006861E2" w:rsidRDefault="00C94510" w:rsidP="00D62A4D">
      <w:pPr>
        <w:pStyle w:val="Chapter3"/>
        <w:numPr>
          <w:ilvl w:val="0"/>
          <w:numId w:val="0"/>
        </w:numPr>
        <w:ind w:left="851"/>
      </w:pPr>
    </w:p>
    <w:p w:rsidR="00AC2197" w:rsidRPr="006861E2" w:rsidRDefault="00C94510" w:rsidP="00D62A4D">
      <w:pPr>
        <w:pStyle w:val="Chapter3"/>
      </w:pPr>
      <w:r w:rsidRPr="006861E2">
        <w:t>Officials</w:t>
      </w:r>
      <w:r w:rsidR="00AC2197" w:rsidRPr="006861E2">
        <w:t xml:space="preserve"> do not believe the proposed solution needs to be extended to a</w:t>
      </w:r>
      <w:r w:rsidR="00A902C0" w:rsidRPr="006861E2">
        <w:t xml:space="preserve"> corporate group </w:t>
      </w:r>
      <w:r w:rsidR="00AC2197" w:rsidRPr="006861E2">
        <w:t xml:space="preserve">where the profit company is the parent and the loss company is the subsidiary.  </w:t>
      </w:r>
      <w:r w:rsidR="00714546" w:rsidRPr="006861E2">
        <w:t>It is the profit company (parent) that requires the</w:t>
      </w:r>
      <w:r w:rsidR="00A902C0" w:rsidRPr="006861E2">
        <w:t xml:space="preserve"> additional</w:t>
      </w:r>
      <w:r w:rsidR="00714546" w:rsidRPr="006861E2">
        <w:t xml:space="preserve"> imputation credits to pay a fully imputed dividend to its shareholders and there is already a mechanism in the Income Tax Act 2007 – the taxable bonus issue – that allows a subsidiary to transfer imputation credits to its parent freely.  Accordingly, if the loss company </w:t>
      </w:r>
      <w:r w:rsidR="003F6296" w:rsidRPr="006861E2">
        <w:t xml:space="preserve">wanted </w:t>
      </w:r>
      <w:r w:rsidR="00714546" w:rsidRPr="006861E2">
        <w:t>to transfer imputation credits to its parent under the proposed mechanism, it is already able to do so under existing provisions.</w:t>
      </w:r>
    </w:p>
    <w:p w:rsidR="00C94510" w:rsidRPr="00DA18D2" w:rsidRDefault="00C94510" w:rsidP="00D62A4D">
      <w:pPr>
        <w:pStyle w:val="Chapter3"/>
        <w:numPr>
          <w:ilvl w:val="0"/>
          <w:numId w:val="0"/>
        </w:numPr>
        <w:ind w:left="851"/>
      </w:pPr>
    </w:p>
    <w:p w:rsidR="00183583" w:rsidRPr="006861E2" w:rsidRDefault="00714546" w:rsidP="00D62A4D">
      <w:pPr>
        <w:pStyle w:val="Chapter3"/>
      </w:pPr>
      <w:r w:rsidRPr="006861E2">
        <w:t>Officials believe that the proposed</w:t>
      </w:r>
      <w:r w:rsidR="00A902C0" w:rsidRPr="006861E2">
        <w:t xml:space="preserve"> imputation credit transfer mechanism should also be available to sister companies with a common corporate parent</w:t>
      </w:r>
      <w:r w:rsidR="00686535" w:rsidRPr="006861E2">
        <w:t xml:space="preserve"> that owns between 66</w:t>
      </w:r>
      <w:r w:rsidR="00A266F1" w:rsidRPr="006861E2">
        <w:t xml:space="preserve"> percent </w:t>
      </w:r>
      <w:r w:rsidR="00686535" w:rsidRPr="006861E2">
        <w:t>and 100</w:t>
      </w:r>
      <w:r w:rsidR="00A266F1" w:rsidRPr="006861E2">
        <w:t xml:space="preserve"> percent </w:t>
      </w:r>
      <w:r w:rsidR="00686535" w:rsidRPr="006861E2">
        <w:t>of both the profit and the loss company</w:t>
      </w:r>
      <w:r w:rsidR="00A902C0" w:rsidRPr="006861E2">
        <w:t xml:space="preserve">.  This is because the same </w:t>
      </w:r>
      <w:r w:rsidR="004136D6" w:rsidRPr="006861E2">
        <w:t>issue</w:t>
      </w:r>
      <w:r w:rsidR="00A902C0" w:rsidRPr="006861E2">
        <w:t xml:space="preserve"> arises if the profit company subsidiary has insufficient imputation credits as a result of a loss offset with its sister company to pay a fully imputed dividend to its parent company.  The parent company in this scenario faces the same incentive to acquire 100</w:t>
      </w:r>
      <w:r w:rsidR="00C94510" w:rsidRPr="006861E2">
        <w:t xml:space="preserve"> percent</w:t>
      </w:r>
      <w:r w:rsidR="00A902C0" w:rsidRPr="006861E2">
        <w:t xml:space="preserve"> of the profitable subsidiary to access the </w:t>
      </w:r>
      <w:r w:rsidR="00240C80" w:rsidRPr="006861E2">
        <w:t>inter-corporate</w:t>
      </w:r>
      <w:r w:rsidR="00A902C0" w:rsidRPr="006861E2">
        <w:t xml:space="preserve"> dividend exemption.  Therefore, the proposed solution should also be extended to this corporate configuration.</w:t>
      </w:r>
    </w:p>
    <w:p w:rsidR="004F43BC" w:rsidRPr="00DA18D2" w:rsidRDefault="004F43BC" w:rsidP="00D62A4D">
      <w:pPr>
        <w:pStyle w:val="Chapter3"/>
        <w:numPr>
          <w:ilvl w:val="0"/>
          <w:numId w:val="0"/>
        </w:numPr>
        <w:ind w:left="851"/>
      </w:pPr>
    </w:p>
    <w:p w:rsidR="00183583" w:rsidRPr="006861E2" w:rsidRDefault="00A70F3B" w:rsidP="00D62A4D">
      <w:pPr>
        <w:pStyle w:val="Chapter3"/>
      </w:pPr>
      <w:r w:rsidRPr="006861E2">
        <w:t>In this situation, as the common corporate parent rather than the profit company would receive the dividend, the profit company would not receive an imputation credit to offset the debit from the credit transferred to the loss company.</w:t>
      </w:r>
    </w:p>
    <w:p w:rsidR="005A7996" w:rsidRPr="006861E2" w:rsidRDefault="005A7996" w:rsidP="00D62A4D">
      <w:pPr>
        <w:pStyle w:val="Chapter3"/>
        <w:numPr>
          <w:ilvl w:val="0"/>
          <w:numId w:val="0"/>
        </w:numPr>
        <w:ind w:left="851"/>
      </w:pPr>
    </w:p>
    <w:p w:rsidR="004F43BC" w:rsidRPr="006861E2" w:rsidRDefault="00183583" w:rsidP="00D62A4D">
      <w:pPr>
        <w:pStyle w:val="Chapter3"/>
      </w:pPr>
      <w:bookmarkStart w:id="56" w:name="_Ref424027634"/>
      <w:r w:rsidRPr="006861E2">
        <w:t>In this situation</w:t>
      </w:r>
      <w:r w:rsidR="00D522AD" w:rsidRPr="006861E2">
        <w:t>,</w:t>
      </w:r>
      <w:r w:rsidRPr="006861E2">
        <w:t xml:space="preserve"> </w:t>
      </w:r>
      <w:r w:rsidR="00D522AD" w:rsidRPr="006861E2">
        <w:t xml:space="preserve">compared with </w:t>
      </w:r>
      <w:r w:rsidRPr="006861E2">
        <w:t xml:space="preserve">the examples previously outlined, there is </w:t>
      </w:r>
      <w:r w:rsidR="00D522AD" w:rsidRPr="006861E2">
        <w:t>greater</w:t>
      </w:r>
      <w:r w:rsidRPr="006861E2">
        <w:t xml:space="preserve"> potential for there to be an outstanding debit in the profit company with the attendant imputation credit shopping risks. </w:t>
      </w:r>
      <w:r w:rsidR="00A266F1" w:rsidRPr="006861E2">
        <w:t xml:space="preserve"> </w:t>
      </w:r>
      <w:r w:rsidRPr="006861E2">
        <w:t>For this reason the existing imputation credit shopping rules which apply to wholly owned groups that have loss balances will also be extended to groups where an imputation credit transfer has arisen.</w:t>
      </w:r>
      <w:bookmarkEnd w:id="56"/>
    </w:p>
    <w:p w:rsidR="004F43BC" w:rsidRPr="006861E2" w:rsidRDefault="004F43BC" w:rsidP="00D62A4D">
      <w:pPr>
        <w:pStyle w:val="Chapter3"/>
        <w:numPr>
          <w:ilvl w:val="0"/>
          <w:numId w:val="0"/>
        </w:numPr>
        <w:ind w:left="851"/>
      </w:pPr>
    </w:p>
    <w:p w:rsidR="00444373" w:rsidRPr="006861E2" w:rsidRDefault="00444373">
      <w:pPr>
        <w:pStyle w:val="Heading2"/>
      </w:pPr>
      <w:bookmarkStart w:id="57" w:name="_Toc429994909"/>
      <w:r w:rsidRPr="006861E2">
        <w:t>Requirement to maintain an</w:t>
      </w:r>
      <w:r w:rsidR="00DA18D2">
        <w:t xml:space="preserve"> imputation credit account (</w:t>
      </w:r>
      <w:r w:rsidRPr="006861E2">
        <w:t>ICA</w:t>
      </w:r>
      <w:r w:rsidR="00DA18D2">
        <w:t>)</w:t>
      </w:r>
      <w:bookmarkEnd w:id="57"/>
    </w:p>
    <w:p w:rsidR="00AC2197" w:rsidRPr="00DA18D2" w:rsidRDefault="00AC2197" w:rsidP="00D62A4D">
      <w:pPr>
        <w:pStyle w:val="Chapter3"/>
        <w:numPr>
          <w:ilvl w:val="0"/>
          <w:numId w:val="0"/>
        </w:numPr>
        <w:ind w:left="851"/>
      </w:pPr>
    </w:p>
    <w:p w:rsidR="00444373" w:rsidRPr="006861E2" w:rsidRDefault="009649E6" w:rsidP="00D62A4D">
      <w:pPr>
        <w:pStyle w:val="Chapter3"/>
      </w:pPr>
      <w:r w:rsidRPr="006861E2">
        <w:t>Only companies that are</w:t>
      </w:r>
      <w:r w:rsidR="00AB0BF2" w:rsidRPr="006861E2">
        <w:t xml:space="preserve"> eligible to maintain an </w:t>
      </w:r>
      <w:r w:rsidR="00DA18D2">
        <w:t>imputation credit account</w:t>
      </w:r>
      <w:r w:rsidR="00AB0BF2" w:rsidRPr="006861E2">
        <w:t xml:space="preserve"> (mainly</w:t>
      </w:r>
      <w:r w:rsidRPr="006861E2">
        <w:t xml:space="preserve"> New Zealand resident</w:t>
      </w:r>
      <w:r w:rsidR="00AB0BF2" w:rsidRPr="006861E2">
        <w:t xml:space="preserve"> companies</w:t>
      </w:r>
      <w:r w:rsidRPr="006861E2">
        <w:t>) would</w:t>
      </w:r>
      <w:r w:rsidR="00444373" w:rsidRPr="006861E2">
        <w:t xml:space="preserve"> be able to elect to undertake an imputation credit transfer.</w:t>
      </w:r>
    </w:p>
    <w:p w:rsidR="00444373" w:rsidRPr="00DA18D2" w:rsidRDefault="00444373" w:rsidP="00D62A4D">
      <w:pPr>
        <w:pStyle w:val="Chapter3"/>
        <w:numPr>
          <w:ilvl w:val="0"/>
          <w:numId w:val="0"/>
        </w:numPr>
        <w:ind w:left="851"/>
      </w:pPr>
    </w:p>
    <w:p w:rsidR="00F548B7" w:rsidRPr="006861E2" w:rsidRDefault="00ED2F8A">
      <w:pPr>
        <w:pStyle w:val="Heading2"/>
      </w:pPr>
      <w:bookmarkStart w:id="58" w:name="_Toc429994910"/>
      <w:r w:rsidRPr="006861E2">
        <w:t xml:space="preserve">Timing </w:t>
      </w:r>
      <w:r w:rsidR="00CE5B07" w:rsidRPr="006861E2">
        <w:t>of th</w:t>
      </w:r>
      <w:r w:rsidR="00A778E2" w:rsidRPr="006861E2">
        <w:t>e</w:t>
      </w:r>
      <w:r w:rsidR="00CE5B07" w:rsidRPr="006861E2">
        <w:t xml:space="preserve"> imputation credit transfer</w:t>
      </w:r>
      <w:bookmarkEnd w:id="58"/>
    </w:p>
    <w:p w:rsidR="00F548B7" w:rsidRPr="00DA18D2" w:rsidRDefault="00F548B7" w:rsidP="00D62A4D">
      <w:pPr>
        <w:pStyle w:val="Chapter3"/>
        <w:numPr>
          <w:ilvl w:val="0"/>
          <w:numId w:val="0"/>
        </w:numPr>
        <w:ind w:left="851"/>
      </w:pPr>
    </w:p>
    <w:p w:rsidR="00C06DB3" w:rsidRPr="006861E2" w:rsidRDefault="00F548B7" w:rsidP="00D62A4D">
      <w:pPr>
        <w:pStyle w:val="Chapter3"/>
      </w:pPr>
      <w:r w:rsidRPr="006861E2">
        <w:t xml:space="preserve">Officials propose that the imputation credit transfer </w:t>
      </w:r>
      <w:r w:rsidR="00BA6E7D" w:rsidRPr="006861E2">
        <w:t xml:space="preserve">(both the debit and credit) </w:t>
      </w:r>
      <w:r w:rsidRPr="006861E2">
        <w:t xml:space="preserve">should occur at the same time the </w:t>
      </w:r>
      <w:r w:rsidR="00C06DB3" w:rsidRPr="006861E2">
        <w:t xml:space="preserve">profit company pays the </w:t>
      </w:r>
      <w:r w:rsidR="00420AAB" w:rsidRPr="006861E2">
        <w:t>dividend</w:t>
      </w:r>
      <w:r w:rsidR="00432296" w:rsidRPr="006861E2">
        <w:t xml:space="preserve"> </w:t>
      </w:r>
      <w:r w:rsidR="00C06DB3" w:rsidRPr="006861E2">
        <w:t xml:space="preserve">which </w:t>
      </w:r>
      <w:r w:rsidR="00DA18D2">
        <w:t>utilises</w:t>
      </w:r>
      <w:r w:rsidR="00C06DB3" w:rsidRPr="006861E2">
        <w:t xml:space="preserve"> the imputation credits</w:t>
      </w:r>
      <w:r w:rsidR="00420AAB" w:rsidRPr="006861E2">
        <w:t xml:space="preserve">.  </w:t>
      </w:r>
      <w:r w:rsidR="00C06DB3" w:rsidRPr="006861E2">
        <w:t xml:space="preserve">This </w:t>
      </w:r>
      <w:r w:rsidR="00420AAB" w:rsidRPr="006861E2">
        <w:t>is the time at which the issue of insufficient imputation credits arises</w:t>
      </w:r>
      <w:r w:rsidR="00C06DB3" w:rsidRPr="006861E2">
        <w:t xml:space="preserve"> and mitigates the risk that this mechanism could be used as a way of imputation credit shopping</w:t>
      </w:r>
      <w:r w:rsidR="00420AAB" w:rsidRPr="006861E2">
        <w:t xml:space="preserve">.  </w:t>
      </w:r>
      <w:r w:rsidR="00140BDF" w:rsidRPr="006861E2">
        <w:t>It removes the need for a claw-back mechanism if a loss company transfers imputation credits to a profit company and then liquidates with a debit balance in its imputation credit account.</w:t>
      </w:r>
    </w:p>
    <w:p w:rsidR="004F43BC" w:rsidRPr="006861E2" w:rsidRDefault="004F43BC" w:rsidP="00D62A4D">
      <w:pPr>
        <w:pStyle w:val="Chapter3"/>
        <w:numPr>
          <w:ilvl w:val="0"/>
          <w:numId w:val="0"/>
        </w:numPr>
        <w:ind w:left="851"/>
      </w:pPr>
    </w:p>
    <w:p w:rsidR="00BB053E" w:rsidRPr="006861E2" w:rsidRDefault="00BB053E" w:rsidP="00D62A4D">
      <w:pPr>
        <w:pStyle w:val="Chapter3"/>
      </w:pPr>
      <w:r w:rsidRPr="006861E2">
        <w:t>However the imputation credit shopping risk can still arise in situations involving sister companies and so the proposal to extend those rules to companies who leave a group but have previously made an imputation credit transfer should mitigate against this risk.</w:t>
      </w:r>
    </w:p>
    <w:p w:rsidR="00C94510" w:rsidRPr="006861E2" w:rsidRDefault="00C94510" w:rsidP="00D62A4D">
      <w:pPr>
        <w:pStyle w:val="Chapter3"/>
        <w:numPr>
          <w:ilvl w:val="0"/>
          <w:numId w:val="0"/>
        </w:numPr>
        <w:ind w:left="851"/>
      </w:pPr>
    </w:p>
    <w:p w:rsidR="000F474A" w:rsidRPr="006861E2" w:rsidRDefault="000F474A" w:rsidP="00D62A4D">
      <w:pPr>
        <w:pStyle w:val="Chapter3"/>
      </w:pPr>
      <w:r w:rsidRPr="006861E2">
        <w:t>O</w:t>
      </w:r>
      <w:r w:rsidR="00C06DB3" w:rsidRPr="006861E2">
        <w:t>fficials acknowledge that t</w:t>
      </w:r>
      <w:r w:rsidR="00420AAB" w:rsidRPr="006861E2">
        <w:t xml:space="preserve">he profit company </w:t>
      </w:r>
      <w:r w:rsidR="00C06DB3" w:rsidRPr="006861E2">
        <w:t xml:space="preserve">may </w:t>
      </w:r>
      <w:r w:rsidR="00420AAB" w:rsidRPr="006861E2">
        <w:t>choose the</w:t>
      </w:r>
      <w:r w:rsidR="00915AAD" w:rsidRPr="006861E2">
        <w:t xml:space="preserve"> timing of its dividend payment</w:t>
      </w:r>
      <w:r w:rsidR="00432296" w:rsidRPr="006861E2">
        <w:t xml:space="preserve"> unilaterally</w:t>
      </w:r>
      <w:r w:rsidR="00420AAB" w:rsidRPr="006861E2">
        <w:t xml:space="preserve">, and </w:t>
      </w:r>
      <w:r w:rsidR="00432296" w:rsidRPr="006861E2">
        <w:t>it</w:t>
      </w:r>
      <w:r w:rsidR="00420AAB" w:rsidRPr="006861E2">
        <w:t xml:space="preserve"> could occur at a time </w:t>
      </w:r>
      <w:r w:rsidR="00C06DB3" w:rsidRPr="006861E2">
        <w:t xml:space="preserve">that </w:t>
      </w:r>
      <w:r w:rsidR="00420AAB" w:rsidRPr="006861E2">
        <w:t xml:space="preserve">is </w:t>
      </w:r>
      <w:r w:rsidR="004136D6" w:rsidRPr="006861E2">
        <w:t>difficult</w:t>
      </w:r>
      <w:r w:rsidR="00420AAB" w:rsidRPr="006861E2">
        <w:t xml:space="preserve"> </w:t>
      </w:r>
      <w:r w:rsidR="00915AAD" w:rsidRPr="006861E2">
        <w:t xml:space="preserve">for the loss company in terms of </w:t>
      </w:r>
      <w:r w:rsidR="00432296" w:rsidRPr="006861E2">
        <w:t xml:space="preserve">a </w:t>
      </w:r>
      <w:r w:rsidR="00915AAD" w:rsidRPr="006861E2">
        <w:t>requir</w:t>
      </w:r>
      <w:r w:rsidR="00432296" w:rsidRPr="006861E2">
        <w:t>ement</w:t>
      </w:r>
      <w:r w:rsidR="00420AAB" w:rsidRPr="006861E2">
        <w:t xml:space="preserve"> to debit its imputation credit account. </w:t>
      </w:r>
      <w:r w:rsidR="00A266F1" w:rsidRPr="006861E2">
        <w:t xml:space="preserve"> </w:t>
      </w:r>
      <w:r w:rsidR="00915AAD" w:rsidRPr="006861E2">
        <w:t xml:space="preserve">For example, the dividend payment </w:t>
      </w:r>
      <w:r w:rsidR="00715D93" w:rsidRPr="006861E2">
        <w:t xml:space="preserve">might </w:t>
      </w:r>
      <w:r w:rsidR="00915AAD" w:rsidRPr="006861E2">
        <w:t xml:space="preserve">occur very shortly before </w:t>
      </w:r>
      <w:r w:rsidR="00140BDF" w:rsidRPr="006861E2">
        <w:t>31 March</w:t>
      </w:r>
      <w:r w:rsidR="00432296" w:rsidRPr="006861E2">
        <w:t>.  In this case</w:t>
      </w:r>
      <w:r w:rsidR="00915AAD" w:rsidRPr="006861E2">
        <w:t xml:space="preserve"> </w:t>
      </w:r>
      <w:r w:rsidR="00715D93" w:rsidRPr="006861E2">
        <w:t>the imputation credit transfer c</w:t>
      </w:r>
      <w:r w:rsidR="00915AAD" w:rsidRPr="006861E2">
        <w:t xml:space="preserve">ould result in the loss company having a </w:t>
      </w:r>
      <w:r w:rsidR="00140BDF" w:rsidRPr="006861E2">
        <w:t xml:space="preserve">debit </w:t>
      </w:r>
      <w:r w:rsidR="00915AAD" w:rsidRPr="006861E2">
        <w:t>balance in</w:t>
      </w:r>
      <w:r w:rsidR="00432296" w:rsidRPr="006861E2">
        <w:t xml:space="preserve"> its imputation credit account </w:t>
      </w:r>
      <w:r w:rsidR="00140BDF" w:rsidRPr="006861E2">
        <w:t xml:space="preserve">at 31 March </w:t>
      </w:r>
      <w:r w:rsidR="00432296" w:rsidRPr="006861E2">
        <w:t>and not having time to remedy this</w:t>
      </w:r>
      <w:r w:rsidR="000E5954" w:rsidRPr="006861E2">
        <w:t>.  However</w:t>
      </w:r>
      <w:r w:rsidRPr="006861E2">
        <w:t xml:space="preserve"> this is </w:t>
      </w:r>
      <w:r w:rsidR="000E5954" w:rsidRPr="006861E2">
        <w:t>un</w:t>
      </w:r>
      <w:r w:rsidRPr="006861E2">
        <w:t>likely to occur as a matter of course, because:</w:t>
      </w:r>
    </w:p>
    <w:p w:rsidR="000F474A" w:rsidRPr="00DA18D2" w:rsidRDefault="000F474A" w:rsidP="00D62A4D">
      <w:pPr>
        <w:pStyle w:val="Chapter3"/>
        <w:numPr>
          <w:ilvl w:val="0"/>
          <w:numId w:val="0"/>
        </w:numPr>
        <w:ind w:left="851"/>
      </w:pPr>
    </w:p>
    <w:p w:rsidR="000E5954" w:rsidRPr="00D62A4D" w:rsidRDefault="0058215B" w:rsidP="00D62A4D">
      <w:pPr>
        <w:pStyle w:val="Bullets"/>
      </w:pPr>
      <w:r w:rsidRPr="003F272E">
        <w:t>w</w:t>
      </w:r>
      <w:r w:rsidR="000F474A" w:rsidRPr="003C3E33">
        <w:t>here the loss company is the company that is receiving the dividend, it will receive imputation credits attached to that dividend</w:t>
      </w:r>
      <w:r w:rsidR="000E5954" w:rsidRPr="00C555FE">
        <w:t xml:space="preserve"> </w:t>
      </w:r>
      <w:r w:rsidR="000F474A" w:rsidRPr="00C555FE">
        <w:t xml:space="preserve">that will offset the debit </w:t>
      </w:r>
      <w:r w:rsidR="000E5954" w:rsidRPr="00D62A4D">
        <w:t xml:space="preserve">that has arisen to its </w:t>
      </w:r>
      <w:r w:rsidR="000F474A" w:rsidRPr="00D62A4D">
        <w:t xml:space="preserve">imputation credit account </w:t>
      </w:r>
      <w:r w:rsidR="000E5954" w:rsidRPr="00D62A4D">
        <w:t>as a result of the imputation credit transfer (noting that the debit does not arise until the profit company pays the dividend)</w:t>
      </w:r>
      <w:r w:rsidRPr="00D62A4D">
        <w:t>;</w:t>
      </w:r>
    </w:p>
    <w:p w:rsidR="000E5954" w:rsidRPr="00D62A4D" w:rsidRDefault="0058215B" w:rsidP="00D62A4D">
      <w:pPr>
        <w:pStyle w:val="Bullets"/>
      </w:pPr>
      <w:r w:rsidRPr="00D62A4D">
        <w:t>t</w:t>
      </w:r>
      <w:r w:rsidR="000E5954" w:rsidRPr="00D62A4D">
        <w:t xml:space="preserve">here is likely to be a </w:t>
      </w:r>
      <w:r w:rsidR="00140BDF" w:rsidRPr="00D62A4D">
        <w:t>high level of coordination between the profit and loss companies required to effect loss grouping</w:t>
      </w:r>
      <w:r w:rsidR="000E5954" w:rsidRPr="00D62A4D">
        <w:t>,</w:t>
      </w:r>
      <w:r w:rsidR="00140BDF" w:rsidRPr="00D62A4D">
        <w:t xml:space="preserve"> and the need for a mutual imputation credit transfer election,</w:t>
      </w:r>
      <w:r w:rsidR="000E5954" w:rsidRPr="00D62A4D">
        <w:t xml:space="preserve"> such that</w:t>
      </w:r>
      <w:r w:rsidR="00140BDF" w:rsidRPr="00D62A4D">
        <w:t xml:space="preserve"> in practice this timing </w:t>
      </w:r>
      <w:r w:rsidR="008F4C45" w:rsidRPr="00D62A4D">
        <w:t xml:space="preserve">requirement </w:t>
      </w:r>
      <w:r w:rsidR="00140BDF" w:rsidRPr="00D62A4D">
        <w:t xml:space="preserve">should not be </w:t>
      </w:r>
      <w:r w:rsidR="00CD45CC">
        <w:t>problematic</w:t>
      </w:r>
      <w:r w:rsidRPr="00D62A4D">
        <w:t>; and</w:t>
      </w:r>
    </w:p>
    <w:p w:rsidR="00420AAB" w:rsidRPr="00D62A4D" w:rsidRDefault="0058215B" w:rsidP="00D62A4D">
      <w:pPr>
        <w:pStyle w:val="Bullets"/>
        <w:spacing w:after="0"/>
      </w:pPr>
      <w:proofErr w:type="gramStart"/>
      <w:r w:rsidRPr="00D62A4D">
        <w:t>t</w:t>
      </w:r>
      <w:r w:rsidR="000E5954" w:rsidRPr="00D62A4D">
        <w:t>he</w:t>
      </w:r>
      <w:proofErr w:type="gramEnd"/>
      <w:r w:rsidR="000E5954" w:rsidRPr="00D62A4D">
        <w:t xml:space="preserve"> </w:t>
      </w:r>
      <w:r w:rsidR="00E96557" w:rsidRPr="00D62A4D">
        <w:t>proposed imputation credit transfer is elective, and companies are unlikely to apply it if it were to result in a loss company having a debit balance in its imputation credit account at 31 March.</w:t>
      </w:r>
    </w:p>
    <w:p w:rsidR="00D46DFA" w:rsidRPr="006861E2" w:rsidRDefault="00D46DFA" w:rsidP="00D62A4D">
      <w:pPr>
        <w:pStyle w:val="Chapter3"/>
        <w:numPr>
          <w:ilvl w:val="0"/>
          <w:numId w:val="0"/>
        </w:numPr>
        <w:ind w:left="851"/>
      </w:pPr>
    </w:p>
    <w:p w:rsidR="00F328CD" w:rsidRPr="006861E2" w:rsidRDefault="00F05816" w:rsidP="00D62A4D">
      <w:pPr>
        <w:pStyle w:val="Chapter3"/>
      </w:pPr>
      <w:r w:rsidRPr="006861E2">
        <w:t>T</w:t>
      </w:r>
      <w:r w:rsidR="00140BDF" w:rsidRPr="006861E2">
        <w:t xml:space="preserve">here could be a substantial period of time (even years) between the loss grouping and the subsequent payment of dividends by the profit company.  This would require companies to track their loss grouping transactions and ensure they complete the relevant imputation credit transfer elections </w:t>
      </w:r>
      <w:r w:rsidR="00D11308" w:rsidRPr="006861E2">
        <w:t>at the appropriate time</w:t>
      </w:r>
      <w:r w:rsidR="00140BDF" w:rsidRPr="006861E2">
        <w:t>.</w:t>
      </w:r>
    </w:p>
    <w:p w:rsidR="004F43BC" w:rsidRPr="006861E2" w:rsidRDefault="004F43BC" w:rsidP="00D62A4D">
      <w:pPr>
        <w:pStyle w:val="Chapter3"/>
        <w:numPr>
          <w:ilvl w:val="0"/>
          <w:numId w:val="0"/>
        </w:numPr>
        <w:ind w:left="851"/>
      </w:pPr>
    </w:p>
    <w:p w:rsidR="00140BDF" w:rsidRPr="006861E2" w:rsidRDefault="00E87C5A" w:rsidP="00D62A4D">
      <w:pPr>
        <w:pStyle w:val="Chapter3"/>
      </w:pPr>
      <w:r w:rsidRPr="006861E2">
        <w:t xml:space="preserve">Further detail on this process is covered below.  </w:t>
      </w:r>
      <w:r w:rsidR="00140BDF" w:rsidRPr="006861E2">
        <w:t>It is also possible that when the time comes for the profit company to pay a dividend, the loss company may not be in a position to be able to transfer imputation credits or may have even ceased to exist.</w:t>
      </w:r>
      <w:r w:rsidR="00F936B0" w:rsidRPr="006861E2">
        <w:t xml:space="preserve">  These practical difficulties need to be balanced against the need to protect the tax base (as discussed above).</w:t>
      </w:r>
      <w:r w:rsidR="00C94510" w:rsidRPr="006861E2">
        <w:t xml:space="preserve">  </w:t>
      </w:r>
      <w:r w:rsidR="00D46DFA" w:rsidRPr="006861E2">
        <w:t>Officials</w:t>
      </w:r>
      <w:r w:rsidR="00C94510" w:rsidRPr="006861E2">
        <w:t xml:space="preserve"> propose </w:t>
      </w:r>
      <w:r w:rsidR="003F6296" w:rsidRPr="006861E2">
        <w:t>the</w:t>
      </w:r>
      <w:r w:rsidR="00C94510" w:rsidRPr="006861E2">
        <w:t xml:space="preserve"> risk </w:t>
      </w:r>
      <w:r w:rsidR="003F6296" w:rsidRPr="006861E2">
        <w:t xml:space="preserve">to the tax base </w:t>
      </w:r>
      <w:r w:rsidR="00C94510" w:rsidRPr="006861E2">
        <w:t xml:space="preserve">could be partially mitigated by only allowing an imputation credit transfer </w:t>
      </w:r>
      <w:r w:rsidR="00D46DFA" w:rsidRPr="006861E2">
        <w:t>within four years of the balance date of the return that included the loss grouping.</w:t>
      </w:r>
    </w:p>
    <w:p w:rsidR="003478C9" w:rsidRPr="00DA18D2" w:rsidRDefault="003478C9" w:rsidP="00D62A4D">
      <w:pPr>
        <w:pStyle w:val="Chapter3"/>
        <w:numPr>
          <w:ilvl w:val="0"/>
          <w:numId w:val="0"/>
        </w:numPr>
        <w:ind w:left="851"/>
      </w:pPr>
    </w:p>
    <w:p w:rsidR="00ED2F8A" w:rsidRPr="006861E2" w:rsidRDefault="00915AAD">
      <w:pPr>
        <w:pStyle w:val="Heading2"/>
      </w:pPr>
      <w:bookmarkStart w:id="59" w:name="_Toc429994911"/>
      <w:r w:rsidRPr="006861E2">
        <w:t>How many credits should be transferred?</w:t>
      </w:r>
      <w:bookmarkEnd w:id="59"/>
    </w:p>
    <w:p w:rsidR="00D46DFA" w:rsidRPr="006861E2" w:rsidRDefault="00D46DFA" w:rsidP="00D62A4D">
      <w:pPr>
        <w:pStyle w:val="Chapter3"/>
        <w:numPr>
          <w:ilvl w:val="0"/>
          <w:numId w:val="0"/>
        </w:numPr>
        <w:ind w:left="851"/>
      </w:pPr>
    </w:p>
    <w:p w:rsidR="00ED2F8A" w:rsidRPr="006861E2" w:rsidRDefault="00715D93" w:rsidP="00D62A4D">
      <w:pPr>
        <w:pStyle w:val="Chapter3"/>
      </w:pPr>
      <w:r w:rsidRPr="006861E2">
        <w:t>Officials propose</w:t>
      </w:r>
      <w:r w:rsidR="00ED2F8A" w:rsidRPr="006861E2">
        <w:t xml:space="preserve"> that the amount of credits which would be able to be credited (and debited) will be capped</w:t>
      </w:r>
      <w:r w:rsidRPr="006861E2">
        <w:t>.  The upper level which is proposed is</w:t>
      </w:r>
      <w:r w:rsidR="00ED2F8A" w:rsidRPr="006861E2">
        <w:t>:</w:t>
      </w:r>
    </w:p>
    <w:p w:rsidR="00ED2F8A" w:rsidRPr="00DA18D2" w:rsidRDefault="00ED2F8A" w:rsidP="00D62A4D">
      <w:pPr>
        <w:pStyle w:val="Chapter3"/>
        <w:numPr>
          <w:ilvl w:val="0"/>
          <w:numId w:val="0"/>
        </w:numPr>
        <w:ind w:left="851"/>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2148"/>
        <w:gridCol w:w="378"/>
        <w:gridCol w:w="1625"/>
        <w:gridCol w:w="399"/>
        <w:gridCol w:w="348"/>
        <w:gridCol w:w="2386"/>
      </w:tblGrid>
      <w:tr w:rsidR="00D46DFA" w:rsidRPr="006861E2" w:rsidTr="00D46DFA">
        <w:trPr>
          <w:jc w:val="center"/>
        </w:trPr>
        <w:tc>
          <w:tcPr>
            <w:tcW w:w="279" w:type="dxa"/>
            <w:vAlign w:val="center"/>
          </w:tcPr>
          <w:p w:rsidR="00D46DFA" w:rsidRPr="004B3387" w:rsidRDefault="00D46DFA" w:rsidP="00B80DF1">
            <w:pPr>
              <w:rPr>
                <w:rFonts w:ascii="Cambria Math" w:hAnsi="Cambria Math"/>
                <w:sz w:val="44"/>
                <w:szCs w:val="44"/>
              </w:rPr>
            </w:pPr>
            <w:r w:rsidRPr="004B3387">
              <w:rPr>
                <w:rFonts w:ascii="Cambria Math" w:hAnsi="Cambria Math"/>
                <w:sz w:val="44"/>
                <w:szCs w:val="44"/>
              </w:rPr>
              <w:t>(</w:t>
            </w:r>
          </w:p>
        </w:tc>
        <w:tc>
          <w:tcPr>
            <w:tcW w:w="2148" w:type="dxa"/>
            <w:vAlign w:val="center"/>
          </w:tcPr>
          <w:p w:rsidR="00D46DFA" w:rsidRPr="00D62A4D" w:rsidRDefault="00D46DFA" w:rsidP="00D46DFA">
            <w:pPr>
              <w:pStyle w:val="Chapter1"/>
              <w:keepNext/>
              <w:numPr>
                <w:ilvl w:val="0"/>
                <w:numId w:val="0"/>
              </w:numPr>
              <w:jc w:val="center"/>
            </w:pPr>
            <w:r w:rsidRPr="006861E2">
              <w:rPr>
                <w:i/>
              </w:rPr>
              <w:t>amount of subvention payment</w:t>
            </w:r>
          </w:p>
        </w:tc>
        <w:tc>
          <w:tcPr>
            <w:tcW w:w="378" w:type="dxa"/>
            <w:vAlign w:val="center"/>
          </w:tcPr>
          <w:p w:rsidR="00D46DFA" w:rsidRPr="00D62A4D" w:rsidRDefault="00D46DFA" w:rsidP="00D46DFA">
            <w:pPr>
              <w:pStyle w:val="Chapter1"/>
              <w:keepNext/>
              <w:numPr>
                <w:ilvl w:val="0"/>
                <w:numId w:val="0"/>
              </w:numPr>
              <w:jc w:val="center"/>
            </w:pPr>
            <w:r w:rsidRPr="00D62A4D">
              <w:t>+</w:t>
            </w:r>
          </w:p>
        </w:tc>
        <w:tc>
          <w:tcPr>
            <w:tcW w:w="1625" w:type="dxa"/>
            <w:vAlign w:val="center"/>
          </w:tcPr>
          <w:p w:rsidR="00D46DFA" w:rsidRPr="00D62A4D" w:rsidRDefault="00D46DFA" w:rsidP="00D46DFA">
            <w:pPr>
              <w:pStyle w:val="Chapter1"/>
              <w:keepNext/>
              <w:numPr>
                <w:ilvl w:val="0"/>
                <w:numId w:val="0"/>
              </w:numPr>
              <w:jc w:val="center"/>
            </w:pPr>
            <w:r w:rsidRPr="006861E2">
              <w:rPr>
                <w:i/>
              </w:rPr>
              <w:t>amount of loss offset election</w:t>
            </w:r>
          </w:p>
        </w:tc>
        <w:tc>
          <w:tcPr>
            <w:tcW w:w="296" w:type="dxa"/>
            <w:vAlign w:val="center"/>
          </w:tcPr>
          <w:p w:rsidR="00D46DFA" w:rsidRPr="004B3387" w:rsidRDefault="00D46DFA" w:rsidP="00D46DFA">
            <w:pPr>
              <w:pStyle w:val="Chapter1"/>
              <w:keepNext/>
              <w:numPr>
                <w:ilvl w:val="0"/>
                <w:numId w:val="0"/>
              </w:numPr>
              <w:jc w:val="center"/>
              <w:rPr>
                <w:rFonts w:ascii="Cambria Math" w:hAnsi="Cambria Math"/>
                <w:sz w:val="44"/>
                <w:szCs w:val="44"/>
              </w:rPr>
            </w:pPr>
            <w:r w:rsidRPr="004B3387">
              <w:rPr>
                <w:rFonts w:ascii="Cambria Math" w:hAnsi="Cambria Math"/>
                <w:sz w:val="44"/>
                <w:szCs w:val="44"/>
              </w:rPr>
              <w:t>)</w:t>
            </w:r>
          </w:p>
        </w:tc>
        <w:tc>
          <w:tcPr>
            <w:tcW w:w="323" w:type="dxa"/>
            <w:vAlign w:val="center"/>
          </w:tcPr>
          <w:p w:rsidR="00D46DFA" w:rsidRPr="00D62A4D" w:rsidRDefault="006861E2" w:rsidP="00D46DFA">
            <w:pPr>
              <w:pStyle w:val="Chapter1"/>
              <w:keepNext/>
              <w:numPr>
                <w:ilvl w:val="0"/>
                <w:numId w:val="0"/>
              </w:numPr>
              <w:jc w:val="center"/>
            </w:pPr>
            <w:r w:rsidRPr="00D62A4D">
              <w:sym w:font="Symbol" w:char="F0B4"/>
            </w:r>
          </w:p>
        </w:tc>
        <w:tc>
          <w:tcPr>
            <w:tcW w:w="2386" w:type="dxa"/>
            <w:vAlign w:val="center"/>
          </w:tcPr>
          <w:p w:rsidR="00D46DFA" w:rsidRPr="00D62A4D" w:rsidRDefault="00D46DFA" w:rsidP="00D46DFA">
            <w:pPr>
              <w:pStyle w:val="Chapter1"/>
              <w:keepNext/>
              <w:numPr>
                <w:ilvl w:val="0"/>
                <w:numId w:val="0"/>
              </w:numPr>
              <w:jc w:val="center"/>
            </w:pPr>
            <w:r w:rsidRPr="006861E2">
              <w:rPr>
                <w:i/>
              </w:rPr>
              <w:t>the company tax rate</w:t>
            </w:r>
            <w:r w:rsidRPr="006861E2">
              <w:rPr>
                <w:rStyle w:val="FootnoteReference"/>
                <w:i/>
              </w:rPr>
              <w:footnoteReference w:id="6"/>
            </w:r>
          </w:p>
        </w:tc>
      </w:tr>
    </w:tbl>
    <w:p w:rsidR="009D3DED" w:rsidRPr="00DA18D2" w:rsidRDefault="009D3DED" w:rsidP="00D62A4D">
      <w:pPr>
        <w:pStyle w:val="Chapter3"/>
        <w:numPr>
          <w:ilvl w:val="0"/>
          <w:numId w:val="0"/>
        </w:numPr>
        <w:ind w:left="851"/>
      </w:pPr>
    </w:p>
    <w:p w:rsidR="00715D93" w:rsidRPr="006861E2" w:rsidRDefault="00DF1CDB" w:rsidP="00D62A4D">
      <w:pPr>
        <w:pStyle w:val="Chapter3"/>
      </w:pPr>
      <w:r w:rsidRPr="006861E2">
        <w:t>In the example above, this means that the maximum number of imputation credits which could be transferred would be $2,800 (</w:t>
      </w:r>
      <w:r w:rsidR="002B4805" w:rsidRPr="006861E2">
        <w:t>($2,800 subvention payment + $7,200 loss offset election)</w:t>
      </w:r>
      <w:r w:rsidRPr="006861E2">
        <w:t xml:space="preserve"> x 28%).  The companies could agree to credit and debit a smaller number of imputation credits, so long as the credit and debit amounts were </w:t>
      </w:r>
      <w:r w:rsidR="002B4805" w:rsidRPr="006861E2">
        <w:t>equal</w:t>
      </w:r>
      <w:r w:rsidRPr="006861E2">
        <w:t>.</w:t>
      </w:r>
    </w:p>
    <w:p w:rsidR="00DF1CDB" w:rsidRPr="006861E2" w:rsidRDefault="00DF1CDB" w:rsidP="00D62A4D">
      <w:pPr>
        <w:pStyle w:val="Chapter3"/>
        <w:numPr>
          <w:ilvl w:val="0"/>
          <w:numId w:val="0"/>
        </w:numPr>
        <w:ind w:left="851"/>
      </w:pPr>
    </w:p>
    <w:p w:rsidR="00DF1CDB" w:rsidRPr="006861E2" w:rsidRDefault="00DF1CDB">
      <w:pPr>
        <w:pStyle w:val="Heading2"/>
      </w:pPr>
      <w:bookmarkStart w:id="60" w:name="_Toc429994912"/>
      <w:r w:rsidRPr="006861E2">
        <w:t>Process</w:t>
      </w:r>
      <w:bookmarkEnd w:id="60"/>
    </w:p>
    <w:p w:rsidR="00AB0BF2" w:rsidRPr="006861E2" w:rsidRDefault="00AB0BF2" w:rsidP="00D62A4D">
      <w:pPr>
        <w:pStyle w:val="Chapter3"/>
        <w:numPr>
          <w:ilvl w:val="0"/>
          <w:numId w:val="0"/>
        </w:numPr>
        <w:ind w:left="851"/>
      </w:pPr>
    </w:p>
    <w:p w:rsidR="00CD45CC" w:rsidRDefault="002B4805" w:rsidP="00D62A4D">
      <w:pPr>
        <w:pStyle w:val="Chapter3"/>
      </w:pPr>
      <w:r w:rsidRPr="006861E2">
        <w:t xml:space="preserve">Officials propose that both companies would need to inform the </w:t>
      </w:r>
      <w:r w:rsidR="001B228A" w:rsidRPr="006861E2">
        <w:t xml:space="preserve">Commissioner </w:t>
      </w:r>
      <w:r w:rsidRPr="006861E2">
        <w:t>of their election to engage in the imputation credit transfer</w:t>
      </w:r>
      <w:r w:rsidR="00E87C5A" w:rsidRPr="006861E2">
        <w:t xml:space="preserve"> as part of filing the </w:t>
      </w:r>
      <w:r w:rsidR="003F272E">
        <w:t>imputation credit account</w:t>
      </w:r>
      <w:r w:rsidR="00E87C5A" w:rsidRPr="006861E2">
        <w:t xml:space="preserve"> return tha</w:t>
      </w:r>
      <w:r w:rsidR="0047715F" w:rsidRPr="006861E2">
        <w:t>t</w:t>
      </w:r>
      <w:r w:rsidR="00E87C5A" w:rsidRPr="006861E2">
        <w:t xml:space="preserve"> included that transfer</w:t>
      </w:r>
      <w:r w:rsidRPr="006861E2">
        <w:t>.  Similar to the current loss grouping notification requirements, the prescribed form will require</w:t>
      </w:r>
      <w:r w:rsidR="00CD45CC">
        <w:t>:</w:t>
      </w:r>
    </w:p>
    <w:p w:rsidR="00CD45CC" w:rsidRDefault="00CD45CC" w:rsidP="004B3387">
      <w:pPr>
        <w:pStyle w:val="Chapter3"/>
        <w:numPr>
          <w:ilvl w:val="0"/>
          <w:numId w:val="0"/>
        </w:numPr>
        <w:ind w:left="851"/>
      </w:pPr>
    </w:p>
    <w:p w:rsidR="00CD45CC" w:rsidRDefault="002B4805" w:rsidP="004B3387">
      <w:pPr>
        <w:pStyle w:val="Bullets"/>
      </w:pPr>
      <w:r w:rsidRPr="006861E2">
        <w:t>the names and IRD numbers of both parties to the imputation credit transfer</w:t>
      </w:r>
      <w:r w:rsidR="00CD45CC">
        <w:t>;</w:t>
      </w:r>
    </w:p>
    <w:p w:rsidR="00CD45CC" w:rsidRDefault="002B4805" w:rsidP="004B3387">
      <w:pPr>
        <w:pStyle w:val="Bullets"/>
      </w:pPr>
      <w:r w:rsidRPr="006861E2">
        <w:t xml:space="preserve">the quantum of imputation credits debited and credited from </w:t>
      </w:r>
      <w:r w:rsidR="008F4C45" w:rsidRPr="006861E2">
        <w:t xml:space="preserve">and to </w:t>
      </w:r>
      <w:r w:rsidRPr="006861E2">
        <w:t>each account</w:t>
      </w:r>
      <w:r w:rsidR="00CD45CC">
        <w:t>;</w:t>
      </w:r>
    </w:p>
    <w:p w:rsidR="00CD45CC" w:rsidRDefault="00CD45CC" w:rsidP="004B3387">
      <w:pPr>
        <w:pStyle w:val="Bullets"/>
      </w:pPr>
      <w:r>
        <w:t xml:space="preserve">identification of </w:t>
      </w:r>
      <w:r w:rsidR="002B4805" w:rsidRPr="006861E2">
        <w:t xml:space="preserve">the </w:t>
      </w:r>
      <w:r w:rsidR="00E87C5A" w:rsidRPr="006861E2">
        <w:t xml:space="preserve">return that included </w:t>
      </w:r>
      <w:r w:rsidR="002B4805" w:rsidRPr="006861E2">
        <w:t>the original loss grouping transaction</w:t>
      </w:r>
      <w:r>
        <w:t>;</w:t>
      </w:r>
    </w:p>
    <w:p w:rsidR="00231993" w:rsidRDefault="006F3D35" w:rsidP="004B3387">
      <w:pPr>
        <w:pStyle w:val="Bullets"/>
      </w:pPr>
      <w:r w:rsidRPr="006861E2">
        <w:t>the quantum of losses grouped and the respective amounts of subvention payments/loss offset elections</w:t>
      </w:r>
      <w:r w:rsidR="00CD45CC">
        <w:t>;</w:t>
      </w:r>
      <w:r w:rsidR="002B4805" w:rsidRPr="006861E2">
        <w:t xml:space="preserve"> </w:t>
      </w:r>
      <w:r w:rsidR="00BC7E85" w:rsidRPr="006861E2">
        <w:t>and</w:t>
      </w:r>
    </w:p>
    <w:p w:rsidR="002B4805" w:rsidRPr="006861E2" w:rsidRDefault="002B4805" w:rsidP="004B3387">
      <w:pPr>
        <w:pStyle w:val="Bullets"/>
        <w:spacing w:after="0"/>
      </w:pPr>
      <w:proofErr w:type="gramStart"/>
      <w:r w:rsidRPr="006861E2">
        <w:t>the</w:t>
      </w:r>
      <w:proofErr w:type="gramEnd"/>
      <w:r w:rsidRPr="006861E2">
        <w:t xml:space="preserve"> date of the imputation credit transfer </w:t>
      </w:r>
      <w:r w:rsidR="00BC7E85" w:rsidRPr="006861E2">
        <w:t xml:space="preserve">that </w:t>
      </w:r>
      <w:r w:rsidRPr="006861E2">
        <w:t>the dividend</w:t>
      </w:r>
      <w:r w:rsidR="006F3D35" w:rsidRPr="006861E2">
        <w:t xml:space="preserve"> was declared by the profit company.</w:t>
      </w:r>
    </w:p>
    <w:p w:rsidR="002B4805" w:rsidRPr="006861E2" w:rsidRDefault="002B4805" w:rsidP="00D62A4D">
      <w:pPr>
        <w:pStyle w:val="Chapter3"/>
        <w:numPr>
          <w:ilvl w:val="0"/>
          <w:numId w:val="0"/>
        </w:numPr>
        <w:ind w:left="851"/>
      </w:pPr>
    </w:p>
    <w:p w:rsidR="00DF1CDB" w:rsidRPr="006861E2" w:rsidRDefault="001B228A" w:rsidP="00D62A4D">
      <w:pPr>
        <w:pStyle w:val="Chapter3"/>
      </w:pPr>
      <w:r w:rsidRPr="006861E2">
        <w:t>B</w:t>
      </w:r>
      <w:r w:rsidR="006F3CDE" w:rsidRPr="006861E2">
        <w:t xml:space="preserve">oth companies </w:t>
      </w:r>
      <w:r w:rsidRPr="006861E2">
        <w:t>would</w:t>
      </w:r>
      <w:r w:rsidR="006F3CDE" w:rsidRPr="006861E2">
        <w:t xml:space="preserve"> </w:t>
      </w:r>
      <w:r w:rsidRPr="006861E2">
        <w:t xml:space="preserve">already </w:t>
      </w:r>
      <w:r w:rsidR="006F3CDE" w:rsidRPr="006861E2">
        <w:t>be filing imputation returns (the IR 4J)</w:t>
      </w:r>
      <w:r w:rsidRPr="006861E2">
        <w:t xml:space="preserve"> and therefore,</w:t>
      </w:r>
      <w:r w:rsidR="002B4805" w:rsidRPr="006861E2">
        <w:t xml:space="preserve"> in addition to the notification to the Commissioner, </w:t>
      </w:r>
      <w:r w:rsidR="006F3CDE" w:rsidRPr="006861E2">
        <w:t xml:space="preserve">they would need to include the amount of the transfer in the IR 4J. </w:t>
      </w:r>
      <w:r w:rsidR="00432296" w:rsidRPr="006861E2">
        <w:t xml:space="preserve"> The two companies would simply be required to include the amount of the imputation credit transfer in the boxes labelled “other” for their </w:t>
      </w:r>
      <w:r w:rsidR="00AC692D" w:rsidRPr="006861E2">
        <w:t>relevant</w:t>
      </w:r>
      <w:r w:rsidR="00432296" w:rsidRPr="006861E2">
        <w:t xml:space="preserve"> </w:t>
      </w:r>
      <w:r w:rsidR="008F4C45" w:rsidRPr="006861E2">
        <w:t xml:space="preserve">debit </w:t>
      </w:r>
      <w:r w:rsidR="00432296" w:rsidRPr="006861E2">
        <w:t xml:space="preserve">and </w:t>
      </w:r>
      <w:r w:rsidR="008F4C45" w:rsidRPr="006861E2">
        <w:t>credit</w:t>
      </w:r>
      <w:r w:rsidR="00432296" w:rsidRPr="006861E2">
        <w:t>.</w:t>
      </w:r>
    </w:p>
    <w:p w:rsidR="00ED2F8A" w:rsidRPr="00DA18D2" w:rsidRDefault="00ED2F8A" w:rsidP="00D62A4D">
      <w:pPr>
        <w:pStyle w:val="Chapter3"/>
        <w:numPr>
          <w:ilvl w:val="0"/>
          <w:numId w:val="0"/>
        </w:numPr>
        <w:ind w:left="851"/>
      </w:pPr>
    </w:p>
    <w:p w:rsidR="00ED2F8A" w:rsidRPr="006861E2" w:rsidRDefault="00411F2C">
      <w:pPr>
        <w:pStyle w:val="Heading2"/>
      </w:pPr>
      <w:bookmarkStart w:id="61" w:name="_Toc429994913"/>
      <w:r w:rsidRPr="006861E2">
        <w:t>Amended assessment</w:t>
      </w:r>
      <w:r w:rsidR="006F3D35" w:rsidRPr="006861E2">
        <w:t>s</w:t>
      </w:r>
      <w:bookmarkEnd w:id="61"/>
    </w:p>
    <w:p w:rsidR="00ED2F8A" w:rsidRPr="00DA18D2" w:rsidRDefault="00ED2F8A" w:rsidP="00D62A4D">
      <w:pPr>
        <w:pStyle w:val="Chapter3"/>
        <w:numPr>
          <w:ilvl w:val="0"/>
          <w:numId w:val="0"/>
        </w:numPr>
        <w:ind w:left="851"/>
      </w:pPr>
    </w:p>
    <w:p w:rsidR="00ED2F8A" w:rsidRPr="006861E2" w:rsidRDefault="00ED2F8A" w:rsidP="00D62A4D">
      <w:pPr>
        <w:pStyle w:val="Chapter3"/>
      </w:pPr>
      <w:r w:rsidRPr="006861E2">
        <w:t xml:space="preserve">If </w:t>
      </w:r>
      <w:r w:rsidR="007D0040" w:rsidRPr="006861E2">
        <w:t>a</w:t>
      </w:r>
      <w:r w:rsidRPr="006861E2">
        <w:t xml:space="preserve"> loss company </w:t>
      </w:r>
      <w:r w:rsidR="007D0040" w:rsidRPr="006861E2">
        <w:t xml:space="preserve">which has undertaken a loss offset </w:t>
      </w:r>
      <w:r w:rsidR="00411F2C" w:rsidRPr="006861E2">
        <w:t>has an amended</w:t>
      </w:r>
      <w:r w:rsidRPr="006861E2">
        <w:t xml:space="preserve"> </w:t>
      </w:r>
      <w:r w:rsidR="00411F2C" w:rsidRPr="006861E2">
        <w:t>assessment</w:t>
      </w:r>
      <w:r w:rsidRPr="006861E2">
        <w:t xml:space="preserve"> and its loss is </w:t>
      </w:r>
      <w:r w:rsidR="00411F2C" w:rsidRPr="006861E2">
        <w:t xml:space="preserve">consequently </w:t>
      </w:r>
      <w:r w:rsidRPr="006861E2">
        <w:t xml:space="preserve">reduced below the level of the amount </w:t>
      </w:r>
      <w:r w:rsidR="00411F2C" w:rsidRPr="006861E2">
        <w:t xml:space="preserve">which was </w:t>
      </w:r>
      <w:r w:rsidR="007D0040" w:rsidRPr="006861E2">
        <w:t xml:space="preserve">eligible to be </w:t>
      </w:r>
      <w:r w:rsidRPr="006861E2">
        <w:t xml:space="preserve">offset, the Commissioner may </w:t>
      </w:r>
      <w:r w:rsidR="00411F2C" w:rsidRPr="006861E2">
        <w:t>amend the assessment of</w:t>
      </w:r>
      <w:r w:rsidRPr="006861E2">
        <w:t xml:space="preserve"> the profit company.  Similarly, if a profit company </w:t>
      </w:r>
      <w:r w:rsidR="007D0040" w:rsidRPr="006861E2">
        <w:t xml:space="preserve">which has undertaken a loss offset </w:t>
      </w:r>
      <w:r w:rsidR="00411F2C" w:rsidRPr="006861E2">
        <w:t xml:space="preserve">has an amended assessment </w:t>
      </w:r>
      <w:r w:rsidRPr="006861E2">
        <w:t xml:space="preserve">and has reduced profits, the offset is only </w:t>
      </w:r>
      <w:r w:rsidR="007D0040" w:rsidRPr="006861E2">
        <w:t>valid</w:t>
      </w:r>
      <w:r w:rsidRPr="006861E2">
        <w:t xml:space="preserve"> up to the amount of the reduced profits.</w:t>
      </w:r>
    </w:p>
    <w:p w:rsidR="00D11308" w:rsidRPr="00DA18D2" w:rsidRDefault="00D11308" w:rsidP="00D62A4D">
      <w:pPr>
        <w:pStyle w:val="Chapter3"/>
        <w:numPr>
          <w:ilvl w:val="0"/>
          <w:numId w:val="0"/>
        </w:numPr>
        <w:ind w:left="851"/>
      </w:pPr>
    </w:p>
    <w:p w:rsidR="006F3D35" w:rsidRPr="006861E2" w:rsidRDefault="006F3D35" w:rsidP="00D62A4D">
      <w:pPr>
        <w:pStyle w:val="Chapter3"/>
      </w:pPr>
      <w:r w:rsidRPr="006861E2">
        <w:t>In th</w:t>
      </w:r>
      <w:r w:rsidR="00405F4C" w:rsidRPr="006861E2">
        <w:t>e</w:t>
      </w:r>
      <w:r w:rsidRPr="006861E2">
        <w:t>s</w:t>
      </w:r>
      <w:r w:rsidR="00405F4C" w:rsidRPr="006861E2">
        <w:t>e</w:t>
      </w:r>
      <w:r w:rsidRPr="006861E2">
        <w:t xml:space="preserve"> case</w:t>
      </w:r>
      <w:r w:rsidR="00405F4C" w:rsidRPr="006861E2">
        <w:t>s</w:t>
      </w:r>
      <w:r w:rsidRPr="006861E2">
        <w:t xml:space="preserve">, corresponding adjustments </w:t>
      </w:r>
      <w:r w:rsidR="00405F4C" w:rsidRPr="006861E2">
        <w:t>may</w:t>
      </w:r>
      <w:r w:rsidRPr="006861E2">
        <w:t xml:space="preserve"> need to be made to </w:t>
      </w:r>
      <w:r w:rsidR="001B228A" w:rsidRPr="006861E2">
        <w:t xml:space="preserve">the imputation credit accounts </w:t>
      </w:r>
      <w:r w:rsidR="00405F4C" w:rsidRPr="006861E2">
        <w:t xml:space="preserve">and other returns </w:t>
      </w:r>
      <w:r w:rsidR="001B228A" w:rsidRPr="006861E2">
        <w:t>of the affected companies</w:t>
      </w:r>
      <w:r w:rsidRPr="006861E2">
        <w:t>.</w:t>
      </w:r>
    </w:p>
    <w:p w:rsidR="00D11308" w:rsidRPr="00DA18D2" w:rsidRDefault="00D11308" w:rsidP="00D62A4D">
      <w:pPr>
        <w:pStyle w:val="Chapter3"/>
        <w:numPr>
          <w:ilvl w:val="0"/>
          <w:numId w:val="0"/>
        </w:numPr>
        <w:ind w:left="851"/>
      </w:pPr>
    </w:p>
    <w:p w:rsidR="00ED2F8A" w:rsidRPr="006861E2" w:rsidRDefault="006F3D35" w:rsidP="00D62A4D">
      <w:pPr>
        <w:pStyle w:val="Chapter3"/>
      </w:pPr>
      <w:r w:rsidRPr="006861E2">
        <w:t xml:space="preserve">Officials </w:t>
      </w:r>
      <w:r w:rsidR="00D27A7B" w:rsidRPr="006861E2">
        <w:t xml:space="preserve">are interested to hear </w:t>
      </w:r>
      <w:r w:rsidRPr="006861E2">
        <w:t>whether such adjustments are likely to give rise to problems in practice and, if so, how these problems could be mitigated</w:t>
      </w:r>
      <w:r w:rsidR="003A4B46" w:rsidRPr="006861E2">
        <w:t>.</w:t>
      </w:r>
    </w:p>
    <w:sectPr w:rsidR="00ED2F8A" w:rsidRPr="006861E2" w:rsidSect="006042D1">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134" w:right="1797" w:bottom="1134" w:left="1797" w:header="709"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A4" w:rsidRDefault="00CB2EA4">
      <w:r>
        <w:separator/>
      </w:r>
    </w:p>
  </w:endnote>
  <w:endnote w:type="continuationSeparator" w:id="0">
    <w:p w:rsidR="00CB2EA4" w:rsidRDefault="00C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4" w:rsidRDefault="00CB2EA4"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4" w:rsidRDefault="00CB2EA4"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F90C53">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4" w:rsidRPr="0003164B" w:rsidRDefault="00CB2EA4" w:rsidP="00F36FF2">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F90C53">
      <w:rPr>
        <w:rStyle w:val="PageNumber"/>
        <w:noProof/>
      </w:rPr>
      <w:t>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4" w:rsidRDefault="00CB2EA4" w:rsidP="00096603">
    <w:pPr>
      <w:pStyle w:val="Footer"/>
      <w:jc w:val="center"/>
    </w:pPr>
    <w:r>
      <w:fldChar w:fldCharType="begin"/>
    </w:r>
    <w:r>
      <w:rPr>
        <w:rStyle w:val="PageNumber"/>
      </w:rPr>
      <w:instrText xml:space="preserve"> PAGE </w:instrText>
    </w:r>
    <w:r>
      <w:fldChar w:fldCharType="separate"/>
    </w:r>
    <w:r w:rsidR="00F90C53">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A4" w:rsidRDefault="00CB2EA4">
      <w:r>
        <w:separator/>
      </w:r>
    </w:p>
  </w:footnote>
  <w:footnote w:type="continuationSeparator" w:id="0">
    <w:p w:rsidR="00CB2EA4" w:rsidRDefault="00CB2EA4">
      <w:r>
        <w:continuationSeparator/>
      </w:r>
    </w:p>
  </w:footnote>
  <w:footnote w:id="1">
    <w:p w:rsidR="00CB2EA4" w:rsidRDefault="00CB2EA4">
      <w:pPr>
        <w:pStyle w:val="FootnoteText"/>
      </w:pPr>
      <w:r>
        <w:rPr>
          <w:rStyle w:val="FootnoteReference"/>
        </w:rPr>
        <w:footnoteRef/>
      </w:r>
      <w:r>
        <w:t xml:space="preserve"> </w:t>
      </w:r>
      <w:r w:rsidRPr="009B7EF9">
        <w:t xml:space="preserve">The grouping of profits and losses of companies with “substantially the same” shareholders or under common control was originally an anti-avoidance provision that was introduced when New Zealand had a progressive </w:t>
      </w:r>
      <w:r>
        <w:t>company tax rate; see section 141 of the Land and Income Tax Act 1954.  This was designed to prevent a business being broken into a number of separate companies to avoid the higher marginal tax rates.  Following amendments in 1968, the Commissioner no longer had to invoke avoidance to assess group companies (now defined to be companies with two-thirds common ownership) at the tax rate that would apply to the aggregate taxable income of the group.  The corollary of this automatic aggregation of group income was the ability of group companies to use subvention payments to group tax losses.  It was originally proposed that grouping of income would occur at 50</w:t>
      </w:r>
      <w:r w:rsidR="00374B22">
        <w:t> </w:t>
      </w:r>
      <w:r>
        <w:t>percent commonality and subvention payments could be made at 75 percent commonality.  Ultimately, the two-thirds threshold was adopted for both income and losses.  New Zealand’s 66 percent commonality threshold for loss grouping is substantially lower than other OECD countries – notably Australia which only allows grouping within a consolidated group (which requires 100 percent common ownership).</w:t>
      </w:r>
    </w:p>
  </w:footnote>
  <w:footnote w:id="2">
    <w:p w:rsidR="00CB2EA4" w:rsidRDefault="00CB2EA4" w:rsidP="00CD24B9">
      <w:pPr>
        <w:pStyle w:val="FootnoteText"/>
      </w:pPr>
      <w:r>
        <w:rPr>
          <w:rStyle w:val="FootnoteReference"/>
        </w:rPr>
        <w:footnoteRef/>
      </w:r>
      <w:r>
        <w:t xml:space="preserve"> This will ultimately depend on whether the profit company has additional imputation credits from tax paid on other profit streams.</w:t>
      </w:r>
    </w:p>
  </w:footnote>
  <w:footnote w:id="3">
    <w:p w:rsidR="00CB2EA4" w:rsidRDefault="00CB2EA4">
      <w:pPr>
        <w:pStyle w:val="FootnoteText"/>
      </w:pPr>
      <w:r>
        <w:rPr>
          <w:rStyle w:val="FootnoteReference"/>
        </w:rPr>
        <w:footnoteRef/>
      </w:r>
      <w:r>
        <w:t xml:space="preserve"> We note however that minority oppression rules in company law would generally require that the loss offset was done in a manner that does not disadvantage the minority shareholders.</w:t>
      </w:r>
    </w:p>
  </w:footnote>
  <w:footnote w:id="4">
    <w:p w:rsidR="00CB2EA4" w:rsidRDefault="00CB2EA4" w:rsidP="00CD24B9">
      <w:pPr>
        <w:pStyle w:val="FootnoteText"/>
      </w:pPr>
      <w:r>
        <w:rPr>
          <w:rStyle w:val="FootnoteReference"/>
        </w:rPr>
        <w:footnoteRef/>
      </w:r>
      <w:r>
        <w:t xml:space="preserve"> In the example, the full $10,000 tax loss is transferred from </w:t>
      </w:r>
      <w:proofErr w:type="spellStart"/>
      <w:r>
        <w:t>LossCo</w:t>
      </w:r>
      <w:proofErr w:type="spellEnd"/>
      <w:r>
        <w:t xml:space="preserve"> to </w:t>
      </w:r>
      <w:proofErr w:type="spellStart"/>
      <w:r>
        <w:t>ProfitCo</w:t>
      </w:r>
      <w:proofErr w:type="spellEnd"/>
      <w:r>
        <w:t xml:space="preserve"> via a combination of a 28 percent subvention payment and a loss offset election for the remaining $7,200 tax loss.</w:t>
      </w:r>
    </w:p>
  </w:footnote>
  <w:footnote w:id="5">
    <w:p w:rsidR="00CB2EA4" w:rsidRDefault="00CB2EA4">
      <w:pPr>
        <w:pStyle w:val="FootnoteText"/>
      </w:pPr>
      <w:r>
        <w:rPr>
          <w:rStyle w:val="FootnoteReference"/>
        </w:rPr>
        <w:footnoteRef/>
      </w:r>
      <w:r>
        <w:t xml:space="preserve"> </w:t>
      </w:r>
      <w:r w:rsidRPr="00CD45CC">
        <w:t>All shareholders are assumed to be on a 28% tax rate to keep the diagrams an</w:t>
      </w:r>
      <w:bookmarkStart w:id="37" w:name="_GoBack"/>
      <w:bookmarkEnd w:id="37"/>
      <w:r w:rsidRPr="00CD45CC">
        <w:t>d examples as simple as possible.</w:t>
      </w:r>
    </w:p>
  </w:footnote>
  <w:footnote w:id="6">
    <w:p w:rsidR="00CB2EA4" w:rsidRDefault="00CB2EA4" w:rsidP="00D46DFA">
      <w:pPr>
        <w:pStyle w:val="FootnoteText"/>
      </w:pPr>
      <w:r>
        <w:rPr>
          <w:rStyle w:val="FootnoteReference"/>
        </w:rPr>
        <w:footnoteRef/>
      </w:r>
      <w:r>
        <w:t xml:space="preserve"> The company tax rate for the return that included the loss offset.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4" w:rsidRDefault="00CB2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4" w:rsidRDefault="00CB2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4" w:rsidRDefault="00CB2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27D"/>
    <w:multiLevelType w:val="hybridMultilevel"/>
    <w:tmpl w:val="0D2A6F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7B6134C"/>
    <w:multiLevelType w:val="singleLevel"/>
    <w:tmpl w:val="7428A606"/>
    <w:lvl w:ilvl="0">
      <w:start w:val="1"/>
      <w:numFmt w:val="decimal"/>
      <w:lvlText w:val="5.%1"/>
      <w:lvlJc w:val="left"/>
      <w:pPr>
        <w:tabs>
          <w:tab w:val="num" w:pos="851"/>
        </w:tabs>
        <w:ind w:left="851" w:hanging="851"/>
      </w:pPr>
      <w:rPr>
        <w:rFonts w:hint="default"/>
        <w:b w:val="0"/>
        <w:i w:val="0"/>
      </w:rPr>
    </w:lvl>
  </w:abstractNum>
  <w:abstractNum w:abstractNumId="2">
    <w:nsid w:val="0E3F3B7C"/>
    <w:multiLevelType w:val="hybridMultilevel"/>
    <w:tmpl w:val="6876F2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5936E75"/>
    <w:multiLevelType w:val="hybridMultilevel"/>
    <w:tmpl w:val="60A86A16"/>
    <w:lvl w:ilvl="0" w:tplc="389AC7F0">
      <w:start w:val="1"/>
      <w:numFmt w:val="decimal"/>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5">
    <w:nsid w:val="1DF45200"/>
    <w:multiLevelType w:val="hybridMultilevel"/>
    <w:tmpl w:val="5F78FE4A"/>
    <w:lvl w:ilvl="0" w:tplc="FFB09102">
      <w:start w:val="1"/>
      <w:numFmt w:val="decimal"/>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ED4C62"/>
    <w:multiLevelType w:val="hybridMultilevel"/>
    <w:tmpl w:val="2F80CE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C950C58"/>
    <w:multiLevelType w:val="hybridMultilevel"/>
    <w:tmpl w:val="94D42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CB034F"/>
    <w:multiLevelType w:val="hybridMultilevel"/>
    <w:tmpl w:val="7C70641C"/>
    <w:lvl w:ilvl="0" w:tplc="DA883CCA">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11">
    <w:nsid w:val="360938EC"/>
    <w:multiLevelType w:val="hybridMultilevel"/>
    <w:tmpl w:val="810ABB94"/>
    <w:lvl w:ilvl="0" w:tplc="A1FA7328">
      <w:start w:val="1"/>
      <w:numFmt w:val="decimal"/>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61219F9"/>
    <w:multiLevelType w:val="hybridMultilevel"/>
    <w:tmpl w:val="2C7857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FB7392"/>
    <w:multiLevelType w:val="hybridMultilevel"/>
    <w:tmpl w:val="F658232E"/>
    <w:lvl w:ilvl="0" w:tplc="971222B2">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FE7E27"/>
    <w:multiLevelType w:val="hybridMultilevel"/>
    <w:tmpl w:val="DD9E9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F7C3B46"/>
    <w:multiLevelType w:val="hybridMultilevel"/>
    <w:tmpl w:val="505AFE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8">
    <w:nsid w:val="50191FEE"/>
    <w:multiLevelType w:val="multilevel"/>
    <w:tmpl w:val="3786862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nsid w:val="52333C36"/>
    <w:multiLevelType w:val="hybridMultilevel"/>
    <w:tmpl w:val="30801F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4020AC6"/>
    <w:multiLevelType w:val="hybridMultilevel"/>
    <w:tmpl w:val="EB083D12"/>
    <w:lvl w:ilvl="0" w:tplc="1409000F">
      <w:start w:val="1"/>
      <w:numFmt w:val="decimal"/>
      <w:lvlText w:val="%1."/>
      <w:lvlJc w:val="left"/>
      <w:pPr>
        <w:ind w:left="1288" w:hanging="360"/>
      </w:pPr>
    </w:lvl>
    <w:lvl w:ilvl="1" w:tplc="14090019" w:tentative="1">
      <w:start w:val="1"/>
      <w:numFmt w:val="lowerLetter"/>
      <w:lvlText w:val="%2."/>
      <w:lvlJc w:val="left"/>
      <w:pPr>
        <w:ind w:left="2008" w:hanging="360"/>
      </w:pPr>
    </w:lvl>
    <w:lvl w:ilvl="2" w:tplc="1409001B" w:tentative="1">
      <w:start w:val="1"/>
      <w:numFmt w:val="lowerRoman"/>
      <w:lvlText w:val="%3."/>
      <w:lvlJc w:val="right"/>
      <w:pPr>
        <w:ind w:left="2728" w:hanging="180"/>
      </w:pPr>
    </w:lvl>
    <w:lvl w:ilvl="3" w:tplc="1409000F" w:tentative="1">
      <w:start w:val="1"/>
      <w:numFmt w:val="decimal"/>
      <w:lvlText w:val="%4."/>
      <w:lvlJc w:val="left"/>
      <w:pPr>
        <w:ind w:left="3448" w:hanging="360"/>
      </w:pPr>
    </w:lvl>
    <w:lvl w:ilvl="4" w:tplc="14090019" w:tentative="1">
      <w:start w:val="1"/>
      <w:numFmt w:val="lowerLetter"/>
      <w:lvlText w:val="%5."/>
      <w:lvlJc w:val="left"/>
      <w:pPr>
        <w:ind w:left="4168" w:hanging="360"/>
      </w:pPr>
    </w:lvl>
    <w:lvl w:ilvl="5" w:tplc="1409001B" w:tentative="1">
      <w:start w:val="1"/>
      <w:numFmt w:val="lowerRoman"/>
      <w:lvlText w:val="%6."/>
      <w:lvlJc w:val="right"/>
      <w:pPr>
        <w:ind w:left="4888" w:hanging="180"/>
      </w:pPr>
    </w:lvl>
    <w:lvl w:ilvl="6" w:tplc="1409000F" w:tentative="1">
      <w:start w:val="1"/>
      <w:numFmt w:val="decimal"/>
      <w:lvlText w:val="%7."/>
      <w:lvlJc w:val="left"/>
      <w:pPr>
        <w:ind w:left="5608" w:hanging="360"/>
      </w:pPr>
    </w:lvl>
    <w:lvl w:ilvl="7" w:tplc="14090019" w:tentative="1">
      <w:start w:val="1"/>
      <w:numFmt w:val="lowerLetter"/>
      <w:lvlText w:val="%8."/>
      <w:lvlJc w:val="left"/>
      <w:pPr>
        <w:ind w:left="6328" w:hanging="360"/>
      </w:pPr>
    </w:lvl>
    <w:lvl w:ilvl="8" w:tplc="1409001B" w:tentative="1">
      <w:start w:val="1"/>
      <w:numFmt w:val="lowerRoman"/>
      <w:lvlText w:val="%9."/>
      <w:lvlJc w:val="right"/>
      <w:pPr>
        <w:ind w:left="7048" w:hanging="180"/>
      </w:pPr>
    </w:lvl>
  </w:abstractNum>
  <w:abstractNum w:abstractNumId="22">
    <w:nsid w:val="553A5693"/>
    <w:multiLevelType w:val="hybridMultilevel"/>
    <w:tmpl w:val="28FCB24C"/>
    <w:lvl w:ilvl="0" w:tplc="08090005">
      <w:start w:val="1"/>
      <w:numFmt w:val="decimal"/>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24">
    <w:nsid w:val="602C34EE"/>
    <w:multiLevelType w:val="hybridMultilevel"/>
    <w:tmpl w:val="8AE87DEC"/>
    <w:lvl w:ilvl="0" w:tplc="0809000F">
      <w:start w:val="1"/>
      <w:numFmt w:val="decimal"/>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26">
    <w:nsid w:val="64C1796D"/>
    <w:multiLevelType w:val="hybridMultilevel"/>
    <w:tmpl w:val="DB829DCE"/>
    <w:lvl w:ilvl="0" w:tplc="08090005">
      <w:start w:val="1"/>
      <w:numFmt w:val="decimal"/>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nsid w:val="65A10F29"/>
    <w:multiLevelType w:val="hybridMultilevel"/>
    <w:tmpl w:val="42F665F6"/>
    <w:lvl w:ilvl="0" w:tplc="A7005A70">
      <w:start w:val="1"/>
      <w:numFmt w:val="decimal"/>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8F26166"/>
    <w:multiLevelType w:val="hybridMultilevel"/>
    <w:tmpl w:val="9410981C"/>
    <w:lvl w:ilvl="0" w:tplc="1409000F">
      <w:start w:val="1"/>
      <w:numFmt w:val="decimal"/>
      <w:lvlText w:val="%1."/>
      <w:lvlJc w:val="left"/>
      <w:pPr>
        <w:ind w:left="1288" w:hanging="360"/>
      </w:pPr>
    </w:lvl>
    <w:lvl w:ilvl="1" w:tplc="14090019" w:tentative="1">
      <w:start w:val="1"/>
      <w:numFmt w:val="lowerLetter"/>
      <w:lvlText w:val="%2."/>
      <w:lvlJc w:val="left"/>
      <w:pPr>
        <w:ind w:left="2008" w:hanging="360"/>
      </w:pPr>
    </w:lvl>
    <w:lvl w:ilvl="2" w:tplc="1409001B" w:tentative="1">
      <w:start w:val="1"/>
      <w:numFmt w:val="lowerRoman"/>
      <w:lvlText w:val="%3."/>
      <w:lvlJc w:val="right"/>
      <w:pPr>
        <w:ind w:left="2728" w:hanging="180"/>
      </w:pPr>
    </w:lvl>
    <w:lvl w:ilvl="3" w:tplc="1409000F" w:tentative="1">
      <w:start w:val="1"/>
      <w:numFmt w:val="decimal"/>
      <w:lvlText w:val="%4."/>
      <w:lvlJc w:val="left"/>
      <w:pPr>
        <w:ind w:left="3448" w:hanging="360"/>
      </w:pPr>
    </w:lvl>
    <w:lvl w:ilvl="4" w:tplc="14090019" w:tentative="1">
      <w:start w:val="1"/>
      <w:numFmt w:val="lowerLetter"/>
      <w:lvlText w:val="%5."/>
      <w:lvlJc w:val="left"/>
      <w:pPr>
        <w:ind w:left="4168" w:hanging="360"/>
      </w:pPr>
    </w:lvl>
    <w:lvl w:ilvl="5" w:tplc="1409001B" w:tentative="1">
      <w:start w:val="1"/>
      <w:numFmt w:val="lowerRoman"/>
      <w:lvlText w:val="%6."/>
      <w:lvlJc w:val="right"/>
      <w:pPr>
        <w:ind w:left="4888" w:hanging="180"/>
      </w:pPr>
    </w:lvl>
    <w:lvl w:ilvl="6" w:tplc="1409000F" w:tentative="1">
      <w:start w:val="1"/>
      <w:numFmt w:val="decimal"/>
      <w:lvlText w:val="%7."/>
      <w:lvlJc w:val="left"/>
      <w:pPr>
        <w:ind w:left="5608" w:hanging="360"/>
      </w:pPr>
    </w:lvl>
    <w:lvl w:ilvl="7" w:tplc="14090019" w:tentative="1">
      <w:start w:val="1"/>
      <w:numFmt w:val="lowerLetter"/>
      <w:lvlText w:val="%8."/>
      <w:lvlJc w:val="left"/>
      <w:pPr>
        <w:ind w:left="6328" w:hanging="360"/>
      </w:pPr>
    </w:lvl>
    <w:lvl w:ilvl="8" w:tplc="1409001B" w:tentative="1">
      <w:start w:val="1"/>
      <w:numFmt w:val="lowerRoman"/>
      <w:lvlText w:val="%9."/>
      <w:lvlJc w:val="right"/>
      <w:pPr>
        <w:ind w:left="7048" w:hanging="180"/>
      </w:pPr>
    </w:lvl>
  </w:abstractNum>
  <w:abstractNum w:abstractNumId="29">
    <w:nsid w:val="6B557726"/>
    <w:multiLevelType w:val="hybridMultilevel"/>
    <w:tmpl w:val="A5460864"/>
    <w:lvl w:ilvl="0" w:tplc="B3F2B942">
      <w:start w:val="1"/>
      <w:numFmt w:val="decimal"/>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C01413D"/>
    <w:multiLevelType w:val="hybridMultilevel"/>
    <w:tmpl w:val="F364E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C77540B"/>
    <w:multiLevelType w:val="hybridMultilevel"/>
    <w:tmpl w:val="F8628218"/>
    <w:lvl w:ilvl="0" w:tplc="971222B2">
      <w:start w:val="1"/>
      <w:numFmt w:val="decimal"/>
      <w:lvlText w:val="3.%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C9679BB"/>
    <w:multiLevelType w:val="hybridMultilevel"/>
    <w:tmpl w:val="7C124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EFC00DF"/>
    <w:multiLevelType w:val="multilevel"/>
    <w:tmpl w:val="147068C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0A237A5"/>
    <w:multiLevelType w:val="hybridMultilevel"/>
    <w:tmpl w:val="CE947C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7">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9"/>
  </w:num>
  <w:num w:numId="4">
    <w:abstractNumId w:val="22"/>
  </w:num>
  <w:num w:numId="5">
    <w:abstractNumId w:val="29"/>
  </w:num>
  <w:num w:numId="6">
    <w:abstractNumId w:val="4"/>
  </w:num>
  <w:num w:numId="7">
    <w:abstractNumId w:val="25"/>
  </w:num>
  <w:num w:numId="8">
    <w:abstractNumId w:val="11"/>
  </w:num>
  <w:num w:numId="9">
    <w:abstractNumId w:val="1"/>
  </w:num>
  <w:num w:numId="10">
    <w:abstractNumId w:val="3"/>
  </w:num>
  <w:num w:numId="11">
    <w:abstractNumId w:val="6"/>
  </w:num>
  <w:num w:numId="12">
    <w:abstractNumId w:val="24"/>
  </w:num>
  <w:num w:numId="13">
    <w:abstractNumId w:val="34"/>
  </w:num>
  <w:num w:numId="14">
    <w:abstractNumId w:val="26"/>
  </w:num>
  <w:num w:numId="15">
    <w:abstractNumId w:val="27"/>
  </w:num>
  <w:num w:numId="16">
    <w:abstractNumId w:val="14"/>
  </w:num>
  <w:num w:numId="17">
    <w:abstractNumId w:val="36"/>
  </w:num>
  <w:num w:numId="18">
    <w:abstractNumId w:val="23"/>
  </w:num>
  <w:num w:numId="19">
    <w:abstractNumId w:val="9"/>
  </w:num>
  <w:num w:numId="20">
    <w:abstractNumId w:val="37"/>
  </w:num>
  <w:num w:numId="21">
    <w:abstractNumId w:val="19"/>
  </w:num>
  <w:num w:numId="22">
    <w:abstractNumId w:val="19"/>
  </w:num>
  <w:num w:numId="23">
    <w:abstractNumId w:val="19"/>
  </w:num>
  <w:num w:numId="24">
    <w:abstractNumId w:val="19"/>
  </w:num>
  <w:num w:numId="25">
    <w:abstractNumId w:val="20"/>
  </w:num>
  <w:num w:numId="26">
    <w:abstractNumId w:val="30"/>
  </w:num>
  <w:num w:numId="27">
    <w:abstractNumId w:val="8"/>
  </w:num>
  <w:num w:numId="28">
    <w:abstractNumId w:val="2"/>
  </w:num>
  <w:num w:numId="29">
    <w:abstractNumId w:val="4"/>
  </w:num>
  <w:num w:numId="30">
    <w:abstractNumId w:val="4"/>
  </w:num>
  <w:num w:numId="31">
    <w:abstractNumId w:val="4"/>
  </w:num>
  <w:num w:numId="32">
    <w:abstractNumId w:val="4"/>
  </w:num>
  <w:num w:numId="33">
    <w:abstractNumId w:val="4"/>
  </w:num>
  <w:num w:numId="34">
    <w:abstractNumId w:val="35"/>
  </w:num>
  <w:num w:numId="35">
    <w:abstractNumId w:val="28"/>
  </w:num>
  <w:num w:numId="36">
    <w:abstractNumId w:val="18"/>
  </w:num>
  <w:num w:numId="37">
    <w:abstractNumId w:val="32"/>
  </w:num>
  <w:num w:numId="38">
    <w:abstractNumId w:val="7"/>
  </w:num>
  <w:num w:numId="39">
    <w:abstractNumId w:val="21"/>
  </w:num>
  <w:num w:numId="40">
    <w:abstractNumId w:val="12"/>
  </w:num>
  <w:num w:numId="41">
    <w:abstractNumId w:val="15"/>
  </w:num>
  <w:num w:numId="42">
    <w:abstractNumId w:val="4"/>
  </w:num>
  <w:num w:numId="43">
    <w:abstractNumId w:val="4"/>
  </w:num>
  <w:num w:numId="44">
    <w:abstractNumId w:val="16"/>
  </w:num>
  <w:num w:numId="45">
    <w:abstractNumId w:val="31"/>
  </w:num>
  <w:num w:numId="46">
    <w:abstractNumId w:val="13"/>
  </w:num>
  <w:num w:numId="47">
    <w:abstractNumId w:val="33"/>
  </w:num>
  <w:num w:numId="48">
    <w:abstractNumId w:val="4"/>
  </w:num>
  <w:num w:numId="49">
    <w:abstractNumId w:val="0"/>
  </w:num>
  <w:num w:numId="50">
    <w:abstractNumId w:val="17"/>
  </w:num>
  <w:num w:numId="51">
    <w:abstractNumId w:val="10"/>
  </w:num>
  <w:num w:numId="52">
    <w:abstractNumId w:val="19"/>
  </w:num>
  <w:num w:numId="53">
    <w:abstractNumId w:val="4"/>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B1"/>
    <w:rsid w:val="000022EC"/>
    <w:rsid w:val="0000377B"/>
    <w:rsid w:val="00003908"/>
    <w:rsid w:val="000046FC"/>
    <w:rsid w:val="00006422"/>
    <w:rsid w:val="0000652C"/>
    <w:rsid w:val="00007351"/>
    <w:rsid w:val="00012289"/>
    <w:rsid w:val="00014230"/>
    <w:rsid w:val="00015410"/>
    <w:rsid w:val="00015F50"/>
    <w:rsid w:val="0001695D"/>
    <w:rsid w:val="000171CE"/>
    <w:rsid w:val="0002323A"/>
    <w:rsid w:val="0002340B"/>
    <w:rsid w:val="00023739"/>
    <w:rsid w:val="000250E7"/>
    <w:rsid w:val="000251CA"/>
    <w:rsid w:val="00027B73"/>
    <w:rsid w:val="0003027F"/>
    <w:rsid w:val="00030EA4"/>
    <w:rsid w:val="00031162"/>
    <w:rsid w:val="0003124A"/>
    <w:rsid w:val="0003164B"/>
    <w:rsid w:val="0003165E"/>
    <w:rsid w:val="000317D5"/>
    <w:rsid w:val="00033150"/>
    <w:rsid w:val="00033259"/>
    <w:rsid w:val="00033B45"/>
    <w:rsid w:val="00033F9A"/>
    <w:rsid w:val="000344D8"/>
    <w:rsid w:val="00034917"/>
    <w:rsid w:val="00035F81"/>
    <w:rsid w:val="00037A83"/>
    <w:rsid w:val="000407DB"/>
    <w:rsid w:val="00041A29"/>
    <w:rsid w:val="00041E24"/>
    <w:rsid w:val="00043BEF"/>
    <w:rsid w:val="00047CC7"/>
    <w:rsid w:val="00047FF9"/>
    <w:rsid w:val="00050E51"/>
    <w:rsid w:val="00051E9F"/>
    <w:rsid w:val="000523E0"/>
    <w:rsid w:val="00053A26"/>
    <w:rsid w:val="00053BF5"/>
    <w:rsid w:val="0005471A"/>
    <w:rsid w:val="00055518"/>
    <w:rsid w:val="00055D4E"/>
    <w:rsid w:val="000570B4"/>
    <w:rsid w:val="0005761B"/>
    <w:rsid w:val="000578D5"/>
    <w:rsid w:val="00064C13"/>
    <w:rsid w:val="00064CDF"/>
    <w:rsid w:val="00067972"/>
    <w:rsid w:val="00070A6E"/>
    <w:rsid w:val="00072271"/>
    <w:rsid w:val="00074205"/>
    <w:rsid w:val="0007577B"/>
    <w:rsid w:val="00081340"/>
    <w:rsid w:val="00083D81"/>
    <w:rsid w:val="00084ED4"/>
    <w:rsid w:val="00087A92"/>
    <w:rsid w:val="00090841"/>
    <w:rsid w:val="00091439"/>
    <w:rsid w:val="00096603"/>
    <w:rsid w:val="00096828"/>
    <w:rsid w:val="000972F9"/>
    <w:rsid w:val="000A1039"/>
    <w:rsid w:val="000A1D11"/>
    <w:rsid w:val="000A21B8"/>
    <w:rsid w:val="000A2369"/>
    <w:rsid w:val="000A36B1"/>
    <w:rsid w:val="000A4AF3"/>
    <w:rsid w:val="000A55B7"/>
    <w:rsid w:val="000A7407"/>
    <w:rsid w:val="000B0C18"/>
    <w:rsid w:val="000B1B94"/>
    <w:rsid w:val="000B1DE7"/>
    <w:rsid w:val="000B38A9"/>
    <w:rsid w:val="000B4164"/>
    <w:rsid w:val="000B5747"/>
    <w:rsid w:val="000C009E"/>
    <w:rsid w:val="000C0168"/>
    <w:rsid w:val="000C0315"/>
    <w:rsid w:val="000C05DD"/>
    <w:rsid w:val="000C3FFB"/>
    <w:rsid w:val="000C5DF3"/>
    <w:rsid w:val="000C5EB7"/>
    <w:rsid w:val="000C6914"/>
    <w:rsid w:val="000C73AB"/>
    <w:rsid w:val="000C78C9"/>
    <w:rsid w:val="000D0F7B"/>
    <w:rsid w:val="000D154C"/>
    <w:rsid w:val="000D1A32"/>
    <w:rsid w:val="000D431B"/>
    <w:rsid w:val="000D477E"/>
    <w:rsid w:val="000D5566"/>
    <w:rsid w:val="000E0913"/>
    <w:rsid w:val="000E1182"/>
    <w:rsid w:val="000E1473"/>
    <w:rsid w:val="000E3A50"/>
    <w:rsid w:val="000E3D2B"/>
    <w:rsid w:val="000E5145"/>
    <w:rsid w:val="000E5794"/>
    <w:rsid w:val="000E5954"/>
    <w:rsid w:val="000E764D"/>
    <w:rsid w:val="000E7C71"/>
    <w:rsid w:val="000E7EAB"/>
    <w:rsid w:val="000F474A"/>
    <w:rsid w:val="000F4BC1"/>
    <w:rsid w:val="000F7153"/>
    <w:rsid w:val="000F7771"/>
    <w:rsid w:val="001005B7"/>
    <w:rsid w:val="00100901"/>
    <w:rsid w:val="00105854"/>
    <w:rsid w:val="001078F8"/>
    <w:rsid w:val="00110264"/>
    <w:rsid w:val="001125D2"/>
    <w:rsid w:val="001142E4"/>
    <w:rsid w:val="00114F2B"/>
    <w:rsid w:val="00117C16"/>
    <w:rsid w:val="00117DE0"/>
    <w:rsid w:val="001201B6"/>
    <w:rsid w:val="00120252"/>
    <w:rsid w:val="00121752"/>
    <w:rsid w:val="0012550F"/>
    <w:rsid w:val="00126F60"/>
    <w:rsid w:val="00130ED6"/>
    <w:rsid w:val="00131B6A"/>
    <w:rsid w:val="001324ED"/>
    <w:rsid w:val="001348E3"/>
    <w:rsid w:val="00134C59"/>
    <w:rsid w:val="00135243"/>
    <w:rsid w:val="001353EA"/>
    <w:rsid w:val="00136CB8"/>
    <w:rsid w:val="00140748"/>
    <w:rsid w:val="00140BDF"/>
    <w:rsid w:val="001425E7"/>
    <w:rsid w:val="00142A10"/>
    <w:rsid w:val="00143CAA"/>
    <w:rsid w:val="0014402C"/>
    <w:rsid w:val="001455DB"/>
    <w:rsid w:val="0014563C"/>
    <w:rsid w:val="0015001E"/>
    <w:rsid w:val="00150A63"/>
    <w:rsid w:val="001526C7"/>
    <w:rsid w:val="0015532D"/>
    <w:rsid w:val="00157C9A"/>
    <w:rsid w:val="00160D92"/>
    <w:rsid w:val="00162125"/>
    <w:rsid w:val="00162BB9"/>
    <w:rsid w:val="0016327A"/>
    <w:rsid w:val="00166D50"/>
    <w:rsid w:val="00166FD2"/>
    <w:rsid w:val="001702CB"/>
    <w:rsid w:val="001713B3"/>
    <w:rsid w:val="001722B8"/>
    <w:rsid w:val="00174096"/>
    <w:rsid w:val="001744F6"/>
    <w:rsid w:val="00174EE8"/>
    <w:rsid w:val="00176CEC"/>
    <w:rsid w:val="00176E74"/>
    <w:rsid w:val="00177C80"/>
    <w:rsid w:val="0018008C"/>
    <w:rsid w:val="00180ED9"/>
    <w:rsid w:val="00182551"/>
    <w:rsid w:val="00183583"/>
    <w:rsid w:val="001836E5"/>
    <w:rsid w:val="00183F66"/>
    <w:rsid w:val="00196612"/>
    <w:rsid w:val="00197444"/>
    <w:rsid w:val="001A2A81"/>
    <w:rsid w:val="001A2BCA"/>
    <w:rsid w:val="001A3053"/>
    <w:rsid w:val="001A385F"/>
    <w:rsid w:val="001A6A36"/>
    <w:rsid w:val="001A721B"/>
    <w:rsid w:val="001A7DB1"/>
    <w:rsid w:val="001B1FAA"/>
    <w:rsid w:val="001B228A"/>
    <w:rsid w:val="001B57E9"/>
    <w:rsid w:val="001C171C"/>
    <w:rsid w:val="001C23A1"/>
    <w:rsid w:val="001C38AE"/>
    <w:rsid w:val="001C4F88"/>
    <w:rsid w:val="001C6F6F"/>
    <w:rsid w:val="001C74B8"/>
    <w:rsid w:val="001D02C2"/>
    <w:rsid w:val="001D0512"/>
    <w:rsid w:val="001D47CB"/>
    <w:rsid w:val="001D4B71"/>
    <w:rsid w:val="001D5A37"/>
    <w:rsid w:val="001D62E3"/>
    <w:rsid w:val="001D72DE"/>
    <w:rsid w:val="001D768A"/>
    <w:rsid w:val="001D799C"/>
    <w:rsid w:val="001E193C"/>
    <w:rsid w:val="001E1CE3"/>
    <w:rsid w:val="001E3029"/>
    <w:rsid w:val="001E7D14"/>
    <w:rsid w:val="001F0321"/>
    <w:rsid w:val="001F1432"/>
    <w:rsid w:val="001F1B9D"/>
    <w:rsid w:val="001F35C8"/>
    <w:rsid w:val="001F6CB4"/>
    <w:rsid w:val="001F7F76"/>
    <w:rsid w:val="00200688"/>
    <w:rsid w:val="00200C96"/>
    <w:rsid w:val="00200EE6"/>
    <w:rsid w:val="00201997"/>
    <w:rsid w:val="002025E9"/>
    <w:rsid w:val="00202AE6"/>
    <w:rsid w:val="00202E51"/>
    <w:rsid w:val="002033D4"/>
    <w:rsid w:val="002040FD"/>
    <w:rsid w:val="00205799"/>
    <w:rsid w:val="0020641A"/>
    <w:rsid w:val="00206EDB"/>
    <w:rsid w:val="00211A16"/>
    <w:rsid w:val="002137D1"/>
    <w:rsid w:val="0021414A"/>
    <w:rsid w:val="002152CE"/>
    <w:rsid w:val="0021548E"/>
    <w:rsid w:val="00216D5E"/>
    <w:rsid w:val="00217C12"/>
    <w:rsid w:val="00225322"/>
    <w:rsid w:val="002277F2"/>
    <w:rsid w:val="00231993"/>
    <w:rsid w:val="00231C75"/>
    <w:rsid w:val="002325A4"/>
    <w:rsid w:val="00232C5B"/>
    <w:rsid w:val="0023315E"/>
    <w:rsid w:val="00233203"/>
    <w:rsid w:val="002334CC"/>
    <w:rsid w:val="002343E9"/>
    <w:rsid w:val="002357D6"/>
    <w:rsid w:val="0023589C"/>
    <w:rsid w:val="002361A0"/>
    <w:rsid w:val="0023748D"/>
    <w:rsid w:val="00237EF2"/>
    <w:rsid w:val="00240C80"/>
    <w:rsid w:val="00240DCC"/>
    <w:rsid w:val="0024175F"/>
    <w:rsid w:val="00244391"/>
    <w:rsid w:val="0025084A"/>
    <w:rsid w:val="002516B4"/>
    <w:rsid w:val="002516F3"/>
    <w:rsid w:val="002518D2"/>
    <w:rsid w:val="00253969"/>
    <w:rsid w:val="00254177"/>
    <w:rsid w:val="0026027E"/>
    <w:rsid w:val="00260498"/>
    <w:rsid w:val="00260B59"/>
    <w:rsid w:val="00260ED8"/>
    <w:rsid w:val="00263E47"/>
    <w:rsid w:val="00266C2B"/>
    <w:rsid w:val="00267C0F"/>
    <w:rsid w:val="0027067F"/>
    <w:rsid w:val="00271063"/>
    <w:rsid w:val="00271089"/>
    <w:rsid w:val="00273349"/>
    <w:rsid w:val="00275055"/>
    <w:rsid w:val="00277C44"/>
    <w:rsid w:val="00282ADA"/>
    <w:rsid w:val="00283A2A"/>
    <w:rsid w:val="00286748"/>
    <w:rsid w:val="00290180"/>
    <w:rsid w:val="00291A59"/>
    <w:rsid w:val="0029316E"/>
    <w:rsid w:val="002960FD"/>
    <w:rsid w:val="00296FC3"/>
    <w:rsid w:val="002A1409"/>
    <w:rsid w:val="002A1595"/>
    <w:rsid w:val="002A2045"/>
    <w:rsid w:val="002A2064"/>
    <w:rsid w:val="002A2214"/>
    <w:rsid w:val="002A29E3"/>
    <w:rsid w:val="002A3B95"/>
    <w:rsid w:val="002A6420"/>
    <w:rsid w:val="002A6B59"/>
    <w:rsid w:val="002A729A"/>
    <w:rsid w:val="002A788F"/>
    <w:rsid w:val="002A7B5E"/>
    <w:rsid w:val="002A7F65"/>
    <w:rsid w:val="002B213A"/>
    <w:rsid w:val="002B2263"/>
    <w:rsid w:val="002B2558"/>
    <w:rsid w:val="002B3770"/>
    <w:rsid w:val="002B4805"/>
    <w:rsid w:val="002B7250"/>
    <w:rsid w:val="002C12CF"/>
    <w:rsid w:val="002C1491"/>
    <w:rsid w:val="002C3D65"/>
    <w:rsid w:val="002C4868"/>
    <w:rsid w:val="002C5860"/>
    <w:rsid w:val="002C5E5F"/>
    <w:rsid w:val="002C723A"/>
    <w:rsid w:val="002C7AD2"/>
    <w:rsid w:val="002C7D90"/>
    <w:rsid w:val="002D08DF"/>
    <w:rsid w:val="002D0B41"/>
    <w:rsid w:val="002D78AA"/>
    <w:rsid w:val="002D7CEB"/>
    <w:rsid w:val="002E05EC"/>
    <w:rsid w:val="002E093E"/>
    <w:rsid w:val="002E102D"/>
    <w:rsid w:val="002E227E"/>
    <w:rsid w:val="002E232F"/>
    <w:rsid w:val="002E3A75"/>
    <w:rsid w:val="002F082A"/>
    <w:rsid w:val="002F102C"/>
    <w:rsid w:val="002F2C39"/>
    <w:rsid w:val="002F46B3"/>
    <w:rsid w:val="002F5A43"/>
    <w:rsid w:val="0030295B"/>
    <w:rsid w:val="003048A8"/>
    <w:rsid w:val="0030508B"/>
    <w:rsid w:val="0030535A"/>
    <w:rsid w:val="0030684E"/>
    <w:rsid w:val="00311AFC"/>
    <w:rsid w:val="00311DBB"/>
    <w:rsid w:val="003120D8"/>
    <w:rsid w:val="00313F9E"/>
    <w:rsid w:val="003141BE"/>
    <w:rsid w:val="00317CA5"/>
    <w:rsid w:val="00320319"/>
    <w:rsid w:val="0032154C"/>
    <w:rsid w:val="0032499B"/>
    <w:rsid w:val="00325904"/>
    <w:rsid w:val="003265FB"/>
    <w:rsid w:val="00331093"/>
    <w:rsid w:val="0033227F"/>
    <w:rsid w:val="00333F40"/>
    <w:rsid w:val="00334234"/>
    <w:rsid w:val="003354F5"/>
    <w:rsid w:val="003356AC"/>
    <w:rsid w:val="003413ED"/>
    <w:rsid w:val="00341557"/>
    <w:rsid w:val="0034165E"/>
    <w:rsid w:val="00343FC6"/>
    <w:rsid w:val="0034593D"/>
    <w:rsid w:val="0034639D"/>
    <w:rsid w:val="003473DB"/>
    <w:rsid w:val="003478C9"/>
    <w:rsid w:val="00354453"/>
    <w:rsid w:val="003563D9"/>
    <w:rsid w:val="0036156A"/>
    <w:rsid w:val="00362461"/>
    <w:rsid w:val="003644BC"/>
    <w:rsid w:val="00367337"/>
    <w:rsid w:val="00367C7B"/>
    <w:rsid w:val="00370F9D"/>
    <w:rsid w:val="00371125"/>
    <w:rsid w:val="0037173A"/>
    <w:rsid w:val="00372FAA"/>
    <w:rsid w:val="00373D19"/>
    <w:rsid w:val="00373E7D"/>
    <w:rsid w:val="00373F5D"/>
    <w:rsid w:val="003742E3"/>
    <w:rsid w:val="00374B22"/>
    <w:rsid w:val="00374BD9"/>
    <w:rsid w:val="00374E66"/>
    <w:rsid w:val="003754D0"/>
    <w:rsid w:val="00375E2E"/>
    <w:rsid w:val="00377524"/>
    <w:rsid w:val="00380CAC"/>
    <w:rsid w:val="00381ABC"/>
    <w:rsid w:val="00382E2E"/>
    <w:rsid w:val="00384C7E"/>
    <w:rsid w:val="0038645D"/>
    <w:rsid w:val="00387D1E"/>
    <w:rsid w:val="00390864"/>
    <w:rsid w:val="00390F8D"/>
    <w:rsid w:val="00391A22"/>
    <w:rsid w:val="00391B92"/>
    <w:rsid w:val="00392924"/>
    <w:rsid w:val="003944D6"/>
    <w:rsid w:val="00394CF8"/>
    <w:rsid w:val="00395475"/>
    <w:rsid w:val="00395B3F"/>
    <w:rsid w:val="003962BF"/>
    <w:rsid w:val="00396824"/>
    <w:rsid w:val="003975CC"/>
    <w:rsid w:val="00397856"/>
    <w:rsid w:val="003A06ED"/>
    <w:rsid w:val="003A31FD"/>
    <w:rsid w:val="003A4B46"/>
    <w:rsid w:val="003A4D95"/>
    <w:rsid w:val="003A5393"/>
    <w:rsid w:val="003A5488"/>
    <w:rsid w:val="003A5A14"/>
    <w:rsid w:val="003A5C2F"/>
    <w:rsid w:val="003A7C19"/>
    <w:rsid w:val="003A7F96"/>
    <w:rsid w:val="003B397F"/>
    <w:rsid w:val="003C055A"/>
    <w:rsid w:val="003C3352"/>
    <w:rsid w:val="003C3693"/>
    <w:rsid w:val="003C37C2"/>
    <w:rsid w:val="003C3E33"/>
    <w:rsid w:val="003C4126"/>
    <w:rsid w:val="003C502F"/>
    <w:rsid w:val="003C5519"/>
    <w:rsid w:val="003C6105"/>
    <w:rsid w:val="003C6A12"/>
    <w:rsid w:val="003C75F6"/>
    <w:rsid w:val="003D1452"/>
    <w:rsid w:val="003D6323"/>
    <w:rsid w:val="003D684E"/>
    <w:rsid w:val="003D6EF5"/>
    <w:rsid w:val="003D73BF"/>
    <w:rsid w:val="003E0056"/>
    <w:rsid w:val="003E02BB"/>
    <w:rsid w:val="003E44F6"/>
    <w:rsid w:val="003E51E2"/>
    <w:rsid w:val="003E7906"/>
    <w:rsid w:val="003E7977"/>
    <w:rsid w:val="003F03E7"/>
    <w:rsid w:val="003F1850"/>
    <w:rsid w:val="003F2097"/>
    <w:rsid w:val="003F272E"/>
    <w:rsid w:val="003F37EC"/>
    <w:rsid w:val="003F5739"/>
    <w:rsid w:val="003F6296"/>
    <w:rsid w:val="003F6AB6"/>
    <w:rsid w:val="003F6E87"/>
    <w:rsid w:val="00401F0F"/>
    <w:rsid w:val="0040231F"/>
    <w:rsid w:val="00403468"/>
    <w:rsid w:val="00404CDB"/>
    <w:rsid w:val="00405235"/>
    <w:rsid w:val="0040571B"/>
    <w:rsid w:val="00405F4C"/>
    <w:rsid w:val="0040742C"/>
    <w:rsid w:val="00411F2C"/>
    <w:rsid w:val="00411F8F"/>
    <w:rsid w:val="00413004"/>
    <w:rsid w:val="004136D6"/>
    <w:rsid w:val="004137E5"/>
    <w:rsid w:val="0041492E"/>
    <w:rsid w:val="00414AC0"/>
    <w:rsid w:val="00414F89"/>
    <w:rsid w:val="00415960"/>
    <w:rsid w:val="00420AAB"/>
    <w:rsid w:val="0042286D"/>
    <w:rsid w:val="004234F8"/>
    <w:rsid w:val="004243F7"/>
    <w:rsid w:val="004258D6"/>
    <w:rsid w:val="004306CC"/>
    <w:rsid w:val="00430BB2"/>
    <w:rsid w:val="00431555"/>
    <w:rsid w:val="00431E1A"/>
    <w:rsid w:val="00432296"/>
    <w:rsid w:val="004326C9"/>
    <w:rsid w:val="00432F19"/>
    <w:rsid w:val="00434294"/>
    <w:rsid w:val="00434570"/>
    <w:rsid w:val="00435C8B"/>
    <w:rsid w:val="00436FCD"/>
    <w:rsid w:val="00440950"/>
    <w:rsid w:val="00440B0B"/>
    <w:rsid w:val="0044126B"/>
    <w:rsid w:val="004414D4"/>
    <w:rsid w:val="00444373"/>
    <w:rsid w:val="0044537A"/>
    <w:rsid w:val="00445690"/>
    <w:rsid w:val="0044726A"/>
    <w:rsid w:val="00447865"/>
    <w:rsid w:val="004478AE"/>
    <w:rsid w:val="00450226"/>
    <w:rsid w:val="00452856"/>
    <w:rsid w:val="00453713"/>
    <w:rsid w:val="00454686"/>
    <w:rsid w:val="00455B3C"/>
    <w:rsid w:val="00456DE8"/>
    <w:rsid w:val="004603E1"/>
    <w:rsid w:val="004649DC"/>
    <w:rsid w:val="00464C63"/>
    <w:rsid w:val="004714F2"/>
    <w:rsid w:val="004731CB"/>
    <w:rsid w:val="0047715F"/>
    <w:rsid w:val="00477B93"/>
    <w:rsid w:val="00482460"/>
    <w:rsid w:val="00482B21"/>
    <w:rsid w:val="00485CD4"/>
    <w:rsid w:val="004865E4"/>
    <w:rsid w:val="00493A9F"/>
    <w:rsid w:val="004955E2"/>
    <w:rsid w:val="00495F1D"/>
    <w:rsid w:val="00496CDC"/>
    <w:rsid w:val="004A0BAE"/>
    <w:rsid w:val="004A11C8"/>
    <w:rsid w:val="004A1DEC"/>
    <w:rsid w:val="004A4529"/>
    <w:rsid w:val="004A6E86"/>
    <w:rsid w:val="004B0926"/>
    <w:rsid w:val="004B1B92"/>
    <w:rsid w:val="004B3387"/>
    <w:rsid w:val="004B36B0"/>
    <w:rsid w:val="004B37FB"/>
    <w:rsid w:val="004B659E"/>
    <w:rsid w:val="004B684C"/>
    <w:rsid w:val="004B6F8B"/>
    <w:rsid w:val="004C1701"/>
    <w:rsid w:val="004C2444"/>
    <w:rsid w:val="004C2DB8"/>
    <w:rsid w:val="004C5738"/>
    <w:rsid w:val="004C6A52"/>
    <w:rsid w:val="004C7286"/>
    <w:rsid w:val="004D2AA0"/>
    <w:rsid w:val="004D2B7A"/>
    <w:rsid w:val="004D6158"/>
    <w:rsid w:val="004D773C"/>
    <w:rsid w:val="004E10A4"/>
    <w:rsid w:val="004E2A2B"/>
    <w:rsid w:val="004E2CEB"/>
    <w:rsid w:val="004E3B3E"/>
    <w:rsid w:val="004E47F3"/>
    <w:rsid w:val="004E491E"/>
    <w:rsid w:val="004E5801"/>
    <w:rsid w:val="004E59D9"/>
    <w:rsid w:val="004E5B10"/>
    <w:rsid w:val="004E648C"/>
    <w:rsid w:val="004E72FD"/>
    <w:rsid w:val="004F0044"/>
    <w:rsid w:val="004F09FB"/>
    <w:rsid w:val="004F2570"/>
    <w:rsid w:val="004F3671"/>
    <w:rsid w:val="004F4237"/>
    <w:rsid w:val="004F4278"/>
    <w:rsid w:val="004F43BC"/>
    <w:rsid w:val="004F4C58"/>
    <w:rsid w:val="004F5517"/>
    <w:rsid w:val="004F5679"/>
    <w:rsid w:val="00501EBD"/>
    <w:rsid w:val="00502359"/>
    <w:rsid w:val="005025DD"/>
    <w:rsid w:val="00506D4E"/>
    <w:rsid w:val="0050746B"/>
    <w:rsid w:val="005105C2"/>
    <w:rsid w:val="00512EC7"/>
    <w:rsid w:val="00513EFC"/>
    <w:rsid w:val="00514F79"/>
    <w:rsid w:val="00517261"/>
    <w:rsid w:val="005209B8"/>
    <w:rsid w:val="00521C06"/>
    <w:rsid w:val="00530A3D"/>
    <w:rsid w:val="0053146F"/>
    <w:rsid w:val="0053156B"/>
    <w:rsid w:val="00533566"/>
    <w:rsid w:val="005371E7"/>
    <w:rsid w:val="0054074E"/>
    <w:rsid w:val="00541932"/>
    <w:rsid w:val="00542C0A"/>
    <w:rsid w:val="00542ED5"/>
    <w:rsid w:val="00543138"/>
    <w:rsid w:val="005453ED"/>
    <w:rsid w:val="00546695"/>
    <w:rsid w:val="005471D8"/>
    <w:rsid w:val="00547515"/>
    <w:rsid w:val="00550F68"/>
    <w:rsid w:val="00551C9D"/>
    <w:rsid w:val="00551EBF"/>
    <w:rsid w:val="00551FAE"/>
    <w:rsid w:val="0055286A"/>
    <w:rsid w:val="00552DD1"/>
    <w:rsid w:val="005536C3"/>
    <w:rsid w:val="0055476A"/>
    <w:rsid w:val="00554E3A"/>
    <w:rsid w:val="00557701"/>
    <w:rsid w:val="00560741"/>
    <w:rsid w:val="00560940"/>
    <w:rsid w:val="005614DF"/>
    <w:rsid w:val="00561AEA"/>
    <w:rsid w:val="00561BA6"/>
    <w:rsid w:val="00562990"/>
    <w:rsid w:val="00565602"/>
    <w:rsid w:val="0056690C"/>
    <w:rsid w:val="00567926"/>
    <w:rsid w:val="00575170"/>
    <w:rsid w:val="0057599A"/>
    <w:rsid w:val="00575CC7"/>
    <w:rsid w:val="00577313"/>
    <w:rsid w:val="00580AF0"/>
    <w:rsid w:val="00580B4E"/>
    <w:rsid w:val="00581E13"/>
    <w:rsid w:val="0058215B"/>
    <w:rsid w:val="00582227"/>
    <w:rsid w:val="005827DA"/>
    <w:rsid w:val="00583BFC"/>
    <w:rsid w:val="00583E53"/>
    <w:rsid w:val="00586ED7"/>
    <w:rsid w:val="005871DB"/>
    <w:rsid w:val="005911E8"/>
    <w:rsid w:val="005920A0"/>
    <w:rsid w:val="00592591"/>
    <w:rsid w:val="00592F96"/>
    <w:rsid w:val="00595D49"/>
    <w:rsid w:val="005A148F"/>
    <w:rsid w:val="005A209F"/>
    <w:rsid w:val="005A3D08"/>
    <w:rsid w:val="005A3D33"/>
    <w:rsid w:val="005A5CF8"/>
    <w:rsid w:val="005A5EFE"/>
    <w:rsid w:val="005A629E"/>
    <w:rsid w:val="005A76F3"/>
    <w:rsid w:val="005A7996"/>
    <w:rsid w:val="005B06C3"/>
    <w:rsid w:val="005B1EAC"/>
    <w:rsid w:val="005B46A5"/>
    <w:rsid w:val="005C1D28"/>
    <w:rsid w:val="005C248E"/>
    <w:rsid w:val="005C3DE8"/>
    <w:rsid w:val="005C6E37"/>
    <w:rsid w:val="005D1902"/>
    <w:rsid w:val="005D1BD6"/>
    <w:rsid w:val="005D1CBA"/>
    <w:rsid w:val="005D2143"/>
    <w:rsid w:val="005D3A47"/>
    <w:rsid w:val="005D51C1"/>
    <w:rsid w:val="005D6E01"/>
    <w:rsid w:val="005E0A51"/>
    <w:rsid w:val="005E1382"/>
    <w:rsid w:val="005E168D"/>
    <w:rsid w:val="005E3C39"/>
    <w:rsid w:val="005E52FB"/>
    <w:rsid w:val="005E559F"/>
    <w:rsid w:val="005E6722"/>
    <w:rsid w:val="005F0547"/>
    <w:rsid w:val="005F29F5"/>
    <w:rsid w:val="005F305F"/>
    <w:rsid w:val="005F4770"/>
    <w:rsid w:val="005F6053"/>
    <w:rsid w:val="005F6830"/>
    <w:rsid w:val="005F6EBC"/>
    <w:rsid w:val="006002F3"/>
    <w:rsid w:val="00600D39"/>
    <w:rsid w:val="0060100F"/>
    <w:rsid w:val="0060141E"/>
    <w:rsid w:val="00601AB2"/>
    <w:rsid w:val="00603414"/>
    <w:rsid w:val="00603449"/>
    <w:rsid w:val="006041F7"/>
    <w:rsid w:val="006042D1"/>
    <w:rsid w:val="0060457E"/>
    <w:rsid w:val="00604F46"/>
    <w:rsid w:val="0060519F"/>
    <w:rsid w:val="00606865"/>
    <w:rsid w:val="00606B45"/>
    <w:rsid w:val="00610D98"/>
    <w:rsid w:val="00610EA0"/>
    <w:rsid w:val="006117FD"/>
    <w:rsid w:val="006169BE"/>
    <w:rsid w:val="00617CE2"/>
    <w:rsid w:val="00617DFC"/>
    <w:rsid w:val="00617FD2"/>
    <w:rsid w:val="00620585"/>
    <w:rsid w:val="00624899"/>
    <w:rsid w:val="00627E1F"/>
    <w:rsid w:val="0063000E"/>
    <w:rsid w:val="00631AD7"/>
    <w:rsid w:val="00632A6B"/>
    <w:rsid w:val="006350A3"/>
    <w:rsid w:val="00635E6E"/>
    <w:rsid w:val="00635EB8"/>
    <w:rsid w:val="00636058"/>
    <w:rsid w:val="00642559"/>
    <w:rsid w:val="00642F45"/>
    <w:rsid w:val="00646376"/>
    <w:rsid w:val="00647202"/>
    <w:rsid w:val="006515C5"/>
    <w:rsid w:val="0065219C"/>
    <w:rsid w:val="00652798"/>
    <w:rsid w:val="00652E32"/>
    <w:rsid w:val="0065392C"/>
    <w:rsid w:val="006549EB"/>
    <w:rsid w:val="00654A37"/>
    <w:rsid w:val="00654BCA"/>
    <w:rsid w:val="00654C0C"/>
    <w:rsid w:val="00655851"/>
    <w:rsid w:val="006560BB"/>
    <w:rsid w:val="00662E92"/>
    <w:rsid w:val="00662F7B"/>
    <w:rsid w:val="006644EE"/>
    <w:rsid w:val="0066498C"/>
    <w:rsid w:val="00665DEA"/>
    <w:rsid w:val="00670383"/>
    <w:rsid w:val="0067137C"/>
    <w:rsid w:val="0067215C"/>
    <w:rsid w:val="0067287E"/>
    <w:rsid w:val="006735D1"/>
    <w:rsid w:val="00675264"/>
    <w:rsid w:val="006772F4"/>
    <w:rsid w:val="00681F0D"/>
    <w:rsid w:val="00683EB1"/>
    <w:rsid w:val="006861E2"/>
    <w:rsid w:val="00686535"/>
    <w:rsid w:val="00686E61"/>
    <w:rsid w:val="00687DD8"/>
    <w:rsid w:val="00690DC4"/>
    <w:rsid w:val="006922FB"/>
    <w:rsid w:val="00692772"/>
    <w:rsid w:val="00696CD0"/>
    <w:rsid w:val="006A1957"/>
    <w:rsid w:val="006A23A6"/>
    <w:rsid w:val="006A2BE5"/>
    <w:rsid w:val="006A2C4C"/>
    <w:rsid w:val="006A5F94"/>
    <w:rsid w:val="006A6B54"/>
    <w:rsid w:val="006B0566"/>
    <w:rsid w:val="006B1316"/>
    <w:rsid w:val="006B2A85"/>
    <w:rsid w:val="006B3283"/>
    <w:rsid w:val="006B3803"/>
    <w:rsid w:val="006B5427"/>
    <w:rsid w:val="006B598A"/>
    <w:rsid w:val="006C0008"/>
    <w:rsid w:val="006C580D"/>
    <w:rsid w:val="006D1287"/>
    <w:rsid w:val="006D3A3F"/>
    <w:rsid w:val="006D4AB0"/>
    <w:rsid w:val="006D5E8F"/>
    <w:rsid w:val="006D6102"/>
    <w:rsid w:val="006D6466"/>
    <w:rsid w:val="006D64C9"/>
    <w:rsid w:val="006D69D1"/>
    <w:rsid w:val="006D75D7"/>
    <w:rsid w:val="006E040D"/>
    <w:rsid w:val="006E19D8"/>
    <w:rsid w:val="006E1C6B"/>
    <w:rsid w:val="006E2848"/>
    <w:rsid w:val="006E44FA"/>
    <w:rsid w:val="006E50E7"/>
    <w:rsid w:val="006E6038"/>
    <w:rsid w:val="006F02AD"/>
    <w:rsid w:val="006F1D5A"/>
    <w:rsid w:val="006F3442"/>
    <w:rsid w:val="006F3CDE"/>
    <w:rsid w:val="006F3D35"/>
    <w:rsid w:val="006F3E59"/>
    <w:rsid w:val="006F4D00"/>
    <w:rsid w:val="006F50C5"/>
    <w:rsid w:val="006F5616"/>
    <w:rsid w:val="006F6822"/>
    <w:rsid w:val="0070017E"/>
    <w:rsid w:val="00701808"/>
    <w:rsid w:val="00701E76"/>
    <w:rsid w:val="007022BF"/>
    <w:rsid w:val="0070247E"/>
    <w:rsid w:val="00704AD1"/>
    <w:rsid w:val="007055A3"/>
    <w:rsid w:val="007056D0"/>
    <w:rsid w:val="00713702"/>
    <w:rsid w:val="00714546"/>
    <w:rsid w:val="00715279"/>
    <w:rsid w:val="00715D61"/>
    <w:rsid w:val="00715D93"/>
    <w:rsid w:val="007161D3"/>
    <w:rsid w:val="007168FE"/>
    <w:rsid w:val="00716A9E"/>
    <w:rsid w:val="00716AAD"/>
    <w:rsid w:val="00717673"/>
    <w:rsid w:val="00725975"/>
    <w:rsid w:val="00725B0D"/>
    <w:rsid w:val="00726C4D"/>
    <w:rsid w:val="007276C0"/>
    <w:rsid w:val="00727B0E"/>
    <w:rsid w:val="0073368E"/>
    <w:rsid w:val="007343A9"/>
    <w:rsid w:val="007351D5"/>
    <w:rsid w:val="007357CF"/>
    <w:rsid w:val="00736162"/>
    <w:rsid w:val="007369E2"/>
    <w:rsid w:val="0074120C"/>
    <w:rsid w:val="007427BB"/>
    <w:rsid w:val="007444CE"/>
    <w:rsid w:val="007452F8"/>
    <w:rsid w:val="007452FA"/>
    <w:rsid w:val="00746725"/>
    <w:rsid w:val="00746D40"/>
    <w:rsid w:val="0074770F"/>
    <w:rsid w:val="00747BCE"/>
    <w:rsid w:val="00750168"/>
    <w:rsid w:val="007510CF"/>
    <w:rsid w:val="007526F1"/>
    <w:rsid w:val="00753E8F"/>
    <w:rsid w:val="0075609C"/>
    <w:rsid w:val="00757846"/>
    <w:rsid w:val="00757E1F"/>
    <w:rsid w:val="007620E8"/>
    <w:rsid w:val="0076265A"/>
    <w:rsid w:val="00764FC2"/>
    <w:rsid w:val="007658B3"/>
    <w:rsid w:val="007664F6"/>
    <w:rsid w:val="00766F65"/>
    <w:rsid w:val="0077088B"/>
    <w:rsid w:val="00772C31"/>
    <w:rsid w:val="00775E5D"/>
    <w:rsid w:val="00776D47"/>
    <w:rsid w:val="007809E0"/>
    <w:rsid w:val="00780E1E"/>
    <w:rsid w:val="00782620"/>
    <w:rsid w:val="00782A42"/>
    <w:rsid w:val="0078345B"/>
    <w:rsid w:val="00783C1E"/>
    <w:rsid w:val="00786280"/>
    <w:rsid w:val="00790114"/>
    <w:rsid w:val="007902DC"/>
    <w:rsid w:val="00790A2A"/>
    <w:rsid w:val="00791C2F"/>
    <w:rsid w:val="007922D4"/>
    <w:rsid w:val="007935E2"/>
    <w:rsid w:val="007936EE"/>
    <w:rsid w:val="00794535"/>
    <w:rsid w:val="007958B8"/>
    <w:rsid w:val="00795D94"/>
    <w:rsid w:val="007961D3"/>
    <w:rsid w:val="007976E4"/>
    <w:rsid w:val="007A186C"/>
    <w:rsid w:val="007A204E"/>
    <w:rsid w:val="007A375E"/>
    <w:rsid w:val="007A3CFC"/>
    <w:rsid w:val="007A4CC6"/>
    <w:rsid w:val="007A59B3"/>
    <w:rsid w:val="007B0045"/>
    <w:rsid w:val="007B06B7"/>
    <w:rsid w:val="007B2617"/>
    <w:rsid w:val="007B3158"/>
    <w:rsid w:val="007B3E40"/>
    <w:rsid w:val="007B3F45"/>
    <w:rsid w:val="007B454F"/>
    <w:rsid w:val="007B5A67"/>
    <w:rsid w:val="007B6B9F"/>
    <w:rsid w:val="007C033B"/>
    <w:rsid w:val="007C0792"/>
    <w:rsid w:val="007C23A7"/>
    <w:rsid w:val="007C2425"/>
    <w:rsid w:val="007C28DB"/>
    <w:rsid w:val="007C2F1B"/>
    <w:rsid w:val="007C5126"/>
    <w:rsid w:val="007C7D50"/>
    <w:rsid w:val="007D0040"/>
    <w:rsid w:val="007D1ECE"/>
    <w:rsid w:val="007D3079"/>
    <w:rsid w:val="007E0D65"/>
    <w:rsid w:val="007E1574"/>
    <w:rsid w:val="007E2C5C"/>
    <w:rsid w:val="007E3625"/>
    <w:rsid w:val="007F1449"/>
    <w:rsid w:val="007F1E98"/>
    <w:rsid w:val="007F5EF1"/>
    <w:rsid w:val="007F68CB"/>
    <w:rsid w:val="0080092E"/>
    <w:rsid w:val="00803972"/>
    <w:rsid w:val="00807797"/>
    <w:rsid w:val="00807874"/>
    <w:rsid w:val="00811AAE"/>
    <w:rsid w:val="00813605"/>
    <w:rsid w:val="008138E5"/>
    <w:rsid w:val="00816367"/>
    <w:rsid w:val="008164DA"/>
    <w:rsid w:val="00816663"/>
    <w:rsid w:val="008170B9"/>
    <w:rsid w:val="008177B1"/>
    <w:rsid w:val="008201B3"/>
    <w:rsid w:val="00820687"/>
    <w:rsid w:val="00821169"/>
    <w:rsid w:val="00824515"/>
    <w:rsid w:val="00830AC3"/>
    <w:rsid w:val="00831363"/>
    <w:rsid w:val="00832939"/>
    <w:rsid w:val="00833BEF"/>
    <w:rsid w:val="00834092"/>
    <w:rsid w:val="00834C8A"/>
    <w:rsid w:val="00837387"/>
    <w:rsid w:val="00837D98"/>
    <w:rsid w:val="008421B3"/>
    <w:rsid w:val="008423EA"/>
    <w:rsid w:val="0084257B"/>
    <w:rsid w:val="00842D9E"/>
    <w:rsid w:val="008430E9"/>
    <w:rsid w:val="00843466"/>
    <w:rsid w:val="008464AB"/>
    <w:rsid w:val="00847D4F"/>
    <w:rsid w:val="0085013C"/>
    <w:rsid w:val="00850F10"/>
    <w:rsid w:val="00851B2F"/>
    <w:rsid w:val="00852377"/>
    <w:rsid w:val="008525B1"/>
    <w:rsid w:val="008529E2"/>
    <w:rsid w:val="008537EA"/>
    <w:rsid w:val="0085447D"/>
    <w:rsid w:val="00854C43"/>
    <w:rsid w:val="00854D7E"/>
    <w:rsid w:val="00854DFA"/>
    <w:rsid w:val="0085522C"/>
    <w:rsid w:val="008569FB"/>
    <w:rsid w:val="00856BBC"/>
    <w:rsid w:val="00856C3E"/>
    <w:rsid w:val="00861702"/>
    <w:rsid w:val="00863BEF"/>
    <w:rsid w:val="008654D3"/>
    <w:rsid w:val="00873A37"/>
    <w:rsid w:val="008740E7"/>
    <w:rsid w:val="0087438E"/>
    <w:rsid w:val="0087665F"/>
    <w:rsid w:val="0088037C"/>
    <w:rsid w:val="00882647"/>
    <w:rsid w:val="008840A1"/>
    <w:rsid w:val="00886A68"/>
    <w:rsid w:val="008903EB"/>
    <w:rsid w:val="0089060D"/>
    <w:rsid w:val="00890CD7"/>
    <w:rsid w:val="00891892"/>
    <w:rsid w:val="008938CF"/>
    <w:rsid w:val="00893C67"/>
    <w:rsid w:val="0089509C"/>
    <w:rsid w:val="00895302"/>
    <w:rsid w:val="00896B56"/>
    <w:rsid w:val="008A3229"/>
    <w:rsid w:val="008A339E"/>
    <w:rsid w:val="008A357C"/>
    <w:rsid w:val="008A3661"/>
    <w:rsid w:val="008A36A9"/>
    <w:rsid w:val="008A58F1"/>
    <w:rsid w:val="008B371A"/>
    <w:rsid w:val="008B4FE7"/>
    <w:rsid w:val="008B60D9"/>
    <w:rsid w:val="008C03D1"/>
    <w:rsid w:val="008C1ACF"/>
    <w:rsid w:val="008C3D45"/>
    <w:rsid w:val="008C44B8"/>
    <w:rsid w:val="008C4809"/>
    <w:rsid w:val="008C49ED"/>
    <w:rsid w:val="008C59DF"/>
    <w:rsid w:val="008C639C"/>
    <w:rsid w:val="008C7648"/>
    <w:rsid w:val="008C78BD"/>
    <w:rsid w:val="008D004A"/>
    <w:rsid w:val="008D020F"/>
    <w:rsid w:val="008D154B"/>
    <w:rsid w:val="008D4E6B"/>
    <w:rsid w:val="008E29D4"/>
    <w:rsid w:val="008E520E"/>
    <w:rsid w:val="008E5FD9"/>
    <w:rsid w:val="008E6715"/>
    <w:rsid w:val="008F0649"/>
    <w:rsid w:val="008F1B05"/>
    <w:rsid w:val="008F3A34"/>
    <w:rsid w:val="008F4C45"/>
    <w:rsid w:val="008F64CF"/>
    <w:rsid w:val="00900193"/>
    <w:rsid w:val="00902A72"/>
    <w:rsid w:val="0091275E"/>
    <w:rsid w:val="009158C7"/>
    <w:rsid w:val="00915AAD"/>
    <w:rsid w:val="0091652E"/>
    <w:rsid w:val="009165B1"/>
    <w:rsid w:val="00921EBA"/>
    <w:rsid w:val="009234BB"/>
    <w:rsid w:val="009248DA"/>
    <w:rsid w:val="00924AC6"/>
    <w:rsid w:val="00925651"/>
    <w:rsid w:val="00925E43"/>
    <w:rsid w:val="00926D28"/>
    <w:rsid w:val="00930A0A"/>
    <w:rsid w:val="00930D24"/>
    <w:rsid w:val="00933E77"/>
    <w:rsid w:val="009368ED"/>
    <w:rsid w:val="009369E2"/>
    <w:rsid w:val="00937E27"/>
    <w:rsid w:val="0094273D"/>
    <w:rsid w:val="009430F5"/>
    <w:rsid w:val="00943723"/>
    <w:rsid w:val="009440C1"/>
    <w:rsid w:val="0094413F"/>
    <w:rsid w:val="0094416A"/>
    <w:rsid w:val="00945302"/>
    <w:rsid w:val="00952BCD"/>
    <w:rsid w:val="00952BDA"/>
    <w:rsid w:val="00953AA6"/>
    <w:rsid w:val="00954411"/>
    <w:rsid w:val="00955F81"/>
    <w:rsid w:val="00956AA6"/>
    <w:rsid w:val="0095710B"/>
    <w:rsid w:val="00957B8D"/>
    <w:rsid w:val="009620DD"/>
    <w:rsid w:val="0096344E"/>
    <w:rsid w:val="009649E6"/>
    <w:rsid w:val="0096690D"/>
    <w:rsid w:val="00967D66"/>
    <w:rsid w:val="009766AC"/>
    <w:rsid w:val="00976DE6"/>
    <w:rsid w:val="0097761A"/>
    <w:rsid w:val="00977B8A"/>
    <w:rsid w:val="00981BBF"/>
    <w:rsid w:val="00984423"/>
    <w:rsid w:val="00984554"/>
    <w:rsid w:val="00986B7F"/>
    <w:rsid w:val="00986D97"/>
    <w:rsid w:val="00987B82"/>
    <w:rsid w:val="00991CA2"/>
    <w:rsid w:val="00992959"/>
    <w:rsid w:val="00993AEC"/>
    <w:rsid w:val="00996BB1"/>
    <w:rsid w:val="009974FD"/>
    <w:rsid w:val="00997952"/>
    <w:rsid w:val="009A013E"/>
    <w:rsid w:val="009A095D"/>
    <w:rsid w:val="009A1DBB"/>
    <w:rsid w:val="009A239F"/>
    <w:rsid w:val="009A38C4"/>
    <w:rsid w:val="009A4114"/>
    <w:rsid w:val="009A47E6"/>
    <w:rsid w:val="009A6335"/>
    <w:rsid w:val="009A68D0"/>
    <w:rsid w:val="009A69BB"/>
    <w:rsid w:val="009B08CA"/>
    <w:rsid w:val="009B14AC"/>
    <w:rsid w:val="009B32A4"/>
    <w:rsid w:val="009B408D"/>
    <w:rsid w:val="009B7311"/>
    <w:rsid w:val="009B7EF9"/>
    <w:rsid w:val="009C2842"/>
    <w:rsid w:val="009C5032"/>
    <w:rsid w:val="009C69CB"/>
    <w:rsid w:val="009C7462"/>
    <w:rsid w:val="009D34C0"/>
    <w:rsid w:val="009D3DED"/>
    <w:rsid w:val="009D4F0D"/>
    <w:rsid w:val="009D73A9"/>
    <w:rsid w:val="009D7615"/>
    <w:rsid w:val="009E0AD0"/>
    <w:rsid w:val="009E11B3"/>
    <w:rsid w:val="009E1E3B"/>
    <w:rsid w:val="009E3C5E"/>
    <w:rsid w:val="009E4D3B"/>
    <w:rsid w:val="009E4DD2"/>
    <w:rsid w:val="009E59BC"/>
    <w:rsid w:val="009E59D6"/>
    <w:rsid w:val="009E6E51"/>
    <w:rsid w:val="009E706E"/>
    <w:rsid w:val="009E79DB"/>
    <w:rsid w:val="009F0E76"/>
    <w:rsid w:val="009F2FD1"/>
    <w:rsid w:val="009F471E"/>
    <w:rsid w:val="009F5253"/>
    <w:rsid w:val="009F54C0"/>
    <w:rsid w:val="009F5816"/>
    <w:rsid w:val="00A01DB8"/>
    <w:rsid w:val="00A0205D"/>
    <w:rsid w:val="00A029ED"/>
    <w:rsid w:val="00A0658C"/>
    <w:rsid w:val="00A06F5B"/>
    <w:rsid w:val="00A071FB"/>
    <w:rsid w:val="00A11690"/>
    <w:rsid w:val="00A11898"/>
    <w:rsid w:val="00A11BB8"/>
    <w:rsid w:val="00A13880"/>
    <w:rsid w:val="00A15951"/>
    <w:rsid w:val="00A23F7A"/>
    <w:rsid w:val="00A245C4"/>
    <w:rsid w:val="00A24CA9"/>
    <w:rsid w:val="00A266F1"/>
    <w:rsid w:val="00A27E9E"/>
    <w:rsid w:val="00A32DB0"/>
    <w:rsid w:val="00A331A0"/>
    <w:rsid w:val="00A33724"/>
    <w:rsid w:val="00A35A6F"/>
    <w:rsid w:val="00A36B22"/>
    <w:rsid w:val="00A36C68"/>
    <w:rsid w:val="00A3741A"/>
    <w:rsid w:val="00A37AFC"/>
    <w:rsid w:val="00A4184E"/>
    <w:rsid w:val="00A429E0"/>
    <w:rsid w:val="00A44DA0"/>
    <w:rsid w:val="00A46BEC"/>
    <w:rsid w:val="00A47855"/>
    <w:rsid w:val="00A47873"/>
    <w:rsid w:val="00A524BD"/>
    <w:rsid w:val="00A53438"/>
    <w:rsid w:val="00A56B86"/>
    <w:rsid w:val="00A572D2"/>
    <w:rsid w:val="00A57421"/>
    <w:rsid w:val="00A603D5"/>
    <w:rsid w:val="00A6138F"/>
    <w:rsid w:val="00A61A7A"/>
    <w:rsid w:val="00A64CED"/>
    <w:rsid w:val="00A654A2"/>
    <w:rsid w:val="00A7007F"/>
    <w:rsid w:val="00A70278"/>
    <w:rsid w:val="00A70A9E"/>
    <w:rsid w:val="00A70F07"/>
    <w:rsid w:val="00A70F3B"/>
    <w:rsid w:val="00A72490"/>
    <w:rsid w:val="00A735E6"/>
    <w:rsid w:val="00A73DA9"/>
    <w:rsid w:val="00A75D76"/>
    <w:rsid w:val="00A778E2"/>
    <w:rsid w:val="00A8012B"/>
    <w:rsid w:val="00A8194D"/>
    <w:rsid w:val="00A845C7"/>
    <w:rsid w:val="00A854C1"/>
    <w:rsid w:val="00A870CA"/>
    <w:rsid w:val="00A87217"/>
    <w:rsid w:val="00A902C0"/>
    <w:rsid w:val="00A92D9B"/>
    <w:rsid w:val="00A94E6A"/>
    <w:rsid w:val="00A976EB"/>
    <w:rsid w:val="00A97A29"/>
    <w:rsid w:val="00A97A68"/>
    <w:rsid w:val="00AA0311"/>
    <w:rsid w:val="00AA0C0C"/>
    <w:rsid w:val="00AA0E96"/>
    <w:rsid w:val="00AA5C50"/>
    <w:rsid w:val="00AA6E69"/>
    <w:rsid w:val="00AA79D8"/>
    <w:rsid w:val="00AB0BF2"/>
    <w:rsid w:val="00AB4BE6"/>
    <w:rsid w:val="00AB531F"/>
    <w:rsid w:val="00AB6656"/>
    <w:rsid w:val="00AB6A7D"/>
    <w:rsid w:val="00AC2197"/>
    <w:rsid w:val="00AC22BF"/>
    <w:rsid w:val="00AC2600"/>
    <w:rsid w:val="00AC2C6A"/>
    <w:rsid w:val="00AC4AFF"/>
    <w:rsid w:val="00AC65A1"/>
    <w:rsid w:val="00AC692D"/>
    <w:rsid w:val="00AC736F"/>
    <w:rsid w:val="00AC7AF4"/>
    <w:rsid w:val="00AD46E9"/>
    <w:rsid w:val="00AE0153"/>
    <w:rsid w:val="00AE1349"/>
    <w:rsid w:val="00AE3239"/>
    <w:rsid w:val="00AE4560"/>
    <w:rsid w:val="00AE5041"/>
    <w:rsid w:val="00AE7C2C"/>
    <w:rsid w:val="00AE7C32"/>
    <w:rsid w:val="00AF27A9"/>
    <w:rsid w:val="00AF2CF1"/>
    <w:rsid w:val="00AF2D32"/>
    <w:rsid w:val="00AF360B"/>
    <w:rsid w:val="00AF48FB"/>
    <w:rsid w:val="00AF641C"/>
    <w:rsid w:val="00AF66E6"/>
    <w:rsid w:val="00AF7D2E"/>
    <w:rsid w:val="00B00624"/>
    <w:rsid w:val="00B01550"/>
    <w:rsid w:val="00B015E3"/>
    <w:rsid w:val="00B07B51"/>
    <w:rsid w:val="00B13479"/>
    <w:rsid w:val="00B22A79"/>
    <w:rsid w:val="00B22D45"/>
    <w:rsid w:val="00B260AF"/>
    <w:rsid w:val="00B27E89"/>
    <w:rsid w:val="00B31398"/>
    <w:rsid w:val="00B32385"/>
    <w:rsid w:val="00B3286E"/>
    <w:rsid w:val="00B34630"/>
    <w:rsid w:val="00B36DED"/>
    <w:rsid w:val="00B37D85"/>
    <w:rsid w:val="00B41A2D"/>
    <w:rsid w:val="00B41FA8"/>
    <w:rsid w:val="00B43E3E"/>
    <w:rsid w:val="00B44ABC"/>
    <w:rsid w:val="00B45404"/>
    <w:rsid w:val="00B46566"/>
    <w:rsid w:val="00B465D6"/>
    <w:rsid w:val="00B4770F"/>
    <w:rsid w:val="00B47B60"/>
    <w:rsid w:val="00B505E2"/>
    <w:rsid w:val="00B51BDC"/>
    <w:rsid w:val="00B539DE"/>
    <w:rsid w:val="00B53D41"/>
    <w:rsid w:val="00B55968"/>
    <w:rsid w:val="00B566D9"/>
    <w:rsid w:val="00B60E0C"/>
    <w:rsid w:val="00B61516"/>
    <w:rsid w:val="00B6161E"/>
    <w:rsid w:val="00B62657"/>
    <w:rsid w:val="00B65BA0"/>
    <w:rsid w:val="00B65E2D"/>
    <w:rsid w:val="00B6659E"/>
    <w:rsid w:val="00B70965"/>
    <w:rsid w:val="00B743DD"/>
    <w:rsid w:val="00B75517"/>
    <w:rsid w:val="00B80202"/>
    <w:rsid w:val="00B80DF1"/>
    <w:rsid w:val="00B82CE2"/>
    <w:rsid w:val="00B82D7E"/>
    <w:rsid w:val="00B83BAD"/>
    <w:rsid w:val="00B84903"/>
    <w:rsid w:val="00B854CC"/>
    <w:rsid w:val="00B90028"/>
    <w:rsid w:val="00B91C23"/>
    <w:rsid w:val="00B94457"/>
    <w:rsid w:val="00B9700A"/>
    <w:rsid w:val="00B97CF9"/>
    <w:rsid w:val="00B97E0D"/>
    <w:rsid w:val="00BA0664"/>
    <w:rsid w:val="00BA282A"/>
    <w:rsid w:val="00BA2D04"/>
    <w:rsid w:val="00BA2F5B"/>
    <w:rsid w:val="00BA4082"/>
    <w:rsid w:val="00BA4B09"/>
    <w:rsid w:val="00BA591D"/>
    <w:rsid w:val="00BA5BD6"/>
    <w:rsid w:val="00BA64D4"/>
    <w:rsid w:val="00BA6E7D"/>
    <w:rsid w:val="00BB0122"/>
    <w:rsid w:val="00BB053E"/>
    <w:rsid w:val="00BB07FC"/>
    <w:rsid w:val="00BB099F"/>
    <w:rsid w:val="00BB25E1"/>
    <w:rsid w:val="00BB307D"/>
    <w:rsid w:val="00BB5895"/>
    <w:rsid w:val="00BB74A5"/>
    <w:rsid w:val="00BB75AF"/>
    <w:rsid w:val="00BC0C7A"/>
    <w:rsid w:val="00BC195E"/>
    <w:rsid w:val="00BC261C"/>
    <w:rsid w:val="00BC34B3"/>
    <w:rsid w:val="00BC40EC"/>
    <w:rsid w:val="00BC496E"/>
    <w:rsid w:val="00BC4FA2"/>
    <w:rsid w:val="00BC5DD5"/>
    <w:rsid w:val="00BC7E85"/>
    <w:rsid w:val="00BD31D0"/>
    <w:rsid w:val="00BD3764"/>
    <w:rsid w:val="00BD5387"/>
    <w:rsid w:val="00BD7ECC"/>
    <w:rsid w:val="00BE2385"/>
    <w:rsid w:val="00BE32DE"/>
    <w:rsid w:val="00BE4424"/>
    <w:rsid w:val="00BE4680"/>
    <w:rsid w:val="00BE5341"/>
    <w:rsid w:val="00BE5D13"/>
    <w:rsid w:val="00BE703C"/>
    <w:rsid w:val="00BE7A39"/>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268B"/>
    <w:rsid w:val="00C03906"/>
    <w:rsid w:val="00C048EF"/>
    <w:rsid w:val="00C063A1"/>
    <w:rsid w:val="00C06DB3"/>
    <w:rsid w:val="00C07899"/>
    <w:rsid w:val="00C113F3"/>
    <w:rsid w:val="00C15011"/>
    <w:rsid w:val="00C15065"/>
    <w:rsid w:val="00C15285"/>
    <w:rsid w:val="00C213D1"/>
    <w:rsid w:val="00C2295C"/>
    <w:rsid w:val="00C23293"/>
    <w:rsid w:val="00C2477F"/>
    <w:rsid w:val="00C30A17"/>
    <w:rsid w:val="00C31518"/>
    <w:rsid w:val="00C31F9D"/>
    <w:rsid w:val="00C33442"/>
    <w:rsid w:val="00C35A93"/>
    <w:rsid w:val="00C40C63"/>
    <w:rsid w:val="00C41427"/>
    <w:rsid w:val="00C41571"/>
    <w:rsid w:val="00C43493"/>
    <w:rsid w:val="00C43D2D"/>
    <w:rsid w:val="00C44DCF"/>
    <w:rsid w:val="00C468BD"/>
    <w:rsid w:val="00C50DBF"/>
    <w:rsid w:val="00C53227"/>
    <w:rsid w:val="00C540CC"/>
    <w:rsid w:val="00C542C9"/>
    <w:rsid w:val="00C555FE"/>
    <w:rsid w:val="00C55759"/>
    <w:rsid w:val="00C55E01"/>
    <w:rsid w:val="00C56D16"/>
    <w:rsid w:val="00C615E4"/>
    <w:rsid w:val="00C62970"/>
    <w:rsid w:val="00C66419"/>
    <w:rsid w:val="00C727C3"/>
    <w:rsid w:val="00C739F7"/>
    <w:rsid w:val="00C748C2"/>
    <w:rsid w:val="00C74BA9"/>
    <w:rsid w:val="00C7580C"/>
    <w:rsid w:val="00C77CF4"/>
    <w:rsid w:val="00C81DDE"/>
    <w:rsid w:val="00C83FA4"/>
    <w:rsid w:val="00C859EF"/>
    <w:rsid w:val="00C86B11"/>
    <w:rsid w:val="00C86C43"/>
    <w:rsid w:val="00C86EA7"/>
    <w:rsid w:val="00C86FB2"/>
    <w:rsid w:val="00C912FB"/>
    <w:rsid w:val="00C92BAA"/>
    <w:rsid w:val="00C93EEC"/>
    <w:rsid w:val="00C9417E"/>
    <w:rsid w:val="00C94510"/>
    <w:rsid w:val="00C94D20"/>
    <w:rsid w:val="00C97186"/>
    <w:rsid w:val="00CA040E"/>
    <w:rsid w:val="00CA2FDE"/>
    <w:rsid w:val="00CA33EC"/>
    <w:rsid w:val="00CA41A0"/>
    <w:rsid w:val="00CA429C"/>
    <w:rsid w:val="00CA62FA"/>
    <w:rsid w:val="00CA6A71"/>
    <w:rsid w:val="00CA6D27"/>
    <w:rsid w:val="00CA7846"/>
    <w:rsid w:val="00CB0403"/>
    <w:rsid w:val="00CB0B62"/>
    <w:rsid w:val="00CB1DDF"/>
    <w:rsid w:val="00CB2EA4"/>
    <w:rsid w:val="00CB4711"/>
    <w:rsid w:val="00CB659D"/>
    <w:rsid w:val="00CB66E1"/>
    <w:rsid w:val="00CB7A06"/>
    <w:rsid w:val="00CB7AFB"/>
    <w:rsid w:val="00CC08C3"/>
    <w:rsid w:val="00CC0F7B"/>
    <w:rsid w:val="00CC1226"/>
    <w:rsid w:val="00CC160E"/>
    <w:rsid w:val="00CC2BC6"/>
    <w:rsid w:val="00CC3062"/>
    <w:rsid w:val="00CC42CC"/>
    <w:rsid w:val="00CD0F2D"/>
    <w:rsid w:val="00CD1568"/>
    <w:rsid w:val="00CD24B9"/>
    <w:rsid w:val="00CD45CC"/>
    <w:rsid w:val="00CD53FC"/>
    <w:rsid w:val="00CD54FB"/>
    <w:rsid w:val="00CD6895"/>
    <w:rsid w:val="00CD69A4"/>
    <w:rsid w:val="00CD7BE9"/>
    <w:rsid w:val="00CD7C3C"/>
    <w:rsid w:val="00CE0083"/>
    <w:rsid w:val="00CE0435"/>
    <w:rsid w:val="00CE272B"/>
    <w:rsid w:val="00CE3301"/>
    <w:rsid w:val="00CE52B3"/>
    <w:rsid w:val="00CE56DF"/>
    <w:rsid w:val="00CE5B07"/>
    <w:rsid w:val="00CE5C4D"/>
    <w:rsid w:val="00CE5CA8"/>
    <w:rsid w:val="00CE62AE"/>
    <w:rsid w:val="00CF0525"/>
    <w:rsid w:val="00CF2E35"/>
    <w:rsid w:val="00CF767D"/>
    <w:rsid w:val="00D01708"/>
    <w:rsid w:val="00D01B7A"/>
    <w:rsid w:val="00D01D38"/>
    <w:rsid w:val="00D03B5C"/>
    <w:rsid w:val="00D05FF5"/>
    <w:rsid w:val="00D06CB1"/>
    <w:rsid w:val="00D07ADA"/>
    <w:rsid w:val="00D10025"/>
    <w:rsid w:val="00D11308"/>
    <w:rsid w:val="00D142DF"/>
    <w:rsid w:val="00D159C4"/>
    <w:rsid w:val="00D15E55"/>
    <w:rsid w:val="00D1780F"/>
    <w:rsid w:val="00D178A8"/>
    <w:rsid w:val="00D213BB"/>
    <w:rsid w:val="00D21CEF"/>
    <w:rsid w:val="00D227C1"/>
    <w:rsid w:val="00D2582C"/>
    <w:rsid w:val="00D25ADF"/>
    <w:rsid w:val="00D25D7B"/>
    <w:rsid w:val="00D27A7B"/>
    <w:rsid w:val="00D27C1F"/>
    <w:rsid w:val="00D343C2"/>
    <w:rsid w:val="00D34A62"/>
    <w:rsid w:val="00D34BF2"/>
    <w:rsid w:val="00D34FD8"/>
    <w:rsid w:val="00D36967"/>
    <w:rsid w:val="00D40395"/>
    <w:rsid w:val="00D40489"/>
    <w:rsid w:val="00D40CED"/>
    <w:rsid w:val="00D40D21"/>
    <w:rsid w:val="00D44877"/>
    <w:rsid w:val="00D44AA1"/>
    <w:rsid w:val="00D46DFA"/>
    <w:rsid w:val="00D46FD6"/>
    <w:rsid w:val="00D47103"/>
    <w:rsid w:val="00D4713C"/>
    <w:rsid w:val="00D522AD"/>
    <w:rsid w:val="00D52FA8"/>
    <w:rsid w:val="00D53B11"/>
    <w:rsid w:val="00D54540"/>
    <w:rsid w:val="00D54F33"/>
    <w:rsid w:val="00D5555D"/>
    <w:rsid w:val="00D5583E"/>
    <w:rsid w:val="00D559C5"/>
    <w:rsid w:val="00D56991"/>
    <w:rsid w:val="00D5737C"/>
    <w:rsid w:val="00D57852"/>
    <w:rsid w:val="00D57A03"/>
    <w:rsid w:val="00D57A20"/>
    <w:rsid w:val="00D6175C"/>
    <w:rsid w:val="00D629F2"/>
    <w:rsid w:val="00D62A4D"/>
    <w:rsid w:val="00D62E13"/>
    <w:rsid w:val="00D64536"/>
    <w:rsid w:val="00D649BC"/>
    <w:rsid w:val="00D662A0"/>
    <w:rsid w:val="00D669AA"/>
    <w:rsid w:val="00D66B84"/>
    <w:rsid w:val="00D72C0C"/>
    <w:rsid w:val="00D730CF"/>
    <w:rsid w:val="00D739A9"/>
    <w:rsid w:val="00D73AEC"/>
    <w:rsid w:val="00D7474C"/>
    <w:rsid w:val="00D75FED"/>
    <w:rsid w:val="00D7698E"/>
    <w:rsid w:val="00D80042"/>
    <w:rsid w:val="00D81E40"/>
    <w:rsid w:val="00D829AD"/>
    <w:rsid w:val="00D82A32"/>
    <w:rsid w:val="00D86C38"/>
    <w:rsid w:val="00D872DE"/>
    <w:rsid w:val="00D92359"/>
    <w:rsid w:val="00D9235C"/>
    <w:rsid w:val="00D92DBB"/>
    <w:rsid w:val="00D931AC"/>
    <w:rsid w:val="00D93B22"/>
    <w:rsid w:val="00D9428D"/>
    <w:rsid w:val="00D95D4A"/>
    <w:rsid w:val="00D96E48"/>
    <w:rsid w:val="00D972B1"/>
    <w:rsid w:val="00D97734"/>
    <w:rsid w:val="00D97F80"/>
    <w:rsid w:val="00DA01A3"/>
    <w:rsid w:val="00DA05CA"/>
    <w:rsid w:val="00DA0AC5"/>
    <w:rsid w:val="00DA18D2"/>
    <w:rsid w:val="00DA5729"/>
    <w:rsid w:val="00DA67EF"/>
    <w:rsid w:val="00DA701D"/>
    <w:rsid w:val="00DA7AFB"/>
    <w:rsid w:val="00DB27BE"/>
    <w:rsid w:val="00DB2E6B"/>
    <w:rsid w:val="00DB3494"/>
    <w:rsid w:val="00DB4B7D"/>
    <w:rsid w:val="00DC0193"/>
    <w:rsid w:val="00DC0AE9"/>
    <w:rsid w:val="00DC257B"/>
    <w:rsid w:val="00DC2AA9"/>
    <w:rsid w:val="00DC4C41"/>
    <w:rsid w:val="00DC5A64"/>
    <w:rsid w:val="00DC645C"/>
    <w:rsid w:val="00DD0318"/>
    <w:rsid w:val="00DD0B87"/>
    <w:rsid w:val="00DD2224"/>
    <w:rsid w:val="00DD3074"/>
    <w:rsid w:val="00DD30AA"/>
    <w:rsid w:val="00DD36E6"/>
    <w:rsid w:val="00DD37AC"/>
    <w:rsid w:val="00DD4609"/>
    <w:rsid w:val="00DD7B6D"/>
    <w:rsid w:val="00DE18C3"/>
    <w:rsid w:val="00DE27E9"/>
    <w:rsid w:val="00DE7BB3"/>
    <w:rsid w:val="00DF1CDB"/>
    <w:rsid w:val="00DF1E8F"/>
    <w:rsid w:val="00DF3470"/>
    <w:rsid w:val="00DF3FBD"/>
    <w:rsid w:val="00DF5F47"/>
    <w:rsid w:val="00DF67D0"/>
    <w:rsid w:val="00E0134D"/>
    <w:rsid w:val="00E013D5"/>
    <w:rsid w:val="00E016B7"/>
    <w:rsid w:val="00E0570F"/>
    <w:rsid w:val="00E07D47"/>
    <w:rsid w:val="00E109A5"/>
    <w:rsid w:val="00E1246F"/>
    <w:rsid w:val="00E12483"/>
    <w:rsid w:val="00E13118"/>
    <w:rsid w:val="00E13EBD"/>
    <w:rsid w:val="00E17C9F"/>
    <w:rsid w:val="00E202F4"/>
    <w:rsid w:val="00E205BA"/>
    <w:rsid w:val="00E210FE"/>
    <w:rsid w:val="00E253EA"/>
    <w:rsid w:val="00E301A5"/>
    <w:rsid w:val="00E303F5"/>
    <w:rsid w:val="00E3614C"/>
    <w:rsid w:val="00E371C8"/>
    <w:rsid w:val="00E40A6C"/>
    <w:rsid w:val="00E40BF5"/>
    <w:rsid w:val="00E4123A"/>
    <w:rsid w:val="00E432F5"/>
    <w:rsid w:val="00E44E50"/>
    <w:rsid w:val="00E45366"/>
    <w:rsid w:val="00E511A0"/>
    <w:rsid w:val="00E51C4C"/>
    <w:rsid w:val="00E53DD6"/>
    <w:rsid w:val="00E548F0"/>
    <w:rsid w:val="00E54DD0"/>
    <w:rsid w:val="00E55DF2"/>
    <w:rsid w:val="00E56819"/>
    <w:rsid w:val="00E570E8"/>
    <w:rsid w:val="00E5753C"/>
    <w:rsid w:val="00E6063A"/>
    <w:rsid w:val="00E64693"/>
    <w:rsid w:val="00E65978"/>
    <w:rsid w:val="00E65B69"/>
    <w:rsid w:val="00E749F0"/>
    <w:rsid w:val="00E75715"/>
    <w:rsid w:val="00E76BE8"/>
    <w:rsid w:val="00E807BC"/>
    <w:rsid w:val="00E82596"/>
    <w:rsid w:val="00E833E7"/>
    <w:rsid w:val="00E87C5A"/>
    <w:rsid w:val="00E918FA"/>
    <w:rsid w:val="00E939A9"/>
    <w:rsid w:val="00E96557"/>
    <w:rsid w:val="00E97A40"/>
    <w:rsid w:val="00EA014C"/>
    <w:rsid w:val="00EA0226"/>
    <w:rsid w:val="00EA068E"/>
    <w:rsid w:val="00EA287A"/>
    <w:rsid w:val="00EA2C69"/>
    <w:rsid w:val="00EA2C7B"/>
    <w:rsid w:val="00EA330F"/>
    <w:rsid w:val="00EA3913"/>
    <w:rsid w:val="00EA492C"/>
    <w:rsid w:val="00EA546F"/>
    <w:rsid w:val="00EA7FE1"/>
    <w:rsid w:val="00EB2A2E"/>
    <w:rsid w:val="00EB2A90"/>
    <w:rsid w:val="00EB2CEA"/>
    <w:rsid w:val="00EB39C6"/>
    <w:rsid w:val="00EB4577"/>
    <w:rsid w:val="00EB4672"/>
    <w:rsid w:val="00EB47BE"/>
    <w:rsid w:val="00EB65F6"/>
    <w:rsid w:val="00EB7C38"/>
    <w:rsid w:val="00EC0AB8"/>
    <w:rsid w:val="00EC192C"/>
    <w:rsid w:val="00EC1D0C"/>
    <w:rsid w:val="00EC4084"/>
    <w:rsid w:val="00EC6C95"/>
    <w:rsid w:val="00EC7CA4"/>
    <w:rsid w:val="00ED2ECA"/>
    <w:rsid w:val="00ED2F8A"/>
    <w:rsid w:val="00ED3065"/>
    <w:rsid w:val="00ED34D4"/>
    <w:rsid w:val="00ED45F2"/>
    <w:rsid w:val="00ED56F2"/>
    <w:rsid w:val="00ED648D"/>
    <w:rsid w:val="00ED6BCA"/>
    <w:rsid w:val="00EE0020"/>
    <w:rsid w:val="00EE0128"/>
    <w:rsid w:val="00EE0CF4"/>
    <w:rsid w:val="00EE1B7B"/>
    <w:rsid w:val="00EE1C9E"/>
    <w:rsid w:val="00EE2B6A"/>
    <w:rsid w:val="00EE674E"/>
    <w:rsid w:val="00EE75AF"/>
    <w:rsid w:val="00EE7A56"/>
    <w:rsid w:val="00EF2B9D"/>
    <w:rsid w:val="00EF2E52"/>
    <w:rsid w:val="00EF3B15"/>
    <w:rsid w:val="00EF45E5"/>
    <w:rsid w:val="00EF4832"/>
    <w:rsid w:val="00EF4BC6"/>
    <w:rsid w:val="00EF6574"/>
    <w:rsid w:val="00EF69A0"/>
    <w:rsid w:val="00EF78D5"/>
    <w:rsid w:val="00EF7CD8"/>
    <w:rsid w:val="00EF7FF3"/>
    <w:rsid w:val="00F02843"/>
    <w:rsid w:val="00F03A3A"/>
    <w:rsid w:val="00F044D3"/>
    <w:rsid w:val="00F05816"/>
    <w:rsid w:val="00F066BF"/>
    <w:rsid w:val="00F10C04"/>
    <w:rsid w:val="00F10FEA"/>
    <w:rsid w:val="00F11255"/>
    <w:rsid w:val="00F11498"/>
    <w:rsid w:val="00F11C72"/>
    <w:rsid w:val="00F156B4"/>
    <w:rsid w:val="00F15772"/>
    <w:rsid w:val="00F2131E"/>
    <w:rsid w:val="00F22381"/>
    <w:rsid w:val="00F24F51"/>
    <w:rsid w:val="00F276D3"/>
    <w:rsid w:val="00F328CD"/>
    <w:rsid w:val="00F33841"/>
    <w:rsid w:val="00F348C4"/>
    <w:rsid w:val="00F36FF2"/>
    <w:rsid w:val="00F41228"/>
    <w:rsid w:val="00F413EE"/>
    <w:rsid w:val="00F42493"/>
    <w:rsid w:val="00F44E85"/>
    <w:rsid w:val="00F4543B"/>
    <w:rsid w:val="00F46053"/>
    <w:rsid w:val="00F46CDD"/>
    <w:rsid w:val="00F470B1"/>
    <w:rsid w:val="00F470C9"/>
    <w:rsid w:val="00F506B7"/>
    <w:rsid w:val="00F548B7"/>
    <w:rsid w:val="00F55F74"/>
    <w:rsid w:val="00F56118"/>
    <w:rsid w:val="00F5748F"/>
    <w:rsid w:val="00F60658"/>
    <w:rsid w:val="00F630B2"/>
    <w:rsid w:val="00F6425E"/>
    <w:rsid w:val="00F651C3"/>
    <w:rsid w:val="00F66195"/>
    <w:rsid w:val="00F70596"/>
    <w:rsid w:val="00F7068F"/>
    <w:rsid w:val="00F72787"/>
    <w:rsid w:val="00F752FE"/>
    <w:rsid w:val="00F800F8"/>
    <w:rsid w:val="00F809D9"/>
    <w:rsid w:val="00F82570"/>
    <w:rsid w:val="00F84DCA"/>
    <w:rsid w:val="00F862CB"/>
    <w:rsid w:val="00F8662D"/>
    <w:rsid w:val="00F86D96"/>
    <w:rsid w:val="00F90C53"/>
    <w:rsid w:val="00F90E49"/>
    <w:rsid w:val="00F90F96"/>
    <w:rsid w:val="00F92BED"/>
    <w:rsid w:val="00F936B0"/>
    <w:rsid w:val="00F93BC0"/>
    <w:rsid w:val="00F967D5"/>
    <w:rsid w:val="00F97780"/>
    <w:rsid w:val="00FA145B"/>
    <w:rsid w:val="00FA57A7"/>
    <w:rsid w:val="00FB12F1"/>
    <w:rsid w:val="00FB1F12"/>
    <w:rsid w:val="00FB3A5B"/>
    <w:rsid w:val="00FB475F"/>
    <w:rsid w:val="00FB54FA"/>
    <w:rsid w:val="00FB65E5"/>
    <w:rsid w:val="00FB7A2A"/>
    <w:rsid w:val="00FC0646"/>
    <w:rsid w:val="00FC2A5D"/>
    <w:rsid w:val="00FC30C6"/>
    <w:rsid w:val="00FC39F7"/>
    <w:rsid w:val="00FC3A2C"/>
    <w:rsid w:val="00FC63C7"/>
    <w:rsid w:val="00FC7146"/>
    <w:rsid w:val="00FC76A2"/>
    <w:rsid w:val="00FD11ED"/>
    <w:rsid w:val="00FD1414"/>
    <w:rsid w:val="00FD1E2F"/>
    <w:rsid w:val="00FD40B4"/>
    <w:rsid w:val="00FD5F9B"/>
    <w:rsid w:val="00FD7413"/>
    <w:rsid w:val="00FE176F"/>
    <w:rsid w:val="00FE1B44"/>
    <w:rsid w:val="00FE4758"/>
    <w:rsid w:val="00FE5296"/>
    <w:rsid w:val="00FE73AD"/>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2097"/>
    <w:pPr>
      <w:jc w:val="both"/>
    </w:pPr>
  </w:style>
  <w:style w:type="paragraph" w:styleId="Heading1">
    <w:name w:val="heading 1"/>
    <w:basedOn w:val="Normal"/>
    <w:next w:val="Normal"/>
    <w:link w:val="Heading1Char"/>
    <w:qFormat/>
    <w:rsid w:val="00790A2A"/>
    <w:pPr>
      <w:keepNext/>
      <w:jc w:val="left"/>
      <w:outlineLvl w:val="0"/>
    </w:pPr>
    <w:rPr>
      <w:rFonts w:ascii="Times New Roman Bold" w:hAnsi="Times New Roman Bold"/>
      <w:b/>
    </w:rPr>
  </w:style>
  <w:style w:type="paragraph" w:styleId="Heading2">
    <w:name w:val="heading 2"/>
    <w:basedOn w:val="Normal"/>
    <w:next w:val="Normal"/>
    <w:link w:val="Heading2Char"/>
    <w:qFormat/>
    <w:rsid w:val="00790A2A"/>
    <w:pPr>
      <w:keepNext/>
      <w:outlineLvl w:val="1"/>
    </w:pPr>
    <w:rPr>
      <w:b/>
      <w:i/>
    </w:rPr>
  </w:style>
  <w:style w:type="paragraph" w:styleId="Heading3">
    <w:name w:val="heading 3"/>
    <w:basedOn w:val="Normal"/>
    <w:next w:val="Normal"/>
    <w:link w:val="Heading3Char"/>
    <w:qFormat/>
    <w:rsid w:val="00790A2A"/>
    <w:pPr>
      <w:keepNext/>
      <w:outlineLvl w:val="2"/>
    </w:pPr>
    <w:rPr>
      <w:i/>
    </w:rPr>
  </w:style>
  <w:style w:type="paragraph" w:styleId="Heading4">
    <w:name w:val="heading 4"/>
    <w:next w:val="Normal"/>
    <w:qFormat/>
    <w:rsid w:val="00790A2A"/>
    <w:pPr>
      <w:keepNext/>
      <w:outlineLvl w:val="3"/>
    </w:pPr>
    <w:rPr>
      <w:bCs/>
      <w:szCs w:val="28"/>
      <w:lang w:eastAsia="en-AU"/>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style>
  <w:style w:type="paragraph" w:styleId="Heading8">
    <w:name w:val="heading 8"/>
    <w:basedOn w:val="Normal"/>
    <w:next w:val="Normal"/>
    <w:rsid w:val="00725975"/>
    <w:pPr>
      <w:spacing w:before="240" w:after="60"/>
      <w:outlineLvl w:val="7"/>
    </w:pPr>
    <w:rPr>
      <w:i/>
      <w:iCs/>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2"/>
    <w:qFormat/>
    <w:rsid w:val="00790A2A"/>
    <w:pPr>
      <w:numPr>
        <w:numId w:val="51"/>
      </w:numPr>
      <w:tabs>
        <w:tab w:val="left" w:pos="1985"/>
      </w:tabs>
    </w:pPr>
    <w:rPr>
      <w:lang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semiHidden/>
    <w:rsid w:val="00374B22"/>
    <w:rPr>
      <w:rFonts w:eastAsia="MS Mincho"/>
      <w:sz w:val="18"/>
      <w:szCs w:val="18"/>
      <w:lang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Tablecaption">
    <w:name w:val="Table caption"/>
    <w:basedOn w:val="Normal"/>
    <w:next w:val="Normal"/>
    <w:qFormat/>
    <w:rsid w:val="003C3E33"/>
    <w:pPr>
      <w:spacing w:after="200"/>
      <w:ind w:left="851"/>
      <w:jc w:val="left"/>
    </w:pPr>
    <w:rPr>
      <w:b/>
    </w:rPr>
  </w:style>
  <w:style w:type="character" w:styleId="PlaceholderText">
    <w:name w:val="Placeholder Text"/>
    <w:basedOn w:val="DefaultParagraphFont"/>
    <w:uiPriority w:val="99"/>
    <w:semiHidden/>
    <w:rsid w:val="00B27E89"/>
    <w:rPr>
      <w:color w:val="808080"/>
    </w:rPr>
  </w:style>
  <w:style w:type="paragraph" w:styleId="ListBullet">
    <w:name w:val="List Bullet"/>
    <w:basedOn w:val="Normal"/>
    <w:rsid w:val="00725975"/>
    <w:pPr>
      <w:spacing w:after="240"/>
      <w:jc w:val="left"/>
    </w:pPr>
    <w:rPr>
      <w:rFonts w:ascii="Arial" w:hAnsi="Arial"/>
      <w:lang w:eastAsia="en-US"/>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rPr>
  </w:style>
  <w:style w:type="paragraph" w:styleId="Header">
    <w:name w:val="header"/>
    <w:basedOn w:val="Normal"/>
    <w:rsid w:val="00725975"/>
    <w:pPr>
      <w:tabs>
        <w:tab w:val="center" w:pos="4153"/>
        <w:tab w:val="right" w:pos="8306"/>
      </w:tabs>
    </w:pPr>
  </w:style>
  <w:style w:type="character" w:styleId="Strong">
    <w:name w:val="Strong"/>
    <w:basedOn w:val="DefaultParagraphFon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790A2A"/>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qFormat/>
    <w:rsid w:val="00790A2A"/>
    <w:pPr>
      <w:numPr>
        <w:numId w:val="52"/>
      </w:numPr>
      <w:jc w:val="both"/>
    </w:pPr>
    <w:rPr>
      <w:lang w:eastAsia="en-AU"/>
    </w:rPr>
  </w:style>
  <w:style w:type="paragraph" w:customStyle="1" w:styleId="Chapter2">
    <w:name w:val="Chapter 2"/>
    <w:link w:val="Chapter2Char"/>
    <w:qFormat/>
    <w:rsid w:val="00790A2A"/>
    <w:pPr>
      <w:numPr>
        <w:numId w:val="53"/>
      </w:numPr>
      <w:jc w:val="both"/>
    </w:pPr>
    <w:rPr>
      <w:snapToGrid w:val="0"/>
      <w:lang w:eastAsia="en-US"/>
    </w:rPr>
  </w:style>
  <w:style w:type="paragraph" w:customStyle="1" w:styleId="Chapter3">
    <w:name w:val="Chapter 3"/>
    <w:link w:val="Chapter3Char1"/>
    <w:qFormat/>
    <w:rsid w:val="00790A2A"/>
    <w:pPr>
      <w:numPr>
        <w:numId w:val="54"/>
      </w:numPr>
      <w:jc w:val="both"/>
    </w:pPr>
    <w:rPr>
      <w:snapToGrid w:val="0"/>
      <w:lang w:eastAsia="en-US"/>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Normal"/>
    <w:qFormat/>
    <w:rsid w:val="00790A2A"/>
    <w:pPr>
      <w:ind w:left="1276" w:right="515"/>
    </w:pPr>
    <w:rPr>
      <w:sz w:val="22"/>
      <w:szCs w:val="22"/>
    </w:rPr>
  </w:style>
  <w:style w:type="paragraph" w:styleId="TOC1">
    <w:name w:val="toc 1"/>
    <w:basedOn w:val="Normal"/>
    <w:next w:val="Normal"/>
    <w:autoRedefine/>
    <w:uiPriority w:val="39"/>
    <w:rsid w:val="00790A2A"/>
    <w:pPr>
      <w:tabs>
        <w:tab w:val="left" w:pos="1701"/>
        <w:tab w:val="right" w:pos="8296"/>
      </w:tabs>
      <w:spacing w:before="240" w:after="240"/>
      <w:ind w:left="1701" w:hanging="1701"/>
      <w:jc w:val="left"/>
    </w:pPr>
    <w:rPr>
      <w:rFonts w:ascii="Times New Roman Bold" w:hAnsi="Times New Roman Bold"/>
      <w:b/>
      <w:noProof/>
    </w:rPr>
  </w:style>
  <w:style w:type="paragraph" w:styleId="TOC2">
    <w:name w:val="toc 2"/>
    <w:basedOn w:val="Normal"/>
    <w:next w:val="Normal"/>
    <w:autoRedefine/>
    <w:uiPriority w:val="39"/>
    <w:rsid w:val="00790A2A"/>
    <w:pPr>
      <w:tabs>
        <w:tab w:val="left" w:pos="1701"/>
        <w:tab w:val="right" w:pos="8301"/>
      </w:tabs>
      <w:spacing w:before="40" w:after="40"/>
      <w:ind w:left="1701"/>
      <w:jc w:val="left"/>
    </w:pPr>
    <w:rPr>
      <w:sz w:val="22"/>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790A2A"/>
    <w:pPr>
      <w:numPr>
        <w:numId w:val="50"/>
      </w:numPr>
      <w:tabs>
        <w:tab w:val="left" w:pos="1418"/>
      </w:tabs>
      <w:spacing w:after="140"/>
    </w:pPr>
  </w:style>
  <w:style w:type="paragraph" w:styleId="TOC4">
    <w:name w:val="toc 4"/>
    <w:basedOn w:val="Normal"/>
    <w:next w:val="Normal"/>
    <w:autoRedefine/>
    <w:semiHidden/>
    <w:rsid w:val="00642F45"/>
    <w:pPr>
      <w:ind w:left="720"/>
      <w:jc w:val="left"/>
    </w:pPr>
    <w:rPr>
      <w:lang w:val="en-AU"/>
    </w:rPr>
  </w:style>
  <w:style w:type="paragraph" w:styleId="TOC5">
    <w:name w:val="toc 5"/>
    <w:basedOn w:val="Normal"/>
    <w:next w:val="Normal"/>
    <w:autoRedefine/>
    <w:semiHidden/>
    <w:rsid w:val="00642F45"/>
    <w:pPr>
      <w:ind w:left="960"/>
      <w:jc w:val="left"/>
    </w:pPr>
    <w:rPr>
      <w:lang w:val="en-AU"/>
    </w:rPr>
  </w:style>
  <w:style w:type="paragraph" w:styleId="TOC6">
    <w:name w:val="toc 6"/>
    <w:basedOn w:val="Normal"/>
    <w:next w:val="Normal"/>
    <w:autoRedefine/>
    <w:semiHidden/>
    <w:rsid w:val="00642F45"/>
    <w:pPr>
      <w:ind w:left="1200"/>
      <w:jc w:val="left"/>
    </w:pPr>
    <w:rPr>
      <w:lang w:val="en-AU"/>
    </w:rPr>
  </w:style>
  <w:style w:type="paragraph" w:styleId="TOC7">
    <w:name w:val="toc 7"/>
    <w:basedOn w:val="Normal"/>
    <w:next w:val="Normal"/>
    <w:autoRedefine/>
    <w:semiHidden/>
    <w:rsid w:val="00642F45"/>
    <w:pPr>
      <w:ind w:left="1440"/>
      <w:jc w:val="left"/>
    </w:pPr>
    <w:rPr>
      <w:lang w:val="en-AU"/>
    </w:rPr>
  </w:style>
  <w:style w:type="paragraph" w:styleId="TOC8">
    <w:name w:val="toc 8"/>
    <w:basedOn w:val="Normal"/>
    <w:next w:val="Normal"/>
    <w:autoRedefine/>
    <w:semiHidden/>
    <w:rsid w:val="00642F45"/>
    <w:pPr>
      <w:ind w:left="1680"/>
      <w:jc w:val="left"/>
    </w:pPr>
    <w:rPr>
      <w:lang w:val="en-AU"/>
    </w:rPr>
  </w:style>
  <w:style w:type="paragraph" w:styleId="TOC9">
    <w:name w:val="toc 9"/>
    <w:basedOn w:val="Normal"/>
    <w:next w:val="Normal"/>
    <w:autoRedefine/>
    <w:semiHidden/>
    <w:rsid w:val="00642F45"/>
    <w:pPr>
      <w:ind w:left="1920"/>
      <w:jc w:val="left"/>
    </w:pPr>
    <w:rPr>
      <w:lang w:val="en-AU"/>
    </w:rPr>
  </w:style>
  <w:style w:type="character" w:customStyle="1" w:styleId="Chapter1Char1">
    <w:name w:val="Chapter 1 Char1"/>
    <w:basedOn w:val="DefaultParagraphFont"/>
    <w:link w:val="Chapter1"/>
    <w:rsid w:val="00790A2A"/>
    <w:rPr>
      <w:sz w:val="24"/>
      <w:lang w:eastAsia="en-AU"/>
    </w:rPr>
  </w:style>
  <w:style w:type="character" w:customStyle="1" w:styleId="Chapter2Char">
    <w:name w:val="Chapter 2 Char"/>
    <w:basedOn w:val="Chapter1Char1"/>
    <w:link w:val="Chapter2"/>
    <w:rsid w:val="00790A2A"/>
    <w:rPr>
      <w:snapToGrid w:val="0"/>
      <w:sz w:val="24"/>
      <w:lang w:eastAsia="en-US"/>
    </w:rPr>
  </w:style>
  <w:style w:type="character" w:customStyle="1" w:styleId="Chapter3Char1">
    <w:name w:val="Chapter 3 Char1"/>
    <w:basedOn w:val="Chapter2Char"/>
    <w:link w:val="Chapter3"/>
    <w:rsid w:val="00790A2A"/>
    <w:rPr>
      <w:snapToGrid w:val="0"/>
      <w:sz w:val="24"/>
      <w:lang w:eastAsia="en-US"/>
    </w:rPr>
  </w:style>
  <w:style w:type="character" w:customStyle="1" w:styleId="Heading1Char">
    <w:name w:val="Heading 1 Char"/>
    <w:basedOn w:val="DefaultParagraphFont"/>
    <w:link w:val="Heading1"/>
    <w:rsid w:val="00790A2A"/>
    <w:rPr>
      <w:rFonts w:ascii="Times New Roman Bold" w:hAnsi="Times New Roman Bold"/>
      <w:b/>
      <w:sz w:val="24"/>
      <w:szCs w:val="24"/>
      <w:lang w:eastAsia="en-AU"/>
    </w:rPr>
  </w:style>
  <w:style w:type="character" w:customStyle="1" w:styleId="Heading2Char">
    <w:name w:val="Heading 2 Char"/>
    <w:basedOn w:val="DefaultParagraphFont"/>
    <w:link w:val="Heading2"/>
    <w:rsid w:val="00790A2A"/>
    <w:rPr>
      <w:b/>
      <w:i/>
      <w:sz w:val="24"/>
      <w:szCs w:val="24"/>
      <w:lang w:eastAsia="en-AU"/>
    </w:rPr>
  </w:style>
  <w:style w:type="paragraph" w:customStyle="1" w:styleId="Chapterheading">
    <w:name w:val="Chapter heading"/>
    <w:basedOn w:val="Normal"/>
    <w:rsid w:val="002C7D90"/>
    <w:pPr>
      <w:jc w:val="center"/>
    </w:pPr>
    <w:rPr>
      <w:rFonts w:ascii="Times New Roman Bold" w:hAnsi="Times New Roman Bold"/>
      <w:b/>
      <w:bCs/>
      <w:sz w:val="28"/>
      <w:szCs w:val="28"/>
    </w:rPr>
  </w:style>
  <w:style w:type="character" w:customStyle="1" w:styleId="BulletsChar">
    <w:name w:val="Bullets Char"/>
    <w:basedOn w:val="DefaultParagraphFont"/>
    <w:link w:val="Bullets"/>
    <w:rsid w:val="00790A2A"/>
    <w:rPr>
      <w:sz w:val="24"/>
      <w:lang w:eastAsia="en-AU"/>
    </w:rPr>
  </w:style>
  <w:style w:type="character" w:customStyle="1" w:styleId="Heading3Char">
    <w:name w:val="Heading 3 Char"/>
    <w:basedOn w:val="DefaultParagraphFont"/>
    <w:link w:val="Heading3"/>
    <w:rsid w:val="00790A2A"/>
    <w:rPr>
      <w:i/>
      <w:sz w:val="24"/>
      <w:lang w:eastAsia="en-AU"/>
    </w:rPr>
  </w:style>
  <w:style w:type="paragraph" w:styleId="ListParagraph">
    <w:name w:val="List Paragraph"/>
    <w:basedOn w:val="Normal"/>
    <w:uiPriority w:val="34"/>
    <w:rsid w:val="00E4123A"/>
    <w:pPr>
      <w:ind w:left="720"/>
      <w:contextualSpacing/>
    </w:pPr>
  </w:style>
  <w:style w:type="table" w:styleId="LightList">
    <w:name w:val="Light List"/>
    <w:basedOn w:val="TableNormal"/>
    <w:uiPriority w:val="61"/>
    <w:rsid w:val="006560B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semiHidden/>
    <w:unhideWhenUsed/>
    <w:qFormat/>
    <w:rsid w:val="002A788F"/>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Figurecaption">
    <w:name w:val="Figure caption"/>
    <w:basedOn w:val="Normal"/>
    <w:next w:val="Normal"/>
    <w:qFormat/>
    <w:rsid w:val="003C3E33"/>
    <w:pPr>
      <w:ind w:left="851"/>
      <w:jc w:val="left"/>
    </w:pPr>
    <w:rPr>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2097"/>
    <w:pPr>
      <w:jc w:val="both"/>
    </w:pPr>
  </w:style>
  <w:style w:type="paragraph" w:styleId="Heading1">
    <w:name w:val="heading 1"/>
    <w:basedOn w:val="Normal"/>
    <w:next w:val="Normal"/>
    <w:link w:val="Heading1Char"/>
    <w:qFormat/>
    <w:rsid w:val="00790A2A"/>
    <w:pPr>
      <w:keepNext/>
      <w:jc w:val="left"/>
      <w:outlineLvl w:val="0"/>
    </w:pPr>
    <w:rPr>
      <w:rFonts w:ascii="Times New Roman Bold" w:hAnsi="Times New Roman Bold"/>
      <w:b/>
    </w:rPr>
  </w:style>
  <w:style w:type="paragraph" w:styleId="Heading2">
    <w:name w:val="heading 2"/>
    <w:basedOn w:val="Normal"/>
    <w:next w:val="Normal"/>
    <w:link w:val="Heading2Char"/>
    <w:qFormat/>
    <w:rsid w:val="00790A2A"/>
    <w:pPr>
      <w:keepNext/>
      <w:outlineLvl w:val="1"/>
    </w:pPr>
    <w:rPr>
      <w:b/>
      <w:i/>
    </w:rPr>
  </w:style>
  <w:style w:type="paragraph" w:styleId="Heading3">
    <w:name w:val="heading 3"/>
    <w:basedOn w:val="Normal"/>
    <w:next w:val="Normal"/>
    <w:link w:val="Heading3Char"/>
    <w:qFormat/>
    <w:rsid w:val="00790A2A"/>
    <w:pPr>
      <w:keepNext/>
      <w:outlineLvl w:val="2"/>
    </w:pPr>
    <w:rPr>
      <w:i/>
    </w:rPr>
  </w:style>
  <w:style w:type="paragraph" w:styleId="Heading4">
    <w:name w:val="heading 4"/>
    <w:next w:val="Normal"/>
    <w:qFormat/>
    <w:rsid w:val="00790A2A"/>
    <w:pPr>
      <w:keepNext/>
      <w:outlineLvl w:val="3"/>
    </w:pPr>
    <w:rPr>
      <w:bCs/>
      <w:szCs w:val="28"/>
      <w:lang w:eastAsia="en-AU"/>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style>
  <w:style w:type="paragraph" w:styleId="Heading8">
    <w:name w:val="heading 8"/>
    <w:basedOn w:val="Normal"/>
    <w:next w:val="Normal"/>
    <w:rsid w:val="00725975"/>
    <w:pPr>
      <w:spacing w:before="240" w:after="60"/>
      <w:outlineLvl w:val="7"/>
    </w:pPr>
    <w:rPr>
      <w:i/>
      <w:iCs/>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2"/>
    <w:qFormat/>
    <w:rsid w:val="00790A2A"/>
    <w:pPr>
      <w:numPr>
        <w:numId w:val="51"/>
      </w:numPr>
      <w:tabs>
        <w:tab w:val="left" w:pos="1985"/>
      </w:tabs>
    </w:pPr>
    <w:rPr>
      <w:lang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semiHidden/>
    <w:rsid w:val="00374B22"/>
    <w:rPr>
      <w:rFonts w:eastAsia="MS Mincho"/>
      <w:sz w:val="18"/>
      <w:szCs w:val="18"/>
      <w:lang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Tablecaption">
    <w:name w:val="Table caption"/>
    <w:basedOn w:val="Normal"/>
    <w:next w:val="Normal"/>
    <w:qFormat/>
    <w:rsid w:val="003C3E33"/>
    <w:pPr>
      <w:spacing w:after="200"/>
      <w:ind w:left="851"/>
      <w:jc w:val="left"/>
    </w:pPr>
    <w:rPr>
      <w:b/>
    </w:rPr>
  </w:style>
  <w:style w:type="character" w:styleId="PlaceholderText">
    <w:name w:val="Placeholder Text"/>
    <w:basedOn w:val="DefaultParagraphFont"/>
    <w:uiPriority w:val="99"/>
    <w:semiHidden/>
    <w:rsid w:val="00B27E89"/>
    <w:rPr>
      <w:color w:val="808080"/>
    </w:rPr>
  </w:style>
  <w:style w:type="paragraph" w:styleId="ListBullet">
    <w:name w:val="List Bullet"/>
    <w:basedOn w:val="Normal"/>
    <w:rsid w:val="00725975"/>
    <w:pPr>
      <w:spacing w:after="240"/>
      <w:jc w:val="left"/>
    </w:pPr>
    <w:rPr>
      <w:rFonts w:ascii="Arial" w:hAnsi="Arial"/>
      <w:lang w:eastAsia="en-US"/>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rPr>
  </w:style>
  <w:style w:type="paragraph" w:styleId="Header">
    <w:name w:val="header"/>
    <w:basedOn w:val="Normal"/>
    <w:rsid w:val="00725975"/>
    <w:pPr>
      <w:tabs>
        <w:tab w:val="center" w:pos="4153"/>
        <w:tab w:val="right" w:pos="8306"/>
      </w:tabs>
    </w:pPr>
  </w:style>
  <w:style w:type="character" w:styleId="Strong">
    <w:name w:val="Strong"/>
    <w:basedOn w:val="DefaultParagraphFon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790A2A"/>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qFormat/>
    <w:rsid w:val="00790A2A"/>
    <w:pPr>
      <w:numPr>
        <w:numId w:val="52"/>
      </w:numPr>
      <w:jc w:val="both"/>
    </w:pPr>
    <w:rPr>
      <w:lang w:eastAsia="en-AU"/>
    </w:rPr>
  </w:style>
  <w:style w:type="paragraph" w:customStyle="1" w:styleId="Chapter2">
    <w:name w:val="Chapter 2"/>
    <w:link w:val="Chapter2Char"/>
    <w:qFormat/>
    <w:rsid w:val="00790A2A"/>
    <w:pPr>
      <w:numPr>
        <w:numId w:val="53"/>
      </w:numPr>
      <w:jc w:val="both"/>
    </w:pPr>
    <w:rPr>
      <w:snapToGrid w:val="0"/>
      <w:lang w:eastAsia="en-US"/>
    </w:rPr>
  </w:style>
  <w:style w:type="paragraph" w:customStyle="1" w:styleId="Chapter3">
    <w:name w:val="Chapter 3"/>
    <w:link w:val="Chapter3Char1"/>
    <w:qFormat/>
    <w:rsid w:val="00790A2A"/>
    <w:pPr>
      <w:numPr>
        <w:numId w:val="54"/>
      </w:numPr>
      <w:jc w:val="both"/>
    </w:pPr>
    <w:rPr>
      <w:snapToGrid w:val="0"/>
      <w:lang w:eastAsia="en-US"/>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Normal"/>
    <w:qFormat/>
    <w:rsid w:val="00790A2A"/>
    <w:pPr>
      <w:ind w:left="1276" w:right="515"/>
    </w:pPr>
    <w:rPr>
      <w:sz w:val="22"/>
      <w:szCs w:val="22"/>
    </w:rPr>
  </w:style>
  <w:style w:type="paragraph" w:styleId="TOC1">
    <w:name w:val="toc 1"/>
    <w:basedOn w:val="Normal"/>
    <w:next w:val="Normal"/>
    <w:autoRedefine/>
    <w:uiPriority w:val="39"/>
    <w:rsid w:val="00790A2A"/>
    <w:pPr>
      <w:tabs>
        <w:tab w:val="left" w:pos="1701"/>
        <w:tab w:val="right" w:pos="8296"/>
      </w:tabs>
      <w:spacing w:before="240" w:after="240"/>
      <w:ind w:left="1701" w:hanging="1701"/>
      <w:jc w:val="left"/>
    </w:pPr>
    <w:rPr>
      <w:rFonts w:ascii="Times New Roman Bold" w:hAnsi="Times New Roman Bold"/>
      <w:b/>
      <w:noProof/>
    </w:rPr>
  </w:style>
  <w:style w:type="paragraph" w:styleId="TOC2">
    <w:name w:val="toc 2"/>
    <w:basedOn w:val="Normal"/>
    <w:next w:val="Normal"/>
    <w:autoRedefine/>
    <w:uiPriority w:val="39"/>
    <w:rsid w:val="00790A2A"/>
    <w:pPr>
      <w:tabs>
        <w:tab w:val="left" w:pos="1701"/>
        <w:tab w:val="right" w:pos="8301"/>
      </w:tabs>
      <w:spacing w:before="40" w:after="40"/>
      <w:ind w:left="1701"/>
      <w:jc w:val="left"/>
    </w:pPr>
    <w:rPr>
      <w:sz w:val="22"/>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790A2A"/>
    <w:pPr>
      <w:numPr>
        <w:numId w:val="50"/>
      </w:numPr>
      <w:tabs>
        <w:tab w:val="left" w:pos="1418"/>
      </w:tabs>
      <w:spacing w:after="140"/>
    </w:pPr>
  </w:style>
  <w:style w:type="paragraph" w:styleId="TOC4">
    <w:name w:val="toc 4"/>
    <w:basedOn w:val="Normal"/>
    <w:next w:val="Normal"/>
    <w:autoRedefine/>
    <w:semiHidden/>
    <w:rsid w:val="00642F45"/>
    <w:pPr>
      <w:ind w:left="720"/>
      <w:jc w:val="left"/>
    </w:pPr>
    <w:rPr>
      <w:lang w:val="en-AU"/>
    </w:rPr>
  </w:style>
  <w:style w:type="paragraph" w:styleId="TOC5">
    <w:name w:val="toc 5"/>
    <w:basedOn w:val="Normal"/>
    <w:next w:val="Normal"/>
    <w:autoRedefine/>
    <w:semiHidden/>
    <w:rsid w:val="00642F45"/>
    <w:pPr>
      <w:ind w:left="960"/>
      <w:jc w:val="left"/>
    </w:pPr>
    <w:rPr>
      <w:lang w:val="en-AU"/>
    </w:rPr>
  </w:style>
  <w:style w:type="paragraph" w:styleId="TOC6">
    <w:name w:val="toc 6"/>
    <w:basedOn w:val="Normal"/>
    <w:next w:val="Normal"/>
    <w:autoRedefine/>
    <w:semiHidden/>
    <w:rsid w:val="00642F45"/>
    <w:pPr>
      <w:ind w:left="1200"/>
      <w:jc w:val="left"/>
    </w:pPr>
    <w:rPr>
      <w:lang w:val="en-AU"/>
    </w:rPr>
  </w:style>
  <w:style w:type="paragraph" w:styleId="TOC7">
    <w:name w:val="toc 7"/>
    <w:basedOn w:val="Normal"/>
    <w:next w:val="Normal"/>
    <w:autoRedefine/>
    <w:semiHidden/>
    <w:rsid w:val="00642F45"/>
    <w:pPr>
      <w:ind w:left="1440"/>
      <w:jc w:val="left"/>
    </w:pPr>
    <w:rPr>
      <w:lang w:val="en-AU"/>
    </w:rPr>
  </w:style>
  <w:style w:type="paragraph" w:styleId="TOC8">
    <w:name w:val="toc 8"/>
    <w:basedOn w:val="Normal"/>
    <w:next w:val="Normal"/>
    <w:autoRedefine/>
    <w:semiHidden/>
    <w:rsid w:val="00642F45"/>
    <w:pPr>
      <w:ind w:left="1680"/>
      <w:jc w:val="left"/>
    </w:pPr>
    <w:rPr>
      <w:lang w:val="en-AU"/>
    </w:rPr>
  </w:style>
  <w:style w:type="paragraph" w:styleId="TOC9">
    <w:name w:val="toc 9"/>
    <w:basedOn w:val="Normal"/>
    <w:next w:val="Normal"/>
    <w:autoRedefine/>
    <w:semiHidden/>
    <w:rsid w:val="00642F45"/>
    <w:pPr>
      <w:ind w:left="1920"/>
      <w:jc w:val="left"/>
    </w:pPr>
    <w:rPr>
      <w:lang w:val="en-AU"/>
    </w:rPr>
  </w:style>
  <w:style w:type="character" w:customStyle="1" w:styleId="Chapter1Char1">
    <w:name w:val="Chapter 1 Char1"/>
    <w:basedOn w:val="DefaultParagraphFont"/>
    <w:link w:val="Chapter1"/>
    <w:rsid w:val="00790A2A"/>
    <w:rPr>
      <w:sz w:val="24"/>
      <w:lang w:eastAsia="en-AU"/>
    </w:rPr>
  </w:style>
  <w:style w:type="character" w:customStyle="1" w:styleId="Chapter2Char">
    <w:name w:val="Chapter 2 Char"/>
    <w:basedOn w:val="Chapter1Char1"/>
    <w:link w:val="Chapter2"/>
    <w:rsid w:val="00790A2A"/>
    <w:rPr>
      <w:snapToGrid w:val="0"/>
      <w:sz w:val="24"/>
      <w:lang w:eastAsia="en-US"/>
    </w:rPr>
  </w:style>
  <w:style w:type="character" w:customStyle="1" w:styleId="Chapter3Char1">
    <w:name w:val="Chapter 3 Char1"/>
    <w:basedOn w:val="Chapter2Char"/>
    <w:link w:val="Chapter3"/>
    <w:rsid w:val="00790A2A"/>
    <w:rPr>
      <w:snapToGrid w:val="0"/>
      <w:sz w:val="24"/>
      <w:lang w:eastAsia="en-US"/>
    </w:rPr>
  </w:style>
  <w:style w:type="character" w:customStyle="1" w:styleId="Heading1Char">
    <w:name w:val="Heading 1 Char"/>
    <w:basedOn w:val="DefaultParagraphFont"/>
    <w:link w:val="Heading1"/>
    <w:rsid w:val="00790A2A"/>
    <w:rPr>
      <w:rFonts w:ascii="Times New Roman Bold" w:hAnsi="Times New Roman Bold"/>
      <w:b/>
      <w:sz w:val="24"/>
      <w:szCs w:val="24"/>
      <w:lang w:eastAsia="en-AU"/>
    </w:rPr>
  </w:style>
  <w:style w:type="character" w:customStyle="1" w:styleId="Heading2Char">
    <w:name w:val="Heading 2 Char"/>
    <w:basedOn w:val="DefaultParagraphFont"/>
    <w:link w:val="Heading2"/>
    <w:rsid w:val="00790A2A"/>
    <w:rPr>
      <w:b/>
      <w:i/>
      <w:sz w:val="24"/>
      <w:szCs w:val="24"/>
      <w:lang w:eastAsia="en-AU"/>
    </w:rPr>
  </w:style>
  <w:style w:type="paragraph" w:customStyle="1" w:styleId="Chapterheading">
    <w:name w:val="Chapter heading"/>
    <w:basedOn w:val="Normal"/>
    <w:rsid w:val="002C7D90"/>
    <w:pPr>
      <w:jc w:val="center"/>
    </w:pPr>
    <w:rPr>
      <w:rFonts w:ascii="Times New Roman Bold" w:hAnsi="Times New Roman Bold"/>
      <w:b/>
      <w:bCs/>
      <w:sz w:val="28"/>
      <w:szCs w:val="28"/>
    </w:rPr>
  </w:style>
  <w:style w:type="character" w:customStyle="1" w:styleId="BulletsChar">
    <w:name w:val="Bullets Char"/>
    <w:basedOn w:val="DefaultParagraphFont"/>
    <w:link w:val="Bullets"/>
    <w:rsid w:val="00790A2A"/>
    <w:rPr>
      <w:sz w:val="24"/>
      <w:lang w:eastAsia="en-AU"/>
    </w:rPr>
  </w:style>
  <w:style w:type="character" w:customStyle="1" w:styleId="Heading3Char">
    <w:name w:val="Heading 3 Char"/>
    <w:basedOn w:val="DefaultParagraphFont"/>
    <w:link w:val="Heading3"/>
    <w:rsid w:val="00790A2A"/>
    <w:rPr>
      <w:i/>
      <w:sz w:val="24"/>
      <w:lang w:eastAsia="en-AU"/>
    </w:rPr>
  </w:style>
  <w:style w:type="paragraph" w:styleId="ListParagraph">
    <w:name w:val="List Paragraph"/>
    <w:basedOn w:val="Normal"/>
    <w:uiPriority w:val="34"/>
    <w:rsid w:val="00E4123A"/>
    <w:pPr>
      <w:ind w:left="720"/>
      <w:contextualSpacing/>
    </w:pPr>
  </w:style>
  <w:style w:type="table" w:styleId="LightList">
    <w:name w:val="Light List"/>
    <w:basedOn w:val="TableNormal"/>
    <w:uiPriority w:val="61"/>
    <w:rsid w:val="006560B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semiHidden/>
    <w:unhideWhenUsed/>
    <w:qFormat/>
    <w:rsid w:val="002A788F"/>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Figurecaption">
    <w:name w:val="Figure caption"/>
    <w:basedOn w:val="Normal"/>
    <w:next w:val="Normal"/>
    <w:qFormat/>
    <w:rsid w:val="003C3E33"/>
    <w:pPr>
      <w:ind w:left="851"/>
      <w:jc w:val="left"/>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567419432">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77206509">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754938362">
      <w:bodyDiv w:val="1"/>
      <w:marLeft w:val="0"/>
      <w:marRight w:val="0"/>
      <w:marTop w:val="0"/>
      <w:marBottom w:val="0"/>
      <w:divBdr>
        <w:top w:val="none" w:sz="0" w:space="0" w:color="auto"/>
        <w:left w:val="none" w:sz="0" w:space="0" w:color="auto"/>
        <w:bottom w:val="none" w:sz="0" w:space="0" w:color="auto"/>
        <w:right w:val="none" w:sz="0" w:space="0" w:color="auto"/>
      </w:divBdr>
      <w:divsChild>
        <w:div w:id="859903239">
          <w:marLeft w:val="0"/>
          <w:marRight w:val="-2640"/>
          <w:marTop w:val="0"/>
          <w:marBottom w:val="0"/>
          <w:divBdr>
            <w:top w:val="none" w:sz="0" w:space="0" w:color="auto"/>
            <w:left w:val="none" w:sz="0" w:space="0" w:color="auto"/>
            <w:bottom w:val="none" w:sz="0" w:space="0" w:color="auto"/>
            <w:right w:val="none" w:sz="0" w:space="0" w:color="auto"/>
          </w:divBdr>
          <w:divsChild>
            <w:div w:id="1056392595">
              <w:marLeft w:val="0"/>
              <w:marRight w:val="0"/>
              <w:marTop w:val="0"/>
              <w:marBottom w:val="0"/>
              <w:divBdr>
                <w:top w:val="none" w:sz="0" w:space="0" w:color="auto"/>
                <w:left w:val="none" w:sz="0" w:space="0" w:color="auto"/>
                <w:bottom w:val="none" w:sz="0" w:space="0" w:color="auto"/>
                <w:right w:val="none" w:sz="0" w:space="0" w:color="auto"/>
              </w:divBdr>
              <w:divsChild>
                <w:div w:id="1721249343">
                  <w:marLeft w:val="0"/>
                  <w:marRight w:val="0"/>
                  <w:marTop w:val="0"/>
                  <w:marBottom w:val="0"/>
                  <w:divBdr>
                    <w:top w:val="none" w:sz="0" w:space="0" w:color="auto"/>
                    <w:left w:val="none" w:sz="0" w:space="0" w:color="auto"/>
                    <w:bottom w:val="none" w:sz="0" w:space="0" w:color="auto"/>
                    <w:right w:val="none" w:sz="0" w:space="0" w:color="auto"/>
                  </w:divBdr>
                  <w:divsChild>
                    <w:div w:id="7734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EE28-77C5-4980-86D0-0747304E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4153</Words>
  <Characters>23595</Characters>
  <Application>Microsoft Office Word</Application>
  <DocSecurity>0</DocSecurity>
  <Lines>693</Lines>
  <Paragraphs>283</Paragraphs>
  <ScaleCrop>false</ScaleCrop>
  <HeadingPairs>
    <vt:vector size="2" baseType="variant">
      <vt:variant>
        <vt:lpstr>Title</vt:lpstr>
      </vt:variant>
      <vt:variant>
        <vt:i4>1</vt:i4>
      </vt:variant>
    </vt:vector>
  </HeadingPairs>
  <TitlesOfParts>
    <vt:vector size="1" baseType="lpstr">
      <vt:lpstr>Loss grouping and imputation credits - an officials' issues paper</vt:lpstr>
    </vt:vector>
  </TitlesOfParts>
  <Company>Inland Revenue</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grouping and imputation credits - an officials' issues paper</dc:title>
  <dc:creator>Policy and Strategy</dc:creator>
  <dc:description>Published on 15 September 2015.</dc:description>
  <cp:lastModifiedBy>Wendy Watkin</cp:lastModifiedBy>
  <cp:revision>2</cp:revision>
  <dcterms:created xsi:type="dcterms:W3CDTF">2015-09-15T00:44:00Z</dcterms:created>
  <dcterms:modified xsi:type="dcterms:W3CDTF">2015-09-15T00:46:00Z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