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5B7" w:rsidRPr="00CA1467" w:rsidRDefault="001005B7" w:rsidP="001005B7">
      <w:pPr>
        <w:jc w:val="center"/>
        <w:rPr>
          <w:b/>
          <w:lang w:val="en-NZ"/>
        </w:rPr>
      </w:pPr>
      <w:bookmarkStart w:id="0" w:name="_GoBack"/>
      <w:bookmarkEnd w:id="0"/>
    </w:p>
    <w:p w:rsidR="001005B7" w:rsidRPr="00CA1467" w:rsidRDefault="001005B7" w:rsidP="001005B7">
      <w:pPr>
        <w:jc w:val="center"/>
        <w:rPr>
          <w:b/>
          <w:lang w:val="en-NZ"/>
        </w:rPr>
      </w:pPr>
    </w:p>
    <w:p w:rsidR="001005B7" w:rsidRPr="00CA1467" w:rsidRDefault="001005B7" w:rsidP="001005B7">
      <w:pPr>
        <w:jc w:val="center"/>
        <w:rPr>
          <w:b/>
          <w:lang w:val="en-NZ"/>
        </w:rPr>
      </w:pPr>
    </w:p>
    <w:p w:rsidR="000936CF" w:rsidRPr="00CA1467" w:rsidRDefault="000936CF" w:rsidP="001005B7">
      <w:pPr>
        <w:jc w:val="center"/>
        <w:rPr>
          <w:b/>
          <w:lang w:val="en-NZ"/>
        </w:rPr>
      </w:pPr>
    </w:p>
    <w:p w:rsidR="001005B7" w:rsidRPr="00CA1467" w:rsidRDefault="001005B7" w:rsidP="001005B7">
      <w:pPr>
        <w:jc w:val="center"/>
        <w:rPr>
          <w:b/>
          <w:lang w:val="en-NZ"/>
        </w:rPr>
      </w:pPr>
    </w:p>
    <w:p w:rsidR="001005B7" w:rsidRPr="00CA1467" w:rsidRDefault="006400E4" w:rsidP="001005B7">
      <w:pPr>
        <w:pBdr>
          <w:bottom w:val="single" w:sz="4" w:space="5" w:color="auto"/>
        </w:pBdr>
        <w:jc w:val="center"/>
        <w:rPr>
          <w:sz w:val="68"/>
          <w:szCs w:val="68"/>
          <w:lang w:val="en-NZ"/>
        </w:rPr>
      </w:pPr>
      <w:r w:rsidRPr="00CA1467">
        <w:rPr>
          <w:sz w:val="68"/>
          <w:szCs w:val="68"/>
          <w:lang w:val="en-NZ"/>
        </w:rPr>
        <w:t>Closely held company taxation issues</w:t>
      </w:r>
    </w:p>
    <w:p w:rsidR="001005B7" w:rsidRPr="00CA1467" w:rsidRDefault="001005B7" w:rsidP="001005B7">
      <w:pPr>
        <w:jc w:val="center"/>
        <w:rPr>
          <w:b/>
          <w:sz w:val="40"/>
          <w:szCs w:val="40"/>
          <w:lang w:val="en-NZ"/>
        </w:rPr>
      </w:pPr>
    </w:p>
    <w:p w:rsidR="001005B7" w:rsidRPr="00CA1467" w:rsidRDefault="001005B7" w:rsidP="001005B7">
      <w:pPr>
        <w:jc w:val="center"/>
        <w:rPr>
          <w:i/>
          <w:sz w:val="28"/>
          <w:szCs w:val="28"/>
          <w:lang w:val="en-NZ"/>
        </w:rPr>
      </w:pPr>
      <w:r w:rsidRPr="00CA1467">
        <w:rPr>
          <w:i/>
          <w:sz w:val="28"/>
          <w:szCs w:val="28"/>
          <w:lang w:val="en-NZ"/>
        </w:rPr>
        <w:t>An officials’ issues paper</w:t>
      </w:r>
    </w:p>
    <w:p w:rsidR="001005B7" w:rsidRPr="00CA1467" w:rsidRDefault="001005B7" w:rsidP="000936CF">
      <w:pPr>
        <w:jc w:val="left"/>
        <w:rPr>
          <w:szCs w:val="24"/>
          <w:lang w:val="en-NZ"/>
        </w:rPr>
      </w:pPr>
    </w:p>
    <w:p w:rsidR="000936CF" w:rsidRPr="00CA1467" w:rsidRDefault="000936CF" w:rsidP="000936CF">
      <w:pPr>
        <w:jc w:val="left"/>
        <w:rPr>
          <w:szCs w:val="24"/>
          <w:lang w:val="en-NZ"/>
        </w:rPr>
      </w:pPr>
    </w:p>
    <w:p w:rsidR="001005B7" w:rsidRPr="00CA1467" w:rsidRDefault="001005B7" w:rsidP="000936CF">
      <w:pPr>
        <w:jc w:val="left"/>
        <w:rPr>
          <w:lang w:val="en-NZ"/>
        </w:rPr>
      </w:pPr>
    </w:p>
    <w:p w:rsidR="001005B7" w:rsidRPr="00CA1467" w:rsidRDefault="001005B7" w:rsidP="000936CF">
      <w:pPr>
        <w:jc w:val="left"/>
        <w:rPr>
          <w:lang w:val="en-NZ"/>
        </w:rPr>
      </w:pPr>
    </w:p>
    <w:p w:rsidR="001005B7" w:rsidRPr="00CA1467" w:rsidRDefault="001005B7" w:rsidP="001005B7">
      <w:pPr>
        <w:rPr>
          <w:lang w:val="en-NZ"/>
        </w:rPr>
      </w:pPr>
    </w:p>
    <w:p w:rsidR="001005B7" w:rsidRPr="00CA1467" w:rsidRDefault="001005B7" w:rsidP="001005B7">
      <w:pPr>
        <w:rPr>
          <w:lang w:val="en-NZ"/>
        </w:rPr>
      </w:pPr>
    </w:p>
    <w:p w:rsidR="001005B7" w:rsidRPr="00CA1467" w:rsidRDefault="001005B7" w:rsidP="001005B7">
      <w:pPr>
        <w:rPr>
          <w:lang w:val="en-NZ"/>
        </w:rPr>
      </w:pPr>
    </w:p>
    <w:p w:rsidR="001005B7" w:rsidRPr="00CA1467" w:rsidRDefault="001005B7" w:rsidP="001005B7">
      <w:pPr>
        <w:rPr>
          <w:lang w:val="en-NZ"/>
        </w:rPr>
      </w:pPr>
    </w:p>
    <w:p w:rsidR="001005B7" w:rsidRPr="00CA1467" w:rsidRDefault="001005B7" w:rsidP="001005B7">
      <w:pPr>
        <w:rPr>
          <w:lang w:val="en-NZ"/>
        </w:rPr>
      </w:pPr>
    </w:p>
    <w:p w:rsidR="001005B7" w:rsidRPr="00CA1467" w:rsidRDefault="001005B7" w:rsidP="001005B7">
      <w:pPr>
        <w:rPr>
          <w:lang w:val="en-NZ"/>
        </w:rPr>
      </w:pPr>
    </w:p>
    <w:p w:rsidR="001005B7" w:rsidRPr="00CA1467" w:rsidRDefault="001005B7" w:rsidP="001005B7">
      <w:pPr>
        <w:rPr>
          <w:lang w:val="en-NZ"/>
        </w:rPr>
      </w:pPr>
    </w:p>
    <w:p w:rsidR="001005B7" w:rsidRPr="00CA1467" w:rsidRDefault="001005B7" w:rsidP="001005B7">
      <w:pPr>
        <w:rPr>
          <w:lang w:val="en-NZ"/>
        </w:rPr>
      </w:pPr>
    </w:p>
    <w:p w:rsidR="001005B7" w:rsidRPr="00CA1467" w:rsidRDefault="001005B7" w:rsidP="001005B7">
      <w:pPr>
        <w:rPr>
          <w:lang w:val="en-NZ"/>
        </w:rPr>
      </w:pPr>
    </w:p>
    <w:p w:rsidR="001005B7" w:rsidRPr="00CA1467" w:rsidRDefault="001005B7" w:rsidP="001005B7">
      <w:pPr>
        <w:rPr>
          <w:lang w:val="en-NZ"/>
        </w:rPr>
      </w:pPr>
    </w:p>
    <w:p w:rsidR="001005B7" w:rsidRPr="00CA1467" w:rsidRDefault="001005B7" w:rsidP="001005B7">
      <w:pPr>
        <w:rPr>
          <w:lang w:val="en-NZ"/>
        </w:rPr>
      </w:pPr>
    </w:p>
    <w:p w:rsidR="001005B7" w:rsidRPr="00CA1467" w:rsidRDefault="001005B7" w:rsidP="001005B7">
      <w:pPr>
        <w:rPr>
          <w:lang w:val="en-NZ"/>
        </w:rPr>
      </w:pPr>
    </w:p>
    <w:p w:rsidR="001005B7" w:rsidRPr="00CA1467" w:rsidRDefault="001005B7" w:rsidP="001005B7">
      <w:pPr>
        <w:rPr>
          <w:lang w:val="en-NZ"/>
        </w:rPr>
      </w:pPr>
    </w:p>
    <w:p w:rsidR="001005B7" w:rsidRPr="00CA1467" w:rsidRDefault="001005B7" w:rsidP="001005B7">
      <w:pPr>
        <w:rPr>
          <w:lang w:val="en-NZ"/>
        </w:rPr>
      </w:pPr>
    </w:p>
    <w:p w:rsidR="001005B7" w:rsidRPr="00CA1467" w:rsidRDefault="001005B7" w:rsidP="001005B7">
      <w:pPr>
        <w:rPr>
          <w:lang w:val="en-NZ"/>
        </w:rPr>
      </w:pPr>
    </w:p>
    <w:p w:rsidR="001005B7" w:rsidRPr="00CA1467" w:rsidRDefault="001005B7" w:rsidP="001005B7">
      <w:pPr>
        <w:rPr>
          <w:lang w:val="en-NZ"/>
        </w:rPr>
      </w:pPr>
    </w:p>
    <w:p w:rsidR="001005B7" w:rsidRPr="00CA1467" w:rsidRDefault="001005B7" w:rsidP="001005B7">
      <w:pPr>
        <w:rPr>
          <w:lang w:val="en-NZ"/>
        </w:rPr>
      </w:pPr>
    </w:p>
    <w:p w:rsidR="001005B7" w:rsidRPr="00CA1467" w:rsidRDefault="001005B7" w:rsidP="001005B7">
      <w:pPr>
        <w:rPr>
          <w:lang w:val="en-NZ"/>
        </w:rPr>
      </w:pPr>
    </w:p>
    <w:p w:rsidR="001005B7" w:rsidRPr="00CA1467" w:rsidRDefault="001005B7" w:rsidP="001005B7">
      <w:pPr>
        <w:rPr>
          <w:lang w:val="en-NZ"/>
        </w:rPr>
      </w:pPr>
    </w:p>
    <w:p w:rsidR="001005B7" w:rsidRPr="00CA1467" w:rsidRDefault="001005B7" w:rsidP="001005B7">
      <w:pPr>
        <w:rPr>
          <w:lang w:val="en-NZ"/>
        </w:rPr>
      </w:pPr>
    </w:p>
    <w:p w:rsidR="001005B7" w:rsidRPr="00CA1467" w:rsidRDefault="001005B7" w:rsidP="001005B7">
      <w:pPr>
        <w:rPr>
          <w:lang w:val="en-NZ"/>
        </w:rPr>
      </w:pPr>
    </w:p>
    <w:p w:rsidR="001005B7" w:rsidRPr="00CA1467" w:rsidRDefault="001005B7" w:rsidP="001005B7">
      <w:pPr>
        <w:rPr>
          <w:lang w:val="en-NZ"/>
        </w:rPr>
      </w:pPr>
    </w:p>
    <w:p w:rsidR="001005B7" w:rsidRPr="00CA1467" w:rsidRDefault="001005B7" w:rsidP="001005B7">
      <w:pPr>
        <w:rPr>
          <w:lang w:val="en-NZ"/>
        </w:rPr>
      </w:pPr>
    </w:p>
    <w:p w:rsidR="001005B7" w:rsidRPr="00CA1467" w:rsidRDefault="001005B7" w:rsidP="001005B7">
      <w:pPr>
        <w:rPr>
          <w:lang w:val="en-NZ"/>
        </w:rPr>
      </w:pPr>
    </w:p>
    <w:p w:rsidR="001005B7" w:rsidRPr="00CA1467" w:rsidRDefault="001005B7" w:rsidP="001005B7">
      <w:pPr>
        <w:rPr>
          <w:lang w:val="en-NZ"/>
        </w:rPr>
      </w:pPr>
    </w:p>
    <w:p w:rsidR="008F12F0" w:rsidRPr="00CA1467" w:rsidRDefault="008F12F0" w:rsidP="001005B7">
      <w:pPr>
        <w:rPr>
          <w:lang w:val="en-NZ"/>
        </w:rPr>
      </w:pPr>
    </w:p>
    <w:p w:rsidR="008F12F0" w:rsidRPr="00CA1467" w:rsidRDefault="008F12F0" w:rsidP="001005B7">
      <w:pPr>
        <w:rPr>
          <w:lang w:val="en-NZ"/>
        </w:rPr>
      </w:pPr>
    </w:p>
    <w:p w:rsidR="008F12F0" w:rsidRPr="00CA1467" w:rsidRDefault="008F12F0" w:rsidP="001005B7">
      <w:pPr>
        <w:rPr>
          <w:lang w:val="en-NZ"/>
        </w:rPr>
      </w:pPr>
    </w:p>
    <w:p w:rsidR="001005B7" w:rsidRPr="00CA1467" w:rsidRDefault="001005B7" w:rsidP="001005B7">
      <w:pPr>
        <w:rPr>
          <w:lang w:val="en-NZ"/>
        </w:rPr>
      </w:pPr>
    </w:p>
    <w:p w:rsidR="001005B7" w:rsidRPr="00CA1467" w:rsidRDefault="006400E4" w:rsidP="001005B7">
      <w:pPr>
        <w:tabs>
          <w:tab w:val="left" w:pos="6237"/>
        </w:tabs>
        <w:rPr>
          <w:sz w:val="28"/>
          <w:szCs w:val="28"/>
          <w:lang w:val="en-NZ"/>
        </w:rPr>
      </w:pPr>
      <w:r w:rsidRPr="00CA1467">
        <w:rPr>
          <w:sz w:val="28"/>
          <w:szCs w:val="28"/>
          <w:lang w:val="en-NZ"/>
        </w:rPr>
        <w:t xml:space="preserve">September </w:t>
      </w:r>
      <w:r w:rsidR="000A69BB" w:rsidRPr="00CA1467">
        <w:rPr>
          <w:sz w:val="28"/>
          <w:szCs w:val="28"/>
          <w:lang w:val="en-NZ"/>
        </w:rPr>
        <w:t>201</w:t>
      </w:r>
      <w:r w:rsidR="006131E5" w:rsidRPr="00CA1467">
        <w:rPr>
          <w:sz w:val="28"/>
          <w:szCs w:val="28"/>
          <w:lang w:val="en-NZ"/>
        </w:rPr>
        <w:t>5</w:t>
      </w:r>
    </w:p>
    <w:p w:rsidR="001005B7" w:rsidRPr="00CA1467" w:rsidRDefault="001005B7" w:rsidP="008F12F0">
      <w:pPr>
        <w:rPr>
          <w:lang w:val="en-NZ"/>
        </w:rPr>
      </w:pPr>
    </w:p>
    <w:p w:rsidR="001005B7" w:rsidRPr="00CA1467" w:rsidRDefault="001005B7" w:rsidP="008F12F0">
      <w:pPr>
        <w:rPr>
          <w:lang w:val="en-NZ"/>
        </w:rPr>
      </w:pPr>
    </w:p>
    <w:p w:rsidR="001005B7" w:rsidRPr="00CA1467" w:rsidRDefault="001005B7" w:rsidP="001005B7">
      <w:pPr>
        <w:tabs>
          <w:tab w:val="left" w:pos="6237"/>
        </w:tabs>
        <w:rPr>
          <w:i/>
          <w:lang w:val="en-NZ"/>
        </w:rPr>
      </w:pPr>
      <w:r w:rsidRPr="00CA1467">
        <w:rPr>
          <w:i/>
          <w:lang w:val="en-NZ"/>
        </w:rPr>
        <w:t xml:space="preserve">Prepared by Policy </w:t>
      </w:r>
      <w:r w:rsidR="00E93E6B" w:rsidRPr="00CA1467">
        <w:rPr>
          <w:i/>
          <w:lang w:val="en-NZ"/>
        </w:rPr>
        <w:t>and Strategy</w:t>
      </w:r>
      <w:r w:rsidR="006131E5" w:rsidRPr="00CA1467">
        <w:rPr>
          <w:i/>
          <w:lang w:val="en-NZ"/>
        </w:rPr>
        <w:t>,</w:t>
      </w:r>
      <w:r w:rsidR="00E93E6B" w:rsidRPr="00CA1467">
        <w:rPr>
          <w:i/>
          <w:lang w:val="en-NZ"/>
        </w:rPr>
        <w:t xml:space="preserve"> </w:t>
      </w:r>
      <w:r w:rsidRPr="00CA1467">
        <w:rPr>
          <w:i/>
          <w:lang w:val="en-NZ"/>
        </w:rPr>
        <w:t>Inland Revenue</w:t>
      </w:r>
      <w:r w:rsidR="006131E5" w:rsidRPr="00CA1467">
        <w:rPr>
          <w:i/>
          <w:lang w:val="en-NZ"/>
        </w:rPr>
        <w:t>,</w:t>
      </w:r>
      <w:r w:rsidRPr="00CA1467">
        <w:rPr>
          <w:i/>
          <w:lang w:val="en-NZ"/>
        </w:rPr>
        <w:t xml:space="preserve"> </w:t>
      </w:r>
      <w:r w:rsidR="00EC3CE3" w:rsidRPr="00CA1467">
        <w:rPr>
          <w:i/>
          <w:lang w:val="en-NZ"/>
        </w:rPr>
        <w:t>a</w:t>
      </w:r>
      <w:r w:rsidRPr="00CA1467">
        <w:rPr>
          <w:i/>
          <w:lang w:val="en-NZ"/>
        </w:rPr>
        <w:t>nd the Treasury</w:t>
      </w:r>
    </w:p>
    <w:p w:rsidR="0033150F" w:rsidRPr="00CA1467" w:rsidRDefault="0033150F" w:rsidP="001005B7">
      <w:pPr>
        <w:tabs>
          <w:tab w:val="left" w:pos="6237"/>
        </w:tabs>
        <w:rPr>
          <w:i/>
          <w:lang w:val="en-NZ"/>
        </w:rPr>
      </w:pPr>
    </w:p>
    <w:p w:rsidR="001005B7" w:rsidRPr="00CA1467" w:rsidRDefault="001005B7" w:rsidP="001005B7">
      <w:pPr>
        <w:rPr>
          <w:lang w:val="en-NZ"/>
        </w:rPr>
      </w:pPr>
      <w:r w:rsidRPr="00CA1467">
        <w:rPr>
          <w:lang w:val="en-NZ"/>
        </w:rPr>
        <w:br w:type="page"/>
      </w:r>
    </w:p>
    <w:p w:rsidR="001005B7" w:rsidRPr="00CA1467" w:rsidRDefault="001005B7" w:rsidP="001005B7">
      <w:pPr>
        <w:rPr>
          <w:lang w:val="en-NZ"/>
        </w:rPr>
      </w:pPr>
    </w:p>
    <w:p w:rsidR="001005B7" w:rsidRPr="00CA1467" w:rsidRDefault="001005B7" w:rsidP="001005B7">
      <w:pPr>
        <w:rPr>
          <w:lang w:val="en-NZ"/>
        </w:rPr>
      </w:pPr>
    </w:p>
    <w:p w:rsidR="001005B7" w:rsidRPr="00CA1467" w:rsidRDefault="001005B7" w:rsidP="001005B7">
      <w:pPr>
        <w:rPr>
          <w:lang w:val="en-NZ"/>
        </w:rPr>
      </w:pPr>
    </w:p>
    <w:p w:rsidR="001005B7" w:rsidRPr="00CA1467" w:rsidRDefault="001005B7" w:rsidP="001005B7">
      <w:pPr>
        <w:rPr>
          <w:lang w:val="en-NZ"/>
        </w:rPr>
      </w:pPr>
    </w:p>
    <w:p w:rsidR="001005B7" w:rsidRPr="00CA1467" w:rsidRDefault="001005B7" w:rsidP="001005B7">
      <w:pPr>
        <w:rPr>
          <w:lang w:val="en-NZ"/>
        </w:rPr>
      </w:pPr>
    </w:p>
    <w:p w:rsidR="001005B7" w:rsidRPr="00CA1467" w:rsidRDefault="001005B7" w:rsidP="001005B7">
      <w:pPr>
        <w:rPr>
          <w:lang w:val="en-NZ"/>
        </w:rPr>
      </w:pPr>
    </w:p>
    <w:p w:rsidR="001005B7" w:rsidRPr="00CA1467" w:rsidRDefault="001005B7" w:rsidP="001005B7">
      <w:pPr>
        <w:rPr>
          <w:lang w:val="en-NZ"/>
        </w:rPr>
      </w:pPr>
    </w:p>
    <w:p w:rsidR="001005B7" w:rsidRPr="00CA1467" w:rsidRDefault="001005B7" w:rsidP="001005B7">
      <w:pPr>
        <w:rPr>
          <w:lang w:val="en-NZ"/>
        </w:rPr>
      </w:pPr>
    </w:p>
    <w:p w:rsidR="001005B7" w:rsidRPr="00CA1467" w:rsidRDefault="001005B7" w:rsidP="001005B7">
      <w:pPr>
        <w:rPr>
          <w:lang w:val="en-NZ"/>
        </w:rPr>
      </w:pPr>
    </w:p>
    <w:p w:rsidR="001005B7" w:rsidRPr="00CA1467" w:rsidRDefault="001005B7" w:rsidP="001005B7">
      <w:pPr>
        <w:rPr>
          <w:lang w:val="en-NZ"/>
        </w:rPr>
      </w:pPr>
    </w:p>
    <w:p w:rsidR="001005B7" w:rsidRPr="00CA1467" w:rsidRDefault="001005B7" w:rsidP="001005B7">
      <w:pPr>
        <w:rPr>
          <w:lang w:val="en-NZ"/>
        </w:rPr>
      </w:pPr>
    </w:p>
    <w:p w:rsidR="001005B7" w:rsidRPr="00CA1467" w:rsidRDefault="001005B7" w:rsidP="001005B7">
      <w:pPr>
        <w:rPr>
          <w:lang w:val="en-NZ"/>
        </w:rPr>
      </w:pPr>
    </w:p>
    <w:p w:rsidR="001005B7" w:rsidRPr="00CA1467" w:rsidRDefault="001005B7" w:rsidP="001005B7">
      <w:pPr>
        <w:rPr>
          <w:lang w:val="en-NZ"/>
        </w:rPr>
      </w:pPr>
    </w:p>
    <w:p w:rsidR="001005B7" w:rsidRPr="00CA1467" w:rsidRDefault="001005B7" w:rsidP="001005B7">
      <w:pPr>
        <w:rPr>
          <w:lang w:val="en-NZ"/>
        </w:rPr>
      </w:pPr>
    </w:p>
    <w:p w:rsidR="001005B7" w:rsidRPr="00CA1467" w:rsidRDefault="001005B7" w:rsidP="001005B7">
      <w:pPr>
        <w:rPr>
          <w:lang w:val="en-NZ"/>
        </w:rPr>
      </w:pPr>
    </w:p>
    <w:p w:rsidR="001005B7" w:rsidRPr="00CA1467" w:rsidRDefault="001005B7" w:rsidP="001005B7">
      <w:pPr>
        <w:rPr>
          <w:lang w:val="en-NZ"/>
        </w:rPr>
      </w:pPr>
    </w:p>
    <w:p w:rsidR="001005B7" w:rsidRPr="00CA1467" w:rsidRDefault="001005B7" w:rsidP="001005B7">
      <w:pPr>
        <w:rPr>
          <w:lang w:val="en-NZ"/>
        </w:rPr>
      </w:pPr>
    </w:p>
    <w:p w:rsidR="001005B7" w:rsidRPr="00CA1467" w:rsidRDefault="001005B7" w:rsidP="001005B7">
      <w:pPr>
        <w:rPr>
          <w:lang w:val="en-NZ"/>
        </w:rPr>
      </w:pPr>
    </w:p>
    <w:p w:rsidR="001005B7" w:rsidRPr="00CA1467" w:rsidRDefault="001005B7" w:rsidP="001005B7">
      <w:pPr>
        <w:rPr>
          <w:lang w:val="en-NZ"/>
        </w:rPr>
      </w:pPr>
    </w:p>
    <w:p w:rsidR="001005B7" w:rsidRPr="00CA1467" w:rsidRDefault="001005B7" w:rsidP="001005B7">
      <w:pPr>
        <w:rPr>
          <w:lang w:val="en-NZ"/>
        </w:rPr>
      </w:pPr>
    </w:p>
    <w:p w:rsidR="001005B7" w:rsidRPr="00CA1467" w:rsidRDefault="001005B7" w:rsidP="001005B7">
      <w:pPr>
        <w:rPr>
          <w:lang w:val="en-NZ"/>
        </w:rPr>
      </w:pPr>
    </w:p>
    <w:p w:rsidR="001005B7" w:rsidRPr="00CA1467" w:rsidRDefault="001005B7" w:rsidP="001005B7">
      <w:pPr>
        <w:rPr>
          <w:lang w:val="en-NZ"/>
        </w:rPr>
      </w:pPr>
    </w:p>
    <w:p w:rsidR="001005B7" w:rsidRPr="00CA1467" w:rsidRDefault="001005B7" w:rsidP="001005B7">
      <w:pPr>
        <w:rPr>
          <w:lang w:val="en-NZ"/>
        </w:rPr>
      </w:pPr>
    </w:p>
    <w:p w:rsidR="001005B7" w:rsidRPr="00CA1467" w:rsidRDefault="001005B7" w:rsidP="001005B7">
      <w:pPr>
        <w:rPr>
          <w:lang w:val="en-NZ"/>
        </w:rPr>
      </w:pPr>
    </w:p>
    <w:p w:rsidR="001005B7" w:rsidRPr="00CA1467" w:rsidRDefault="001005B7" w:rsidP="001005B7">
      <w:pPr>
        <w:rPr>
          <w:lang w:val="en-NZ"/>
        </w:rPr>
      </w:pPr>
    </w:p>
    <w:p w:rsidR="001005B7" w:rsidRPr="00CA1467" w:rsidRDefault="001005B7" w:rsidP="001005B7">
      <w:pPr>
        <w:rPr>
          <w:lang w:val="en-NZ"/>
        </w:rPr>
      </w:pPr>
    </w:p>
    <w:p w:rsidR="001005B7" w:rsidRPr="00CA1467" w:rsidRDefault="001005B7" w:rsidP="001005B7">
      <w:pPr>
        <w:rPr>
          <w:lang w:val="en-NZ"/>
        </w:rPr>
      </w:pPr>
    </w:p>
    <w:p w:rsidR="001005B7" w:rsidRPr="00CA1467" w:rsidRDefault="001005B7" w:rsidP="001005B7">
      <w:pPr>
        <w:rPr>
          <w:lang w:val="en-NZ"/>
        </w:rPr>
      </w:pPr>
    </w:p>
    <w:p w:rsidR="001005B7" w:rsidRPr="00CA1467" w:rsidRDefault="001005B7" w:rsidP="001005B7">
      <w:pPr>
        <w:rPr>
          <w:lang w:val="en-NZ"/>
        </w:rPr>
      </w:pPr>
    </w:p>
    <w:p w:rsidR="001005B7" w:rsidRPr="00CA1467" w:rsidRDefault="001005B7" w:rsidP="001005B7">
      <w:pPr>
        <w:rPr>
          <w:lang w:val="en-NZ"/>
        </w:rPr>
      </w:pPr>
    </w:p>
    <w:p w:rsidR="001005B7" w:rsidRPr="00CA1467" w:rsidRDefault="001005B7" w:rsidP="001005B7">
      <w:pPr>
        <w:rPr>
          <w:lang w:val="en-NZ"/>
        </w:rPr>
      </w:pPr>
    </w:p>
    <w:p w:rsidR="001005B7" w:rsidRPr="00CA1467" w:rsidRDefault="001005B7" w:rsidP="001005B7">
      <w:pPr>
        <w:rPr>
          <w:lang w:val="en-NZ"/>
        </w:rPr>
      </w:pPr>
    </w:p>
    <w:p w:rsidR="001005B7" w:rsidRPr="00CA1467" w:rsidRDefault="001005B7" w:rsidP="001005B7">
      <w:pPr>
        <w:rPr>
          <w:lang w:val="en-NZ"/>
        </w:rPr>
      </w:pPr>
    </w:p>
    <w:p w:rsidR="001005B7" w:rsidRPr="00CA1467" w:rsidRDefault="001005B7" w:rsidP="001005B7">
      <w:pPr>
        <w:rPr>
          <w:lang w:val="en-NZ"/>
        </w:rPr>
      </w:pPr>
    </w:p>
    <w:p w:rsidR="001005B7" w:rsidRPr="00CA1467" w:rsidRDefault="001005B7" w:rsidP="001005B7">
      <w:pPr>
        <w:rPr>
          <w:lang w:val="en-NZ"/>
        </w:rPr>
      </w:pPr>
    </w:p>
    <w:p w:rsidR="001005B7" w:rsidRPr="00CA1467" w:rsidRDefault="001005B7" w:rsidP="001005B7">
      <w:pPr>
        <w:rPr>
          <w:lang w:val="en-NZ"/>
        </w:rPr>
      </w:pPr>
    </w:p>
    <w:p w:rsidR="001005B7" w:rsidRPr="00CA1467" w:rsidRDefault="001005B7" w:rsidP="001005B7">
      <w:pPr>
        <w:rPr>
          <w:lang w:val="en-NZ"/>
        </w:rPr>
      </w:pPr>
    </w:p>
    <w:p w:rsidR="001005B7" w:rsidRPr="00CA1467" w:rsidRDefault="001005B7" w:rsidP="001005B7">
      <w:pPr>
        <w:rPr>
          <w:lang w:val="en-NZ"/>
        </w:rPr>
      </w:pPr>
    </w:p>
    <w:p w:rsidR="001005B7" w:rsidRPr="00CA1467" w:rsidRDefault="001005B7" w:rsidP="001005B7">
      <w:pPr>
        <w:rPr>
          <w:lang w:val="en-NZ"/>
        </w:rPr>
      </w:pPr>
    </w:p>
    <w:p w:rsidR="001005B7" w:rsidRPr="00CA1467" w:rsidRDefault="001005B7" w:rsidP="001005B7">
      <w:pPr>
        <w:rPr>
          <w:lang w:val="en-NZ"/>
        </w:rPr>
      </w:pPr>
    </w:p>
    <w:p w:rsidR="001005B7" w:rsidRPr="00CA1467" w:rsidRDefault="001005B7" w:rsidP="001005B7">
      <w:pPr>
        <w:rPr>
          <w:lang w:val="en-NZ"/>
        </w:rPr>
      </w:pPr>
    </w:p>
    <w:p w:rsidR="001005B7" w:rsidRPr="00CA1467" w:rsidRDefault="001005B7" w:rsidP="001005B7">
      <w:pPr>
        <w:rPr>
          <w:lang w:val="en-NZ"/>
        </w:rPr>
      </w:pPr>
    </w:p>
    <w:p w:rsidR="001005B7" w:rsidRPr="00CA1467" w:rsidRDefault="001005B7" w:rsidP="001005B7">
      <w:pPr>
        <w:rPr>
          <w:lang w:val="en-NZ"/>
        </w:rPr>
      </w:pPr>
    </w:p>
    <w:p w:rsidR="001005B7" w:rsidRPr="00CA1467" w:rsidRDefault="001005B7" w:rsidP="001005B7">
      <w:pPr>
        <w:rPr>
          <w:lang w:val="en-NZ"/>
        </w:rPr>
      </w:pPr>
    </w:p>
    <w:p w:rsidR="001005B7" w:rsidRPr="00CA1467" w:rsidRDefault="001005B7" w:rsidP="001005B7">
      <w:pPr>
        <w:rPr>
          <w:lang w:val="en-NZ"/>
        </w:rPr>
      </w:pPr>
    </w:p>
    <w:p w:rsidR="001005B7" w:rsidRPr="00CA1467" w:rsidRDefault="001005B7" w:rsidP="001005B7">
      <w:pPr>
        <w:rPr>
          <w:lang w:val="en-NZ"/>
        </w:rPr>
      </w:pPr>
    </w:p>
    <w:p w:rsidR="001005B7" w:rsidRPr="00CA1467" w:rsidRDefault="001005B7" w:rsidP="001005B7">
      <w:pPr>
        <w:jc w:val="left"/>
        <w:rPr>
          <w:sz w:val="20"/>
          <w:lang w:val="en-NZ"/>
        </w:rPr>
      </w:pPr>
      <w:proofErr w:type="gramStart"/>
      <w:r w:rsidRPr="00CA1467">
        <w:rPr>
          <w:sz w:val="20"/>
          <w:lang w:val="en-NZ"/>
        </w:rPr>
        <w:t xml:space="preserve">First published in </w:t>
      </w:r>
      <w:r w:rsidR="00D474DD" w:rsidRPr="00CA1467">
        <w:rPr>
          <w:sz w:val="20"/>
          <w:lang w:val="en-NZ"/>
        </w:rPr>
        <w:t>September 2015</w:t>
      </w:r>
      <w:r w:rsidRPr="00CA1467">
        <w:rPr>
          <w:sz w:val="20"/>
          <w:lang w:val="en-NZ"/>
        </w:rPr>
        <w:t xml:space="preserve"> by Policy </w:t>
      </w:r>
      <w:r w:rsidR="00E93E6B" w:rsidRPr="00CA1467">
        <w:rPr>
          <w:sz w:val="20"/>
          <w:lang w:val="en-NZ"/>
        </w:rPr>
        <w:t>and Strategy</w:t>
      </w:r>
      <w:r w:rsidR="007F0D94" w:rsidRPr="00CA1467">
        <w:rPr>
          <w:sz w:val="20"/>
          <w:lang w:val="en-NZ"/>
        </w:rPr>
        <w:t>,</w:t>
      </w:r>
      <w:r w:rsidR="00E93E6B" w:rsidRPr="00CA1467">
        <w:rPr>
          <w:sz w:val="20"/>
          <w:lang w:val="en-NZ"/>
        </w:rPr>
        <w:t xml:space="preserve"> </w:t>
      </w:r>
      <w:r w:rsidRPr="00CA1467">
        <w:rPr>
          <w:sz w:val="20"/>
          <w:lang w:val="en-NZ"/>
        </w:rPr>
        <w:t>Inland Revenue,</w:t>
      </w:r>
      <w:r w:rsidR="00EC3CE3" w:rsidRPr="00CA1467">
        <w:rPr>
          <w:sz w:val="20"/>
          <w:lang w:val="en-NZ"/>
        </w:rPr>
        <w:t xml:space="preserve"> </w:t>
      </w:r>
      <w:r w:rsidR="009368ED" w:rsidRPr="00CA1467">
        <w:rPr>
          <w:sz w:val="20"/>
          <w:lang w:val="en-NZ"/>
        </w:rPr>
        <w:t>P</w:t>
      </w:r>
      <w:r w:rsidRPr="00CA1467">
        <w:rPr>
          <w:sz w:val="20"/>
          <w:lang w:val="en-NZ"/>
        </w:rPr>
        <w:t>O Box 2198, Wellington</w:t>
      </w:r>
      <w:r w:rsidR="00EC3CE3" w:rsidRPr="00CA1467">
        <w:rPr>
          <w:sz w:val="20"/>
          <w:lang w:val="en-NZ"/>
        </w:rPr>
        <w:t xml:space="preserve"> 6140</w:t>
      </w:r>
      <w:r w:rsidRPr="00CA1467">
        <w:rPr>
          <w:sz w:val="20"/>
          <w:lang w:val="en-NZ"/>
        </w:rPr>
        <w:t>.</w:t>
      </w:r>
      <w:proofErr w:type="gramEnd"/>
    </w:p>
    <w:p w:rsidR="001005B7" w:rsidRPr="00CA1467" w:rsidRDefault="001005B7" w:rsidP="001005B7">
      <w:pPr>
        <w:jc w:val="left"/>
        <w:rPr>
          <w:sz w:val="20"/>
          <w:lang w:val="en-NZ"/>
        </w:rPr>
      </w:pPr>
    </w:p>
    <w:p w:rsidR="001005B7" w:rsidRPr="00CA1467" w:rsidRDefault="006400E4" w:rsidP="001005B7">
      <w:pPr>
        <w:jc w:val="left"/>
        <w:rPr>
          <w:sz w:val="20"/>
          <w:lang w:val="en-NZ"/>
        </w:rPr>
      </w:pPr>
      <w:proofErr w:type="gramStart"/>
      <w:r w:rsidRPr="00CA1467">
        <w:rPr>
          <w:sz w:val="20"/>
          <w:lang w:val="en-NZ"/>
        </w:rPr>
        <w:t>Closely held company taxation issues</w:t>
      </w:r>
      <w:r w:rsidR="001005B7" w:rsidRPr="00CA1467">
        <w:rPr>
          <w:sz w:val="20"/>
          <w:lang w:val="en-NZ"/>
        </w:rPr>
        <w:t xml:space="preserve"> – an officials’ issues paper.</w:t>
      </w:r>
      <w:proofErr w:type="gramEnd"/>
    </w:p>
    <w:p w:rsidR="001005B7" w:rsidRPr="00CA1467" w:rsidRDefault="001005B7" w:rsidP="001005B7">
      <w:pPr>
        <w:rPr>
          <w:sz w:val="20"/>
          <w:lang w:val="en-NZ"/>
        </w:rPr>
      </w:pPr>
      <w:r w:rsidRPr="00CA1467">
        <w:rPr>
          <w:sz w:val="20"/>
          <w:lang w:val="en-NZ"/>
        </w:rPr>
        <w:t xml:space="preserve">ISBN </w:t>
      </w:r>
      <w:r w:rsidR="006400E4" w:rsidRPr="00CA1467">
        <w:rPr>
          <w:sz w:val="20"/>
          <w:lang w:val="en-NZ"/>
        </w:rPr>
        <w:t>978-0-478-42416-4</w:t>
      </w:r>
    </w:p>
    <w:p w:rsidR="001005B7" w:rsidRPr="00CA1467" w:rsidRDefault="001005B7" w:rsidP="001005B7">
      <w:pPr>
        <w:jc w:val="center"/>
        <w:rPr>
          <w:b/>
          <w:sz w:val="28"/>
          <w:szCs w:val="28"/>
          <w:lang w:val="en-NZ"/>
        </w:rPr>
      </w:pPr>
      <w:r w:rsidRPr="00CA1467">
        <w:rPr>
          <w:lang w:val="en-NZ"/>
        </w:rPr>
        <w:br w:type="page"/>
      </w:r>
      <w:r w:rsidRPr="00CA1467">
        <w:rPr>
          <w:b/>
          <w:sz w:val="28"/>
          <w:szCs w:val="28"/>
          <w:lang w:val="en-NZ"/>
        </w:rPr>
        <w:lastRenderedPageBreak/>
        <w:t>CONTENTS</w:t>
      </w:r>
    </w:p>
    <w:p w:rsidR="00D10025" w:rsidRPr="00CA1467" w:rsidRDefault="00D10025" w:rsidP="001005B7">
      <w:pPr>
        <w:jc w:val="center"/>
        <w:rPr>
          <w:b/>
          <w:sz w:val="28"/>
          <w:szCs w:val="28"/>
          <w:lang w:val="en-NZ"/>
        </w:rPr>
      </w:pPr>
    </w:p>
    <w:p w:rsidR="00134BF6" w:rsidRDefault="00C31451">
      <w:pPr>
        <w:pStyle w:val="TOC1"/>
        <w:rPr>
          <w:rFonts w:asciiTheme="minorHAnsi" w:eastAsiaTheme="minorEastAsia" w:hAnsiTheme="minorHAnsi" w:cstheme="minorBidi"/>
          <w:b w:val="0"/>
          <w:sz w:val="22"/>
          <w:szCs w:val="22"/>
          <w:lang w:eastAsia="en-NZ"/>
        </w:rPr>
      </w:pPr>
      <w:r w:rsidRPr="00CA1467">
        <w:rPr>
          <w:b w:val="0"/>
          <w:noProof w:val="0"/>
          <w:sz w:val="22"/>
        </w:rPr>
        <w:fldChar w:fldCharType="begin"/>
      </w:r>
      <w:r w:rsidRPr="00CA1467">
        <w:rPr>
          <w:b w:val="0"/>
          <w:noProof w:val="0"/>
          <w:sz w:val="22"/>
        </w:rPr>
        <w:instrText xml:space="preserve"> TOC \t "Heading 1,2,Chapter heading,1" </w:instrText>
      </w:r>
      <w:r w:rsidRPr="00CA1467">
        <w:rPr>
          <w:b w:val="0"/>
          <w:noProof w:val="0"/>
          <w:sz w:val="22"/>
        </w:rPr>
        <w:fldChar w:fldCharType="separate"/>
      </w:r>
      <w:r w:rsidR="00134BF6">
        <w:t>CHAPTER 1</w:t>
      </w:r>
      <w:r w:rsidR="00134BF6">
        <w:tab/>
      </w:r>
      <w:r w:rsidR="00134BF6" w:rsidRPr="001B2034">
        <w:t>Introduction</w:t>
      </w:r>
      <w:r w:rsidR="00134BF6">
        <w:tab/>
      </w:r>
      <w:r w:rsidR="00134BF6">
        <w:fldChar w:fldCharType="begin"/>
      </w:r>
      <w:r w:rsidR="00134BF6">
        <w:instrText xml:space="preserve"> PAGEREF _Toc429469438 \h </w:instrText>
      </w:r>
      <w:r w:rsidR="00134BF6">
        <w:fldChar w:fldCharType="separate"/>
      </w:r>
      <w:r w:rsidR="00F239E5">
        <w:t>1</w:t>
      </w:r>
      <w:r w:rsidR="00134BF6">
        <w:fldChar w:fldCharType="end"/>
      </w:r>
    </w:p>
    <w:p w:rsidR="00134BF6" w:rsidRDefault="00134BF6">
      <w:pPr>
        <w:pStyle w:val="TOC2"/>
        <w:rPr>
          <w:rFonts w:asciiTheme="minorHAnsi" w:eastAsiaTheme="minorEastAsia" w:hAnsiTheme="minorHAnsi" w:cstheme="minorBidi"/>
          <w:noProof/>
          <w:szCs w:val="22"/>
          <w:lang w:eastAsia="en-NZ"/>
        </w:rPr>
      </w:pPr>
      <w:r>
        <w:rPr>
          <w:noProof/>
        </w:rPr>
        <w:t>Summary of suggested changes</w:t>
      </w:r>
      <w:r>
        <w:rPr>
          <w:noProof/>
        </w:rPr>
        <w:tab/>
      </w:r>
      <w:r>
        <w:rPr>
          <w:noProof/>
        </w:rPr>
        <w:fldChar w:fldCharType="begin"/>
      </w:r>
      <w:r>
        <w:rPr>
          <w:noProof/>
        </w:rPr>
        <w:instrText xml:space="preserve"> PAGEREF _Toc429469439 \h </w:instrText>
      </w:r>
      <w:r>
        <w:rPr>
          <w:noProof/>
        </w:rPr>
      </w:r>
      <w:r>
        <w:rPr>
          <w:noProof/>
        </w:rPr>
        <w:fldChar w:fldCharType="separate"/>
      </w:r>
      <w:r w:rsidR="00F239E5">
        <w:rPr>
          <w:noProof/>
        </w:rPr>
        <w:t>2</w:t>
      </w:r>
      <w:r>
        <w:rPr>
          <w:noProof/>
        </w:rPr>
        <w:fldChar w:fldCharType="end"/>
      </w:r>
    </w:p>
    <w:p w:rsidR="00134BF6" w:rsidRDefault="00134BF6">
      <w:pPr>
        <w:pStyle w:val="TOC2"/>
        <w:rPr>
          <w:rFonts w:asciiTheme="minorHAnsi" w:eastAsiaTheme="minorEastAsia" w:hAnsiTheme="minorHAnsi" w:cstheme="minorBidi"/>
          <w:noProof/>
          <w:szCs w:val="22"/>
          <w:lang w:eastAsia="en-NZ"/>
        </w:rPr>
      </w:pPr>
      <w:r>
        <w:rPr>
          <w:noProof/>
        </w:rPr>
        <w:t>Next steps</w:t>
      </w:r>
      <w:r>
        <w:rPr>
          <w:noProof/>
        </w:rPr>
        <w:tab/>
      </w:r>
      <w:r>
        <w:rPr>
          <w:noProof/>
        </w:rPr>
        <w:fldChar w:fldCharType="begin"/>
      </w:r>
      <w:r>
        <w:rPr>
          <w:noProof/>
        </w:rPr>
        <w:instrText xml:space="preserve"> PAGEREF _Toc429469440 \h </w:instrText>
      </w:r>
      <w:r>
        <w:rPr>
          <w:noProof/>
        </w:rPr>
      </w:r>
      <w:r>
        <w:rPr>
          <w:noProof/>
        </w:rPr>
        <w:fldChar w:fldCharType="separate"/>
      </w:r>
      <w:r w:rsidR="00F239E5">
        <w:rPr>
          <w:noProof/>
        </w:rPr>
        <w:t>4</w:t>
      </w:r>
      <w:r>
        <w:rPr>
          <w:noProof/>
        </w:rPr>
        <w:fldChar w:fldCharType="end"/>
      </w:r>
    </w:p>
    <w:p w:rsidR="00134BF6" w:rsidRDefault="00134BF6">
      <w:pPr>
        <w:pStyle w:val="TOC2"/>
        <w:rPr>
          <w:rFonts w:asciiTheme="minorHAnsi" w:eastAsiaTheme="minorEastAsia" w:hAnsiTheme="minorHAnsi" w:cstheme="minorBidi"/>
          <w:noProof/>
          <w:szCs w:val="22"/>
          <w:lang w:eastAsia="en-NZ"/>
        </w:rPr>
      </w:pPr>
      <w:r>
        <w:rPr>
          <w:noProof/>
        </w:rPr>
        <w:t>How to make a submission</w:t>
      </w:r>
      <w:r>
        <w:rPr>
          <w:noProof/>
        </w:rPr>
        <w:tab/>
      </w:r>
      <w:r>
        <w:rPr>
          <w:noProof/>
        </w:rPr>
        <w:fldChar w:fldCharType="begin"/>
      </w:r>
      <w:r>
        <w:rPr>
          <w:noProof/>
        </w:rPr>
        <w:instrText xml:space="preserve"> PAGEREF _Toc429469441 \h </w:instrText>
      </w:r>
      <w:r>
        <w:rPr>
          <w:noProof/>
        </w:rPr>
      </w:r>
      <w:r>
        <w:rPr>
          <w:noProof/>
        </w:rPr>
        <w:fldChar w:fldCharType="separate"/>
      </w:r>
      <w:r w:rsidR="00F239E5">
        <w:rPr>
          <w:noProof/>
        </w:rPr>
        <w:t>4</w:t>
      </w:r>
      <w:r>
        <w:rPr>
          <w:noProof/>
        </w:rPr>
        <w:fldChar w:fldCharType="end"/>
      </w:r>
    </w:p>
    <w:p w:rsidR="00134BF6" w:rsidRDefault="00134BF6">
      <w:pPr>
        <w:pStyle w:val="TOC1"/>
        <w:rPr>
          <w:rFonts w:asciiTheme="minorHAnsi" w:eastAsiaTheme="minorEastAsia" w:hAnsiTheme="minorHAnsi" w:cstheme="minorBidi"/>
          <w:b w:val="0"/>
          <w:sz w:val="22"/>
          <w:szCs w:val="22"/>
          <w:lang w:eastAsia="en-NZ"/>
        </w:rPr>
      </w:pPr>
      <w:r>
        <w:t>CHAPTER 2</w:t>
      </w:r>
      <w:r>
        <w:tab/>
      </w:r>
      <w:r w:rsidRPr="001B2034">
        <w:t>Framework for considering company taxation</w:t>
      </w:r>
      <w:r>
        <w:tab/>
      </w:r>
      <w:r>
        <w:fldChar w:fldCharType="begin"/>
      </w:r>
      <w:r>
        <w:instrText xml:space="preserve"> PAGEREF _Toc429469443 \h </w:instrText>
      </w:r>
      <w:r>
        <w:fldChar w:fldCharType="separate"/>
      </w:r>
      <w:r w:rsidR="00F239E5">
        <w:t>7</w:t>
      </w:r>
      <w:r>
        <w:fldChar w:fldCharType="end"/>
      </w:r>
    </w:p>
    <w:p w:rsidR="00134BF6" w:rsidRDefault="00134BF6">
      <w:pPr>
        <w:pStyle w:val="TOC2"/>
        <w:rPr>
          <w:rFonts w:asciiTheme="minorHAnsi" w:eastAsiaTheme="minorEastAsia" w:hAnsiTheme="minorHAnsi" w:cstheme="minorBidi"/>
          <w:noProof/>
          <w:szCs w:val="22"/>
          <w:lang w:eastAsia="en-NZ"/>
        </w:rPr>
      </w:pPr>
      <w:r>
        <w:rPr>
          <w:noProof/>
        </w:rPr>
        <w:t>Introduction</w:t>
      </w:r>
      <w:r>
        <w:rPr>
          <w:noProof/>
        </w:rPr>
        <w:tab/>
      </w:r>
      <w:r>
        <w:rPr>
          <w:noProof/>
        </w:rPr>
        <w:fldChar w:fldCharType="begin"/>
      </w:r>
      <w:r>
        <w:rPr>
          <w:noProof/>
        </w:rPr>
        <w:instrText xml:space="preserve"> PAGEREF _Toc429469444 \h </w:instrText>
      </w:r>
      <w:r>
        <w:rPr>
          <w:noProof/>
        </w:rPr>
      </w:r>
      <w:r>
        <w:rPr>
          <w:noProof/>
        </w:rPr>
        <w:fldChar w:fldCharType="separate"/>
      </w:r>
      <w:r w:rsidR="00F239E5">
        <w:rPr>
          <w:noProof/>
        </w:rPr>
        <w:t>7</w:t>
      </w:r>
      <w:r>
        <w:rPr>
          <w:noProof/>
        </w:rPr>
        <w:fldChar w:fldCharType="end"/>
      </w:r>
    </w:p>
    <w:p w:rsidR="00134BF6" w:rsidRDefault="00134BF6">
      <w:pPr>
        <w:pStyle w:val="TOC2"/>
        <w:rPr>
          <w:rFonts w:asciiTheme="minorHAnsi" w:eastAsiaTheme="minorEastAsia" w:hAnsiTheme="minorHAnsi" w:cstheme="minorBidi"/>
          <w:noProof/>
          <w:szCs w:val="22"/>
          <w:lang w:eastAsia="en-NZ"/>
        </w:rPr>
      </w:pPr>
      <w:r>
        <w:rPr>
          <w:noProof/>
        </w:rPr>
        <w:t>Policy framework for considering company taxation</w:t>
      </w:r>
      <w:r>
        <w:rPr>
          <w:noProof/>
        </w:rPr>
        <w:tab/>
      </w:r>
      <w:r>
        <w:rPr>
          <w:noProof/>
        </w:rPr>
        <w:fldChar w:fldCharType="begin"/>
      </w:r>
      <w:r>
        <w:rPr>
          <w:noProof/>
        </w:rPr>
        <w:instrText xml:space="preserve"> PAGEREF _Toc429469445 \h </w:instrText>
      </w:r>
      <w:r>
        <w:rPr>
          <w:noProof/>
        </w:rPr>
      </w:r>
      <w:r>
        <w:rPr>
          <w:noProof/>
        </w:rPr>
        <w:fldChar w:fldCharType="separate"/>
      </w:r>
      <w:r w:rsidR="00F239E5">
        <w:rPr>
          <w:noProof/>
        </w:rPr>
        <w:t>7</w:t>
      </w:r>
      <w:r>
        <w:rPr>
          <w:noProof/>
        </w:rPr>
        <w:fldChar w:fldCharType="end"/>
      </w:r>
    </w:p>
    <w:p w:rsidR="00134BF6" w:rsidRDefault="00134BF6">
      <w:pPr>
        <w:pStyle w:val="TOC2"/>
        <w:rPr>
          <w:rFonts w:asciiTheme="minorHAnsi" w:eastAsiaTheme="minorEastAsia" w:hAnsiTheme="minorHAnsi" w:cstheme="minorBidi"/>
          <w:noProof/>
          <w:szCs w:val="22"/>
          <w:lang w:eastAsia="en-NZ"/>
        </w:rPr>
      </w:pPr>
      <w:r>
        <w:rPr>
          <w:noProof/>
        </w:rPr>
        <w:t>Target audience for the LTC rules</w:t>
      </w:r>
      <w:r>
        <w:rPr>
          <w:noProof/>
        </w:rPr>
        <w:tab/>
      </w:r>
      <w:r>
        <w:rPr>
          <w:noProof/>
        </w:rPr>
        <w:fldChar w:fldCharType="begin"/>
      </w:r>
      <w:r>
        <w:rPr>
          <w:noProof/>
        </w:rPr>
        <w:instrText xml:space="preserve"> PAGEREF _Toc429469446 \h </w:instrText>
      </w:r>
      <w:r>
        <w:rPr>
          <w:noProof/>
        </w:rPr>
      </w:r>
      <w:r>
        <w:rPr>
          <w:noProof/>
        </w:rPr>
        <w:fldChar w:fldCharType="separate"/>
      </w:r>
      <w:r w:rsidR="00F239E5">
        <w:rPr>
          <w:noProof/>
        </w:rPr>
        <w:t>12</w:t>
      </w:r>
      <w:r>
        <w:rPr>
          <w:noProof/>
        </w:rPr>
        <w:fldChar w:fldCharType="end"/>
      </w:r>
    </w:p>
    <w:p w:rsidR="00134BF6" w:rsidRDefault="00134BF6">
      <w:pPr>
        <w:pStyle w:val="TOC2"/>
        <w:rPr>
          <w:rFonts w:asciiTheme="minorHAnsi" w:eastAsiaTheme="minorEastAsia" w:hAnsiTheme="minorHAnsi" w:cstheme="minorBidi"/>
          <w:noProof/>
          <w:szCs w:val="22"/>
          <w:lang w:eastAsia="en-NZ"/>
        </w:rPr>
      </w:pPr>
      <w:r>
        <w:rPr>
          <w:noProof/>
        </w:rPr>
        <w:t>Treatment of capital gains</w:t>
      </w:r>
      <w:r>
        <w:rPr>
          <w:noProof/>
        </w:rPr>
        <w:tab/>
      </w:r>
      <w:r>
        <w:rPr>
          <w:noProof/>
        </w:rPr>
        <w:fldChar w:fldCharType="begin"/>
      </w:r>
      <w:r>
        <w:rPr>
          <w:noProof/>
        </w:rPr>
        <w:instrText xml:space="preserve"> PAGEREF _Toc429469447 \h </w:instrText>
      </w:r>
      <w:r>
        <w:rPr>
          <w:noProof/>
        </w:rPr>
      </w:r>
      <w:r>
        <w:rPr>
          <w:noProof/>
        </w:rPr>
        <w:fldChar w:fldCharType="separate"/>
      </w:r>
      <w:r w:rsidR="00F239E5">
        <w:rPr>
          <w:noProof/>
        </w:rPr>
        <w:t>12</w:t>
      </w:r>
      <w:r>
        <w:rPr>
          <w:noProof/>
        </w:rPr>
        <w:fldChar w:fldCharType="end"/>
      </w:r>
    </w:p>
    <w:p w:rsidR="00134BF6" w:rsidRDefault="00134BF6">
      <w:pPr>
        <w:pStyle w:val="TOC1"/>
        <w:rPr>
          <w:rFonts w:asciiTheme="minorHAnsi" w:eastAsiaTheme="minorEastAsia" w:hAnsiTheme="minorHAnsi" w:cstheme="minorBidi"/>
          <w:b w:val="0"/>
          <w:sz w:val="22"/>
          <w:szCs w:val="22"/>
          <w:lang w:eastAsia="en-NZ"/>
        </w:rPr>
      </w:pPr>
      <w:r>
        <w:t>CHAPTER 3</w:t>
      </w:r>
      <w:r>
        <w:tab/>
      </w:r>
      <w:r w:rsidRPr="001B2034">
        <w:t>LTC entry criteria</w:t>
      </w:r>
      <w:r>
        <w:tab/>
      </w:r>
      <w:r>
        <w:fldChar w:fldCharType="begin"/>
      </w:r>
      <w:r>
        <w:instrText xml:space="preserve"> PAGEREF _Toc429469449 \h </w:instrText>
      </w:r>
      <w:r>
        <w:fldChar w:fldCharType="separate"/>
      </w:r>
      <w:r w:rsidR="00F239E5">
        <w:t>15</w:t>
      </w:r>
      <w:r>
        <w:fldChar w:fldCharType="end"/>
      </w:r>
    </w:p>
    <w:p w:rsidR="00134BF6" w:rsidRDefault="00134BF6">
      <w:pPr>
        <w:pStyle w:val="TOC2"/>
        <w:rPr>
          <w:rFonts w:asciiTheme="minorHAnsi" w:eastAsiaTheme="minorEastAsia" w:hAnsiTheme="minorHAnsi" w:cstheme="minorBidi"/>
          <w:noProof/>
          <w:szCs w:val="22"/>
          <w:lang w:eastAsia="en-NZ"/>
        </w:rPr>
      </w:pPr>
      <w:r>
        <w:rPr>
          <w:noProof/>
        </w:rPr>
        <w:t>Introduction</w:t>
      </w:r>
      <w:r>
        <w:rPr>
          <w:noProof/>
        </w:rPr>
        <w:tab/>
      </w:r>
      <w:r>
        <w:rPr>
          <w:noProof/>
        </w:rPr>
        <w:fldChar w:fldCharType="begin"/>
      </w:r>
      <w:r>
        <w:rPr>
          <w:noProof/>
        </w:rPr>
        <w:instrText xml:space="preserve"> PAGEREF _Toc429469450 \h </w:instrText>
      </w:r>
      <w:r>
        <w:rPr>
          <w:noProof/>
        </w:rPr>
      </w:r>
      <w:r>
        <w:rPr>
          <w:noProof/>
        </w:rPr>
        <w:fldChar w:fldCharType="separate"/>
      </w:r>
      <w:r w:rsidR="00F239E5">
        <w:rPr>
          <w:noProof/>
        </w:rPr>
        <w:t>15</w:t>
      </w:r>
      <w:r>
        <w:rPr>
          <w:noProof/>
        </w:rPr>
        <w:fldChar w:fldCharType="end"/>
      </w:r>
    </w:p>
    <w:p w:rsidR="00134BF6" w:rsidRDefault="00134BF6">
      <w:pPr>
        <w:pStyle w:val="TOC2"/>
        <w:rPr>
          <w:rFonts w:asciiTheme="minorHAnsi" w:eastAsiaTheme="minorEastAsia" w:hAnsiTheme="minorHAnsi" w:cstheme="minorBidi"/>
          <w:noProof/>
          <w:szCs w:val="22"/>
          <w:lang w:eastAsia="en-NZ"/>
        </w:rPr>
      </w:pPr>
      <w:r>
        <w:rPr>
          <w:noProof/>
        </w:rPr>
        <w:t>Current entry criteria</w:t>
      </w:r>
      <w:r>
        <w:rPr>
          <w:noProof/>
        </w:rPr>
        <w:tab/>
      </w:r>
      <w:r>
        <w:rPr>
          <w:noProof/>
        </w:rPr>
        <w:fldChar w:fldCharType="begin"/>
      </w:r>
      <w:r>
        <w:rPr>
          <w:noProof/>
        </w:rPr>
        <w:instrText xml:space="preserve"> PAGEREF _Toc429469451 \h </w:instrText>
      </w:r>
      <w:r>
        <w:rPr>
          <w:noProof/>
        </w:rPr>
      </w:r>
      <w:r>
        <w:rPr>
          <w:noProof/>
        </w:rPr>
        <w:fldChar w:fldCharType="separate"/>
      </w:r>
      <w:r w:rsidR="00F239E5">
        <w:rPr>
          <w:noProof/>
        </w:rPr>
        <w:t>15</w:t>
      </w:r>
      <w:r>
        <w:rPr>
          <w:noProof/>
        </w:rPr>
        <w:fldChar w:fldCharType="end"/>
      </w:r>
    </w:p>
    <w:p w:rsidR="00134BF6" w:rsidRDefault="00134BF6">
      <w:pPr>
        <w:pStyle w:val="TOC2"/>
        <w:rPr>
          <w:rFonts w:asciiTheme="minorHAnsi" w:eastAsiaTheme="minorEastAsia" w:hAnsiTheme="minorHAnsi" w:cstheme="minorBidi"/>
          <w:noProof/>
          <w:szCs w:val="22"/>
          <w:lang w:eastAsia="en-NZ"/>
        </w:rPr>
      </w:pPr>
      <w:r>
        <w:rPr>
          <w:noProof/>
        </w:rPr>
        <w:t>Review of company requirements</w:t>
      </w:r>
      <w:r>
        <w:rPr>
          <w:noProof/>
        </w:rPr>
        <w:tab/>
      </w:r>
      <w:r>
        <w:rPr>
          <w:noProof/>
        </w:rPr>
        <w:fldChar w:fldCharType="begin"/>
      </w:r>
      <w:r>
        <w:rPr>
          <w:noProof/>
        </w:rPr>
        <w:instrText xml:space="preserve"> PAGEREF _Toc429469452 \h </w:instrText>
      </w:r>
      <w:r>
        <w:rPr>
          <w:noProof/>
        </w:rPr>
      </w:r>
      <w:r>
        <w:rPr>
          <w:noProof/>
        </w:rPr>
        <w:fldChar w:fldCharType="separate"/>
      </w:r>
      <w:r w:rsidR="00F239E5">
        <w:rPr>
          <w:noProof/>
        </w:rPr>
        <w:t>16</w:t>
      </w:r>
      <w:r>
        <w:rPr>
          <w:noProof/>
        </w:rPr>
        <w:fldChar w:fldCharType="end"/>
      </w:r>
    </w:p>
    <w:p w:rsidR="00134BF6" w:rsidRDefault="00134BF6">
      <w:pPr>
        <w:pStyle w:val="TOC2"/>
        <w:rPr>
          <w:rFonts w:asciiTheme="minorHAnsi" w:eastAsiaTheme="minorEastAsia" w:hAnsiTheme="minorHAnsi" w:cstheme="minorBidi"/>
          <w:noProof/>
          <w:szCs w:val="22"/>
          <w:lang w:eastAsia="en-NZ"/>
        </w:rPr>
      </w:pPr>
      <w:r>
        <w:rPr>
          <w:noProof/>
        </w:rPr>
        <w:t>Review of shareholder requirements</w:t>
      </w:r>
      <w:r>
        <w:rPr>
          <w:noProof/>
        </w:rPr>
        <w:tab/>
      </w:r>
      <w:r>
        <w:rPr>
          <w:noProof/>
        </w:rPr>
        <w:fldChar w:fldCharType="begin"/>
      </w:r>
      <w:r>
        <w:rPr>
          <w:noProof/>
        </w:rPr>
        <w:instrText xml:space="preserve"> PAGEREF _Toc429469453 \h </w:instrText>
      </w:r>
      <w:r>
        <w:rPr>
          <w:noProof/>
        </w:rPr>
      </w:r>
      <w:r>
        <w:rPr>
          <w:noProof/>
        </w:rPr>
        <w:fldChar w:fldCharType="separate"/>
      </w:r>
      <w:r w:rsidR="00F239E5">
        <w:rPr>
          <w:noProof/>
        </w:rPr>
        <w:t>17</w:t>
      </w:r>
      <w:r>
        <w:rPr>
          <w:noProof/>
        </w:rPr>
        <w:fldChar w:fldCharType="end"/>
      </w:r>
    </w:p>
    <w:p w:rsidR="00134BF6" w:rsidRDefault="00134BF6">
      <w:pPr>
        <w:pStyle w:val="TOC1"/>
        <w:rPr>
          <w:rFonts w:asciiTheme="minorHAnsi" w:eastAsiaTheme="minorEastAsia" w:hAnsiTheme="minorHAnsi" w:cstheme="minorBidi"/>
          <w:b w:val="0"/>
          <w:sz w:val="22"/>
          <w:szCs w:val="22"/>
          <w:lang w:eastAsia="en-NZ"/>
        </w:rPr>
      </w:pPr>
      <w:r>
        <w:t>CHAPTER 4</w:t>
      </w:r>
      <w:r>
        <w:tab/>
      </w:r>
      <w:r w:rsidRPr="001B2034">
        <w:t>International aspects – foreign income and non-resident ownership</w:t>
      </w:r>
      <w:r>
        <w:tab/>
      </w:r>
      <w:r>
        <w:fldChar w:fldCharType="begin"/>
      </w:r>
      <w:r>
        <w:instrText xml:space="preserve"> PAGEREF _Toc429469455 \h </w:instrText>
      </w:r>
      <w:r>
        <w:fldChar w:fldCharType="separate"/>
      </w:r>
      <w:r w:rsidR="00F239E5">
        <w:t>25</w:t>
      </w:r>
      <w:r>
        <w:fldChar w:fldCharType="end"/>
      </w:r>
    </w:p>
    <w:p w:rsidR="00134BF6" w:rsidRDefault="00134BF6">
      <w:pPr>
        <w:pStyle w:val="TOC2"/>
        <w:rPr>
          <w:rFonts w:asciiTheme="minorHAnsi" w:eastAsiaTheme="minorEastAsia" w:hAnsiTheme="minorHAnsi" w:cstheme="minorBidi"/>
          <w:noProof/>
          <w:szCs w:val="22"/>
          <w:lang w:eastAsia="en-NZ"/>
        </w:rPr>
      </w:pPr>
      <w:r>
        <w:rPr>
          <w:noProof/>
        </w:rPr>
        <w:t>Introduction</w:t>
      </w:r>
      <w:r>
        <w:rPr>
          <w:noProof/>
        </w:rPr>
        <w:tab/>
      </w:r>
      <w:r>
        <w:rPr>
          <w:noProof/>
        </w:rPr>
        <w:fldChar w:fldCharType="begin"/>
      </w:r>
      <w:r>
        <w:rPr>
          <w:noProof/>
        </w:rPr>
        <w:instrText xml:space="preserve"> PAGEREF _Toc429469456 \h </w:instrText>
      </w:r>
      <w:r>
        <w:rPr>
          <w:noProof/>
        </w:rPr>
      </w:r>
      <w:r>
        <w:rPr>
          <w:noProof/>
        </w:rPr>
        <w:fldChar w:fldCharType="separate"/>
      </w:r>
      <w:r w:rsidR="00F239E5">
        <w:rPr>
          <w:noProof/>
        </w:rPr>
        <w:t>25</w:t>
      </w:r>
      <w:r>
        <w:rPr>
          <w:noProof/>
        </w:rPr>
        <w:fldChar w:fldCharType="end"/>
      </w:r>
    </w:p>
    <w:p w:rsidR="00134BF6" w:rsidRDefault="00134BF6">
      <w:pPr>
        <w:pStyle w:val="TOC2"/>
        <w:rPr>
          <w:rFonts w:asciiTheme="minorHAnsi" w:eastAsiaTheme="minorEastAsia" w:hAnsiTheme="minorHAnsi" w:cstheme="minorBidi"/>
          <w:noProof/>
          <w:szCs w:val="22"/>
          <w:lang w:eastAsia="en-NZ"/>
        </w:rPr>
      </w:pPr>
      <w:r>
        <w:rPr>
          <w:noProof/>
        </w:rPr>
        <w:t>Policy considerations</w:t>
      </w:r>
      <w:r>
        <w:rPr>
          <w:noProof/>
        </w:rPr>
        <w:tab/>
      </w:r>
      <w:r>
        <w:rPr>
          <w:noProof/>
        </w:rPr>
        <w:fldChar w:fldCharType="begin"/>
      </w:r>
      <w:r>
        <w:rPr>
          <w:noProof/>
        </w:rPr>
        <w:instrText xml:space="preserve"> PAGEREF _Toc429469457 \h </w:instrText>
      </w:r>
      <w:r>
        <w:rPr>
          <w:noProof/>
        </w:rPr>
      </w:r>
      <w:r>
        <w:rPr>
          <w:noProof/>
        </w:rPr>
        <w:fldChar w:fldCharType="separate"/>
      </w:r>
      <w:r w:rsidR="00F239E5">
        <w:rPr>
          <w:noProof/>
        </w:rPr>
        <w:t>25</w:t>
      </w:r>
      <w:r>
        <w:rPr>
          <w:noProof/>
        </w:rPr>
        <w:fldChar w:fldCharType="end"/>
      </w:r>
    </w:p>
    <w:p w:rsidR="00134BF6" w:rsidRDefault="00134BF6">
      <w:pPr>
        <w:pStyle w:val="TOC2"/>
        <w:rPr>
          <w:rFonts w:asciiTheme="minorHAnsi" w:eastAsiaTheme="minorEastAsia" w:hAnsiTheme="minorHAnsi" w:cstheme="minorBidi"/>
          <w:noProof/>
          <w:szCs w:val="22"/>
          <w:lang w:eastAsia="en-NZ"/>
        </w:rPr>
      </w:pPr>
      <w:r>
        <w:rPr>
          <w:noProof/>
        </w:rPr>
        <w:t>Proposed approach</w:t>
      </w:r>
      <w:r>
        <w:rPr>
          <w:noProof/>
        </w:rPr>
        <w:tab/>
      </w:r>
      <w:r>
        <w:rPr>
          <w:noProof/>
        </w:rPr>
        <w:fldChar w:fldCharType="begin"/>
      </w:r>
      <w:r>
        <w:rPr>
          <w:noProof/>
        </w:rPr>
        <w:instrText xml:space="preserve"> PAGEREF _Toc429469458 \h </w:instrText>
      </w:r>
      <w:r>
        <w:rPr>
          <w:noProof/>
        </w:rPr>
      </w:r>
      <w:r>
        <w:rPr>
          <w:noProof/>
        </w:rPr>
        <w:fldChar w:fldCharType="separate"/>
      </w:r>
      <w:r w:rsidR="00F239E5">
        <w:rPr>
          <w:noProof/>
        </w:rPr>
        <w:t>28</w:t>
      </w:r>
      <w:r>
        <w:rPr>
          <w:noProof/>
        </w:rPr>
        <w:fldChar w:fldCharType="end"/>
      </w:r>
    </w:p>
    <w:p w:rsidR="00134BF6" w:rsidRDefault="00134BF6">
      <w:pPr>
        <w:pStyle w:val="TOC1"/>
        <w:rPr>
          <w:rFonts w:asciiTheme="minorHAnsi" w:eastAsiaTheme="minorEastAsia" w:hAnsiTheme="minorHAnsi" w:cstheme="minorBidi"/>
          <w:b w:val="0"/>
          <w:sz w:val="22"/>
          <w:szCs w:val="22"/>
          <w:lang w:eastAsia="en-NZ"/>
        </w:rPr>
      </w:pPr>
      <w:r>
        <w:t>CHAPTER 5</w:t>
      </w:r>
      <w:r>
        <w:tab/>
      </w:r>
      <w:r w:rsidRPr="001B2034">
        <w:t>Deduction limitation rule</w:t>
      </w:r>
      <w:r>
        <w:tab/>
      </w:r>
      <w:r>
        <w:fldChar w:fldCharType="begin"/>
      </w:r>
      <w:r>
        <w:instrText xml:space="preserve"> PAGEREF _Toc429469460 \h </w:instrText>
      </w:r>
      <w:r>
        <w:fldChar w:fldCharType="separate"/>
      </w:r>
      <w:r w:rsidR="00F239E5">
        <w:t>29</w:t>
      </w:r>
      <w:r>
        <w:fldChar w:fldCharType="end"/>
      </w:r>
    </w:p>
    <w:p w:rsidR="00134BF6" w:rsidRDefault="00134BF6">
      <w:pPr>
        <w:pStyle w:val="TOC2"/>
        <w:rPr>
          <w:rFonts w:asciiTheme="minorHAnsi" w:eastAsiaTheme="minorEastAsia" w:hAnsiTheme="minorHAnsi" w:cstheme="minorBidi"/>
          <w:noProof/>
          <w:szCs w:val="22"/>
          <w:lang w:eastAsia="en-NZ"/>
        </w:rPr>
      </w:pPr>
      <w:r>
        <w:rPr>
          <w:noProof/>
        </w:rPr>
        <w:t>Introduction</w:t>
      </w:r>
      <w:r>
        <w:rPr>
          <w:noProof/>
        </w:rPr>
        <w:tab/>
      </w:r>
      <w:r>
        <w:rPr>
          <w:noProof/>
        </w:rPr>
        <w:fldChar w:fldCharType="begin"/>
      </w:r>
      <w:r>
        <w:rPr>
          <w:noProof/>
        </w:rPr>
        <w:instrText xml:space="preserve"> PAGEREF _Toc429469461 \h </w:instrText>
      </w:r>
      <w:r>
        <w:rPr>
          <w:noProof/>
        </w:rPr>
      </w:r>
      <w:r>
        <w:rPr>
          <w:noProof/>
        </w:rPr>
        <w:fldChar w:fldCharType="separate"/>
      </w:r>
      <w:r w:rsidR="00F239E5">
        <w:rPr>
          <w:noProof/>
        </w:rPr>
        <w:t>29</w:t>
      </w:r>
      <w:r>
        <w:rPr>
          <w:noProof/>
        </w:rPr>
        <w:fldChar w:fldCharType="end"/>
      </w:r>
    </w:p>
    <w:p w:rsidR="00134BF6" w:rsidRDefault="00134BF6">
      <w:pPr>
        <w:pStyle w:val="TOC2"/>
        <w:rPr>
          <w:rFonts w:asciiTheme="minorHAnsi" w:eastAsiaTheme="minorEastAsia" w:hAnsiTheme="minorHAnsi" w:cstheme="minorBidi"/>
          <w:noProof/>
          <w:szCs w:val="22"/>
          <w:lang w:eastAsia="en-NZ"/>
        </w:rPr>
      </w:pPr>
      <w:r>
        <w:rPr>
          <w:noProof/>
        </w:rPr>
        <w:t>The current rule</w:t>
      </w:r>
      <w:r>
        <w:rPr>
          <w:noProof/>
        </w:rPr>
        <w:tab/>
      </w:r>
      <w:r>
        <w:rPr>
          <w:noProof/>
        </w:rPr>
        <w:fldChar w:fldCharType="begin"/>
      </w:r>
      <w:r>
        <w:rPr>
          <w:noProof/>
        </w:rPr>
        <w:instrText xml:space="preserve"> PAGEREF _Toc429469462 \h </w:instrText>
      </w:r>
      <w:r>
        <w:rPr>
          <w:noProof/>
        </w:rPr>
      </w:r>
      <w:r>
        <w:rPr>
          <w:noProof/>
        </w:rPr>
        <w:fldChar w:fldCharType="separate"/>
      </w:r>
      <w:r w:rsidR="00F239E5">
        <w:rPr>
          <w:noProof/>
        </w:rPr>
        <w:t>30</w:t>
      </w:r>
      <w:r>
        <w:rPr>
          <w:noProof/>
        </w:rPr>
        <w:fldChar w:fldCharType="end"/>
      </w:r>
    </w:p>
    <w:p w:rsidR="00134BF6" w:rsidRDefault="00134BF6">
      <w:pPr>
        <w:pStyle w:val="TOC2"/>
        <w:rPr>
          <w:rFonts w:asciiTheme="minorHAnsi" w:eastAsiaTheme="minorEastAsia" w:hAnsiTheme="minorHAnsi" w:cstheme="minorBidi"/>
          <w:noProof/>
          <w:szCs w:val="22"/>
          <w:lang w:eastAsia="en-NZ"/>
        </w:rPr>
      </w:pPr>
      <w:r>
        <w:rPr>
          <w:noProof/>
        </w:rPr>
        <w:t>Problems with the current rule</w:t>
      </w:r>
      <w:r>
        <w:rPr>
          <w:noProof/>
        </w:rPr>
        <w:tab/>
      </w:r>
      <w:r>
        <w:rPr>
          <w:noProof/>
        </w:rPr>
        <w:fldChar w:fldCharType="begin"/>
      </w:r>
      <w:r>
        <w:rPr>
          <w:noProof/>
        </w:rPr>
        <w:instrText xml:space="preserve"> PAGEREF _Toc429469463 \h </w:instrText>
      </w:r>
      <w:r>
        <w:rPr>
          <w:noProof/>
        </w:rPr>
      </w:r>
      <w:r>
        <w:rPr>
          <w:noProof/>
        </w:rPr>
        <w:fldChar w:fldCharType="separate"/>
      </w:r>
      <w:r w:rsidR="00F239E5">
        <w:rPr>
          <w:noProof/>
        </w:rPr>
        <w:t>32</w:t>
      </w:r>
      <w:r>
        <w:rPr>
          <w:noProof/>
        </w:rPr>
        <w:fldChar w:fldCharType="end"/>
      </w:r>
    </w:p>
    <w:p w:rsidR="00134BF6" w:rsidRDefault="00134BF6">
      <w:pPr>
        <w:pStyle w:val="TOC2"/>
        <w:rPr>
          <w:rFonts w:asciiTheme="minorHAnsi" w:eastAsiaTheme="minorEastAsia" w:hAnsiTheme="minorHAnsi" w:cstheme="minorBidi"/>
          <w:noProof/>
          <w:szCs w:val="22"/>
          <w:lang w:eastAsia="en-NZ"/>
        </w:rPr>
      </w:pPr>
      <w:r>
        <w:rPr>
          <w:noProof/>
        </w:rPr>
        <w:t>When excess deductions arise that might justify restrictions</w:t>
      </w:r>
      <w:r>
        <w:rPr>
          <w:noProof/>
        </w:rPr>
        <w:tab/>
      </w:r>
      <w:r>
        <w:rPr>
          <w:noProof/>
        </w:rPr>
        <w:fldChar w:fldCharType="begin"/>
      </w:r>
      <w:r>
        <w:rPr>
          <w:noProof/>
        </w:rPr>
        <w:instrText xml:space="preserve"> PAGEREF _Toc429469464 \h </w:instrText>
      </w:r>
      <w:r>
        <w:rPr>
          <w:noProof/>
        </w:rPr>
      </w:r>
      <w:r>
        <w:rPr>
          <w:noProof/>
        </w:rPr>
        <w:fldChar w:fldCharType="separate"/>
      </w:r>
      <w:r w:rsidR="00F239E5">
        <w:rPr>
          <w:noProof/>
        </w:rPr>
        <w:t>33</w:t>
      </w:r>
      <w:r>
        <w:rPr>
          <w:noProof/>
        </w:rPr>
        <w:fldChar w:fldCharType="end"/>
      </w:r>
    </w:p>
    <w:p w:rsidR="00134BF6" w:rsidRDefault="00134BF6">
      <w:pPr>
        <w:pStyle w:val="TOC2"/>
        <w:rPr>
          <w:rFonts w:asciiTheme="minorHAnsi" w:eastAsiaTheme="minorEastAsia" w:hAnsiTheme="minorHAnsi" w:cstheme="minorBidi"/>
          <w:noProof/>
          <w:szCs w:val="22"/>
          <w:lang w:eastAsia="en-NZ"/>
        </w:rPr>
      </w:pPr>
      <w:r>
        <w:rPr>
          <w:noProof/>
        </w:rPr>
        <w:t>Partnerships of LTCs</w:t>
      </w:r>
      <w:r>
        <w:rPr>
          <w:noProof/>
        </w:rPr>
        <w:tab/>
      </w:r>
      <w:r>
        <w:rPr>
          <w:noProof/>
        </w:rPr>
        <w:fldChar w:fldCharType="begin"/>
      </w:r>
      <w:r>
        <w:rPr>
          <w:noProof/>
        </w:rPr>
        <w:instrText xml:space="preserve"> PAGEREF _Toc429469465 \h </w:instrText>
      </w:r>
      <w:r>
        <w:rPr>
          <w:noProof/>
        </w:rPr>
      </w:r>
      <w:r>
        <w:rPr>
          <w:noProof/>
        </w:rPr>
        <w:fldChar w:fldCharType="separate"/>
      </w:r>
      <w:r w:rsidR="00F239E5">
        <w:rPr>
          <w:noProof/>
        </w:rPr>
        <w:t>35</w:t>
      </w:r>
      <w:r>
        <w:rPr>
          <w:noProof/>
        </w:rPr>
        <w:fldChar w:fldCharType="end"/>
      </w:r>
    </w:p>
    <w:p w:rsidR="00134BF6" w:rsidRDefault="00134BF6">
      <w:pPr>
        <w:pStyle w:val="TOC2"/>
        <w:rPr>
          <w:rFonts w:asciiTheme="minorHAnsi" w:eastAsiaTheme="minorEastAsia" w:hAnsiTheme="minorHAnsi" w:cstheme="minorBidi"/>
          <w:noProof/>
          <w:szCs w:val="22"/>
          <w:lang w:eastAsia="en-NZ"/>
        </w:rPr>
      </w:pPr>
      <w:r>
        <w:rPr>
          <w:noProof/>
        </w:rPr>
        <w:t>Transitional arrangements</w:t>
      </w:r>
      <w:r>
        <w:rPr>
          <w:noProof/>
        </w:rPr>
        <w:tab/>
      </w:r>
      <w:r>
        <w:rPr>
          <w:noProof/>
        </w:rPr>
        <w:fldChar w:fldCharType="begin"/>
      </w:r>
      <w:r>
        <w:rPr>
          <w:noProof/>
        </w:rPr>
        <w:instrText xml:space="preserve"> PAGEREF _Toc429469466 \h </w:instrText>
      </w:r>
      <w:r>
        <w:rPr>
          <w:noProof/>
        </w:rPr>
      </w:r>
      <w:r>
        <w:rPr>
          <w:noProof/>
        </w:rPr>
        <w:fldChar w:fldCharType="separate"/>
      </w:r>
      <w:r w:rsidR="00F239E5">
        <w:rPr>
          <w:noProof/>
        </w:rPr>
        <w:t>36</w:t>
      </w:r>
      <w:r>
        <w:rPr>
          <w:noProof/>
        </w:rPr>
        <w:fldChar w:fldCharType="end"/>
      </w:r>
    </w:p>
    <w:p w:rsidR="00134BF6" w:rsidRDefault="00134BF6">
      <w:pPr>
        <w:pStyle w:val="TOC2"/>
        <w:rPr>
          <w:rFonts w:asciiTheme="minorHAnsi" w:eastAsiaTheme="minorEastAsia" w:hAnsiTheme="minorHAnsi" w:cstheme="minorBidi"/>
          <w:noProof/>
          <w:szCs w:val="22"/>
          <w:lang w:eastAsia="en-NZ"/>
        </w:rPr>
      </w:pPr>
      <w:r>
        <w:rPr>
          <w:noProof/>
        </w:rPr>
        <w:t>Technical changes to the deduction limitation rule</w:t>
      </w:r>
      <w:r>
        <w:rPr>
          <w:noProof/>
        </w:rPr>
        <w:tab/>
      </w:r>
      <w:r>
        <w:rPr>
          <w:noProof/>
        </w:rPr>
        <w:fldChar w:fldCharType="begin"/>
      </w:r>
      <w:r>
        <w:rPr>
          <w:noProof/>
        </w:rPr>
        <w:instrText xml:space="preserve"> PAGEREF _Toc429469467 \h </w:instrText>
      </w:r>
      <w:r>
        <w:rPr>
          <w:noProof/>
        </w:rPr>
      </w:r>
      <w:r>
        <w:rPr>
          <w:noProof/>
        </w:rPr>
        <w:fldChar w:fldCharType="separate"/>
      </w:r>
      <w:r w:rsidR="00F239E5">
        <w:rPr>
          <w:noProof/>
        </w:rPr>
        <w:t>36</w:t>
      </w:r>
      <w:r>
        <w:rPr>
          <w:noProof/>
        </w:rPr>
        <w:fldChar w:fldCharType="end"/>
      </w:r>
    </w:p>
    <w:p w:rsidR="00134BF6" w:rsidRDefault="00134BF6">
      <w:pPr>
        <w:pStyle w:val="TOC2"/>
        <w:rPr>
          <w:rFonts w:asciiTheme="minorHAnsi" w:eastAsiaTheme="minorEastAsia" w:hAnsiTheme="minorHAnsi" w:cstheme="minorBidi"/>
          <w:noProof/>
          <w:szCs w:val="22"/>
          <w:lang w:eastAsia="en-NZ"/>
        </w:rPr>
      </w:pPr>
      <w:r>
        <w:rPr>
          <w:noProof/>
        </w:rPr>
        <w:t>Possible alternative rule</w:t>
      </w:r>
      <w:r>
        <w:rPr>
          <w:noProof/>
        </w:rPr>
        <w:tab/>
      </w:r>
      <w:r>
        <w:rPr>
          <w:noProof/>
        </w:rPr>
        <w:fldChar w:fldCharType="begin"/>
      </w:r>
      <w:r>
        <w:rPr>
          <w:noProof/>
        </w:rPr>
        <w:instrText xml:space="preserve"> PAGEREF _Toc429469468 \h </w:instrText>
      </w:r>
      <w:r>
        <w:rPr>
          <w:noProof/>
        </w:rPr>
      </w:r>
      <w:r>
        <w:rPr>
          <w:noProof/>
        </w:rPr>
        <w:fldChar w:fldCharType="separate"/>
      </w:r>
      <w:r w:rsidR="00F239E5">
        <w:rPr>
          <w:noProof/>
        </w:rPr>
        <w:t>37</w:t>
      </w:r>
      <w:r>
        <w:rPr>
          <w:noProof/>
        </w:rPr>
        <w:fldChar w:fldCharType="end"/>
      </w:r>
    </w:p>
    <w:p w:rsidR="00134BF6" w:rsidRDefault="00134BF6">
      <w:pPr>
        <w:pStyle w:val="TOC1"/>
        <w:rPr>
          <w:rFonts w:asciiTheme="minorHAnsi" w:eastAsiaTheme="minorEastAsia" w:hAnsiTheme="minorHAnsi" w:cstheme="minorBidi"/>
          <w:b w:val="0"/>
          <w:sz w:val="22"/>
          <w:szCs w:val="22"/>
          <w:lang w:eastAsia="en-NZ"/>
        </w:rPr>
      </w:pPr>
      <w:r>
        <w:t>CHAPTER 6</w:t>
      </w:r>
      <w:r>
        <w:tab/>
      </w:r>
      <w:r w:rsidRPr="001B2034">
        <w:t>Qualifying companies</w:t>
      </w:r>
      <w:r>
        <w:tab/>
      </w:r>
      <w:r>
        <w:fldChar w:fldCharType="begin"/>
      </w:r>
      <w:r>
        <w:instrText xml:space="preserve"> PAGEREF _Toc429469470 \h </w:instrText>
      </w:r>
      <w:r>
        <w:fldChar w:fldCharType="separate"/>
      </w:r>
      <w:r w:rsidR="00F239E5">
        <w:t>39</w:t>
      </w:r>
      <w:r>
        <w:fldChar w:fldCharType="end"/>
      </w:r>
    </w:p>
    <w:p w:rsidR="00134BF6" w:rsidRDefault="00134BF6">
      <w:pPr>
        <w:pStyle w:val="TOC2"/>
        <w:rPr>
          <w:rFonts w:asciiTheme="minorHAnsi" w:eastAsiaTheme="minorEastAsia" w:hAnsiTheme="minorHAnsi" w:cstheme="minorBidi"/>
          <w:noProof/>
          <w:szCs w:val="22"/>
          <w:lang w:eastAsia="en-NZ"/>
        </w:rPr>
      </w:pPr>
      <w:r>
        <w:rPr>
          <w:noProof/>
        </w:rPr>
        <w:t>What should be done about those companies that remain as QCs?</w:t>
      </w:r>
      <w:r>
        <w:rPr>
          <w:noProof/>
        </w:rPr>
        <w:tab/>
      </w:r>
      <w:r>
        <w:rPr>
          <w:noProof/>
        </w:rPr>
        <w:fldChar w:fldCharType="begin"/>
      </w:r>
      <w:r>
        <w:rPr>
          <w:noProof/>
        </w:rPr>
        <w:instrText xml:space="preserve"> PAGEREF _Toc429469471 \h </w:instrText>
      </w:r>
      <w:r>
        <w:rPr>
          <w:noProof/>
        </w:rPr>
      </w:r>
      <w:r>
        <w:rPr>
          <w:noProof/>
        </w:rPr>
        <w:fldChar w:fldCharType="separate"/>
      </w:r>
      <w:r w:rsidR="00F239E5">
        <w:rPr>
          <w:noProof/>
        </w:rPr>
        <w:t>39</w:t>
      </w:r>
      <w:r>
        <w:rPr>
          <w:noProof/>
        </w:rPr>
        <w:fldChar w:fldCharType="end"/>
      </w:r>
    </w:p>
    <w:p w:rsidR="00134BF6" w:rsidRDefault="00134BF6">
      <w:pPr>
        <w:pStyle w:val="TOC2"/>
        <w:rPr>
          <w:rFonts w:asciiTheme="minorHAnsi" w:eastAsiaTheme="minorEastAsia" w:hAnsiTheme="minorHAnsi" w:cstheme="minorBidi"/>
          <w:noProof/>
          <w:szCs w:val="22"/>
          <w:lang w:eastAsia="en-NZ"/>
        </w:rPr>
      </w:pPr>
      <w:r>
        <w:rPr>
          <w:noProof/>
        </w:rPr>
        <w:t>Proposed approach</w:t>
      </w:r>
      <w:r>
        <w:rPr>
          <w:noProof/>
        </w:rPr>
        <w:tab/>
      </w:r>
      <w:r>
        <w:rPr>
          <w:noProof/>
        </w:rPr>
        <w:fldChar w:fldCharType="begin"/>
      </w:r>
      <w:r>
        <w:rPr>
          <w:noProof/>
        </w:rPr>
        <w:instrText xml:space="preserve"> PAGEREF _Toc429469472 \h </w:instrText>
      </w:r>
      <w:r>
        <w:rPr>
          <w:noProof/>
        </w:rPr>
      </w:r>
      <w:r>
        <w:rPr>
          <w:noProof/>
        </w:rPr>
        <w:fldChar w:fldCharType="separate"/>
      </w:r>
      <w:r w:rsidR="00F239E5">
        <w:rPr>
          <w:noProof/>
        </w:rPr>
        <w:t>39</w:t>
      </w:r>
      <w:r>
        <w:rPr>
          <w:noProof/>
        </w:rPr>
        <w:fldChar w:fldCharType="end"/>
      </w:r>
    </w:p>
    <w:p w:rsidR="00134BF6" w:rsidRDefault="00134BF6">
      <w:pPr>
        <w:pStyle w:val="TOC1"/>
        <w:rPr>
          <w:rFonts w:asciiTheme="minorHAnsi" w:eastAsiaTheme="minorEastAsia" w:hAnsiTheme="minorHAnsi" w:cstheme="minorBidi"/>
          <w:b w:val="0"/>
          <w:sz w:val="22"/>
          <w:szCs w:val="22"/>
          <w:lang w:eastAsia="en-NZ"/>
        </w:rPr>
      </w:pPr>
      <w:r>
        <w:t>CHAPTER 7</w:t>
      </w:r>
      <w:r>
        <w:tab/>
      </w:r>
      <w:r w:rsidRPr="001B2034">
        <w:t>Transitioning into the LTC regime</w:t>
      </w:r>
      <w:r>
        <w:tab/>
      </w:r>
      <w:r>
        <w:fldChar w:fldCharType="begin"/>
      </w:r>
      <w:r>
        <w:instrText xml:space="preserve"> PAGEREF _Toc429469474 \h </w:instrText>
      </w:r>
      <w:r>
        <w:fldChar w:fldCharType="separate"/>
      </w:r>
      <w:r w:rsidR="00F239E5">
        <w:t>41</w:t>
      </w:r>
      <w:r>
        <w:fldChar w:fldCharType="end"/>
      </w:r>
    </w:p>
    <w:p w:rsidR="00134BF6" w:rsidRDefault="00134BF6">
      <w:pPr>
        <w:pStyle w:val="TOC2"/>
        <w:rPr>
          <w:rFonts w:asciiTheme="minorHAnsi" w:eastAsiaTheme="minorEastAsia" w:hAnsiTheme="minorHAnsi" w:cstheme="minorBidi"/>
          <w:noProof/>
          <w:szCs w:val="22"/>
          <w:lang w:eastAsia="en-NZ"/>
        </w:rPr>
      </w:pPr>
      <w:r>
        <w:rPr>
          <w:noProof/>
        </w:rPr>
        <w:t>Introduction</w:t>
      </w:r>
      <w:r>
        <w:rPr>
          <w:noProof/>
        </w:rPr>
        <w:tab/>
      </w:r>
      <w:r>
        <w:rPr>
          <w:noProof/>
        </w:rPr>
        <w:fldChar w:fldCharType="begin"/>
      </w:r>
      <w:r>
        <w:rPr>
          <w:noProof/>
        </w:rPr>
        <w:instrText xml:space="preserve"> PAGEREF _Toc429469475 \h </w:instrText>
      </w:r>
      <w:r>
        <w:rPr>
          <w:noProof/>
        </w:rPr>
      </w:r>
      <w:r>
        <w:rPr>
          <w:noProof/>
        </w:rPr>
        <w:fldChar w:fldCharType="separate"/>
      </w:r>
      <w:r w:rsidR="00F239E5">
        <w:rPr>
          <w:noProof/>
        </w:rPr>
        <w:t>41</w:t>
      </w:r>
      <w:r>
        <w:rPr>
          <w:noProof/>
        </w:rPr>
        <w:fldChar w:fldCharType="end"/>
      </w:r>
    </w:p>
    <w:p w:rsidR="00134BF6" w:rsidRDefault="00134BF6">
      <w:pPr>
        <w:pStyle w:val="TOC2"/>
        <w:rPr>
          <w:rFonts w:asciiTheme="minorHAnsi" w:eastAsiaTheme="minorEastAsia" w:hAnsiTheme="minorHAnsi" w:cstheme="minorBidi"/>
          <w:noProof/>
          <w:szCs w:val="22"/>
          <w:lang w:eastAsia="en-NZ"/>
        </w:rPr>
      </w:pPr>
      <w:r>
        <w:rPr>
          <w:noProof/>
        </w:rPr>
        <w:t>Entry formula</w:t>
      </w:r>
      <w:r>
        <w:rPr>
          <w:noProof/>
        </w:rPr>
        <w:tab/>
      </w:r>
      <w:r>
        <w:rPr>
          <w:noProof/>
        </w:rPr>
        <w:fldChar w:fldCharType="begin"/>
      </w:r>
      <w:r>
        <w:rPr>
          <w:noProof/>
        </w:rPr>
        <w:instrText xml:space="preserve"> PAGEREF _Toc429469476 \h </w:instrText>
      </w:r>
      <w:r>
        <w:rPr>
          <w:noProof/>
        </w:rPr>
      </w:r>
      <w:r>
        <w:rPr>
          <w:noProof/>
        </w:rPr>
        <w:fldChar w:fldCharType="separate"/>
      </w:r>
      <w:r w:rsidR="00F239E5">
        <w:rPr>
          <w:noProof/>
        </w:rPr>
        <w:t>41</w:t>
      </w:r>
      <w:r>
        <w:rPr>
          <w:noProof/>
        </w:rPr>
        <w:fldChar w:fldCharType="end"/>
      </w:r>
    </w:p>
    <w:p w:rsidR="00134BF6" w:rsidRDefault="00134BF6">
      <w:pPr>
        <w:pStyle w:val="TOC2"/>
        <w:rPr>
          <w:rFonts w:asciiTheme="minorHAnsi" w:eastAsiaTheme="minorEastAsia" w:hAnsiTheme="minorHAnsi" w:cstheme="minorBidi"/>
          <w:noProof/>
          <w:szCs w:val="22"/>
          <w:lang w:eastAsia="en-NZ"/>
        </w:rPr>
      </w:pPr>
      <w:r>
        <w:rPr>
          <w:noProof/>
        </w:rPr>
        <w:t>QCs transitioning to LTCs</w:t>
      </w:r>
      <w:r>
        <w:rPr>
          <w:noProof/>
        </w:rPr>
        <w:tab/>
      </w:r>
      <w:r>
        <w:rPr>
          <w:noProof/>
        </w:rPr>
        <w:fldChar w:fldCharType="begin"/>
      </w:r>
      <w:r>
        <w:rPr>
          <w:noProof/>
        </w:rPr>
        <w:instrText xml:space="preserve"> PAGEREF _Toc429469477 \h </w:instrText>
      </w:r>
      <w:r>
        <w:rPr>
          <w:noProof/>
        </w:rPr>
      </w:r>
      <w:r>
        <w:rPr>
          <w:noProof/>
        </w:rPr>
        <w:fldChar w:fldCharType="separate"/>
      </w:r>
      <w:r w:rsidR="00F239E5">
        <w:rPr>
          <w:noProof/>
        </w:rPr>
        <w:t>43</w:t>
      </w:r>
      <w:r>
        <w:rPr>
          <w:noProof/>
        </w:rPr>
        <w:fldChar w:fldCharType="end"/>
      </w:r>
    </w:p>
    <w:p w:rsidR="00134BF6" w:rsidRDefault="00134BF6">
      <w:pPr>
        <w:pStyle w:val="TOC2"/>
        <w:rPr>
          <w:rFonts w:asciiTheme="minorHAnsi" w:eastAsiaTheme="minorEastAsia" w:hAnsiTheme="minorHAnsi" w:cstheme="minorBidi"/>
          <w:noProof/>
          <w:szCs w:val="22"/>
          <w:lang w:eastAsia="en-NZ"/>
        </w:rPr>
      </w:pPr>
      <w:r>
        <w:rPr>
          <w:noProof/>
        </w:rPr>
        <w:t>Values at time of entry</w:t>
      </w:r>
      <w:r>
        <w:rPr>
          <w:noProof/>
        </w:rPr>
        <w:tab/>
      </w:r>
      <w:r>
        <w:rPr>
          <w:noProof/>
        </w:rPr>
        <w:fldChar w:fldCharType="begin"/>
      </w:r>
      <w:r>
        <w:rPr>
          <w:noProof/>
        </w:rPr>
        <w:instrText xml:space="preserve"> PAGEREF _Toc429469478 \h </w:instrText>
      </w:r>
      <w:r>
        <w:rPr>
          <w:noProof/>
        </w:rPr>
      </w:r>
      <w:r>
        <w:rPr>
          <w:noProof/>
        </w:rPr>
        <w:fldChar w:fldCharType="separate"/>
      </w:r>
      <w:r w:rsidR="00F239E5">
        <w:rPr>
          <w:noProof/>
        </w:rPr>
        <w:t>43</w:t>
      </w:r>
      <w:r>
        <w:rPr>
          <w:noProof/>
        </w:rPr>
        <w:fldChar w:fldCharType="end"/>
      </w:r>
    </w:p>
    <w:p w:rsidR="00DC1BC0" w:rsidRDefault="00DC1BC0">
      <w:pPr>
        <w:pStyle w:val="TOC1"/>
      </w:pPr>
    </w:p>
    <w:p w:rsidR="00134BF6" w:rsidRDefault="00134BF6">
      <w:pPr>
        <w:pStyle w:val="TOC1"/>
        <w:rPr>
          <w:rFonts w:asciiTheme="minorHAnsi" w:eastAsiaTheme="minorEastAsia" w:hAnsiTheme="minorHAnsi" w:cstheme="minorBidi"/>
          <w:b w:val="0"/>
          <w:sz w:val="22"/>
          <w:szCs w:val="22"/>
          <w:lang w:eastAsia="en-NZ"/>
        </w:rPr>
      </w:pPr>
      <w:r>
        <w:t>CHAPTER 8</w:t>
      </w:r>
      <w:r>
        <w:tab/>
      </w:r>
      <w:r w:rsidRPr="001B2034">
        <w:t>Debt remission</w:t>
      </w:r>
      <w:r>
        <w:tab/>
      </w:r>
      <w:r>
        <w:fldChar w:fldCharType="begin"/>
      </w:r>
      <w:r>
        <w:instrText xml:space="preserve"> PAGEREF _Toc429469480 \h </w:instrText>
      </w:r>
      <w:r>
        <w:fldChar w:fldCharType="separate"/>
      </w:r>
      <w:r w:rsidR="00F239E5">
        <w:t>45</w:t>
      </w:r>
      <w:r>
        <w:fldChar w:fldCharType="end"/>
      </w:r>
    </w:p>
    <w:p w:rsidR="00134BF6" w:rsidRDefault="00134BF6">
      <w:pPr>
        <w:pStyle w:val="TOC2"/>
        <w:rPr>
          <w:rFonts w:asciiTheme="minorHAnsi" w:eastAsiaTheme="minorEastAsia" w:hAnsiTheme="minorHAnsi" w:cstheme="minorBidi"/>
          <w:noProof/>
          <w:szCs w:val="22"/>
          <w:lang w:eastAsia="en-NZ"/>
        </w:rPr>
      </w:pPr>
      <w:r>
        <w:rPr>
          <w:noProof/>
        </w:rPr>
        <w:t>Introduction</w:t>
      </w:r>
      <w:r>
        <w:rPr>
          <w:noProof/>
        </w:rPr>
        <w:tab/>
      </w:r>
      <w:r>
        <w:rPr>
          <w:noProof/>
        </w:rPr>
        <w:fldChar w:fldCharType="begin"/>
      </w:r>
      <w:r>
        <w:rPr>
          <w:noProof/>
        </w:rPr>
        <w:instrText xml:space="preserve"> PAGEREF _Toc429469481 \h </w:instrText>
      </w:r>
      <w:r>
        <w:rPr>
          <w:noProof/>
        </w:rPr>
      </w:r>
      <w:r>
        <w:rPr>
          <w:noProof/>
        </w:rPr>
        <w:fldChar w:fldCharType="separate"/>
      </w:r>
      <w:r w:rsidR="00F239E5">
        <w:rPr>
          <w:noProof/>
        </w:rPr>
        <w:t>45</w:t>
      </w:r>
      <w:r>
        <w:rPr>
          <w:noProof/>
        </w:rPr>
        <w:fldChar w:fldCharType="end"/>
      </w:r>
    </w:p>
    <w:p w:rsidR="00134BF6" w:rsidRDefault="00134BF6">
      <w:pPr>
        <w:pStyle w:val="TOC2"/>
        <w:rPr>
          <w:rFonts w:asciiTheme="minorHAnsi" w:eastAsiaTheme="minorEastAsia" w:hAnsiTheme="minorHAnsi" w:cstheme="minorBidi"/>
          <w:noProof/>
          <w:szCs w:val="22"/>
          <w:lang w:eastAsia="en-NZ"/>
        </w:rPr>
      </w:pPr>
      <w:r>
        <w:rPr>
          <w:noProof/>
        </w:rPr>
        <w:t>Related parties debt remission in asymmetric situations</w:t>
      </w:r>
      <w:r>
        <w:rPr>
          <w:noProof/>
        </w:rPr>
        <w:tab/>
      </w:r>
      <w:r>
        <w:rPr>
          <w:noProof/>
        </w:rPr>
        <w:fldChar w:fldCharType="begin"/>
      </w:r>
      <w:r>
        <w:rPr>
          <w:noProof/>
        </w:rPr>
        <w:instrText xml:space="preserve"> PAGEREF _Toc429469482 \h </w:instrText>
      </w:r>
      <w:r>
        <w:rPr>
          <w:noProof/>
        </w:rPr>
      </w:r>
      <w:r>
        <w:rPr>
          <w:noProof/>
        </w:rPr>
        <w:fldChar w:fldCharType="separate"/>
      </w:r>
      <w:r w:rsidR="00F239E5">
        <w:rPr>
          <w:noProof/>
        </w:rPr>
        <w:t>45</w:t>
      </w:r>
      <w:r>
        <w:rPr>
          <w:noProof/>
        </w:rPr>
        <w:fldChar w:fldCharType="end"/>
      </w:r>
    </w:p>
    <w:p w:rsidR="00134BF6" w:rsidRDefault="00134BF6">
      <w:pPr>
        <w:pStyle w:val="TOC2"/>
        <w:rPr>
          <w:rFonts w:asciiTheme="minorHAnsi" w:eastAsiaTheme="minorEastAsia" w:hAnsiTheme="minorHAnsi" w:cstheme="minorBidi"/>
          <w:noProof/>
          <w:szCs w:val="22"/>
          <w:lang w:eastAsia="en-NZ"/>
        </w:rPr>
      </w:pPr>
      <w:r>
        <w:rPr>
          <w:noProof/>
        </w:rPr>
        <w:t>Clarifying remission income on exiting the LTC rules</w:t>
      </w:r>
      <w:r>
        <w:rPr>
          <w:noProof/>
        </w:rPr>
        <w:tab/>
      </w:r>
      <w:r>
        <w:rPr>
          <w:noProof/>
        </w:rPr>
        <w:fldChar w:fldCharType="begin"/>
      </w:r>
      <w:r>
        <w:rPr>
          <w:noProof/>
        </w:rPr>
        <w:instrText xml:space="preserve"> PAGEREF _Toc429469483 \h </w:instrText>
      </w:r>
      <w:r>
        <w:rPr>
          <w:noProof/>
        </w:rPr>
      </w:r>
      <w:r>
        <w:rPr>
          <w:noProof/>
        </w:rPr>
        <w:fldChar w:fldCharType="separate"/>
      </w:r>
      <w:r w:rsidR="00F239E5">
        <w:rPr>
          <w:noProof/>
        </w:rPr>
        <w:t>46</w:t>
      </w:r>
      <w:r>
        <w:rPr>
          <w:noProof/>
        </w:rPr>
        <w:fldChar w:fldCharType="end"/>
      </w:r>
    </w:p>
    <w:p w:rsidR="00134BF6" w:rsidRDefault="00134BF6">
      <w:pPr>
        <w:pStyle w:val="TOC1"/>
        <w:rPr>
          <w:rFonts w:asciiTheme="minorHAnsi" w:eastAsiaTheme="minorEastAsia" w:hAnsiTheme="minorHAnsi" w:cstheme="minorBidi"/>
          <w:b w:val="0"/>
          <w:sz w:val="22"/>
          <w:szCs w:val="22"/>
          <w:lang w:eastAsia="en-NZ"/>
        </w:rPr>
      </w:pPr>
      <w:r>
        <w:t>CHAPTER 9</w:t>
      </w:r>
      <w:r>
        <w:tab/>
      </w:r>
      <w:r w:rsidRPr="001B2034">
        <w:t>Dividend simplification</w:t>
      </w:r>
      <w:r>
        <w:tab/>
      </w:r>
      <w:r>
        <w:fldChar w:fldCharType="begin"/>
      </w:r>
      <w:r>
        <w:instrText xml:space="preserve"> PAGEREF _Toc429469485 \h </w:instrText>
      </w:r>
      <w:r>
        <w:fldChar w:fldCharType="separate"/>
      </w:r>
      <w:r w:rsidR="00F239E5">
        <w:t>49</w:t>
      </w:r>
      <w:r>
        <w:fldChar w:fldCharType="end"/>
      </w:r>
    </w:p>
    <w:p w:rsidR="00134BF6" w:rsidRDefault="00134BF6">
      <w:pPr>
        <w:pStyle w:val="TOC2"/>
        <w:rPr>
          <w:rFonts w:asciiTheme="minorHAnsi" w:eastAsiaTheme="minorEastAsia" w:hAnsiTheme="minorHAnsi" w:cstheme="minorBidi"/>
          <w:noProof/>
          <w:szCs w:val="22"/>
          <w:lang w:eastAsia="en-NZ"/>
        </w:rPr>
      </w:pPr>
      <w:r>
        <w:rPr>
          <w:noProof/>
        </w:rPr>
        <w:t>Introduction</w:t>
      </w:r>
      <w:r>
        <w:rPr>
          <w:noProof/>
        </w:rPr>
        <w:tab/>
      </w:r>
      <w:r>
        <w:rPr>
          <w:noProof/>
        </w:rPr>
        <w:fldChar w:fldCharType="begin"/>
      </w:r>
      <w:r>
        <w:rPr>
          <w:noProof/>
        </w:rPr>
        <w:instrText xml:space="preserve"> PAGEREF _Toc429469486 \h </w:instrText>
      </w:r>
      <w:r>
        <w:rPr>
          <w:noProof/>
        </w:rPr>
      </w:r>
      <w:r>
        <w:rPr>
          <w:noProof/>
        </w:rPr>
        <w:fldChar w:fldCharType="separate"/>
      </w:r>
      <w:r w:rsidR="00F239E5">
        <w:rPr>
          <w:noProof/>
        </w:rPr>
        <w:t>49</w:t>
      </w:r>
      <w:r>
        <w:rPr>
          <w:noProof/>
        </w:rPr>
        <w:fldChar w:fldCharType="end"/>
      </w:r>
    </w:p>
    <w:p w:rsidR="00134BF6" w:rsidRDefault="00134BF6">
      <w:pPr>
        <w:pStyle w:val="TOC2"/>
        <w:rPr>
          <w:rFonts w:asciiTheme="minorHAnsi" w:eastAsiaTheme="minorEastAsia" w:hAnsiTheme="minorHAnsi" w:cstheme="minorBidi"/>
          <w:noProof/>
          <w:szCs w:val="22"/>
          <w:lang w:eastAsia="en-NZ"/>
        </w:rPr>
      </w:pPr>
      <w:r>
        <w:rPr>
          <w:noProof/>
        </w:rPr>
        <w:t>Tainted capital gains when capital asset sold to non-corporate associated person</w:t>
      </w:r>
      <w:r>
        <w:rPr>
          <w:noProof/>
        </w:rPr>
        <w:tab/>
      </w:r>
      <w:r>
        <w:rPr>
          <w:noProof/>
        </w:rPr>
        <w:fldChar w:fldCharType="begin"/>
      </w:r>
      <w:r>
        <w:rPr>
          <w:noProof/>
        </w:rPr>
        <w:instrText xml:space="preserve"> PAGEREF _Toc429469487 \h </w:instrText>
      </w:r>
      <w:r>
        <w:rPr>
          <w:noProof/>
        </w:rPr>
      </w:r>
      <w:r>
        <w:rPr>
          <w:noProof/>
        </w:rPr>
        <w:fldChar w:fldCharType="separate"/>
      </w:r>
      <w:r w:rsidR="00F239E5">
        <w:rPr>
          <w:noProof/>
        </w:rPr>
        <w:t>49</w:t>
      </w:r>
      <w:r>
        <w:rPr>
          <w:noProof/>
        </w:rPr>
        <w:fldChar w:fldCharType="end"/>
      </w:r>
    </w:p>
    <w:p w:rsidR="00134BF6" w:rsidRDefault="00134BF6">
      <w:pPr>
        <w:pStyle w:val="TOC2"/>
        <w:rPr>
          <w:rFonts w:asciiTheme="minorHAnsi" w:eastAsiaTheme="minorEastAsia" w:hAnsiTheme="minorHAnsi" w:cstheme="minorBidi"/>
          <w:noProof/>
          <w:szCs w:val="22"/>
          <w:lang w:eastAsia="en-NZ"/>
        </w:rPr>
      </w:pPr>
      <w:r>
        <w:rPr>
          <w:noProof/>
        </w:rPr>
        <w:t>Tainted capital gains when capital asset owned by more than one company in a group of companies</w:t>
      </w:r>
      <w:r>
        <w:rPr>
          <w:noProof/>
        </w:rPr>
        <w:tab/>
      </w:r>
      <w:r>
        <w:rPr>
          <w:noProof/>
        </w:rPr>
        <w:fldChar w:fldCharType="begin"/>
      </w:r>
      <w:r>
        <w:rPr>
          <w:noProof/>
        </w:rPr>
        <w:instrText xml:space="preserve"> PAGEREF _Toc429469488 \h </w:instrText>
      </w:r>
      <w:r>
        <w:rPr>
          <w:noProof/>
        </w:rPr>
      </w:r>
      <w:r>
        <w:rPr>
          <w:noProof/>
        </w:rPr>
        <w:fldChar w:fldCharType="separate"/>
      </w:r>
      <w:r w:rsidR="00F239E5">
        <w:rPr>
          <w:noProof/>
        </w:rPr>
        <w:t>51</w:t>
      </w:r>
      <w:r>
        <w:rPr>
          <w:noProof/>
        </w:rPr>
        <w:fldChar w:fldCharType="end"/>
      </w:r>
    </w:p>
    <w:p w:rsidR="00134BF6" w:rsidRDefault="00134BF6">
      <w:pPr>
        <w:pStyle w:val="TOC2"/>
        <w:rPr>
          <w:rFonts w:asciiTheme="minorHAnsi" w:eastAsiaTheme="minorEastAsia" w:hAnsiTheme="minorHAnsi" w:cstheme="minorBidi"/>
          <w:noProof/>
          <w:szCs w:val="22"/>
          <w:lang w:eastAsia="en-NZ"/>
        </w:rPr>
      </w:pPr>
      <w:r>
        <w:rPr>
          <w:noProof/>
        </w:rPr>
        <w:t>RWT compliance issues</w:t>
      </w:r>
      <w:r>
        <w:rPr>
          <w:noProof/>
        </w:rPr>
        <w:tab/>
      </w:r>
      <w:r>
        <w:rPr>
          <w:noProof/>
        </w:rPr>
        <w:fldChar w:fldCharType="begin"/>
      </w:r>
      <w:r>
        <w:rPr>
          <w:noProof/>
        </w:rPr>
        <w:instrText xml:space="preserve"> PAGEREF _Toc429469489 \h </w:instrText>
      </w:r>
      <w:r>
        <w:rPr>
          <w:noProof/>
        </w:rPr>
      </w:r>
      <w:r>
        <w:rPr>
          <w:noProof/>
        </w:rPr>
        <w:fldChar w:fldCharType="separate"/>
      </w:r>
      <w:r w:rsidR="00F239E5">
        <w:rPr>
          <w:noProof/>
        </w:rPr>
        <w:t>51</w:t>
      </w:r>
      <w:r>
        <w:rPr>
          <w:noProof/>
        </w:rPr>
        <w:fldChar w:fldCharType="end"/>
      </w:r>
    </w:p>
    <w:p w:rsidR="00134BF6" w:rsidRDefault="00134BF6">
      <w:pPr>
        <w:pStyle w:val="TOC2"/>
        <w:rPr>
          <w:rFonts w:asciiTheme="minorHAnsi" w:eastAsiaTheme="minorEastAsia" w:hAnsiTheme="minorHAnsi" w:cstheme="minorBidi"/>
          <w:noProof/>
          <w:szCs w:val="22"/>
          <w:lang w:eastAsia="en-NZ"/>
        </w:rPr>
      </w:pPr>
      <w:r>
        <w:rPr>
          <w:noProof/>
        </w:rPr>
        <w:t>Cash and non-cash (taxable bonus) dividends</w:t>
      </w:r>
      <w:r>
        <w:rPr>
          <w:noProof/>
        </w:rPr>
        <w:tab/>
      </w:r>
      <w:r>
        <w:rPr>
          <w:noProof/>
        </w:rPr>
        <w:fldChar w:fldCharType="begin"/>
      </w:r>
      <w:r>
        <w:rPr>
          <w:noProof/>
        </w:rPr>
        <w:instrText xml:space="preserve"> PAGEREF _Toc429469490 \h </w:instrText>
      </w:r>
      <w:r>
        <w:rPr>
          <w:noProof/>
        </w:rPr>
      </w:r>
      <w:r>
        <w:rPr>
          <w:noProof/>
        </w:rPr>
        <w:fldChar w:fldCharType="separate"/>
      </w:r>
      <w:r w:rsidR="00F239E5">
        <w:rPr>
          <w:noProof/>
        </w:rPr>
        <w:t>54</w:t>
      </w:r>
      <w:r>
        <w:rPr>
          <w:noProof/>
        </w:rPr>
        <w:fldChar w:fldCharType="end"/>
      </w:r>
    </w:p>
    <w:p w:rsidR="00134BF6" w:rsidRDefault="00134BF6">
      <w:pPr>
        <w:pStyle w:val="TOC2"/>
        <w:rPr>
          <w:rFonts w:asciiTheme="minorHAnsi" w:eastAsiaTheme="minorEastAsia" w:hAnsiTheme="minorHAnsi" w:cstheme="minorBidi"/>
          <w:noProof/>
          <w:szCs w:val="22"/>
          <w:lang w:eastAsia="en-NZ"/>
        </w:rPr>
      </w:pPr>
      <w:r>
        <w:rPr>
          <w:noProof/>
        </w:rPr>
        <w:t>Shareholder salaries</w:t>
      </w:r>
      <w:r>
        <w:rPr>
          <w:noProof/>
        </w:rPr>
        <w:tab/>
      </w:r>
      <w:r>
        <w:rPr>
          <w:noProof/>
        </w:rPr>
        <w:fldChar w:fldCharType="begin"/>
      </w:r>
      <w:r>
        <w:rPr>
          <w:noProof/>
        </w:rPr>
        <w:instrText xml:space="preserve"> PAGEREF _Toc429469491 \h </w:instrText>
      </w:r>
      <w:r>
        <w:rPr>
          <w:noProof/>
        </w:rPr>
      </w:r>
      <w:r>
        <w:rPr>
          <w:noProof/>
        </w:rPr>
        <w:fldChar w:fldCharType="separate"/>
      </w:r>
      <w:r w:rsidR="00F239E5">
        <w:rPr>
          <w:noProof/>
        </w:rPr>
        <w:t>56</w:t>
      </w:r>
      <w:r>
        <w:rPr>
          <w:noProof/>
        </w:rPr>
        <w:fldChar w:fldCharType="end"/>
      </w:r>
    </w:p>
    <w:p w:rsidR="00134BF6" w:rsidRDefault="00134BF6">
      <w:pPr>
        <w:pStyle w:val="TOC1"/>
        <w:rPr>
          <w:rFonts w:asciiTheme="minorHAnsi" w:eastAsiaTheme="minorEastAsia" w:hAnsiTheme="minorHAnsi" w:cstheme="minorBidi"/>
          <w:b w:val="0"/>
          <w:sz w:val="22"/>
          <w:szCs w:val="22"/>
          <w:lang w:eastAsia="en-NZ"/>
        </w:rPr>
      </w:pPr>
      <w:r>
        <w:t>APPENDIX 1</w:t>
      </w:r>
      <w:r>
        <w:tab/>
      </w:r>
      <w:r w:rsidRPr="001B2034">
        <w:t>Statistics</w:t>
      </w:r>
      <w:r>
        <w:tab/>
      </w:r>
      <w:r>
        <w:fldChar w:fldCharType="begin"/>
      </w:r>
      <w:r>
        <w:instrText xml:space="preserve"> PAGEREF _Toc429469493 \h </w:instrText>
      </w:r>
      <w:r>
        <w:fldChar w:fldCharType="separate"/>
      </w:r>
      <w:r w:rsidR="00F239E5">
        <w:t>57</w:t>
      </w:r>
      <w:r>
        <w:fldChar w:fldCharType="end"/>
      </w:r>
    </w:p>
    <w:p w:rsidR="00134BF6" w:rsidRDefault="00134BF6">
      <w:pPr>
        <w:pStyle w:val="TOC1"/>
        <w:rPr>
          <w:rFonts w:asciiTheme="minorHAnsi" w:eastAsiaTheme="minorEastAsia" w:hAnsiTheme="minorHAnsi" w:cstheme="minorBidi"/>
          <w:b w:val="0"/>
          <w:sz w:val="22"/>
          <w:szCs w:val="22"/>
          <w:lang w:eastAsia="en-NZ"/>
        </w:rPr>
      </w:pPr>
      <w:r>
        <w:t>APPENDIX 2</w:t>
      </w:r>
      <w:r>
        <w:tab/>
      </w:r>
      <w:r w:rsidRPr="001B2034">
        <w:t>Alternative deduction limitation rules</w:t>
      </w:r>
      <w:r>
        <w:tab/>
      </w:r>
      <w:r>
        <w:fldChar w:fldCharType="begin"/>
      </w:r>
      <w:r>
        <w:instrText xml:space="preserve"> PAGEREF _Toc429469500 \h </w:instrText>
      </w:r>
      <w:r>
        <w:fldChar w:fldCharType="separate"/>
      </w:r>
      <w:r w:rsidR="00F239E5">
        <w:t>63</w:t>
      </w:r>
      <w:r>
        <w:fldChar w:fldCharType="end"/>
      </w:r>
    </w:p>
    <w:p w:rsidR="0021414A" w:rsidRPr="00CA1467" w:rsidRDefault="00C31451" w:rsidP="0029771F">
      <w:pPr>
        <w:rPr>
          <w:b/>
          <w:lang w:val="en-NZ"/>
        </w:rPr>
      </w:pPr>
      <w:r w:rsidRPr="00CA1467">
        <w:rPr>
          <w:rFonts w:ascii="Times New Roman Bold" w:hAnsi="Times New Roman Bold"/>
          <w:b/>
          <w:sz w:val="22"/>
          <w:szCs w:val="24"/>
          <w:lang w:val="en-NZ"/>
        </w:rPr>
        <w:fldChar w:fldCharType="end"/>
      </w:r>
    </w:p>
    <w:p w:rsidR="00047CC7" w:rsidRPr="00CA1467" w:rsidRDefault="00047CC7" w:rsidP="00E253EA">
      <w:pPr>
        <w:rPr>
          <w:lang w:val="en-NZ"/>
        </w:rPr>
      </w:pPr>
    </w:p>
    <w:p w:rsidR="004B37FB" w:rsidRPr="00CA1467" w:rsidRDefault="004B37FB" w:rsidP="00E253EA">
      <w:pPr>
        <w:jc w:val="center"/>
        <w:rPr>
          <w:b/>
          <w:lang w:val="en-NZ"/>
        </w:rPr>
      </w:pPr>
    </w:p>
    <w:p w:rsidR="00725975" w:rsidRPr="00CA1467" w:rsidRDefault="00725975" w:rsidP="00E253EA">
      <w:pPr>
        <w:jc w:val="center"/>
        <w:rPr>
          <w:b/>
          <w:lang w:val="en-NZ"/>
        </w:rPr>
        <w:sectPr w:rsidR="00725975" w:rsidRPr="00CA1467" w:rsidSect="008840A1">
          <w:footerReference w:type="even" r:id="rId9"/>
          <w:pgSz w:w="11906" w:h="16838" w:code="9"/>
          <w:pgMar w:top="1134" w:right="1797" w:bottom="567" w:left="1797" w:header="709" w:footer="709" w:gutter="0"/>
          <w:cols w:space="708"/>
          <w:titlePg/>
          <w:docGrid w:linePitch="360"/>
        </w:sectPr>
      </w:pPr>
    </w:p>
    <w:p w:rsidR="007809E0" w:rsidRPr="00CA1467" w:rsidRDefault="00CD7C3C" w:rsidP="00D10025">
      <w:pPr>
        <w:pStyle w:val="Chapterheading"/>
      </w:pPr>
      <w:bookmarkStart w:id="1" w:name="_Toc147567992"/>
      <w:bookmarkStart w:id="2" w:name="_Toc419712203"/>
      <w:bookmarkStart w:id="3" w:name="_Toc419721169"/>
      <w:bookmarkStart w:id="4" w:name="_Toc429151466"/>
      <w:bookmarkStart w:id="5" w:name="_Toc429379717"/>
      <w:bookmarkStart w:id="6" w:name="_Toc429399968"/>
      <w:bookmarkStart w:id="7" w:name="_Toc429409157"/>
      <w:bookmarkStart w:id="8" w:name="_Toc429412416"/>
      <w:bookmarkStart w:id="9" w:name="_Toc429417831"/>
      <w:bookmarkStart w:id="10" w:name="_Toc429419956"/>
      <w:bookmarkStart w:id="11" w:name="_Toc429469437"/>
      <w:r w:rsidRPr="00CA1467">
        <w:t xml:space="preserve">CHAPTER </w:t>
      </w:r>
      <w:r w:rsidR="00C15285" w:rsidRPr="00CA1467">
        <w:t>1</w:t>
      </w:r>
      <w:bookmarkEnd w:id="1"/>
      <w:bookmarkEnd w:id="2"/>
      <w:bookmarkEnd w:id="3"/>
      <w:bookmarkEnd w:id="4"/>
      <w:bookmarkEnd w:id="5"/>
      <w:bookmarkEnd w:id="6"/>
      <w:bookmarkEnd w:id="7"/>
      <w:bookmarkEnd w:id="8"/>
      <w:bookmarkEnd w:id="9"/>
      <w:bookmarkEnd w:id="10"/>
      <w:bookmarkEnd w:id="11"/>
    </w:p>
    <w:p w:rsidR="007809E0" w:rsidRPr="00CA1467" w:rsidRDefault="007809E0" w:rsidP="00D10025">
      <w:pPr>
        <w:pStyle w:val="Chapterheading"/>
      </w:pPr>
    </w:p>
    <w:p w:rsidR="00EA330F" w:rsidRPr="00CA1467" w:rsidRDefault="006400E4" w:rsidP="008064B7">
      <w:pPr>
        <w:pStyle w:val="Chapterheading"/>
        <w:rPr>
          <w:caps w:val="0"/>
        </w:rPr>
      </w:pPr>
      <w:bookmarkStart w:id="12" w:name="_Toc429400071"/>
      <w:bookmarkStart w:id="13" w:name="_Toc429469438"/>
      <w:r w:rsidRPr="00CA1467">
        <w:rPr>
          <w:caps w:val="0"/>
        </w:rPr>
        <w:t>Introduction</w:t>
      </w:r>
      <w:bookmarkEnd w:id="12"/>
      <w:bookmarkEnd w:id="13"/>
    </w:p>
    <w:p w:rsidR="00EA330F" w:rsidRPr="00CA1467" w:rsidRDefault="00EA330F" w:rsidP="00ED0B7F">
      <w:pPr>
        <w:pStyle w:val="Chapter1"/>
        <w:numPr>
          <w:ilvl w:val="0"/>
          <w:numId w:val="0"/>
        </w:numPr>
        <w:rPr>
          <w:rStyle w:val="Hyperlink"/>
        </w:rPr>
      </w:pPr>
    </w:p>
    <w:p w:rsidR="006400E4" w:rsidRPr="00CA1467" w:rsidRDefault="006400E4" w:rsidP="006400E4">
      <w:pPr>
        <w:pStyle w:val="Chapter1"/>
        <w:numPr>
          <w:ilvl w:val="0"/>
          <w:numId w:val="0"/>
        </w:numPr>
      </w:pPr>
    </w:p>
    <w:p w:rsidR="006400E4" w:rsidRPr="00CA1467" w:rsidRDefault="006400E4" w:rsidP="006400E4">
      <w:pPr>
        <w:pStyle w:val="Chapter1"/>
      </w:pPr>
      <w:r w:rsidRPr="00CA1467">
        <w:t>Closely held companies are companies with few shareholders.  Such companies comprise a significant proportion of the approximately 400,000 companies</w:t>
      </w:r>
      <w:r w:rsidR="007416AC" w:rsidRPr="00321964">
        <w:rPr>
          <w:rStyle w:val="FootnoteReference"/>
          <w:sz w:val="22"/>
          <w:szCs w:val="22"/>
        </w:rPr>
        <w:footnoteReference w:id="1"/>
      </w:r>
      <w:r w:rsidRPr="00CA1467">
        <w:t xml:space="preserve"> in New Zealand.  Many of these companies use the general company tax rules to govern their interface with their shareholders.  However, there are specific tax rules </w:t>
      </w:r>
      <w:proofErr w:type="gramStart"/>
      <w:r w:rsidRPr="00CA1467">
        <w:t>available for certain</w:t>
      </w:r>
      <w:proofErr w:type="gramEnd"/>
      <w:r w:rsidRPr="00CA1467">
        <w:t xml:space="preserve"> types of closely held companies.</w:t>
      </w:r>
    </w:p>
    <w:p w:rsidR="006400E4" w:rsidRPr="00CA1467" w:rsidRDefault="006400E4" w:rsidP="006400E4">
      <w:pPr>
        <w:pStyle w:val="Chapter1"/>
        <w:numPr>
          <w:ilvl w:val="0"/>
          <w:numId w:val="0"/>
        </w:numPr>
        <w:ind w:left="851"/>
      </w:pPr>
    </w:p>
    <w:p w:rsidR="006400E4" w:rsidRPr="00CA1467" w:rsidRDefault="006400E4" w:rsidP="006400E4">
      <w:pPr>
        <w:pStyle w:val="Chapter1"/>
      </w:pPr>
      <w:r w:rsidRPr="00CA1467">
        <w:t xml:space="preserve">Since the early </w:t>
      </w:r>
      <w:proofErr w:type="gramStart"/>
      <w:r w:rsidRPr="00CA1467">
        <w:t>1990s</w:t>
      </w:r>
      <w:proofErr w:type="gramEnd"/>
      <w:r w:rsidRPr="00CA1467">
        <w:t xml:space="preserve"> very closely held companies had been able to pass capital gains and company losses through to shareholders by electing to become a qualifying company (QC) or a loss-attributing qualifying company (LAQC).  In </w:t>
      </w:r>
      <w:proofErr w:type="gramStart"/>
      <w:r w:rsidRPr="00CA1467">
        <w:t>2010</w:t>
      </w:r>
      <w:proofErr w:type="gramEnd"/>
      <w:r w:rsidRPr="00CA1467">
        <w:t xml:space="preserve"> the Government announced major changes to those specific tax rules, essentially removing LAQCs, closing off the QC rules for new entities and providing a replacement option that enabled a closely held company to be treated as if it were a partnership.  Under this new approach, a company’s income and expenditure </w:t>
      </w:r>
      <w:proofErr w:type="gramStart"/>
      <w:r w:rsidRPr="00CA1467">
        <w:t>would be directly attributed</w:t>
      </w:r>
      <w:proofErr w:type="gramEnd"/>
      <w:r w:rsidRPr="00CA1467">
        <w:t xml:space="preserve"> to its owners in proportion to their interests, via the new look-through company (LTC) rules.</w:t>
      </w:r>
    </w:p>
    <w:p w:rsidR="006400E4" w:rsidRPr="00CA1467" w:rsidRDefault="006400E4" w:rsidP="006400E4">
      <w:pPr>
        <w:pStyle w:val="Chapter1"/>
        <w:numPr>
          <w:ilvl w:val="0"/>
          <w:numId w:val="0"/>
        </w:numPr>
        <w:ind w:left="851"/>
      </w:pPr>
    </w:p>
    <w:p w:rsidR="006400E4" w:rsidRPr="00CA1467" w:rsidRDefault="006400E4" w:rsidP="006400E4">
      <w:pPr>
        <w:pStyle w:val="Chapter1"/>
      </w:pPr>
      <w:r w:rsidRPr="00CA1467">
        <w:t xml:space="preserve">Transitional arrangements </w:t>
      </w:r>
      <w:proofErr w:type="gramStart"/>
      <w:r w:rsidRPr="00CA1467">
        <w:t>were provided</w:t>
      </w:r>
      <w:proofErr w:type="gramEnd"/>
      <w:r w:rsidRPr="00CA1467">
        <w:t xml:space="preserve"> to help QCs become LTCs.  The government also undertook to review the dividend rules with a view to simplifying them for closely held companies more generally.</w:t>
      </w:r>
    </w:p>
    <w:p w:rsidR="006400E4" w:rsidRPr="00CA1467" w:rsidRDefault="006400E4" w:rsidP="006400E4">
      <w:pPr>
        <w:pStyle w:val="Chapter1"/>
        <w:numPr>
          <w:ilvl w:val="0"/>
          <w:numId w:val="0"/>
        </w:numPr>
        <w:ind w:left="851"/>
      </w:pPr>
    </w:p>
    <w:p w:rsidR="006400E4" w:rsidRPr="00CA1467" w:rsidRDefault="006400E4" w:rsidP="006400E4">
      <w:pPr>
        <w:pStyle w:val="Chapter1"/>
      </w:pPr>
      <w:r w:rsidRPr="00CA1467">
        <w:t xml:space="preserve">Since then, </w:t>
      </w:r>
      <w:proofErr w:type="gramStart"/>
      <w:r w:rsidRPr="00CA1467">
        <w:t>a range of concerns have</w:t>
      </w:r>
      <w:proofErr w:type="gramEnd"/>
      <w:r w:rsidRPr="00CA1467">
        <w:t xml:space="preserve"> been raised about the workability of the LTC rules, particularly for small businesses.  This may be deterring companies from becoming LTCs as well as imposing additional compliance costs on those that become LTCs.  At the end of the 2014 income year, although there were around 50,000 LTCs, there were also still nearly 70,000 QCs.  While there </w:t>
      </w:r>
      <w:proofErr w:type="gramStart"/>
      <w:r w:rsidRPr="00CA1467">
        <w:t>are a range</w:t>
      </w:r>
      <w:proofErr w:type="gramEnd"/>
      <w:r w:rsidRPr="00CA1467">
        <w:t xml:space="preserve"> of reasons for a company continuing to be a QC, it should not be because the LTC rules are hard to comply with.</w:t>
      </w:r>
    </w:p>
    <w:p w:rsidR="006400E4" w:rsidRPr="00CA1467" w:rsidRDefault="006400E4" w:rsidP="006400E4">
      <w:pPr>
        <w:pStyle w:val="Chapter1"/>
        <w:numPr>
          <w:ilvl w:val="0"/>
          <w:numId w:val="0"/>
        </w:numPr>
        <w:ind w:left="851"/>
      </w:pPr>
    </w:p>
    <w:p w:rsidR="006400E4" w:rsidRPr="00CA1467" w:rsidRDefault="006400E4" w:rsidP="006400E4">
      <w:pPr>
        <w:pStyle w:val="Chapter1"/>
      </w:pPr>
      <w:r w:rsidRPr="00CA1467">
        <w:t xml:space="preserve">Accordingly, this issues paper reviews the LTC rules and suggests a range of changes to make the rules more workable.  It also considers changes to the dividend rules applying to closely held companies that are neither LTCs nor QCs.  </w:t>
      </w:r>
      <w:proofErr w:type="gramStart"/>
      <w:r w:rsidRPr="00CA1467">
        <w:t>Again</w:t>
      </w:r>
      <w:proofErr w:type="gramEnd"/>
      <w:r w:rsidRPr="00CA1467">
        <w:t xml:space="preserve"> this work is consistent with the Government’s objective of simplifying tax requirements and reducing compliance costs for small and medium businesses.</w:t>
      </w:r>
    </w:p>
    <w:p w:rsidR="006400E4" w:rsidRPr="00CA1467" w:rsidRDefault="006400E4" w:rsidP="002A5F43">
      <w:pPr>
        <w:pStyle w:val="Chapter1"/>
        <w:numPr>
          <w:ilvl w:val="0"/>
          <w:numId w:val="0"/>
        </w:numPr>
        <w:ind w:left="851"/>
      </w:pPr>
    </w:p>
    <w:p w:rsidR="006400E4" w:rsidRPr="00CA1467" w:rsidRDefault="006400E4" w:rsidP="006400E4">
      <w:pPr>
        <w:pStyle w:val="Chapter1"/>
      </w:pPr>
      <w:r w:rsidRPr="00CA1467">
        <w:t xml:space="preserve">The focus, however, has not been purely on simplification.  Consideration </w:t>
      </w:r>
      <w:proofErr w:type="gramStart"/>
      <w:r w:rsidRPr="00CA1467">
        <w:t>has also been given</w:t>
      </w:r>
      <w:proofErr w:type="gramEnd"/>
      <w:r w:rsidRPr="00CA1467">
        <w:t xml:space="preserve"> to the fundamental policy approach to ensure that any changes that are recommended are consistent with wider tax policy frameworks and support the integrity of the tax system.  The policy approach </w:t>
      </w:r>
      <w:proofErr w:type="gramStart"/>
      <w:r w:rsidRPr="00CA1467">
        <w:t>is outlined</w:t>
      </w:r>
      <w:proofErr w:type="gramEnd"/>
      <w:r w:rsidRPr="00CA1467">
        <w:t xml:space="preserve"> in </w:t>
      </w:r>
      <w:r w:rsidR="000A6FA8">
        <w:t>C</w:t>
      </w:r>
      <w:r w:rsidRPr="00CA1467">
        <w:t>hapter 2 and includes consideration of the treatment of capital gains made by closely held companies.</w:t>
      </w:r>
    </w:p>
    <w:p w:rsidR="002152CE" w:rsidRPr="00CA1467" w:rsidRDefault="002152CE" w:rsidP="006400E4">
      <w:pPr>
        <w:pStyle w:val="Chapter1"/>
        <w:numPr>
          <w:ilvl w:val="0"/>
          <w:numId w:val="0"/>
        </w:numPr>
      </w:pPr>
    </w:p>
    <w:p w:rsidR="006400E4" w:rsidRPr="00CA1467" w:rsidRDefault="006400E4" w:rsidP="006400E4">
      <w:pPr>
        <w:pStyle w:val="Chapter1"/>
      </w:pPr>
      <w:r w:rsidRPr="00CA1467">
        <w:t>Outside of liquidation, capital gains and other tax preferences</w:t>
      </w:r>
      <w:r w:rsidR="00281331" w:rsidRPr="00321964">
        <w:rPr>
          <w:rStyle w:val="FootnoteReference"/>
          <w:sz w:val="22"/>
          <w:szCs w:val="22"/>
        </w:rPr>
        <w:footnoteReference w:id="2"/>
      </w:r>
      <w:r w:rsidRPr="00CA1467">
        <w:t xml:space="preserve"> </w:t>
      </w:r>
      <w:proofErr w:type="gramStart"/>
      <w:r w:rsidRPr="00CA1467">
        <w:t>are clawed</w:t>
      </w:r>
      <w:proofErr w:type="gramEnd"/>
      <w:r w:rsidRPr="00CA1467">
        <w:t xml:space="preserve"> back when distributed by standard companies.  In contrast, the LTC regime provides a vehicle for directly flowing through capital gains tax-free throughout the life of a company as LTCs </w:t>
      </w:r>
      <w:proofErr w:type="gramStart"/>
      <w:r w:rsidRPr="00CA1467">
        <w:t>are intended</w:t>
      </w:r>
      <w:proofErr w:type="gramEnd"/>
      <w:r w:rsidRPr="00CA1467">
        <w:t xml:space="preserve"> to be a genuine parallel to direct ownership.  Extending this approach outside of LTCs raises complex issues that </w:t>
      </w:r>
      <w:proofErr w:type="gramStart"/>
      <w:r w:rsidRPr="00CA1467">
        <w:t>cannot be considered</w:t>
      </w:r>
      <w:proofErr w:type="gramEnd"/>
      <w:r w:rsidRPr="00CA1467">
        <w:t xml:space="preserve"> in isolation.  It would therefore be premature to contemplate changes in these areas without significant further work, which </w:t>
      </w:r>
      <w:proofErr w:type="gramStart"/>
      <w:r w:rsidRPr="00CA1467">
        <w:t>could be handled</w:t>
      </w:r>
      <w:proofErr w:type="gramEnd"/>
      <w:r w:rsidRPr="00CA1467">
        <w:t xml:space="preserve"> through the standard tax work programme process at a future date.  In the meantime, we consider it is important to proceed with the specific simplification initiatives proposed in this paper.</w:t>
      </w:r>
    </w:p>
    <w:p w:rsidR="006400E4" w:rsidRPr="00CA1467" w:rsidRDefault="006400E4" w:rsidP="006400E4">
      <w:pPr>
        <w:pStyle w:val="Chapter1"/>
        <w:numPr>
          <w:ilvl w:val="0"/>
          <w:numId w:val="0"/>
        </w:numPr>
        <w:ind w:left="851"/>
      </w:pPr>
    </w:p>
    <w:p w:rsidR="006400E4" w:rsidRPr="00CA1467" w:rsidRDefault="006400E4" w:rsidP="006400E4">
      <w:pPr>
        <w:pStyle w:val="Chapter1"/>
      </w:pPr>
      <w:r w:rsidRPr="00CA1467">
        <w:t xml:space="preserve">Some significant changes </w:t>
      </w:r>
      <w:proofErr w:type="gramStart"/>
      <w:r w:rsidRPr="00CA1467">
        <w:t>are being suggested</w:t>
      </w:r>
      <w:proofErr w:type="gramEnd"/>
      <w:r w:rsidRPr="00CA1467">
        <w:t xml:space="preserve">.  They include changes to the criteria that a company has to meet in order to qualify as a LTC, most notably in relation to trusts, the use of LTCs as a vehicle for conduit investment by non-residents and the requirement that the LTC have only one class of share.  The changes would also narrow who </w:t>
      </w:r>
      <w:proofErr w:type="gramStart"/>
      <w:r w:rsidRPr="00CA1467">
        <w:t>w</w:t>
      </w:r>
      <w:r w:rsidR="00134BF6">
        <w:t>ould be</w:t>
      </w:r>
      <w:r w:rsidRPr="00CA1467">
        <w:t xml:space="preserve"> covered</w:t>
      </w:r>
      <w:proofErr w:type="gramEnd"/>
      <w:r w:rsidRPr="00CA1467">
        <w:t xml:space="preserve"> by the restriction that limits an owner’s LTC losses to the amount they have at risk (the deduction limitation rule).  The changes </w:t>
      </w:r>
      <w:proofErr w:type="gramStart"/>
      <w:r w:rsidRPr="00CA1467">
        <w:t>are intended</w:t>
      </w:r>
      <w:proofErr w:type="gramEnd"/>
      <w:r w:rsidRPr="00CA1467">
        <w:t xml:space="preserve"> to better reflect the intended closely held nature of a LTC.  A summary of the suggested changes </w:t>
      </w:r>
      <w:proofErr w:type="gramStart"/>
      <w:r w:rsidRPr="00CA1467">
        <w:t>is provided</w:t>
      </w:r>
      <w:proofErr w:type="gramEnd"/>
      <w:r w:rsidRPr="00CA1467">
        <w:t xml:space="preserve"> below.  They </w:t>
      </w:r>
      <w:proofErr w:type="gramStart"/>
      <w:r w:rsidRPr="00CA1467">
        <w:t>are discussed</w:t>
      </w:r>
      <w:proofErr w:type="gramEnd"/>
      <w:r w:rsidRPr="00CA1467">
        <w:t xml:space="preserve"> in detail in the following chapters.</w:t>
      </w:r>
    </w:p>
    <w:p w:rsidR="006400E4" w:rsidRPr="00CA1467" w:rsidRDefault="006400E4" w:rsidP="006400E4">
      <w:pPr>
        <w:pStyle w:val="Chapter1"/>
        <w:numPr>
          <w:ilvl w:val="0"/>
          <w:numId w:val="0"/>
        </w:numPr>
        <w:ind w:left="851"/>
      </w:pPr>
    </w:p>
    <w:p w:rsidR="003A31FD" w:rsidRPr="00CA1467" w:rsidRDefault="006400E4" w:rsidP="006400E4">
      <w:pPr>
        <w:pStyle w:val="Chapter1"/>
      </w:pPr>
      <w:r w:rsidRPr="00CA1467">
        <w:t xml:space="preserve">Some key statistics </w:t>
      </w:r>
      <w:proofErr w:type="gramStart"/>
      <w:r w:rsidRPr="00CA1467">
        <w:t>are provided</w:t>
      </w:r>
      <w:proofErr w:type="gramEnd"/>
      <w:r w:rsidRPr="00CA1467">
        <w:t xml:space="preserve"> in </w:t>
      </w:r>
      <w:r w:rsidR="00C11945">
        <w:t>A</w:t>
      </w:r>
      <w:r w:rsidRPr="00CA1467">
        <w:t>ppendix 1.</w:t>
      </w:r>
    </w:p>
    <w:p w:rsidR="00D07A05" w:rsidRPr="00321964" w:rsidRDefault="00D07A05" w:rsidP="00D07A05">
      <w:pPr>
        <w:pStyle w:val="Chapter1"/>
        <w:numPr>
          <w:ilvl w:val="0"/>
          <w:numId w:val="0"/>
        </w:numPr>
        <w:rPr>
          <w:sz w:val="20"/>
        </w:rPr>
      </w:pPr>
    </w:p>
    <w:p w:rsidR="00281331" w:rsidRPr="00CA1467" w:rsidRDefault="00281331" w:rsidP="00321964">
      <w:pPr>
        <w:pStyle w:val="Heading1"/>
        <w:pBdr>
          <w:top w:val="single" w:sz="4" w:space="10" w:color="auto"/>
          <w:left w:val="single" w:sz="4" w:space="10" w:color="auto"/>
          <w:bottom w:val="single" w:sz="4" w:space="10" w:color="auto"/>
          <w:right w:val="single" w:sz="4" w:space="10" w:color="auto"/>
        </w:pBdr>
        <w:jc w:val="center"/>
      </w:pPr>
      <w:bookmarkStart w:id="14" w:name="_Toc429469439"/>
      <w:r w:rsidRPr="00CA1467">
        <w:t>Summary of suggested changes</w:t>
      </w:r>
      <w:bookmarkEnd w:id="14"/>
    </w:p>
    <w:p w:rsidR="00281331" w:rsidRPr="00321964" w:rsidRDefault="00281331" w:rsidP="00321964">
      <w:pPr>
        <w:pBdr>
          <w:top w:val="single" w:sz="4" w:space="10" w:color="auto"/>
          <w:left w:val="single" w:sz="4" w:space="10" w:color="auto"/>
          <w:bottom w:val="single" w:sz="4" w:space="10" w:color="auto"/>
          <w:right w:val="single" w:sz="4" w:space="10" w:color="auto"/>
        </w:pBdr>
        <w:rPr>
          <w:sz w:val="20"/>
          <w:lang w:val="en-NZ"/>
        </w:rPr>
      </w:pPr>
    </w:p>
    <w:p w:rsidR="00281331" w:rsidRPr="0029771F" w:rsidRDefault="00281331" w:rsidP="00321964">
      <w:pPr>
        <w:pStyle w:val="Chapter1"/>
        <w:numPr>
          <w:ilvl w:val="0"/>
          <w:numId w:val="0"/>
        </w:numPr>
        <w:pBdr>
          <w:top w:val="single" w:sz="4" w:space="10" w:color="auto"/>
          <w:left w:val="single" w:sz="4" w:space="10" w:color="auto"/>
          <w:bottom w:val="single" w:sz="4" w:space="10" w:color="auto"/>
          <w:right w:val="single" w:sz="4" w:space="10" w:color="auto"/>
        </w:pBdr>
        <w:ind w:left="851" w:hanging="851"/>
        <w:rPr>
          <w:b/>
        </w:rPr>
      </w:pPr>
      <w:r w:rsidRPr="0029771F">
        <w:rPr>
          <w:b/>
        </w:rPr>
        <w:t>LTCs</w:t>
      </w:r>
    </w:p>
    <w:p w:rsidR="00281331" w:rsidRPr="00321964" w:rsidRDefault="00281331" w:rsidP="00321964">
      <w:pPr>
        <w:pBdr>
          <w:top w:val="single" w:sz="4" w:space="10" w:color="auto"/>
          <w:left w:val="single" w:sz="4" w:space="10" w:color="auto"/>
          <w:bottom w:val="single" w:sz="4" w:space="10" w:color="auto"/>
          <w:right w:val="single" w:sz="4" w:space="10" w:color="auto"/>
        </w:pBdr>
        <w:rPr>
          <w:sz w:val="20"/>
          <w:lang w:val="en-NZ"/>
        </w:rPr>
      </w:pPr>
    </w:p>
    <w:p w:rsidR="00281331" w:rsidRPr="00CA1467" w:rsidRDefault="00281331" w:rsidP="00321964">
      <w:pPr>
        <w:pStyle w:val="Heading2"/>
        <w:pBdr>
          <w:top w:val="single" w:sz="4" w:space="10" w:color="auto"/>
          <w:left w:val="single" w:sz="4" w:space="10" w:color="auto"/>
          <w:bottom w:val="single" w:sz="4" w:space="10" w:color="auto"/>
          <w:right w:val="single" w:sz="4" w:space="10" w:color="auto"/>
        </w:pBdr>
      </w:pPr>
      <w:r w:rsidRPr="00CA1467">
        <w:t>Entry criteria</w:t>
      </w:r>
    </w:p>
    <w:p w:rsidR="00281331" w:rsidRPr="00321964" w:rsidRDefault="00281331" w:rsidP="00321964">
      <w:pPr>
        <w:pBdr>
          <w:top w:val="single" w:sz="4" w:space="10" w:color="auto"/>
          <w:left w:val="single" w:sz="4" w:space="10" w:color="auto"/>
          <w:bottom w:val="single" w:sz="4" w:space="10" w:color="auto"/>
          <w:right w:val="single" w:sz="4" w:space="10" w:color="auto"/>
        </w:pBdr>
        <w:rPr>
          <w:sz w:val="20"/>
          <w:lang w:val="en-NZ"/>
        </w:rPr>
      </w:pPr>
    </w:p>
    <w:p w:rsidR="00281331" w:rsidRPr="00CA1467" w:rsidRDefault="00281331" w:rsidP="00321964">
      <w:pPr>
        <w:pStyle w:val="Bullets-Noindent"/>
        <w:pBdr>
          <w:top w:val="single" w:sz="4" w:space="10" w:color="auto"/>
          <w:left w:val="single" w:sz="4" w:space="10" w:color="auto"/>
          <w:bottom w:val="single" w:sz="4" w:space="10" w:color="auto"/>
          <w:right w:val="single" w:sz="4" w:space="10" w:color="auto"/>
        </w:pBdr>
        <w:spacing w:after="120"/>
      </w:pPr>
      <w:r w:rsidRPr="00CA1467">
        <w:t>Changes should be made in relation to trusts:</w:t>
      </w:r>
    </w:p>
    <w:p w:rsidR="00281331" w:rsidRPr="00D07A05" w:rsidRDefault="00D07A05" w:rsidP="00321964">
      <w:pPr>
        <w:pBdr>
          <w:top w:val="single" w:sz="4" w:space="10" w:color="auto"/>
          <w:left w:val="single" w:sz="4" w:space="10" w:color="auto"/>
          <w:bottom w:val="single" w:sz="4" w:space="10" w:color="auto"/>
          <w:right w:val="single" w:sz="4" w:space="10" w:color="auto"/>
        </w:pBdr>
        <w:tabs>
          <w:tab w:val="left" w:pos="567"/>
        </w:tabs>
        <w:ind w:left="1134" w:hanging="1134"/>
      </w:pPr>
      <w:r>
        <w:tab/>
        <w:t>–</w:t>
      </w:r>
      <w:r>
        <w:tab/>
      </w:r>
      <w:r w:rsidR="00281331" w:rsidRPr="00D07A05">
        <w:t xml:space="preserve">A beneficiary that has received any distribution in </w:t>
      </w:r>
      <w:r w:rsidR="00134BF6">
        <w:t>the last six years should be a “</w:t>
      </w:r>
      <w:r w:rsidR="00281331" w:rsidRPr="00D07A05">
        <w:t>counted owner</w:t>
      </w:r>
      <w:r w:rsidR="00134BF6">
        <w:t>”</w:t>
      </w:r>
      <w:r w:rsidR="00281331" w:rsidRPr="00D07A05">
        <w:t>.</w:t>
      </w:r>
      <w:r w:rsidR="00281331" w:rsidRPr="00321964">
        <w:rPr>
          <w:sz w:val="22"/>
          <w:szCs w:val="22"/>
          <w:vertAlign w:val="superscript"/>
        </w:rPr>
        <w:footnoteReference w:id="3"/>
      </w:r>
    </w:p>
    <w:p w:rsidR="00281331" w:rsidRPr="00D07A05" w:rsidRDefault="00D07A05" w:rsidP="00321964">
      <w:pPr>
        <w:pBdr>
          <w:top w:val="single" w:sz="4" w:space="10" w:color="auto"/>
          <w:left w:val="single" w:sz="4" w:space="10" w:color="auto"/>
          <w:bottom w:val="single" w:sz="4" w:space="10" w:color="auto"/>
          <w:right w:val="single" w:sz="4" w:space="10" w:color="auto"/>
        </w:pBdr>
        <w:tabs>
          <w:tab w:val="left" w:pos="567"/>
        </w:tabs>
        <w:spacing w:after="140"/>
        <w:ind w:left="1134" w:hanging="1134"/>
      </w:pPr>
      <w:r>
        <w:tab/>
        <w:t>–</w:t>
      </w:r>
      <w:r>
        <w:tab/>
      </w:r>
      <w:r w:rsidR="00281331" w:rsidRPr="00D07A05">
        <w:t>A company should not be eligible for LTC status if a trust that is a shareholder makes a distribution to a corporate (non-LTC) beneficiary.</w:t>
      </w:r>
    </w:p>
    <w:p w:rsidR="00281331" w:rsidRPr="00D07A05" w:rsidRDefault="00D07A05" w:rsidP="00321964">
      <w:pPr>
        <w:pBdr>
          <w:top w:val="single" w:sz="4" w:space="10" w:color="auto"/>
          <w:left w:val="single" w:sz="4" w:space="10" w:color="auto"/>
          <w:bottom w:val="single" w:sz="4" w:space="10" w:color="auto"/>
          <w:right w:val="single" w:sz="4" w:space="10" w:color="auto"/>
        </w:pBdr>
        <w:tabs>
          <w:tab w:val="left" w:pos="567"/>
        </w:tabs>
        <w:spacing w:after="140"/>
        <w:ind w:left="1134" w:hanging="1134"/>
      </w:pPr>
      <w:r>
        <w:tab/>
        <w:t>–</w:t>
      </w:r>
      <w:r>
        <w:tab/>
      </w:r>
      <w:r w:rsidR="00281331" w:rsidRPr="00D07A05">
        <w:t xml:space="preserve">The trustee should continue to be a single counted owner in the event that no distributions </w:t>
      </w:r>
      <w:proofErr w:type="gramStart"/>
      <w:r w:rsidR="00281331" w:rsidRPr="00D07A05">
        <w:t>are made</w:t>
      </w:r>
      <w:proofErr w:type="gramEnd"/>
      <w:r w:rsidR="00281331" w:rsidRPr="00D07A05">
        <w:t xml:space="preserve"> in the relevant period (last six years).</w:t>
      </w:r>
    </w:p>
    <w:p w:rsidR="00281331" w:rsidRPr="00CA1467" w:rsidRDefault="00281331" w:rsidP="00321964">
      <w:pPr>
        <w:pStyle w:val="Bullets-Noindent"/>
        <w:pBdr>
          <w:top w:val="single" w:sz="4" w:space="10" w:color="auto"/>
          <w:left w:val="single" w:sz="4" w:space="10" w:color="auto"/>
          <w:bottom w:val="single" w:sz="4" w:space="10" w:color="auto"/>
          <w:right w:val="single" w:sz="4" w:space="10" w:color="auto"/>
        </w:pBdr>
        <w:spacing w:after="120"/>
      </w:pPr>
      <w:r w:rsidRPr="00CA1467">
        <w:t xml:space="preserve">Charities and </w:t>
      </w:r>
      <w:r w:rsidR="00813507" w:rsidRPr="00CA1467">
        <w:t>M</w:t>
      </w:r>
      <w:r w:rsidR="00813507">
        <w:t>ā</w:t>
      </w:r>
      <w:r w:rsidR="00813507" w:rsidRPr="00CA1467">
        <w:t xml:space="preserve">ori </w:t>
      </w:r>
      <w:r w:rsidRPr="00CA1467">
        <w:t xml:space="preserve">authorities </w:t>
      </w:r>
      <w:proofErr w:type="gramStart"/>
      <w:r w:rsidRPr="00CA1467">
        <w:t>would be precluded</w:t>
      </w:r>
      <w:proofErr w:type="gramEnd"/>
      <w:r w:rsidRPr="00CA1467">
        <w:t xml:space="preserve"> from being shareholders in LTCs or beneficiaries of trusts that own shares in LTCs.  This would not </w:t>
      </w:r>
      <w:proofErr w:type="gramStart"/>
      <w:r w:rsidRPr="00CA1467">
        <w:t>impact on</w:t>
      </w:r>
      <w:proofErr w:type="gramEnd"/>
      <w:r w:rsidRPr="00CA1467">
        <w:t xml:space="preserve"> standard charitable donations.</w:t>
      </w:r>
    </w:p>
    <w:p w:rsidR="00281331" w:rsidRPr="00CA1467" w:rsidRDefault="00281331" w:rsidP="00321964">
      <w:pPr>
        <w:pStyle w:val="Bullets-Noindent"/>
        <w:pBdr>
          <w:top w:val="single" w:sz="4" w:space="10" w:color="auto"/>
          <w:left w:val="single" w:sz="4" w:space="10" w:color="auto"/>
          <w:bottom w:val="single" w:sz="4" w:space="10" w:color="auto"/>
          <w:right w:val="single" w:sz="4" w:space="10" w:color="auto"/>
        </w:pBdr>
        <w:spacing w:after="120"/>
      </w:pPr>
      <w:r w:rsidRPr="00CA1467">
        <w:t xml:space="preserve">More than one class of share should be allowed </w:t>
      </w:r>
      <w:proofErr w:type="gramStart"/>
      <w:r w:rsidRPr="00CA1467">
        <w:t>so as to</w:t>
      </w:r>
      <w:proofErr w:type="gramEnd"/>
      <w:r w:rsidRPr="00CA1467">
        <w:t xml:space="preserve"> provide for different voting rights, provided all shares still have uniform entitlements to income and deductions.</w:t>
      </w:r>
    </w:p>
    <w:p w:rsidR="006400E4" w:rsidRDefault="00281331" w:rsidP="00321964">
      <w:pPr>
        <w:pStyle w:val="Bullets-Noindent"/>
        <w:pBdr>
          <w:top w:val="single" w:sz="4" w:space="10" w:color="auto"/>
          <w:left w:val="single" w:sz="4" w:space="10" w:color="auto"/>
          <w:bottom w:val="single" w:sz="4" w:space="10" w:color="auto"/>
          <w:right w:val="single" w:sz="4" w:space="10" w:color="auto"/>
        </w:pBdr>
        <w:spacing w:after="0"/>
      </w:pPr>
      <w:r w:rsidRPr="00CA1467">
        <w:t>As a LTC is not intended as a conduit vehicle, its foreign income would be restricted to the greater of $10,000 or 20</w:t>
      </w:r>
      <w:r w:rsidR="00BA0441">
        <w:t xml:space="preserve"> percent</w:t>
      </w:r>
      <w:r w:rsidR="00BA0441" w:rsidRPr="00CA1467">
        <w:t xml:space="preserve"> </w:t>
      </w:r>
      <w:r w:rsidRPr="00CA1467">
        <w:t xml:space="preserve">of its gross income when </w:t>
      </w:r>
      <w:proofErr w:type="gramStart"/>
      <w:r w:rsidRPr="00CA1467">
        <w:t>more than 50</w:t>
      </w:r>
      <w:r w:rsidR="00BA0441">
        <w:t xml:space="preserve"> percent</w:t>
      </w:r>
      <w:r w:rsidR="00BA0441" w:rsidRPr="00CA1467">
        <w:t xml:space="preserve"> </w:t>
      </w:r>
      <w:r w:rsidRPr="00CA1467">
        <w:t>of the LTC’s shares are held by non-residents</w:t>
      </w:r>
      <w:proofErr w:type="gramEnd"/>
      <w:r w:rsidRPr="00CA1467">
        <w:t>, if it wishes to retain its LTC status.</w:t>
      </w:r>
    </w:p>
    <w:p w:rsidR="00D07A05" w:rsidRPr="00CA1467" w:rsidRDefault="00D07A05" w:rsidP="00D07A05">
      <w:pPr>
        <w:pStyle w:val="Chapter1"/>
        <w:numPr>
          <w:ilvl w:val="0"/>
          <w:numId w:val="0"/>
        </w:numPr>
        <w:ind w:left="851" w:hanging="851"/>
      </w:pPr>
    </w:p>
    <w:p w:rsidR="00281331" w:rsidRPr="00CA1467" w:rsidRDefault="00281331" w:rsidP="00321964">
      <w:pPr>
        <w:pStyle w:val="Heading2"/>
        <w:pBdr>
          <w:top w:val="single" w:sz="4" w:space="10" w:color="auto"/>
          <w:left w:val="single" w:sz="4" w:space="10" w:color="auto"/>
          <w:bottom w:val="single" w:sz="4" w:space="10" w:color="auto"/>
          <w:right w:val="single" w:sz="4" w:space="10" w:color="auto"/>
        </w:pBdr>
      </w:pPr>
      <w:r w:rsidRPr="00CA1467">
        <w:t>Deduction limitation rule</w:t>
      </w:r>
    </w:p>
    <w:p w:rsidR="00281331" w:rsidRPr="00CA1467" w:rsidRDefault="00281331" w:rsidP="00321964">
      <w:pPr>
        <w:pBdr>
          <w:top w:val="single" w:sz="4" w:space="10" w:color="auto"/>
          <w:left w:val="single" w:sz="4" w:space="10" w:color="auto"/>
          <w:bottom w:val="single" w:sz="4" w:space="10" w:color="auto"/>
          <w:right w:val="single" w:sz="4" w:space="10" w:color="auto"/>
        </w:pBdr>
        <w:rPr>
          <w:lang w:val="en-NZ"/>
        </w:rPr>
      </w:pPr>
    </w:p>
    <w:p w:rsidR="00281331" w:rsidRPr="00CA1467" w:rsidRDefault="00281331" w:rsidP="00321964">
      <w:pPr>
        <w:pStyle w:val="Bullets-Noindent"/>
        <w:pBdr>
          <w:top w:val="single" w:sz="4" w:space="10" w:color="auto"/>
          <w:left w:val="single" w:sz="4" w:space="10" w:color="auto"/>
          <w:bottom w:val="single" w:sz="4" w:space="10" w:color="auto"/>
          <w:right w:val="single" w:sz="4" w:space="10" w:color="auto"/>
        </w:pBdr>
      </w:pPr>
      <w:r w:rsidRPr="00CA1467">
        <w:t xml:space="preserve">The restriction that limits an owner’s LTC deductions to the amount they have at risk </w:t>
      </w:r>
      <w:proofErr w:type="gramStart"/>
      <w:r w:rsidRPr="00CA1467">
        <w:t>should be confined</w:t>
      </w:r>
      <w:proofErr w:type="gramEnd"/>
      <w:r w:rsidRPr="00CA1467">
        <w:t xml:space="preserve"> to just situations when there are partnerships of LTCs.</w:t>
      </w:r>
    </w:p>
    <w:p w:rsidR="00281331" w:rsidRPr="00CA1467" w:rsidRDefault="00281331" w:rsidP="00321964">
      <w:pPr>
        <w:pStyle w:val="Bullets-Noindent"/>
        <w:pBdr>
          <w:top w:val="single" w:sz="4" w:space="10" w:color="auto"/>
          <w:left w:val="single" w:sz="4" w:space="10" w:color="auto"/>
          <w:bottom w:val="single" w:sz="4" w:space="10" w:color="auto"/>
          <w:right w:val="single" w:sz="4" w:space="10" w:color="auto"/>
        </w:pBdr>
      </w:pPr>
      <w:r w:rsidRPr="00CA1467">
        <w:t xml:space="preserve">Some technical changes </w:t>
      </w:r>
      <w:proofErr w:type="gramStart"/>
      <w:r w:rsidRPr="00CA1467">
        <w:t>should be made</w:t>
      </w:r>
      <w:proofErr w:type="gramEnd"/>
      <w:r w:rsidRPr="00CA1467">
        <w:t xml:space="preserve"> to the formula to clarify its application for those still covered by the rule.</w:t>
      </w:r>
    </w:p>
    <w:p w:rsidR="00281331" w:rsidRPr="00CA1467" w:rsidRDefault="00281331" w:rsidP="00321964">
      <w:pPr>
        <w:pStyle w:val="Bullets-Noindent"/>
        <w:pBdr>
          <w:top w:val="single" w:sz="4" w:space="10" w:color="auto"/>
          <w:left w:val="single" w:sz="4" w:space="10" w:color="auto"/>
          <w:bottom w:val="single" w:sz="4" w:space="10" w:color="auto"/>
          <w:right w:val="single" w:sz="4" w:space="10" w:color="auto"/>
        </w:pBdr>
      </w:pPr>
      <w:r w:rsidRPr="00CA1467">
        <w:t>Deductions that have had to be carried forward can be used as an immediate deduction against the shareholders’ other income in the 2017</w:t>
      </w:r>
      <w:r w:rsidR="00061838">
        <w:t>–</w:t>
      </w:r>
      <w:r w:rsidRPr="00CA1467">
        <w:t>18 income year.</w:t>
      </w:r>
    </w:p>
    <w:p w:rsidR="00281331" w:rsidRPr="00CA1467" w:rsidRDefault="00281331" w:rsidP="00321964">
      <w:pPr>
        <w:pStyle w:val="Bullets-Noindent"/>
        <w:pBdr>
          <w:top w:val="single" w:sz="4" w:space="10" w:color="auto"/>
          <w:left w:val="single" w:sz="4" w:space="10" w:color="auto"/>
          <w:bottom w:val="single" w:sz="4" w:space="10" w:color="auto"/>
          <w:right w:val="single" w:sz="4" w:space="10" w:color="auto"/>
        </w:pBdr>
        <w:spacing w:after="0"/>
      </w:pPr>
      <w:r w:rsidRPr="00CA1467">
        <w:t>The anti-avoidance valuation rule (in section GB 50) designed to ensure that partners’ transactions are at market value should be extended to include LTC shareholders.</w:t>
      </w:r>
    </w:p>
    <w:p w:rsidR="00281331" w:rsidRPr="00CA1467" w:rsidRDefault="00281331" w:rsidP="00321964">
      <w:pPr>
        <w:pBdr>
          <w:top w:val="single" w:sz="4" w:space="10" w:color="auto"/>
          <w:left w:val="single" w:sz="4" w:space="10" w:color="auto"/>
          <w:bottom w:val="single" w:sz="4" w:space="10" w:color="auto"/>
          <w:right w:val="single" w:sz="4" w:space="10" w:color="auto"/>
        </w:pBdr>
        <w:rPr>
          <w:lang w:val="en-NZ"/>
        </w:rPr>
      </w:pPr>
    </w:p>
    <w:p w:rsidR="00281331" w:rsidRPr="00CA1467" w:rsidRDefault="00281331" w:rsidP="00321964">
      <w:pPr>
        <w:pStyle w:val="Heading2"/>
        <w:pBdr>
          <w:top w:val="single" w:sz="4" w:space="10" w:color="auto"/>
          <w:left w:val="single" w:sz="4" w:space="10" w:color="auto"/>
          <w:bottom w:val="single" w:sz="4" w:space="10" w:color="auto"/>
          <w:right w:val="single" w:sz="4" w:space="10" w:color="auto"/>
        </w:pBdr>
      </w:pPr>
      <w:r w:rsidRPr="00CA1467">
        <w:t>Existing QCs</w:t>
      </w:r>
    </w:p>
    <w:p w:rsidR="00281331" w:rsidRPr="00CA1467" w:rsidRDefault="00281331" w:rsidP="00321964">
      <w:pPr>
        <w:pBdr>
          <w:top w:val="single" w:sz="4" w:space="10" w:color="auto"/>
          <w:left w:val="single" w:sz="4" w:space="10" w:color="auto"/>
          <w:bottom w:val="single" w:sz="4" w:space="10" w:color="auto"/>
          <w:right w:val="single" w:sz="4" w:space="10" w:color="auto"/>
        </w:pBdr>
        <w:rPr>
          <w:lang w:val="en-NZ"/>
        </w:rPr>
      </w:pPr>
    </w:p>
    <w:p w:rsidR="00281331" w:rsidRPr="00CA1467" w:rsidRDefault="00281331" w:rsidP="00321964">
      <w:pPr>
        <w:pStyle w:val="Bullets-Noindent"/>
        <w:pBdr>
          <w:top w:val="single" w:sz="4" w:space="10" w:color="auto"/>
          <w:left w:val="single" w:sz="4" w:space="10" w:color="auto"/>
          <w:bottom w:val="single" w:sz="4" w:space="10" w:color="auto"/>
          <w:right w:val="single" w:sz="4" w:space="10" w:color="auto"/>
        </w:pBdr>
        <w:spacing w:after="0"/>
      </w:pPr>
      <w:r w:rsidRPr="00CA1467">
        <w:rPr>
          <w:rStyle w:val="BulletsChar"/>
        </w:rPr>
        <w:t xml:space="preserve">Existing QCs should be allowed to continue </w:t>
      </w:r>
      <w:proofErr w:type="gramStart"/>
      <w:r w:rsidRPr="00CA1467">
        <w:rPr>
          <w:rStyle w:val="BulletsChar"/>
        </w:rPr>
        <w:t>but,</w:t>
      </w:r>
      <w:proofErr w:type="gramEnd"/>
      <w:r w:rsidRPr="00CA1467">
        <w:rPr>
          <w:rStyle w:val="BulletsChar"/>
        </w:rPr>
        <w:t xml:space="preserve"> to address concerns that they could be sold for a windfall gain, they would lose their QC status upon change of control of the company.</w:t>
      </w:r>
    </w:p>
    <w:p w:rsidR="00281331" w:rsidRPr="00CA1467" w:rsidRDefault="00281331" w:rsidP="00321964">
      <w:pPr>
        <w:pBdr>
          <w:top w:val="single" w:sz="4" w:space="10" w:color="auto"/>
          <w:left w:val="single" w:sz="4" w:space="10" w:color="auto"/>
          <w:bottom w:val="single" w:sz="4" w:space="10" w:color="auto"/>
          <w:right w:val="single" w:sz="4" w:space="10" w:color="auto"/>
        </w:pBdr>
        <w:rPr>
          <w:lang w:val="en-NZ"/>
        </w:rPr>
      </w:pPr>
    </w:p>
    <w:p w:rsidR="00281331" w:rsidRPr="00CA1467" w:rsidRDefault="00281331" w:rsidP="00321964">
      <w:pPr>
        <w:pStyle w:val="Heading2"/>
        <w:pBdr>
          <w:top w:val="single" w:sz="4" w:space="10" w:color="auto"/>
          <w:left w:val="single" w:sz="4" w:space="10" w:color="auto"/>
          <w:bottom w:val="single" w:sz="4" w:space="10" w:color="auto"/>
          <w:right w:val="single" w:sz="4" w:space="10" w:color="auto"/>
        </w:pBdr>
      </w:pPr>
      <w:r w:rsidRPr="00CA1467">
        <w:t>Remission income</w:t>
      </w:r>
    </w:p>
    <w:p w:rsidR="00281331" w:rsidRPr="00CA1467" w:rsidRDefault="00281331" w:rsidP="00321964">
      <w:pPr>
        <w:pBdr>
          <w:top w:val="single" w:sz="4" w:space="10" w:color="auto"/>
          <w:left w:val="single" w:sz="4" w:space="10" w:color="auto"/>
          <w:bottom w:val="single" w:sz="4" w:space="10" w:color="auto"/>
          <w:right w:val="single" w:sz="4" w:space="10" w:color="auto"/>
        </w:pBdr>
        <w:rPr>
          <w:lang w:val="en-NZ"/>
        </w:rPr>
      </w:pPr>
    </w:p>
    <w:p w:rsidR="00281331" w:rsidRPr="00CA1467" w:rsidRDefault="00281331" w:rsidP="00321964">
      <w:pPr>
        <w:pStyle w:val="Bullets-Noindent"/>
        <w:pBdr>
          <w:top w:val="single" w:sz="4" w:space="10" w:color="auto"/>
          <w:left w:val="single" w:sz="4" w:space="10" w:color="auto"/>
          <w:bottom w:val="single" w:sz="4" w:space="10" w:color="auto"/>
          <w:right w:val="single" w:sz="4" w:space="10" w:color="auto"/>
        </w:pBdr>
      </w:pPr>
      <w:r w:rsidRPr="00CA1467">
        <w:t xml:space="preserve">There should not be remission income for a shareholder when an amount owed to them by the LTC </w:t>
      </w:r>
      <w:proofErr w:type="gramStart"/>
      <w:r w:rsidRPr="00CA1467">
        <w:t>is subsequently remitted</w:t>
      </w:r>
      <w:proofErr w:type="gramEnd"/>
      <w:r w:rsidRPr="00CA1467">
        <w:t xml:space="preserve"> because the LTC cannot repay the loan.</w:t>
      </w:r>
    </w:p>
    <w:p w:rsidR="00281331" w:rsidRPr="00CA1467" w:rsidRDefault="00281331" w:rsidP="00321964">
      <w:pPr>
        <w:pStyle w:val="Bullets-Noindent"/>
        <w:pBdr>
          <w:top w:val="single" w:sz="4" w:space="10" w:color="auto"/>
          <w:left w:val="single" w:sz="4" w:space="10" w:color="auto"/>
          <w:bottom w:val="single" w:sz="4" w:space="10" w:color="auto"/>
          <w:right w:val="single" w:sz="4" w:space="10" w:color="auto"/>
        </w:pBdr>
        <w:spacing w:after="0"/>
      </w:pPr>
      <w:r w:rsidRPr="00CA1467">
        <w:t>There should be a legislative technical fix to ensure that the remission income rules apply as intended when a debt is remitted by a third party, to clarify the value of a loan that is impaired.</w:t>
      </w:r>
    </w:p>
    <w:p w:rsidR="00281331" w:rsidRPr="00CA1467" w:rsidRDefault="00281331" w:rsidP="00321964">
      <w:pPr>
        <w:pBdr>
          <w:top w:val="single" w:sz="4" w:space="10" w:color="auto"/>
          <w:left w:val="single" w:sz="4" w:space="10" w:color="auto"/>
          <w:bottom w:val="single" w:sz="4" w:space="10" w:color="auto"/>
          <w:right w:val="single" w:sz="4" w:space="10" w:color="auto"/>
        </w:pBdr>
        <w:rPr>
          <w:lang w:val="en-NZ"/>
        </w:rPr>
      </w:pPr>
    </w:p>
    <w:p w:rsidR="00281331" w:rsidRPr="00CA1467" w:rsidRDefault="00281331" w:rsidP="00321964">
      <w:pPr>
        <w:pStyle w:val="Heading2"/>
        <w:pBdr>
          <w:top w:val="single" w:sz="4" w:space="10" w:color="auto"/>
          <w:left w:val="single" w:sz="4" w:space="10" w:color="auto"/>
          <w:bottom w:val="single" w:sz="4" w:space="10" w:color="auto"/>
          <w:right w:val="single" w:sz="4" w:space="10" w:color="auto"/>
        </w:pBdr>
      </w:pPr>
      <w:r w:rsidRPr="00CA1467">
        <w:t>Entry matters</w:t>
      </w:r>
    </w:p>
    <w:p w:rsidR="00281331" w:rsidRPr="00CA1467" w:rsidRDefault="00281331" w:rsidP="00321964">
      <w:pPr>
        <w:pBdr>
          <w:top w:val="single" w:sz="4" w:space="10" w:color="auto"/>
          <w:left w:val="single" w:sz="4" w:space="10" w:color="auto"/>
          <w:bottom w:val="single" w:sz="4" w:space="10" w:color="auto"/>
          <w:right w:val="single" w:sz="4" w:space="10" w:color="auto"/>
        </w:pBdr>
        <w:rPr>
          <w:lang w:val="en-NZ"/>
        </w:rPr>
      </w:pPr>
    </w:p>
    <w:p w:rsidR="00281331" w:rsidRPr="00CA1467" w:rsidRDefault="00281331" w:rsidP="00321964">
      <w:pPr>
        <w:pStyle w:val="Bullets-Noindent"/>
        <w:pBdr>
          <w:top w:val="single" w:sz="4" w:space="10" w:color="auto"/>
          <w:left w:val="single" w:sz="4" w:space="10" w:color="auto"/>
          <w:bottom w:val="single" w:sz="4" w:space="10" w:color="auto"/>
          <w:right w:val="single" w:sz="4" w:space="10" w:color="auto"/>
        </w:pBdr>
      </w:pPr>
      <w:r w:rsidRPr="00CA1467">
        <w:t>The income adjustment done at the time of entering into the LTC regime (the untaxed reserves formula), should be changed to ensure that the income adjustment reflects shareholders’ marginal tax rates rather than the company rate of 28%.</w:t>
      </w:r>
    </w:p>
    <w:p w:rsidR="00281331" w:rsidRPr="00CA1467" w:rsidRDefault="00281331" w:rsidP="00321964">
      <w:pPr>
        <w:pStyle w:val="Bullets-Noindent"/>
        <w:pBdr>
          <w:top w:val="single" w:sz="4" w:space="10" w:color="auto"/>
          <w:left w:val="single" w:sz="4" w:space="10" w:color="auto"/>
          <w:bottom w:val="single" w:sz="4" w:space="10" w:color="auto"/>
          <w:right w:val="single" w:sz="4" w:space="10" w:color="auto"/>
        </w:pBdr>
        <w:spacing w:after="0"/>
      </w:pPr>
      <w:r w:rsidRPr="00CA1467">
        <w:t xml:space="preserve">A technical change </w:t>
      </w:r>
      <w:proofErr w:type="gramStart"/>
      <w:r w:rsidRPr="00CA1467">
        <w:t>should be made</w:t>
      </w:r>
      <w:proofErr w:type="gramEnd"/>
      <w:r w:rsidRPr="00CA1467">
        <w:t xml:space="preserve"> to clarify the values at which a LTC’s </w:t>
      </w:r>
      <w:r w:rsidR="00785952">
        <w:t xml:space="preserve">assets and liabilities are </w:t>
      </w:r>
      <w:r w:rsidRPr="00CA1467">
        <w:t>deemed to be held by LTC owners on the company entering the regime.</w:t>
      </w:r>
    </w:p>
    <w:p w:rsidR="00281331" w:rsidRPr="00CA1467" w:rsidRDefault="00281331" w:rsidP="00281331">
      <w:pPr>
        <w:rPr>
          <w:lang w:val="en-NZ"/>
        </w:rPr>
      </w:pPr>
    </w:p>
    <w:p w:rsidR="00321964" w:rsidRDefault="00321964">
      <w:pPr>
        <w:jc w:val="left"/>
        <w:rPr>
          <w:b/>
          <w:lang w:val="en-NZ"/>
        </w:rPr>
      </w:pPr>
      <w:r>
        <w:rPr>
          <w:b/>
        </w:rPr>
        <w:br w:type="page"/>
      </w:r>
    </w:p>
    <w:p w:rsidR="002F07CC" w:rsidRPr="0029771F" w:rsidRDefault="002F07CC" w:rsidP="00321964">
      <w:pPr>
        <w:pStyle w:val="Chapter1"/>
        <w:numPr>
          <w:ilvl w:val="0"/>
          <w:numId w:val="0"/>
        </w:numPr>
        <w:pBdr>
          <w:top w:val="single" w:sz="4" w:space="10" w:color="auto"/>
          <w:left w:val="single" w:sz="4" w:space="10" w:color="auto"/>
          <w:bottom w:val="single" w:sz="4" w:space="10" w:color="auto"/>
          <w:right w:val="single" w:sz="4" w:space="10" w:color="auto"/>
        </w:pBdr>
        <w:rPr>
          <w:b/>
        </w:rPr>
      </w:pPr>
      <w:r w:rsidRPr="0029771F">
        <w:rPr>
          <w:b/>
        </w:rPr>
        <w:t>Initiatives to simplify and reduce the compliance and administration costs associated with closely held companies that are neither LTCs nor QCs</w:t>
      </w:r>
    </w:p>
    <w:p w:rsidR="002F07CC" w:rsidRPr="00CA1467" w:rsidRDefault="002F07CC" w:rsidP="00321964">
      <w:pPr>
        <w:pBdr>
          <w:top w:val="single" w:sz="4" w:space="10" w:color="auto"/>
          <w:left w:val="single" w:sz="4" w:space="10" w:color="auto"/>
          <w:bottom w:val="single" w:sz="4" w:space="10" w:color="auto"/>
          <w:right w:val="single" w:sz="4" w:space="10" w:color="auto"/>
        </w:pBdr>
        <w:rPr>
          <w:lang w:val="en-NZ"/>
        </w:rPr>
      </w:pPr>
    </w:p>
    <w:p w:rsidR="002F07CC" w:rsidRPr="00CA1467" w:rsidRDefault="002F07CC" w:rsidP="00321964">
      <w:pPr>
        <w:pStyle w:val="Bullets-Noindent"/>
        <w:pBdr>
          <w:top w:val="single" w:sz="4" w:space="10" w:color="auto"/>
          <w:left w:val="single" w:sz="4" w:space="10" w:color="auto"/>
          <w:bottom w:val="single" w:sz="4" w:space="10" w:color="auto"/>
          <w:right w:val="single" w:sz="4" w:space="10" w:color="auto"/>
        </w:pBdr>
      </w:pPr>
      <w:proofErr w:type="gramStart"/>
      <w:r w:rsidRPr="00CA1467">
        <w:t>Liberalisation of the restrictions around tainted</w:t>
      </w:r>
      <w:r w:rsidRPr="00321964">
        <w:rPr>
          <w:rStyle w:val="FootnoteReference"/>
          <w:sz w:val="22"/>
          <w:szCs w:val="22"/>
        </w:rPr>
        <w:footnoteReference w:id="4"/>
      </w:r>
      <w:r w:rsidRPr="00CA1467">
        <w:t xml:space="preserve"> capital gains to ensure that genuine capital gains made by small businesses do not become taxable on liquidation merely because there is a transaction involving an associated party.</w:t>
      </w:r>
      <w:proofErr w:type="gramEnd"/>
      <w:r w:rsidRPr="00CA1467">
        <w:t xml:space="preserve">  Tainting would not apply when the associated person is a non-corporate and we are considering whether there are other cases when it should not apply.</w:t>
      </w:r>
    </w:p>
    <w:p w:rsidR="002F07CC" w:rsidRPr="00CA1467" w:rsidRDefault="002F07CC" w:rsidP="00321964">
      <w:pPr>
        <w:pStyle w:val="Bullets-Noindent"/>
        <w:pBdr>
          <w:top w:val="single" w:sz="4" w:space="10" w:color="auto"/>
          <w:left w:val="single" w:sz="4" w:space="10" w:color="auto"/>
          <w:bottom w:val="single" w:sz="4" w:space="10" w:color="auto"/>
          <w:right w:val="single" w:sz="4" w:space="10" w:color="auto"/>
        </w:pBdr>
      </w:pPr>
      <w:r w:rsidRPr="00CA1467">
        <w:t>The deduction of RWT from fully imputed dividends between companies would be optional rather than obligatory.  This would be of benefit to a wide range of companies.</w:t>
      </w:r>
    </w:p>
    <w:p w:rsidR="002F07CC" w:rsidRPr="00CA1467" w:rsidRDefault="002F07CC" w:rsidP="00321964">
      <w:pPr>
        <w:pStyle w:val="Bullets-Noindent"/>
        <w:pBdr>
          <w:top w:val="single" w:sz="4" w:space="10" w:color="auto"/>
          <w:left w:val="single" w:sz="4" w:space="10" w:color="auto"/>
          <w:bottom w:val="single" w:sz="4" w:space="10" w:color="auto"/>
          <w:right w:val="single" w:sz="4" w:space="10" w:color="auto"/>
        </w:pBdr>
      </w:pPr>
      <w:r w:rsidRPr="00CA1467">
        <w:t xml:space="preserve">Optional removal of resident withholding tax (RWT) obligations from small companies in respect of the dividends and interest they pay to their shareholders </w:t>
      </w:r>
      <w:proofErr w:type="gramStart"/>
      <w:r w:rsidRPr="00CA1467">
        <w:t>would be considered</w:t>
      </w:r>
      <w:proofErr w:type="gramEnd"/>
      <w:r w:rsidRPr="00CA1467">
        <w:t xml:space="preserve"> as part of the wider work on streamlining business tax processes.</w:t>
      </w:r>
    </w:p>
    <w:p w:rsidR="002F07CC" w:rsidRPr="00CA1467" w:rsidRDefault="002F07CC" w:rsidP="00321964">
      <w:pPr>
        <w:pStyle w:val="Bullets-Noindent"/>
        <w:pBdr>
          <w:top w:val="single" w:sz="4" w:space="10" w:color="auto"/>
          <w:left w:val="single" w:sz="4" w:space="10" w:color="auto"/>
          <w:bottom w:val="single" w:sz="4" w:space="10" w:color="auto"/>
          <w:right w:val="single" w:sz="4" w:space="10" w:color="auto"/>
        </w:pBdr>
      </w:pPr>
      <w:r w:rsidRPr="00CA1467">
        <w:t xml:space="preserve">Streamlining RWT obligations when cash and non-cash dividends </w:t>
      </w:r>
      <w:proofErr w:type="gramStart"/>
      <w:r w:rsidRPr="00CA1467">
        <w:t>are paid</w:t>
      </w:r>
      <w:proofErr w:type="gramEnd"/>
      <w:r w:rsidRPr="00CA1467">
        <w:t xml:space="preserve"> concurrently so that they can be treated as a single dividend.</w:t>
      </w:r>
    </w:p>
    <w:p w:rsidR="002F07CC" w:rsidRPr="00CA1467" w:rsidRDefault="002F07CC" w:rsidP="00321964">
      <w:pPr>
        <w:pStyle w:val="Bullets-Noindent"/>
        <w:pBdr>
          <w:top w:val="single" w:sz="4" w:space="10" w:color="auto"/>
          <w:left w:val="single" w:sz="4" w:space="10" w:color="auto"/>
          <w:bottom w:val="single" w:sz="4" w:space="10" w:color="auto"/>
          <w:right w:val="single" w:sz="4" w:space="10" w:color="auto"/>
        </w:pBdr>
        <w:spacing w:after="0"/>
      </w:pPr>
      <w:r w:rsidRPr="00CA1467">
        <w:t xml:space="preserve">Shareholder salaries could be subject to a combination of PAYE and provisional tax provided the company </w:t>
      </w:r>
      <w:proofErr w:type="gramStart"/>
      <w:r w:rsidRPr="00CA1467">
        <w:t>maintains</w:t>
      </w:r>
      <w:proofErr w:type="gramEnd"/>
      <w:r w:rsidRPr="00CA1467">
        <w:t xml:space="preserve"> the approach consistently from year to year.</w:t>
      </w:r>
    </w:p>
    <w:p w:rsidR="006400E4" w:rsidRPr="00CA1467" w:rsidRDefault="006400E4" w:rsidP="00D03E14">
      <w:pPr>
        <w:pStyle w:val="Chapter1"/>
        <w:numPr>
          <w:ilvl w:val="0"/>
          <w:numId w:val="0"/>
        </w:numPr>
        <w:ind w:left="851"/>
      </w:pPr>
    </w:p>
    <w:p w:rsidR="002F07CC" w:rsidRPr="00CA1467" w:rsidRDefault="002F07CC" w:rsidP="00D03E14">
      <w:pPr>
        <w:pStyle w:val="Chapter1"/>
        <w:numPr>
          <w:ilvl w:val="0"/>
          <w:numId w:val="0"/>
        </w:numPr>
        <w:ind w:left="851"/>
      </w:pPr>
    </w:p>
    <w:p w:rsidR="006400E4" w:rsidRPr="00CA1467" w:rsidRDefault="006400E4" w:rsidP="006400E4">
      <w:pPr>
        <w:pStyle w:val="Heading1"/>
      </w:pPr>
      <w:bookmarkStart w:id="15" w:name="_Toc429469440"/>
      <w:r w:rsidRPr="00CA1467">
        <w:t>Next steps</w:t>
      </w:r>
      <w:bookmarkEnd w:id="15"/>
    </w:p>
    <w:p w:rsidR="006400E4" w:rsidRPr="00CA1467" w:rsidRDefault="006400E4" w:rsidP="006400E4">
      <w:pPr>
        <w:pStyle w:val="Chapter1"/>
        <w:numPr>
          <w:ilvl w:val="0"/>
          <w:numId w:val="0"/>
        </w:numPr>
        <w:ind w:left="851"/>
      </w:pPr>
    </w:p>
    <w:p w:rsidR="006400E4" w:rsidRPr="00CA1467" w:rsidRDefault="006400E4" w:rsidP="006400E4">
      <w:pPr>
        <w:pStyle w:val="Chapter1"/>
      </w:pPr>
      <w:r w:rsidRPr="00CA1467">
        <w:t>Once the consultation period has closed, officials will report to the Government on the feedback and the Government will consider what legislative changes are appropriate.  Such changes are intended to be included in the next omnibus taxation bill, with most of the changes applying from the beginning of the 2017</w:t>
      </w:r>
      <w:r w:rsidR="00785952">
        <w:t>–</w:t>
      </w:r>
      <w:r w:rsidRPr="00CA1467">
        <w:t xml:space="preserve">18 income </w:t>
      </w:r>
      <w:proofErr w:type="gramStart"/>
      <w:r w:rsidRPr="00CA1467">
        <w:t>year</w:t>
      </w:r>
      <w:proofErr w:type="gramEnd"/>
      <w:r w:rsidRPr="00CA1467">
        <w:t>.</w:t>
      </w:r>
    </w:p>
    <w:p w:rsidR="006400E4" w:rsidRPr="00CA1467" w:rsidRDefault="006400E4" w:rsidP="006400E4">
      <w:pPr>
        <w:pStyle w:val="Chapter1"/>
        <w:numPr>
          <w:ilvl w:val="0"/>
          <w:numId w:val="0"/>
        </w:numPr>
        <w:ind w:left="851"/>
      </w:pPr>
    </w:p>
    <w:p w:rsidR="006400E4" w:rsidRPr="00CA1467" w:rsidRDefault="006400E4" w:rsidP="006400E4">
      <w:pPr>
        <w:pStyle w:val="Chapter1"/>
        <w:numPr>
          <w:ilvl w:val="0"/>
          <w:numId w:val="0"/>
        </w:numPr>
        <w:ind w:left="851"/>
      </w:pPr>
    </w:p>
    <w:p w:rsidR="006400E4" w:rsidRPr="00CA1467" w:rsidRDefault="006400E4" w:rsidP="006400E4">
      <w:pPr>
        <w:pStyle w:val="Heading1"/>
      </w:pPr>
      <w:bookmarkStart w:id="16" w:name="_Toc429469441"/>
      <w:r w:rsidRPr="00CA1467">
        <w:t>How to make a submission</w:t>
      </w:r>
      <w:bookmarkEnd w:id="16"/>
    </w:p>
    <w:p w:rsidR="006400E4" w:rsidRPr="00CA1467" w:rsidRDefault="006400E4" w:rsidP="006400E4">
      <w:pPr>
        <w:pStyle w:val="Chapter1"/>
        <w:numPr>
          <w:ilvl w:val="0"/>
          <w:numId w:val="0"/>
        </w:numPr>
        <w:ind w:left="851"/>
      </w:pPr>
    </w:p>
    <w:p w:rsidR="006400E4" w:rsidRPr="00CA1467" w:rsidRDefault="006400E4" w:rsidP="006400E4">
      <w:pPr>
        <w:pStyle w:val="Chapter1"/>
      </w:pPr>
      <w:r w:rsidRPr="00CA1467">
        <w:t xml:space="preserve">You </w:t>
      </w:r>
      <w:proofErr w:type="gramStart"/>
      <w:r w:rsidRPr="00CA1467">
        <w:t>are invited</w:t>
      </w:r>
      <w:proofErr w:type="gramEnd"/>
      <w:r w:rsidRPr="00CA1467">
        <w:t xml:space="preserve"> to make a submission on the proposed reforms and points raised in this issues paper.  Submissions should be addressed to:</w:t>
      </w:r>
    </w:p>
    <w:p w:rsidR="006400E4" w:rsidRPr="00CA1467" w:rsidRDefault="006400E4" w:rsidP="006400E4">
      <w:pPr>
        <w:pStyle w:val="Chapter1"/>
        <w:numPr>
          <w:ilvl w:val="0"/>
          <w:numId w:val="0"/>
        </w:numPr>
        <w:ind w:left="851"/>
      </w:pPr>
    </w:p>
    <w:p w:rsidR="006400E4" w:rsidRPr="00CA1467" w:rsidRDefault="006400E4" w:rsidP="006400E4">
      <w:pPr>
        <w:pStyle w:val="Chapter1"/>
        <w:numPr>
          <w:ilvl w:val="0"/>
          <w:numId w:val="0"/>
        </w:numPr>
        <w:ind w:left="851"/>
      </w:pPr>
      <w:r w:rsidRPr="00CA1467">
        <w:t>Closely held company taxation issues</w:t>
      </w:r>
    </w:p>
    <w:p w:rsidR="006400E4" w:rsidRPr="00CA1467" w:rsidRDefault="006400E4" w:rsidP="006400E4">
      <w:pPr>
        <w:pStyle w:val="Chapter1"/>
        <w:numPr>
          <w:ilvl w:val="0"/>
          <w:numId w:val="0"/>
        </w:numPr>
        <w:ind w:left="851"/>
      </w:pPr>
      <w:r w:rsidRPr="00CA1467">
        <w:t>C/- Deputy Commissioner, Policy and Strategy</w:t>
      </w:r>
    </w:p>
    <w:p w:rsidR="006400E4" w:rsidRPr="00CA1467" w:rsidRDefault="006400E4" w:rsidP="006400E4">
      <w:pPr>
        <w:pStyle w:val="Chapter1"/>
        <w:numPr>
          <w:ilvl w:val="0"/>
          <w:numId w:val="0"/>
        </w:numPr>
        <w:ind w:left="851"/>
      </w:pPr>
      <w:r w:rsidRPr="00CA1467">
        <w:t>Policy and Strategy Division</w:t>
      </w:r>
    </w:p>
    <w:p w:rsidR="006400E4" w:rsidRPr="00CA1467" w:rsidRDefault="006400E4" w:rsidP="006400E4">
      <w:pPr>
        <w:pStyle w:val="Chapter1"/>
        <w:numPr>
          <w:ilvl w:val="0"/>
          <w:numId w:val="0"/>
        </w:numPr>
        <w:ind w:left="851"/>
      </w:pPr>
      <w:r w:rsidRPr="00CA1467">
        <w:t>Inland Revenue</w:t>
      </w:r>
    </w:p>
    <w:p w:rsidR="006400E4" w:rsidRPr="00CA1467" w:rsidRDefault="006400E4" w:rsidP="006400E4">
      <w:pPr>
        <w:pStyle w:val="Chapter1"/>
        <w:numPr>
          <w:ilvl w:val="0"/>
          <w:numId w:val="0"/>
        </w:numPr>
        <w:ind w:left="851"/>
      </w:pPr>
      <w:r w:rsidRPr="00CA1467">
        <w:t>PO Box 2198</w:t>
      </w:r>
    </w:p>
    <w:p w:rsidR="006400E4" w:rsidRPr="00CA1467" w:rsidRDefault="006400E4" w:rsidP="006400E4">
      <w:pPr>
        <w:pStyle w:val="Chapter1"/>
        <w:numPr>
          <w:ilvl w:val="0"/>
          <w:numId w:val="0"/>
        </w:numPr>
        <w:ind w:left="851"/>
      </w:pPr>
      <w:r w:rsidRPr="00CA1467">
        <w:t>Wellington 6140</w:t>
      </w:r>
    </w:p>
    <w:p w:rsidR="006400E4" w:rsidRPr="00CA1467" w:rsidRDefault="006400E4" w:rsidP="006400E4">
      <w:pPr>
        <w:pStyle w:val="Chapter1"/>
        <w:numPr>
          <w:ilvl w:val="0"/>
          <w:numId w:val="0"/>
        </w:numPr>
        <w:ind w:left="851"/>
      </w:pPr>
    </w:p>
    <w:p w:rsidR="006400E4" w:rsidRPr="00CA1467" w:rsidRDefault="006400E4" w:rsidP="006400E4">
      <w:pPr>
        <w:pStyle w:val="Chapter1"/>
        <w:numPr>
          <w:ilvl w:val="0"/>
          <w:numId w:val="0"/>
        </w:numPr>
        <w:ind w:left="851"/>
      </w:pPr>
      <w:proofErr w:type="gramStart"/>
      <w:r w:rsidRPr="00CA1467">
        <w:t>Or</w:t>
      </w:r>
      <w:proofErr w:type="gramEnd"/>
      <w:r w:rsidRPr="00CA1467">
        <w:t xml:space="preserve"> email policy.webmaster@ird.govt.nz with “Closely held company taxation issues” in the subject line.  Electronic submissions are encouraged.</w:t>
      </w:r>
    </w:p>
    <w:p w:rsidR="006400E4" w:rsidRPr="00CA1467" w:rsidRDefault="006400E4" w:rsidP="006400E4">
      <w:pPr>
        <w:pStyle w:val="Chapter1"/>
        <w:numPr>
          <w:ilvl w:val="0"/>
          <w:numId w:val="0"/>
        </w:numPr>
        <w:ind w:left="851"/>
      </w:pPr>
    </w:p>
    <w:p w:rsidR="006400E4" w:rsidRPr="00CA1467" w:rsidRDefault="006400E4" w:rsidP="006400E4">
      <w:pPr>
        <w:pStyle w:val="Chapter1"/>
      </w:pPr>
      <w:r w:rsidRPr="00CA1467">
        <w:t xml:space="preserve">The closing date for submissions is </w:t>
      </w:r>
      <w:r w:rsidR="00C11945">
        <w:t>16</w:t>
      </w:r>
      <w:r w:rsidRPr="00CA1467">
        <w:t xml:space="preserve"> October 2015.</w:t>
      </w:r>
    </w:p>
    <w:p w:rsidR="006400E4" w:rsidRPr="00CA1467" w:rsidRDefault="006400E4" w:rsidP="006400E4">
      <w:pPr>
        <w:pStyle w:val="Chapter1"/>
        <w:numPr>
          <w:ilvl w:val="0"/>
          <w:numId w:val="0"/>
        </w:numPr>
        <w:ind w:left="851"/>
      </w:pPr>
    </w:p>
    <w:p w:rsidR="006400E4" w:rsidRPr="00CA1467" w:rsidRDefault="006400E4" w:rsidP="006400E4">
      <w:pPr>
        <w:pStyle w:val="Chapter1"/>
      </w:pPr>
      <w:r w:rsidRPr="00CA1467">
        <w:t xml:space="preserve">Submissions should include a brief summary of major points and recommendations.  They should also indicate whether the authors would be happy to </w:t>
      </w:r>
      <w:proofErr w:type="gramStart"/>
      <w:r w:rsidRPr="00CA1467">
        <w:t>be contacted</w:t>
      </w:r>
      <w:proofErr w:type="gramEnd"/>
      <w:r w:rsidRPr="00CA1467">
        <w:t xml:space="preserve"> by officials to discuss the points raised, if required.</w:t>
      </w:r>
    </w:p>
    <w:p w:rsidR="006400E4" w:rsidRPr="00CA1467" w:rsidRDefault="006400E4" w:rsidP="00242C4E">
      <w:pPr>
        <w:pStyle w:val="Chapter1"/>
        <w:numPr>
          <w:ilvl w:val="0"/>
          <w:numId w:val="0"/>
        </w:numPr>
        <w:ind w:left="851"/>
      </w:pPr>
    </w:p>
    <w:p w:rsidR="006400E4" w:rsidRPr="00CA1467" w:rsidRDefault="006400E4" w:rsidP="006400E4">
      <w:pPr>
        <w:pStyle w:val="Chapter1"/>
      </w:pPr>
      <w:r w:rsidRPr="00CA1467">
        <w:t xml:space="preserve">Submissions may be the subject of a request under the Official Information Act 1982, which may result in their release.  The withholding of particular submissions on the grounds of privacy, or for any other reason, will be determined in accordance with that Act.  Those making a submission who consider there is any part of it that </w:t>
      </w:r>
      <w:proofErr w:type="gramStart"/>
      <w:r w:rsidRPr="00CA1467">
        <w:t>should properly be withheld</w:t>
      </w:r>
      <w:proofErr w:type="gramEnd"/>
      <w:r w:rsidRPr="00CA1467">
        <w:t xml:space="preserve"> under the Act should clearly indicate this.</w:t>
      </w:r>
    </w:p>
    <w:p w:rsidR="006400E4" w:rsidRPr="00CA1467" w:rsidRDefault="006400E4" w:rsidP="00242C4E">
      <w:pPr>
        <w:rPr>
          <w:lang w:val="en-NZ"/>
        </w:rPr>
      </w:pPr>
    </w:p>
    <w:p w:rsidR="00C11581" w:rsidRDefault="00C11581">
      <w:pPr>
        <w:jc w:val="left"/>
        <w:rPr>
          <w:lang w:val="en-NZ"/>
        </w:rPr>
      </w:pPr>
      <w:r>
        <w:rPr>
          <w:lang w:val="en-NZ"/>
        </w:rPr>
        <w:br w:type="page"/>
      </w:r>
    </w:p>
    <w:p w:rsidR="006400E4" w:rsidRPr="00CA1467" w:rsidRDefault="006400E4">
      <w:pPr>
        <w:jc w:val="left"/>
        <w:rPr>
          <w:lang w:val="en-NZ"/>
        </w:rPr>
      </w:pPr>
    </w:p>
    <w:p w:rsidR="00373F5D" w:rsidRPr="00CA1467" w:rsidRDefault="00373F5D" w:rsidP="00D10025">
      <w:pPr>
        <w:pStyle w:val="Chapterheading"/>
      </w:pPr>
      <w:r w:rsidRPr="00CA1467">
        <w:br w:type="page"/>
      </w:r>
      <w:bookmarkStart w:id="17" w:name="_Toc147567996"/>
      <w:bookmarkStart w:id="18" w:name="_Toc419712207"/>
      <w:bookmarkStart w:id="19" w:name="_Toc419721173"/>
      <w:bookmarkStart w:id="20" w:name="_Toc429151470"/>
      <w:bookmarkStart w:id="21" w:name="_Toc429379721"/>
      <w:bookmarkStart w:id="22" w:name="_Toc429399975"/>
      <w:bookmarkStart w:id="23" w:name="_Toc429400075"/>
      <w:bookmarkStart w:id="24" w:name="_Toc429409162"/>
      <w:bookmarkStart w:id="25" w:name="_Toc429412421"/>
      <w:bookmarkStart w:id="26" w:name="_Toc429417836"/>
      <w:bookmarkStart w:id="27" w:name="_Toc429419961"/>
      <w:bookmarkStart w:id="28" w:name="_Toc429469442"/>
      <w:r w:rsidR="001005B7" w:rsidRPr="00CA1467">
        <w:t xml:space="preserve">CHAPTER </w:t>
      </w:r>
      <w:r w:rsidRPr="00CA1467">
        <w:t>2</w:t>
      </w:r>
      <w:bookmarkEnd w:id="17"/>
      <w:bookmarkEnd w:id="18"/>
      <w:bookmarkEnd w:id="19"/>
      <w:bookmarkEnd w:id="20"/>
      <w:bookmarkEnd w:id="21"/>
      <w:bookmarkEnd w:id="22"/>
      <w:bookmarkEnd w:id="23"/>
      <w:bookmarkEnd w:id="24"/>
      <w:bookmarkEnd w:id="25"/>
      <w:bookmarkEnd w:id="26"/>
      <w:bookmarkEnd w:id="27"/>
      <w:bookmarkEnd w:id="28"/>
    </w:p>
    <w:p w:rsidR="00373F5D" w:rsidRPr="00CA1467" w:rsidRDefault="00373F5D" w:rsidP="00D10025">
      <w:pPr>
        <w:pStyle w:val="Chapterheading"/>
      </w:pPr>
    </w:p>
    <w:p w:rsidR="00373F5D" w:rsidRPr="00CA1467" w:rsidRDefault="00E40914" w:rsidP="00D10025">
      <w:pPr>
        <w:pStyle w:val="Chapterheading"/>
      </w:pPr>
      <w:bookmarkStart w:id="29" w:name="_Toc429469443"/>
      <w:r w:rsidRPr="00CA1467">
        <w:rPr>
          <w:caps w:val="0"/>
        </w:rPr>
        <w:t>Framework for considering company taxation</w:t>
      </w:r>
      <w:bookmarkEnd w:id="29"/>
    </w:p>
    <w:p w:rsidR="00373F5D" w:rsidRPr="00CA1467" w:rsidRDefault="00373F5D" w:rsidP="008F12F0">
      <w:pPr>
        <w:pStyle w:val="Chapter2"/>
        <w:numPr>
          <w:ilvl w:val="0"/>
          <w:numId w:val="0"/>
        </w:numPr>
        <w:ind w:left="851" w:hanging="851"/>
      </w:pPr>
    </w:p>
    <w:p w:rsidR="00E40914" w:rsidRPr="00CA1467" w:rsidRDefault="00E40914" w:rsidP="00E40914">
      <w:pPr>
        <w:pStyle w:val="Chapter2"/>
        <w:numPr>
          <w:ilvl w:val="0"/>
          <w:numId w:val="0"/>
        </w:numPr>
      </w:pPr>
    </w:p>
    <w:p w:rsidR="00E40914" w:rsidRPr="00CA1467" w:rsidRDefault="00E40914" w:rsidP="00E40914">
      <w:pPr>
        <w:pStyle w:val="Heading1"/>
      </w:pPr>
      <w:bookmarkStart w:id="30" w:name="_Toc429469444"/>
      <w:r w:rsidRPr="00CA1467">
        <w:t>Introduction</w:t>
      </w:r>
      <w:bookmarkEnd w:id="30"/>
    </w:p>
    <w:p w:rsidR="00E40914" w:rsidRPr="00CA1467" w:rsidRDefault="00E40914" w:rsidP="00E40914">
      <w:pPr>
        <w:pStyle w:val="Chapter2"/>
        <w:numPr>
          <w:ilvl w:val="0"/>
          <w:numId w:val="0"/>
        </w:numPr>
        <w:ind w:left="851"/>
      </w:pPr>
    </w:p>
    <w:p w:rsidR="00E40914" w:rsidRPr="00CA1467" w:rsidRDefault="00E40914" w:rsidP="00E40914">
      <w:pPr>
        <w:pStyle w:val="Chapter2"/>
      </w:pPr>
      <w:r w:rsidRPr="00CA1467">
        <w:t xml:space="preserve">In reviewing the various aspects of the LTC </w:t>
      </w:r>
      <w:proofErr w:type="gramStart"/>
      <w:r w:rsidRPr="00CA1467">
        <w:t>rules</w:t>
      </w:r>
      <w:proofErr w:type="gramEnd"/>
      <w:r w:rsidRPr="00CA1467">
        <w:t xml:space="preserve"> we have considered how they fit within the desired policy framework for entity taxation.  Accordingly, before discussing our suggested changes, we outline the policy framework below.</w:t>
      </w:r>
    </w:p>
    <w:p w:rsidR="00E40914" w:rsidRPr="00CA1467" w:rsidRDefault="00E40914" w:rsidP="00E40914">
      <w:pPr>
        <w:pStyle w:val="Chapter2"/>
        <w:numPr>
          <w:ilvl w:val="0"/>
          <w:numId w:val="0"/>
        </w:numPr>
        <w:ind w:left="851"/>
      </w:pPr>
    </w:p>
    <w:p w:rsidR="00E40914" w:rsidRPr="00CA1467" w:rsidRDefault="00E40914" w:rsidP="00E40914">
      <w:pPr>
        <w:pStyle w:val="Chapter2"/>
        <w:numPr>
          <w:ilvl w:val="0"/>
          <w:numId w:val="0"/>
        </w:numPr>
        <w:ind w:left="851"/>
      </w:pPr>
    </w:p>
    <w:p w:rsidR="00E40914" w:rsidRPr="00CA1467" w:rsidRDefault="00E40914" w:rsidP="00E40914">
      <w:pPr>
        <w:pStyle w:val="Heading1"/>
      </w:pPr>
      <w:bookmarkStart w:id="31" w:name="_Toc429469445"/>
      <w:r w:rsidRPr="00CA1467">
        <w:t>Policy framework for considering company taxation</w:t>
      </w:r>
      <w:bookmarkEnd w:id="31"/>
    </w:p>
    <w:p w:rsidR="00E40914" w:rsidRPr="00CA1467" w:rsidRDefault="00E40914" w:rsidP="00E40914">
      <w:pPr>
        <w:pStyle w:val="Chapter2"/>
        <w:numPr>
          <w:ilvl w:val="0"/>
          <w:numId w:val="0"/>
        </w:numPr>
        <w:ind w:left="851"/>
      </w:pPr>
    </w:p>
    <w:p w:rsidR="00E40914" w:rsidRPr="00CA1467" w:rsidRDefault="00E40914" w:rsidP="00E40914">
      <w:pPr>
        <w:pStyle w:val="Chapter2"/>
      </w:pPr>
      <w:r w:rsidRPr="00CA1467">
        <w:t xml:space="preserve">A business </w:t>
      </w:r>
      <w:proofErr w:type="gramStart"/>
      <w:r w:rsidRPr="00CA1467">
        <w:t>can be run</w:t>
      </w:r>
      <w:proofErr w:type="gramEnd"/>
      <w:r w:rsidRPr="00CA1467">
        <w:t xml:space="preserve"> in a variety of different ways – as a sole trader, a partnership, a trust, or a company.  Likewise, the tax treatment can vary in practice depending on the entity used to conduct the business.</w:t>
      </w:r>
    </w:p>
    <w:p w:rsidR="00E40914" w:rsidRPr="00CA1467" w:rsidRDefault="00E40914" w:rsidP="00E40914">
      <w:pPr>
        <w:pStyle w:val="Chapter2"/>
        <w:numPr>
          <w:ilvl w:val="0"/>
          <w:numId w:val="0"/>
        </w:numPr>
        <w:ind w:left="851"/>
      </w:pPr>
    </w:p>
    <w:p w:rsidR="00E40914" w:rsidRPr="00CA1467" w:rsidRDefault="00E40914" w:rsidP="00E40914">
      <w:pPr>
        <w:pStyle w:val="Chapter2"/>
      </w:pPr>
      <w:r w:rsidRPr="00CA1467">
        <w:t xml:space="preserve">The tax system contains a number of flow-through entities including LTCs, ordinary partnerships and limited partnerships, as well as quasi flow-through entities, such as trusts, grand-parented QCs and portfolio investment entities (PIEs).  The entities sometimes parallel commercial law and in other cases </w:t>
      </w:r>
      <w:proofErr w:type="gramStart"/>
      <w:r w:rsidRPr="00CA1467">
        <w:t>have been introduced</w:t>
      </w:r>
      <w:proofErr w:type="gramEnd"/>
      <w:r w:rsidRPr="00CA1467">
        <w:t xml:space="preserve"> into the tax law to achieve particular policy purposes.  A comparison of the various entity treatments </w:t>
      </w:r>
      <w:proofErr w:type="gramStart"/>
      <w:r w:rsidRPr="00CA1467">
        <w:t>is provided</w:t>
      </w:r>
      <w:proofErr w:type="gramEnd"/>
      <w:r w:rsidRPr="00CA1467">
        <w:t xml:space="preserve"> in Table 1.</w:t>
      </w:r>
    </w:p>
    <w:p w:rsidR="00E40914" w:rsidRPr="00CA1467" w:rsidRDefault="00E40914" w:rsidP="00E40914">
      <w:pPr>
        <w:pStyle w:val="Chapter2"/>
        <w:numPr>
          <w:ilvl w:val="0"/>
          <w:numId w:val="0"/>
        </w:numPr>
        <w:ind w:left="851"/>
      </w:pPr>
    </w:p>
    <w:p w:rsidR="00E40914" w:rsidRPr="00CA1467" w:rsidRDefault="00E40914" w:rsidP="00E40914">
      <w:pPr>
        <w:pStyle w:val="Chapter2"/>
      </w:pPr>
      <w:r w:rsidRPr="00CA1467">
        <w:t>Having a variety of treatments can create economic distortions.  Accordingly, it is desirable to minimise the areas of difference.</w:t>
      </w:r>
      <w:r w:rsidR="002F07CC" w:rsidRPr="00321964">
        <w:rPr>
          <w:rStyle w:val="FootnoteReference"/>
          <w:sz w:val="22"/>
          <w:szCs w:val="22"/>
        </w:rPr>
        <w:footnoteReference w:id="5"/>
      </w:r>
      <w:r w:rsidRPr="00CA1467">
        <w:t xml:space="preserve">  However, having a single tax treatment for all business entities is impractical.</w:t>
      </w:r>
      <w:r w:rsidR="002F07CC" w:rsidRPr="00321964">
        <w:rPr>
          <w:rStyle w:val="FootnoteReference"/>
          <w:sz w:val="22"/>
          <w:szCs w:val="22"/>
        </w:rPr>
        <w:footnoteReference w:id="6"/>
      </w:r>
      <w:r w:rsidRPr="00CA1467">
        <w:t xml:space="preserve">  Therefore, we see a minimum of at least two types of tax treatment: the individual and the standard company tax approaches.</w:t>
      </w:r>
    </w:p>
    <w:p w:rsidR="00E40914" w:rsidRPr="00CA1467" w:rsidRDefault="00E40914" w:rsidP="00E40914">
      <w:pPr>
        <w:pStyle w:val="Chapter2"/>
        <w:numPr>
          <w:ilvl w:val="0"/>
          <w:numId w:val="0"/>
        </w:numPr>
        <w:ind w:left="851"/>
      </w:pPr>
    </w:p>
    <w:p w:rsidR="00E40914" w:rsidRPr="00CA1467" w:rsidRDefault="00E40914" w:rsidP="00E40914">
      <w:pPr>
        <w:pStyle w:val="Heading2"/>
      </w:pPr>
      <w:r w:rsidRPr="00CA1467">
        <w:t xml:space="preserve">Individual taxation approach </w:t>
      </w:r>
    </w:p>
    <w:p w:rsidR="00E40914" w:rsidRPr="00CA1467" w:rsidRDefault="00E40914" w:rsidP="00E40914">
      <w:pPr>
        <w:pStyle w:val="Chapter2"/>
        <w:numPr>
          <w:ilvl w:val="0"/>
          <w:numId w:val="0"/>
        </w:numPr>
        <w:ind w:left="851"/>
      </w:pPr>
    </w:p>
    <w:p w:rsidR="00E40914" w:rsidRPr="00CA1467" w:rsidRDefault="00E40914" w:rsidP="00E40914">
      <w:pPr>
        <w:pStyle w:val="Chapter2"/>
        <w:numPr>
          <w:ilvl w:val="0"/>
          <w:numId w:val="0"/>
        </w:numPr>
        <w:ind w:left="851" w:hanging="851"/>
      </w:pPr>
      <w:r w:rsidRPr="00CA1467">
        <w:t>2.5</w:t>
      </w:r>
      <w:r w:rsidRPr="00CA1467">
        <w:tab/>
        <w:t xml:space="preserve">Under this approach, all the net income </w:t>
      </w:r>
      <w:proofErr w:type="gramStart"/>
      <w:r w:rsidRPr="00CA1467">
        <w:t>is attributed</w:t>
      </w:r>
      <w:proofErr w:type="gramEnd"/>
      <w:r w:rsidRPr="00CA1467">
        <w:t xml:space="preserve"> to the underlying individuals and is taxed at their marginal tax rates.  If certain forms of income derived by the business are free of tax, the individuals receive the income tax-free.  If losses </w:t>
      </w:r>
      <w:proofErr w:type="gramStart"/>
      <w:r w:rsidRPr="00CA1467">
        <w:t>are generated</w:t>
      </w:r>
      <w:proofErr w:type="gramEnd"/>
      <w:r w:rsidRPr="00CA1467">
        <w:t xml:space="preserve"> within the business, the losses can be used to reduce tax on the other income of the individuals, or can be carried forward by them.  When the individual sells all or part of their interest in the business, it can trigger tax consequences such as claw-back of depreciation.</w:t>
      </w:r>
    </w:p>
    <w:p w:rsidR="00E40914" w:rsidRPr="00CA1467" w:rsidRDefault="00E40914">
      <w:pPr>
        <w:jc w:val="left"/>
        <w:rPr>
          <w:snapToGrid w:val="0"/>
          <w:lang w:val="en-NZ" w:eastAsia="en-US"/>
        </w:rPr>
      </w:pPr>
    </w:p>
    <w:p w:rsidR="00E40914" w:rsidRPr="00CA1467" w:rsidRDefault="00E40914" w:rsidP="00E40914">
      <w:pPr>
        <w:pStyle w:val="Chapter2"/>
        <w:numPr>
          <w:ilvl w:val="0"/>
          <w:numId w:val="0"/>
        </w:numPr>
      </w:pPr>
    </w:p>
    <w:p w:rsidR="00E40914" w:rsidRPr="00CA1467" w:rsidRDefault="00E40914" w:rsidP="00E40914">
      <w:pPr>
        <w:pStyle w:val="Chapter2"/>
        <w:numPr>
          <w:ilvl w:val="0"/>
          <w:numId w:val="0"/>
        </w:numPr>
        <w:sectPr w:rsidR="00E40914" w:rsidRPr="00CA1467" w:rsidSect="006042D1">
          <w:footerReference w:type="even" r:id="rId10"/>
          <w:footerReference w:type="default" r:id="rId11"/>
          <w:footerReference w:type="first" r:id="rId12"/>
          <w:type w:val="oddPage"/>
          <w:pgSz w:w="11906" w:h="16838" w:code="9"/>
          <w:pgMar w:top="1134" w:right="1797" w:bottom="1134" w:left="1797" w:header="709" w:footer="425" w:gutter="0"/>
          <w:pgNumType w:start="1"/>
          <w:cols w:space="708"/>
          <w:titlePg/>
          <w:docGrid w:linePitch="360"/>
        </w:sectPr>
      </w:pPr>
    </w:p>
    <w:p w:rsidR="00B84DB1" w:rsidRPr="00CA1467" w:rsidRDefault="00B84DB1" w:rsidP="00F52DEE">
      <w:pPr>
        <w:spacing w:after="200"/>
        <w:jc w:val="left"/>
        <w:rPr>
          <w:b/>
          <w:lang w:val="en-NZ"/>
        </w:rPr>
      </w:pPr>
      <w:r w:rsidRPr="00CA1467">
        <w:rPr>
          <w:b/>
          <w:lang w:val="en-NZ"/>
        </w:rPr>
        <w:t>Table 1: Comparison of entity tax treatments</w:t>
      </w:r>
    </w:p>
    <w:tbl>
      <w:tblPr>
        <w:tblStyle w:val="TableGrid"/>
        <w:tblW w:w="0" w:type="auto"/>
        <w:tblInd w:w="108" w:type="dxa"/>
        <w:tblLayout w:type="fixed"/>
        <w:tblLook w:val="04A0" w:firstRow="1" w:lastRow="0" w:firstColumn="1" w:lastColumn="0" w:noHBand="0" w:noVBand="1"/>
      </w:tblPr>
      <w:tblGrid>
        <w:gridCol w:w="1384"/>
        <w:gridCol w:w="1276"/>
        <w:gridCol w:w="1843"/>
        <w:gridCol w:w="1984"/>
        <w:gridCol w:w="1701"/>
        <w:gridCol w:w="1559"/>
        <w:gridCol w:w="1877"/>
        <w:gridCol w:w="1809"/>
        <w:gridCol w:w="2302"/>
      </w:tblGrid>
      <w:tr w:rsidR="008A6355" w:rsidRPr="00CA1467" w:rsidTr="008C7350">
        <w:tc>
          <w:tcPr>
            <w:tcW w:w="1384" w:type="dxa"/>
          </w:tcPr>
          <w:p w:rsidR="00B84DB1" w:rsidRPr="00CA1467" w:rsidRDefault="00B84DB1" w:rsidP="005C4C96">
            <w:pPr>
              <w:spacing w:before="120" w:after="120"/>
              <w:jc w:val="center"/>
              <w:rPr>
                <w:b/>
                <w:sz w:val="18"/>
                <w:szCs w:val="18"/>
                <w:lang w:val="en-NZ"/>
              </w:rPr>
            </w:pPr>
          </w:p>
        </w:tc>
        <w:tc>
          <w:tcPr>
            <w:tcW w:w="1276" w:type="dxa"/>
          </w:tcPr>
          <w:p w:rsidR="00B84DB1" w:rsidRPr="00CA1467" w:rsidRDefault="00B84DB1" w:rsidP="005C4C96">
            <w:pPr>
              <w:spacing w:before="120" w:after="120"/>
              <w:jc w:val="center"/>
              <w:rPr>
                <w:b/>
                <w:sz w:val="18"/>
                <w:szCs w:val="18"/>
                <w:lang w:val="en-NZ"/>
              </w:rPr>
            </w:pPr>
            <w:r w:rsidRPr="00CA1467">
              <w:rPr>
                <w:b/>
                <w:sz w:val="18"/>
                <w:szCs w:val="18"/>
                <w:lang w:val="en-NZ"/>
              </w:rPr>
              <w:t>Direct ownership</w:t>
            </w:r>
          </w:p>
        </w:tc>
        <w:tc>
          <w:tcPr>
            <w:tcW w:w="1843" w:type="dxa"/>
          </w:tcPr>
          <w:p w:rsidR="00B84DB1" w:rsidRPr="00CA1467" w:rsidRDefault="00B84DB1" w:rsidP="005C4C96">
            <w:pPr>
              <w:spacing w:before="120" w:after="120"/>
              <w:jc w:val="center"/>
              <w:rPr>
                <w:b/>
                <w:sz w:val="18"/>
                <w:szCs w:val="18"/>
                <w:lang w:val="en-NZ"/>
              </w:rPr>
            </w:pPr>
            <w:r w:rsidRPr="00CA1467">
              <w:rPr>
                <w:b/>
                <w:sz w:val="18"/>
                <w:szCs w:val="18"/>
                <w:lang w:val="en-NZ"/>
              </w:rPr>
              <w:t>General partnership</w:t>
            </w:r>
          </w:p>
        </w:tc>
        <w:tc>
          <w:tcPr>
            <w:tcW w:w="1984" w:type="dxa"/>
          </w:tcPr>
          <w:p w:rsidR="00B84DB1" w:rsidRPr="00CA1467" w:rsidRDefault="00B84DB1" w:rsidP="005C4C96">
            <w:pPr>
              <w:spacing w:before="120" w:after="120"/>
              <w:jc w:val="center"/>
              <w:rPr>
                <w:b/>
                <w:sz w:val="18"/>
                <w:szCs w:val="18"/>
                <w:lang w:val="en-NZ"/>
              </w:rPr>
            </w:pPr>
            <w:r w:rsidRPr="00CA1467">
              <w:rPr>
                <w:b/>
                <w:sz w:val="18"/>
                <w:szCs w:val="18"/>
                <w:lang w:val="en-NZ"/>
              </w:rPr>
              <w:t>Limited partnership</w:t>
            </w:r>
          </w:p>
        </w:tc>
        <w:tc>
          <w:tcPr>
            <w:tcW w:w="1701" w:type="dxa"/>
          </w:tcPr>
          <w:p w:rsidR="00B84DB1" w:rsidRPr="00CA1467" w:rsidRDefault="00B84DB1" w:rsidP="005C4C96">
            <w:pPr>
              <w:spacing w:before="120" w:after="120"/>
              <w:jc w:val="center"/>
              <w:rPr>
                <w:b/>
                <w:sz w:val="18"/>
                <w:szCs w:val="18"/>
                <w:lang w:val="en-NZ"/>
              </w:rPr>
            </w:pPr>
            <w:r w:rsidRPr="00CA1467">
              <w:rPr>
                <w:b/>
                <w:sz w:val="18"/>
                <w:szCs w:val="18"/>
                <w:lang w:val="en-NZ"/>
              </w:rPr>
              <w:t>LTC</w:t>
            </w:r>
          </w:p>
        </w:tc>
        <w:tc>
          <w:tcPr>
            <w:tcW w:w="1559" w:type="dxa"/>
          </w:tcPr>
          <w:p w:rsidR="00B84DB1" w:rsidRPr="00CA1467" w:rsidRDefault="005C4C96" w:rsidP="005C4C96">
            <w:pPr>
              <w:spacing w:before="120" w:after="120"/>
              <w:jc w:val="center"/>
              <w:rPr>
                <w:b/>
                <w:sz w:val="18"/>
                <w:szCs w:val="18"/>
                <w:lang w:val="en-NZ"/>
              </w:rPr>
            </w:pPr>
            <w:r w:rsidRPr="00CA1467">
              <w:rPr>
                <w:b/>
                <w:sz w:val="18"/>
                <w:szCs w:val="18"/>
                <w:lang w:val="en-NZ"/>
              </w:rPr>
              <w:t>LAQC</w:t>
            </w:r>
            <w:r w:rsidR="008417A8">
              <w:rPr>
                <w:b/>
                <w:sz w:val="18"/>
                <w:szCs w:val="18"/>
                <w:lang w:val="en-NZ"/>
              </w:rPr>
              <w:t xml:space="preserve"> </w:t>
            </w:r>
            <w:r w:rsidRPr="00CA1467">
              <w:rPr>
                <w:sz w:val="18"/>
                <w:szCs w:val="18"/>
                <w:lang w:val="en-NZ"/>
              </w:rPr>
              <w:t>(no longer available)</w:t>
            </w:r>
            <w:r w:rsidRPr="00750878">
              <w:rPr>
                <w:rStyle w:val="FootnoteReference"/>
                <w:sz w:val="22"/>
                <w:szCs w:val="22"/>
                <w:lang w:val="en-NZ"/>
              </w:rPr>
              <w:footnoteReference w:id="7"/>
            </w:r>
          </w:p>
        </w:tc>
        <w:tc>
          <w:tcPr>
            <w:tcW w:w="1877" w:type="dxa"/>
          </w:tcPr>
          <w:p w:rsidR="00B84DB1" w:rsidRPr="00CA1467" w:rsidRDefault="005C4C96" w:rsidP="005C4C96">
            <w:pPr>
              <w:spacing w:before="120" w:after="120"/>
              <w:jc w:val="center"/>
              <w:rPr>
                <w:b/>
                <w:sz w:val="18"/>
                <w:szCs w:val="18"/>
                <w:lang w:val="en-NZ"/>
              </w:rPr>
            </w:pPr>
            <w:r w:rsidRPr="00CA1467">
              <w:rPr>
                <w:b/>
                <w:sz w:val="18"/>
                <w:szCs w:val="18"/>
                <w:lang w:val="en-NZ"/>
              </w:rPr>
              <w:t>QC</w:t>
            </w:r>
          </w:p>
        </w:tc>
        <w:tc>
          <w:tcPr>
            <w:tcW w:w="1809" w:type="dxa"/>
          </w:tcPr>
          <w:p w:rsidR="00B84DB1" w:rsidRPr="00CA1467" w:rsidRDefault="005C4C96" w:rsidP="005C4C96">
            <w:pPr>
              <w:spacing w:before="120" w:after="120"/>
              <w:jc w:val="center"/>
              <w:rPr>
                <w:b/>
                <w:sz w:val="18"/>
                <w:szCs w:val="18"/>
                <w:lang w:val="en-NZ"/>
              </w:rPr>
            </w:pPr>
            <w:r w:rsidRPr="00CA1467">
              <w:rPr>
                <w:b/>
                <w:sz w:val="18"/>
                <w:szCs w:val="18"/>
                <w:lang w:val="en-NZ"/>
              </w:rPr>
              <w:t>Trust</w:t>
            </w:r>
          </w:p>
        </w:tc>
        <w:tc>
          <w:tcPr>
            <w:tcW w:w="2302" w:type="dxa"/>
          </w:tcPr>
          <w:p w:rsidR="00B84DB1" w:rsidRPr="00CA1467" w:rsidRDefault="005C4C96" w:rsidP="005C4C96">
            <w:pPr>
              <w:spacing w:before="120" w:after="120"/>
              <w:jc w:val="center"/>
              <w:rPr>
                <w:b/>
                <w:sz w:val="18"/>
                <w:szCs w:val="18"/>
                <w:lang w:val="en-NZ"/>
              </w:rPr>
            </w:pPr>
            <w:r w:rsidRPr="00CA1467">
              <w:rPr>
                <w:b/>
                <w:sz w:val="18"/>
                <w:szCs w:val="18"/>
                <w:lang w:val="en-NZ"/>
              </w:rPr>
              <w:t>Company</w:t>
            </w:r>
          </w:p>
        </w:tc>
      </w:tr>
      <w:tr w:rsidR="008A6355" w:rsidRPr="00CA1467" w:rsidTr="008C7350">
        <w:tc>
          <w:tcPr>
            <w:tcW w:w="1384" w:type="dxa"/>
          </w:tcPr>
          <w:p w:rsidR="00B84DB1" w:rsidRPr="00CA1467" w:rsidRDefault="005C4C96" w:rsidP="005C4C96">
            <w:pPr>
              <w:spacing w:before="80" w:after="80"/>
              <w:jc w:val="left"/>
              <w:rPr>
                <w:b/>
                <w:sz w:val="18"/>
                <w:szCs w:val="18"/>
                <w:lang w:val="en-NZ"/>
              </w:rPr>
            </w:pPr>
            <w:r w:rsidRPr="00CA1467">
              <w:rPr>
                <w:b/>
                <w:sz w:val="18"/>
                <w:szCs w:val="18"/>
                <w:lang w:val="en-NZ"/>
              </w:rPr>
              <w:t>Ownership rules</w:t>
            </w:r>
          </w:p>
        </w:tc>
        <w:tc>
          <w:tcPr>
            <w:tcW w:w="1276" w:type="dxa"/>
          </w:tcPr>
          <w:p w:rsidR="00B84DB1" w:rsidRPr="00CA1467" w:rsidRDefault="005C4C96" w:rsidP="00B84DB1">
            <w:pPr>
              <w:spacing w:before="80" w:after="80"/>
              <w:jc w:val="left"/>
              <w:rPr>
                <w:sz w:val="18"/>
                <w:szCs w:val="18"/>
                <w:lang w:val="en-NZ"/>
              </w:rPr>
            </w:pPr>
            <w:r w:rsidRPr="00CA1467">
              <w:rPr>
                <w:sz w:val="18"/>
                <w:szCs w:val="18"/>
                <w:lang w:val="en-NZ"/>
              </w:rPr>
              <w:t>N/A</w:t>
            </w:r>
          </w:p>
        </w:tc>
        <w:tc>
          <w:tcPr>
            <w:tcW w:w="1843" w:type="dxa"/>
          </w:tcPr>
          <w:p w:rsidR="00B84DB1" w:rsidRPr="00CA1467" w:rsidRDefault="005C4C96" w:rsidP="00B84DB1">
            <w:pPr>
              <w:spacing w:before="80" w:after="80"/>
              <w:jc w:val="left"/>
              <w:rPr>
                <w:sz w:val="18"/>
                <w:szCs w:val="18"/>
                <w:lang w:val="en-NZ"/>
              </w:rPr>
            </w:pPr>
            <w:r w:rsidRPr="00CA1467">
              <w:rPr>
                <w:sz w:val="18"/>
                <w:szCs w:val="18"/>
                <w:lang w:val="en-NZ"/>
              </w:rPr>
              <w:t>No restrictions</w:t>
            </w:r>
          </w:p>
        </w:tc>
        <w:tc>
          <w:tcPr>
            <w:tcW w:w="1984" w:type="dxa"/>
          </w:tcPr>
          <w:p w:rsidR="00B84DB1" w:rsidRPr="00CA1467" w:rsidRDefault="005C4C96" w:rsidP="00B84DB1">
            <w:pPr>
              <w:spacing w:before="80" w:after="80"/>
              <w:jc w:val="left"/>
              <w:rPr>
                <w:sz w:val="18"/>
                <w:szCs w:val="18"/>
                <w:lang w:val="en-NZ"/>
              </w:rPr>
            </w:pPr>
            <w:r w:rsidRPr="00CA1467">
              <w:rPr>
                <w:sz w:val="18"/>
                <w:szCs w:val="18"/>
                <w:lang w:val="en-NZ"/>
              </w:rPr>
              <w:t>No upper limit on number of partners but must have at least one general partner, and one limited partner</w:t>
            </w:r>
          </w:p>
        </w:tc>
        <w:tc>
          <w:tcPr>
            <w:tcW w:w="1701" w:type="dxa"/>
          </w:tcPr>
          <w:p w:rsidR="00B84DB1" w:rsidRPr="00CA1467" w:rsidRDefault="00785952" w:rsidP="00785952">
            <w:pPr>
              <w:spacing w:before="80" w:after="80"/>
              <w:jc w:val="left"/>
              <w:rPr>
                <w:sz w:val="18"/>
                <w:szCs w:val="18"/>
                <w:lang w:val="en-NZ"/>
              </w:rPr>
            </w:pPr>
            <w:r>
              <w:rPr>
                <w:sz w:val="18"/>
                <w:szCs w:val="18"/>
                <w:lang w:val="en-NZ"/>
              </w:rPr>
              <w:t xml:space="preserve">Five </w:t>
            </w:r>
            <w:r w:rsidR="005C4C96" w:rsidRPr="00CA1467">
              <w:rPr>
                <w:sz w:val="18"/>
                <w:szCs w:val="18"/>
                <w:lang w:val="en-NZ"/>
              </w:rPr>
              <w:t>or fewer look-through owners (under review)</w:t>
            </w:r>
          </w:p>
        </w:tc>
        <w:tc>
          <w:tcPr>
            <w:tcW w:w="1559" w:type="dxa"/>
          </w:tcPr>
          <w:p w:rsidR="00B84DB1" w:rsidRPr="00CA1467" w:rsidRDefault="005C4C96" w:rsidP="00785952">
            <w:pPr>
              <w:spacing w:before="80" w:after="80"/>
              <w:jc w:val="left"/>
              <w:rPr>
                <w:sz w:val="18"/>
                <w:szCs w:val="18"/>
                <w:lang w:val="en-NZ"/>
              </w:rPr>
            </w:pPr>
            <w:r w:rsidRPr="00CA1467">
              <w:rPr>
                <w:sz w:val="18"/>
                <w:szCs w:val="18"/>
                <w:lang w:val="en-NZ"/>
              </w:rPr>
              <w:t xml:space="preserve">Was </w:t>
            </w:r>
            <w:r w:rsidR="00785952">
              <w:rPr>
                <w:sz w:val="18"/>
                <w:szCs w:val="18"/>
                <w:lang w:val="en-NZ"/>
              </w:rPr>
              <w:t xml:space="preserve">five </w:t>
            </w:r>
            <w:r w:rsidRPr="00CA1467">
              <w:rPr>
                <w:sz w:val="18"/>
                <w:szCs w:val="18"/>
                <w:lang w:val="en-NZ"/>
              </w:rPr>
              <w:t>or fewer shareholders including associates</w:t>
            </w:r>
          </w:p>
        </w:tc>
        <w:tc>
          <w:tcPr>
            <w:tcW w:w="1877" w:type="dxa"/>
          </w:tcPr>
          <w:p w:rsidR="00B84DB1" w:rsidRPr="00CA1467" w:rsidRDefault="005C4C96">
            <w:pPr>
              <w:spacing w:before="80" w:after="80"/>
              <w:jc w:val="left"/>
              <w:rPr>
                <w:sz w:val="18"/>
                <w:szCs w:val="18"/>
                <w:lang w:val="en-NZ"/>
              </w:rPr>
            </w:pPr>
            <w:r w:rsidRPr="00CA1467">
              <w:rPr>
                <w:sz w:val="18"/>
                <w:szCs w:val="18"/>
                <w:lang w:val="en-NZ"/>
              </w:rPr>
              <w:t xml:space="preserve">No new QCs allowed Existing QCs must have </w:t>
            </w:r>
            <w:r w:rsidR="00E82B1E">
              <w:rPr>
                <w:sz w:val="18"/>
                <w:szCs w:val="18"/>
                <w:lang w:val="en-NZ"/>
              </w:rPr>
              <w:t>five</w:t>
            </w:r>
            <w:r w:rsidR="00E82B1E" w:rsidRPr="00CA1467">
              <w:rPr>
                <w:sz w:val="18"/>
                <w:szCs w:val="18"/>
                <w:lang w:val="en-NZ"/>
              </w:rPr>
              <w:t xml:space="preserve"> </w:t>
            </w:r>
            <w:r w:rsidRPr="00CA1467">
              <w:rPr>
                <w:sz w:val="18"/>
                <w:szCs w:val="18"/>
                <w:lang w:val="en-NZ"/>
              </w:rPr>
              <w:t>or fewer shareholders including associates</w:t>
            </w:r>
          </w:p>
        </w:tc>
        <w:tc>
          <w:tcPr>
            <w:tcW w:w="1809" w:type="dxa"/>
          </w:tcPr>
          <w:p w:rsidR="00B84DB1" w:rsidRPr="00CA1467" w:rsidRDefault="005C4C96" w:rsidP="00B84DB1">
            <w:pPr>
              <w:spacing w:before="80" w:after="80"/>
              <w:jc w:val="left"/>
              <w:rPr>
                <w:sz w:val="18"/>
                <w:szCs w:val="18"/>
                <w:lang w:val="en-NZ"/>
              </w:rPr>
            </w:pPr>
            <w:r w:rsidRPr="00CA1467">
              <w:rPr>
                <w:sz w:val="18"/>
                <w:szCs w:val="18"/>
                <w:lang w:val="en-NZ"/>
              </w:rPr>
              <w:t>No restrictions on settlors or beneficiaries</w:t>
            </w:r>
          </w:p>
        </w:tc>
        <w:tc>
          <w:tcPr>
            <w:tcW w:w="2302" w:type="dxa"/>
          </w:tcPr>
          <w:p w:rsidR="00B84DB1" w:rsidRPr="00CA1467" w:rsidRDefault="005C4C96" w:rsidP="00B84DB1">
            <w:pPr>
              <w:spacing w:before="80" w:after="80"/>
              <w:jc w:val="left"/>
              <w:rPr>
                <w:sz w:val="18"/>
                <w:szCs w:val="18"/>
                <w:lang w:val="en-NZ"/>
              </w:rPr>
            </w:pPr>
            <w:r w:rsidRPr="00CA1467">
              <w:rPr>
                <w:sz w:val="18"/>
                <w:szCs w:val="18"/>
                <w:lang w:val="en-NZ"/>
              </w:rPr>
              <w:t>No restrictions</w:t>
            </w:r>
          </w:p>
        </w:tc>
      </w:tr>
      <w:tr w:rsidR="008A6355" w:rsidRPr="00CA1467" w:rsidTr="008C7350">
        <w:tc>
          <w:tcPr>
            <w:tcW w:w="1384" w:type="dxa"/>
          </w:tcPr>
          <w:p w:rsidR="00B84DB1" w:rsidRPr="00CA1467" w:rsidRDefault="005C4C96" w:rsidP="00B84DB1">
            <w:pPr>
              <w:spacing w:before="80" w:after="80"/>
              <w:jc w:val="left"/>
              <w:rPr>
                <w:b/>
                <w:sz w:val="18"/>
                <w:szCs w:val="18"/>
                <w:lang w:val="en-NZ"/>
              </w:rPr>
            </w:pPr>
            <w:r w:rsidRPr="00CA1467">
              <w:rPr>
                <w:b/>
                <w:sz w:val="18"/>
                <w:szCs w:val="18"/>
                <w:lang w:val="en-NZ"/>
              </w:rPr>
              <w:t>Different ownership rules</w:t>
            </w:r>
            <w:r w:rsidR="00010FE7" w:rsidRPr="00CA1467">
              <w:rPr>
                <w:b/>
                <w:sz w:val="18"/>
                <w:szCs w:val="18"/>
                <w:lang w:val="en-NZ"/>
              </w:rPr>
              <w:t xml:space="preserve"> </w:t>
            </w:r>
            <w:r w:rsidRPr="00CA1467">
              <w:rPr>
                <w:b/>
                <w:sz w:val="18"/>
                <w:szCs w:val="18"/>
                <w:lang w:val="en-NZ"/>
              </w:rPr>
              <w:t>/</w:t>
            </w:r>
            <w:r w:rsidR="00010FE7" w:rsidRPr="00CA1467">
              <w:rPr>
                <w:b/>
                <w:sz w:val="18"/>
                <w:szCs w:val="18"/>
                <w:lang w:val="en-NZ"/>
              </w:rPr>
              <w:t xml:space="preserve"> </w:t>
            </w:r>
            <w:r w:rsidRPr="00CA1467">
              <w:rPr>
                <w:b/>
                <w:sz w:val="18"/>
                <w:szCs w:val="18"/>
                <w:lang w:val="en-NZ"/>
              </w:rPr>
              <w:t>class of shares</w:t>
            </w:r>
          </w:p>
        </w:tc>
        <w:tc>
          <w:tcPr>
            <w:tcW w:w="1276" w:type="dxa"/>
          </w:tcPr>
          <w:p w:rsidR="00B84DB1" w:rsidRPr="00CA1467" w:rsidRDefault="005C4C96" w:rsidP="00B84DB1">
            <w:pPr>
              <w:spacing w:before="80" w:after="80"/>
              <w:jc w:val="left"/>
              <w:rPr>
                <w:sz w:val="18"/>
                <w:szCs w:val="18"/>
                <w:lang w:val="en-NZ"/>
              </w:rPr>
            </w:pPr>
            <w:r w:rsidRPr="00CA1467">
              <w:rPr>
                <w:sz w:val="18"/>
                <w:szCs w:val="18"/>
                <w:lang w:val="en-NZ"/>
              </w:rPr>
              <w:t>N/A</w:t>
            </w:r>
          </w:p>
        </w:tc>
        <w:tc>
          <w:tcPr>
            <w:tcW w:w="1843" w:type="dxa"/>
          </w:tcPr>
          <w:p w:rsidR="00B84DB1" w:rsidRPr="00CA1467" w:rsidRDefault="005C4C96" w:rsidP="00B84DB1">
            <w:pPr>
              <w:spacing w:before="80" w:after="80"/>
              <w:jc w:val="left"/>
              <w:rPr>
                <w:sz w:val="18"/>
                <w:szCs w:val="18"/>
                <w:lang w:val="en-NZ"/>
              </w:rPr>
            </w:pPr>
            <w:r w:rsidRPr="00CA1467">
              <w:rPr>
                <w:sz w:val="18"/>
                <w:szCs w:val="18"/>
                <w:lang w:val="en-NZ"/>
              </w:rPr>
              <w:t>Partnership agreement could provide for different rights for different partners</w:t>
            </w:r>
          </w:p>
        </w:tc>
        <w:tc>
          <w:tcPr>
            <w:tcW w:w="1984" w:type="dxa"/>
          </w:tcPr>
          <w:p w:rsidR="00B84DB1" w:rsidRPr="00CA1467" w:rsidRDefault="005C4C96" w:rsidP="00B84DB1">
            <w:pPr>
              <w:spacing w:before="80" w:after="80"/>
              <w:jc w:val="left"/>
              <w:rPr>
                <w:sz w:val="18"/>
                <w:szCs w:val="18"/>
                <w:lang w:val="en-NZ"/>
              </w:rPr>
            </w:pPr>
            <w:r w:rsidRPr="00CA1467">
              <w:rPr>
                <w:sz w:val="18"/>
                <w:szCs w:val="18"/>
                <w:lang w:val="en-NZ"/>
              </w:rPr>
              <w:t>Partnership agreement could provide for different rights for different partners</w:t>
            </w:r>
          </w:p>
        </w:tc>
        <w:tc>
          <w:tcPr>
            <w:tcW w:w="1701" w:type="dxa"/>
          </w:tcPr>
          <w:p w:rsidR="00B84DB1" w:rsidRPr="00CA1467" w:rsidRDefault="005C4C96" w:rsidP="00B84DB1">
            <w:pPr>
              <w:spacing w:before="80" w:after="80"/>
              <w:jc w:val="left"/>
              <w:rPr>
                <w:sz w:val="18"/>
                <w:szCs w:val="18"/>
                <w:lang w:val="en-NZ"/>
              </w:rPr>
            </w:pPr>
            <w:r w:rsidRPr="00CA1467">
              <w:rPr>
                <w:sz w:val="18"/>
                <w:szCs w:val="18"/>
                <w:lang w:val="en-NZ"/>
              </w:rPr>
              <w:t>Only one class of share allowed</w:t>
            </w:r>
          </w:p>
        </w:tc>
        <w:tc>
          <w:tcPr>
            <w:tcW w:w="1559" w:type="dxa"/>
          </w:tcPr>
          <w:p w:rsidR="00B84DB1" w:rsidRPr="00CA1467" w:rsidRDefault="005C4C96" w:rsidP="00B84DB1">
            <w:pPr>
              <w:spacing w:before="80" w:after="80"/>
              <w:jc w:val="left"/>
              <w:rPr>
                <w:sz w:val="18"/>
                <w:szCs w:val="18"/>
                <w:lang w:val="en-NZ"/>
              </w:rPr>
            </w:pPr>
            <w:r w:rsidRPr="00CA1467">
              <w:rPr>
                <w:sz w:val="18"/>
                <w:szCs w:val="18"/>
                <w:lang w:val="en-NZ"/>
              </w:rPr>
              <w:t>Multiple classes of shares allowed</w:t>
            </w:r>
          </w:p>
        </w:tc>
        <w:tc>
          <w:tcPr>
            <w:tcW w:w="1877" w:type="dxa"/>
          </w:tcPr>
          <w:p w:rsidR="00B84DB1" w:rsidRPr="00CA1467" w:rsidRDefault="005C4C96" w:rsidP="00B84DB1">
            <w:pPr>
              <w:spacing w:before="80" w:after="80"/>
              <w:jc w:val="left"/>
              <w:rPr>
                <w:sz w:val="18"/>
                <w:szCs w:val="18"/>
                <w:lang w:val="en-NZ"/>
              </w:rPr>
            </w:pPr>
            <w:r w:rsidRPr="00CA1467">
              <w:rPr>
                <w:sz w:val="18"/>
                <w:szCs w:val="18"/>
                <w:lang w:val="en-NZ"/>
              </w:rPr>
              <w:t>Multiple classes of shares allowed</w:t>
            </w:r>
          </w:p>
        </w:tc>
        <w:tc>
          <w:tcPr>
            <w:tcW w:w="1809" w:type="dxa"/>
          </w:tcPr>
          <w:p w:rsidR="00B84DB1" w:rsidRPr="00CA1467" w:rsidRDefault="005C4C96" w:rsidP="00B84DB1">
            <w:pPr>
              <w:spacing w:before="80" w:after="80"/>
              <w:jc w:val="left"/>
              <w:rPr>
                <w:sz w:val="18"/>
                <w:szCs w:val="18"/>
                <w:lang w:val="en-NZ"/>
              </w:rPr>
            </w:pPr>
            <w:r w:rsidRPr="00CA1467">
              <w:rPr>
                <w:sz w:val="18"/>
                <w:szCs w:val="18"/>
                <w:lang w:val="en-NZ"/>
              </w:rPr>
              <w:t>Trust agreement could provide for different rights for different beneficiaries</w:t>
            </w:r>
          </w:p>
        </w:tc>
        <w:tc>
          <w:tcPr>
            <w:tcW w:w="2302" w:type="dxa"/>
          </w:tcPr>
          <w:p w:rsidR="00B84DB1" w:rsidRPr="00CA1467" w:rsidRDefault="005C4C96" w:rsidP="00B84DB1">
            <w:pPr>
              <w:spacing w:before="80" w:after="80"/>
              <w:jc w:val="left"/>
              <w:rPr>
                <w:sz w:val="18"/>
                <w:szCs w:val="18"/>
                <w:lang w:val="en-NZ"/>
              </w:rPr>
            </w:pPr>
            <w:r w:rsidRPr="00CA1467">
              <w:rPr>
                <w:sz w:val="18"/>
                <w:szCs w:val="18"/>
                <w:lang w:val="en-NZ"/>
              </w:rPr>
              <w:t>Multiple classes of shares allowed</w:t>
            </w:r>
          </w:p>
        </w:tc>
      </w:tr>
      <w:tr w:rsidR="008A6355" w:rsidRPr="00CA1467" w:rsidTr="008C7350">
        <w:tc>
          <w:tcPr>
            <w:tcW w:w="1384" w:type="dxa"/>
          </w:tcPr>
          <w:p w:rsidR="00B84DB1" w:rsidRPr="00CA1467" w:rsidRDefault="005C4C96" w:rsidP="00B84DB1">
            <w:pPr>
              <w:spacing w:before="80" w:after="80"/>
              <w:jc w:val="left"/>
              <w:rPr>
                <w:b/>
                <w:sz w:val="18"/>
                <w:szCs w:val="18"/>
                <w:lang w:val="en-NZ"/>
              </w:rPr>
            </w:pPr>
            <w:r w:rsidRPr="00CA1467">
              <w:rPr>
                <w:b/>
                <w:sz w:val="18"/>
                <w:szCs w:val="18"/>
                <w:lang w:val="en-NZ"/>
              </w:rPr>
              <w:t>Owner’s liability</w:t>
            </w:r>
          </w:p>
        </w:tc>
        <w:tc>
          <w:tcPr>
            <w:tcW w:w="1276" w:type="dxa"/>
          </w:tcPr>
          <w:p w:rsidR="00B84DB1" w:rsidRPr="00CA1467" w:rsidRDefault="005C4C96" w:rsidP="00B84DB1">
            <w:pPr>
              <w:spacing w:before="80" w:after="80"/>
              <w:jc w:val="left"/>
              <w:rPr>
                <w:sz w:val="18"/>
                <w:szCs w:val="18"/>
                <w:lang w:val="en-NZ"/>
              </w:rPr>
            </w:pPr>
            <w:r w:rsidRPr="00CA1467">
              <w:rPr>
                <w:sz w:val="18"/>
                <w:szCs w:val="18"/>
                <w:lang w:val="en-NZ"/>
              </w:rPr>
              <w:t>Unlimited</w:t>
            </w:r>
          </w:p>
        </w:tc>
        <w:tc>
          <w:tcPr>
            <w:tcW w:w="1843" w:type="dxa"/>
          </w:tcPr>
          <w:p w:rsidR="00B84DB1" w:rsidRPr="00CA1467" w:rsidRDefault="005C4C96" w:rsidP="00B84DB1">
            <w:pPr>
              <w:spacing w:before="80" w:after="80"/>
              <w:jc w:val="left"/>
              <w:rPr>
                <w:sz w:val="18"/>
                <w:szCs w:val="18"/>
                <w:lang w:val="en-NZ"/>
              </w:rPr>
            </w:pPr>
            <w:r w:rsidRPr="00CA1467">
              <w:rPr>
                <w:sz w:val="18"/>
                <w:szCs w:val="18"/>
                <w:lang w:val="en-NZ"/>
              </w:rPr>
              <w:t>Unlimited</w:t>
            </w:r>
          </w:p>
        </w:tc>
        <w:tc>
          <w:tcPr>
            <w:tcW w:w="1984" w:type="dxa"/>
          </w:tcPr>
          <w:p w:rsidR="00B84DB1" w:rsidRPr="00CA1467" w:rsidRDefault="005C4C96" w:rsidP="00B84DB1">
            <w:pPr>
              <w:spacing w:before="80" w:after="80"/>
              <w:jc w:val="left"/>
              <w:rPr>
                <w:sz w:val="18"/>
                <w:szCs w:val="18"/>
                <w:lang w:val="en-NZ"/>
              </w:rPr>
            </w:pPr>
            <w:r w:rsidRPr="00CA1467">
              <w:rPr>
                <w:sz w:val="18"/>
                <w:szCs w:val="18"/>
                <w:lang w:val="en-NZ"/>
              </w:rPr>
              <w:t>Limited</w:t>
            </w:r>
          </w:p>
        </w:tc>
        <w:tc>
          <w:tcPr>
            <w:tcW w:w="1701" w:type="dxa"/>
          </w:tcPr>
          <w:p w:rsidR="00B84DB1" w:rsidRPr="00CA1467" w:rsidRDefault="005C4C96" w:rsidP="00B84DB1">
            <w:pPr>
              <w:spacing w:before="80" w:after="80"/>
              <w:jc w:val="left"/>
              <w:rPr>
                <w:sz w:val="18"/>
                <w:szCs w:val="18"/>
                <w:lang w:val="en-NZ"/>
              </w:rPr>
            </w:pPr>
            <w:r w:rsidRPr="00CA1467">
              <w:rPr>
                <w:sz w:val="18"/>
                <w:szCs w:val="18"/>
                <w:lang w:val="en-NZ"/>
              </w:rPr>
              <w:t>Limited</w:t>
            </w:r>
          </w:p>
        </w:tc>
        <w:tc>
          <w:tcPr>
            <w:tcW w:w="1559" w:type="dxa"/>
          </w:tcPr>
          <w:p w:rsidR="00B84DB1" w:rsidRPr="00CA1467" w:rsidRDefault="005C4C96" w:rsidP="00B84DB1">
            <w:pPr>
              <w:spacing w:before="80" w:after="80"/>
              <w:jc w:val="left"/>
              <w:rPr>
                <w:sz w:val="18"/>
                <w:szCs w:val="18"/>
                <w:lang w:val="en-NZ"/>
              </w:rPr>
            </w:pPr>
            <w:r w:rsidRPr="00CA1467">
              <w:rPr>
                <w:sz w:val="18"/>
                <w:szCs w:val="18"/>
                <w:lang w:val="en-NZ"/>
              </w:rPr>
              <w:t>Limited</w:t>
            </w:r>
          </w:p>
        </w:tc>
        <w:tc>
          <w:tcPr>
            <w:tcW w:w="1877" w:type="dxa"/>
          </w:tcPr>
          <w:p w:rsidR="00B84DB1" w:rsidRPr="00CA1467" w:rsidRDefault="005C4C96" w:rsidP="00B84DB1">
            <w:pPr>
              <w:spacing w:before="80" w:after="80"/>
              <w:jc w:val="left"/>
              <w:rPr>
                <w:sz w:val="18"/>
                <w:szCs w:val="18"/>
                <w:lang w:val="en-NZ"/>
              </w:rPr>
            </w:pPr>
            <w:r w:rsidRPr="00CA1467">
              <w:rPr>
                <w:sz w:val="18"/>
                <w:szCs w:val="18"/>
                <w:lang w:val="en-NZ"/>
              </w:rPr>
              <w:t>Limited</w:t>
            </w:r>
          </w:p>
        </w:tc>
        <w:tc>
          <w:tcPr>
            <w:tcW w:w="1809" w:type="dxa"/>
          </w:tcPr>
          <w:p w:rsidR="00B84DB1" w:rsidRPr="00CA1467" w:rsidRDefault="005C4C96" w:rsidP="00B84DB1">
            <w:pPr>
              <w:spacing w:before="80" w:after="80"/>
              <w:jc w:val="left"/>
              <w:rPr>
                <w:sz w:val="18"/>
                <w:szCs w:val="18"/>
                <w:lang w:val="en-NZ"/>
              </w:rPr>
            </w:pPr>
            <w:r w:rsidRPr="00CA1467">
              <w:rPr>
                <w:sz w:val="18"/>
                <w:szCs w:val="18"/>
                <w:lang w:val="en-NZ"/>
              </w:rPr>
              <w:t>Limited for beneficiaries, unlimited for trustees</w:t>
            </w:r>
          </w:p>
        </w:tc>
        <w:tc>
          <w:tcPr>
            <w:tcW w:w="2302" w:type="dxa"/>
          </w:tcPr>
          <w:p w:rsidR="00B84DB1" w:rsidRPr="00CA1467" w:rsidRDefault="005C4C96" w:rsidP="00B84DB1">
            <w:pPr>
              <w:spacing w:before="80" w:after="80"/>
              <w:jc w:val="left"/>
              <w:rPr>
                <w:sz w:val="18"/>
                <w:szCs w:val="18"/>
                <w:lang w:val="en-NZ"/>
              </w:rPr>
            </w:pPr>
            <w:r w:rsidRPr="00CA1467">
              <w:rPr>
                <w:sz w:val="18"/>
                <w:szCs w:val="18"/>
                <w:lang w:val="en-NZ"/>
              </w:rPr>
              <w:t>Limited</w:t>
            </w:r>
          </w:p>
        </w:tc>
      </w:tr>
      <w:tr w:rsidR="008A6355" w:rsidRPr="00CA1467" w:rsidTr="008C7350">
        <w:tc>
          <w:tcPr>
            <w:tcW w:w="1384" w:type="dxa"/>
          </w:tcPr>
          <w:p w:rsidR="00B84DB1" w:rsidRPr="00CA1467" w:rsidRDefault="005C4C96" w:rsidP="00B84DB1">
            <w:pPr>
              <w:spacing w:before="80" w:after="80"/>
              <w:jc w:val="left"/>
              <w:rPr>
                <w:b/>
                <w:sz w:val="18"/>
                <w:szCs w:val="18"/>
                <w:lang w:val="en-NZ"/>
              </w:rPr>
            </w:pPr>
            <w:r w:rsidRPr="00CA1467">
              <w:rPr>
                <w:b/>
                <w:sz w:val="18"/>
                <w:szCs w:val="18"/>
                <w:lang w:val="en-NZ"/>
              </w:rPr>
              <w:t>Tax rate</w:t>
            </w:r>
          </w:p>
        </w:tc>
        <w:tc>
          <w:tcPr>
            <w:tcW w:w="1276" w:type="dxa"/>
          </w:tcPr>
          <w:p w:rsidR="00B84DB1" w:rsidRPr="00CA1467" w:rsidRDefault="005C4C96" w:rsidP="00B84DB1">
            <w:pPr>
              <w:spacing w:before="80" w:after="80"/>
              <w:jc w:val="left"/>
              <w:rPr>
                <w:sz w:val="18"/>
                <w:szCs w:val="18"/>
                <w:lang w:val="en-NZ"/>
              </w:rPr>
            </w:pPr>
            <w:r w:rsidRPr="00CA1467">
              <w:rPr>
                <w:sz w:val="18"/>
                <w:szCs w:val="18"/>
                <w:lang w:val="en-NZ"/>
              </w:rPr>
              <w:t>Owner’s tax rate</w:t>
            </w:r>
          </w:p>
        </w:tc>
        <w:tc>
          <w:tcPr>
            <w:tcW w:w="1843" w:type="dxa"/>
          </w:tcPr>
          <w:p w:rsidR="00B84DB1" w:rsidRPr="00CA1467" w:rsidRDefault="005C4C96" w:rsidP="00B84DB1">
            <w:pPr>
              <w:spacing w:before="80" w:after="80"/>
              <w:jc w:val="left"/>
              <w:rPr>
                <w:sz w:val="18"/>
                <w:szCs w:val="18"/>
                <w:lang w:val="en-NZ"/>
              </w:rPr>
            </w:pPr>
            <w:r w:rsidRPr="00CA1467">
              <w:rPr>
                <w:sz w:val="18"/>
                <w:szCs w:val="18"/>
                <w:lang w:val="en-NZ"/>
              </w:rPr>
              <w:t>Partners’ tax rates</w:t>
            </w:r>
          </w:p>
        </w:tc>
        <w:tc>
          <w:tcPr>
            <w:tcW w:w="1984" w:type="dxa"/>
          </w:tcPr>
          <w:p w:rsidR="00B84DB1" w:rsidRPr="00CA1467" w:rsidRDefault="005C4C96" w:rsidP="00B84DB1">
            <w:pPr>
              <w:spacing w:before="80" w:after="80"/>
              <w:jc w:val="left"/>
              <w:rPr>
                <w:sz w:val="18"/>
                <w:szCs w:val="18"/>
                <w:lang w:val="en-NZ"/>
              </w:rPr>
            </w:pPr>
            <w:r w:rsidRPr="00CA1467">
              <w:rPr>
                <w:sz w:val="18"/>
                <w:szCs w:val="18"/>
                <w:lang w:val="en-NZ"/>
              </w:rPr>
              <w:t>Partners’ tax rates</w:t>
            </w:r>
          </w:p>
        </w:tc>
        <w:tc>
          <w:tcPr>
            <w:tcW w:w="1701" w:type="dxa"/>
          </w:tcPr>
          <w:p w:rsidR="00B84DB1" w:rsidRPr="00CA1467" w:rsidRDefault="005C4C96" w:rsidP="00B84DB1">
            <w:pPr>
              <w:spacing w:before="80" w:after="80"/>
              <w:jc w:val="left"/>
              <w:rPr>
                <w:sz w:val="18"/>
                <w:szCs w:val="18"/>
                <w:lang w:val="en-NZ"/>
              </w:rPr>
            </w:pPr>
            <w:r w:rsidRPr="00CA1467">
              <w:rPr>
                <w:sz w:val="18"/>
                <w:szCs w:val="18"/>
                <w:lang w:val="en-NZ"/>
              </w:rPr>
              <w:t>Shareholders’ tax rates</w:t>
            </w:r>
          </w:p>
        </w:tc>
        <w:tc>
          <w:tcPr>
            <w:tcW w:w="1559" w:type="dxa"/>
          </w:tcPr>
          <w:p w:rsidR="00B84DB1" w:rsidRPr="00CA1467" w:rsidRDefault="005C4C96" w:rsidP="00B84DB1">
            <w:pPr>
              <w:spacing w:before="80" w:after="80"/>
              <w:jc w:val="left"/>
              <w:rPr>
                <w:sz w:val="18"/>
                <w:szCs w:val="18"/>
                <w:lang w:val="en-NZ"/>
              </w:rPr>
            </w:pPr>
            <w:r w:rsidRPr="00CA1467">
              <w:rPr>
                <w:sz w:val="18"/>
                <w:szCs w:val="18"/>
                <w:lang w:val="en-NZ"/>
              </w:rPr>
              <w:t>Company tax rate on accrual, adjusted to shareholders’ tax rates on distribution</w:t>
            </w:r>
          </w:p>
        </w:tc>
        <w:tc>
          <w:tcPr>
            <w:tcW w:w="1877" w:type="dxa"/>
          </w:tcPr>
          <w:p w:rsidR="00B84DB1" w:rsidRPr="00CA1467" w:rsidRDefault="005C4C96" w:rsidP="00B84DB1">
            <w:pPr>
              <w:spacing w:before="80" w:after="80"/>
              <w:jc w:val="left"/>
              <w:rPr>
                <w:sz w:val="18"/>
                <w:szCs w:val="18"/>
                <w:lang w:val="en-NZ"/>
              </w:rPr>
            </w:pPr>
            <w:r w:rsidRPr="00CA1467">
              <w:rPr>
                <w:sz w:val="18"/>
                <w:szCs w:val="18"/>
                <w:lang w:val="en-NZ"/>
              </w:rPr>
              <w:t>Company tax rate on accrual, adjusted to shareholders’ tax rates on distribution</w:t>
            </w:r>
          </w:p>
        </w:tc>
        <w:tc>
          <w:tcPr>
            <w:tcW w:w="1809" w:type="dxa"/>
          </w:tcPr>
          <w:p w:rsidR="00B84DB1" w:rsidRPr="00CA1467" w:rsidRDefault="005C4C96" w:rsidP="00B84DB1">
            <w:pPr>
              <w:spacing w:before="80" w:after="80"/>
              <w:jc w:val="left"/>
              <w:rPr>
                <w:sz w:val="18"/>
                <w:szCs w:val="18"/>
                <w:lang w:val="en-NZ"/>
              </w:rPr>
            </w:pPr>
            <w:r w:rsidRPr="00CA1467">
              <w:rPr>
                <w:sz w:val="18"/>
                <w:szCs w:val="18"/>
                <w:lang w:val="en-NZ"/>
              </w:rPr>
              <w:t>Trustee income taxed at equivalent to top personal rate, beneficiary income taxed at beneficiaries’ tax rates</w:t>
            </w:r>
          </w:p>
        </w:tc>
        <w:tc>
          <w:tcPr>
            <w:tcW w:w="2302" w:type="dxa"/>
          </w:tcPr>
          <w:p w:rsidR="00B84DB1" w:rsidRPr="00CA1467" w:rsidRDefault="005C4C96" w:rsidP="00B84DB1">
            <w:pPr>
              <w:spacing w:before="80" w:after="80"/>
              <w:jc w:val="left"/>
              <w:rPr>
                <w:sz w:val="18"/>
                <w:szCs w:val="18"/>
                <w:lang w:val="en-NZ"/>
              </w:rPr>
            </w:pPr>
            <w:r w:rsidRPr="00CA1467">
              <w:rPr>
                <w:sz w:val="18"/>
                <w:szCs w:val="18"/>
                <w:lang w:val="en-NZ"/>
              </w:rPr>
              <w:t>Company tax rate on accrual, adjusted to shareholders’ tax rates on distribution</w:t>
            </w:r>
          </w:p>
        </w:tc>
      </w:tr>
      <w:tr w:rsidR="008A6355" w:rsidRPr="00CA1467" w:rsidTr="008C7350">
        <w:trPr>
          <w:trHeight w:val="845"/>
        </w:trPr>
        <w:tc>
          <w:tcPr>
            <w:tcW w:w="1384" w:type="dxa"/>
          </w:tcPr>
          <w:p w:rsidR="00B84DB1" w:rsidRPr="00CA1467" w:rsidRDefault="005C4C96" w:rsidP="00B84DB1">
            <w:pPr>
              <w:spacing w:before="80" w:after="80"/>
              <w:jc w:val="left"/>
              <w:rPr>
                <w:b/>
                <w:sz w:val="18"/>
                <w:szCs w:val="18"/>
                <w:lang w:val="en-NZ"/>
              </w:rPr>
            </w:pPr>
            <w:r w:rsidRPr="00CA1467">
              <w:rPr>
                <w:b/>
                <w:sz w:val="18"/>
                <w:szCs w:val="18"/>
                <w:lang w:val="en-NZ"/>
              </w:rPr>
              <w:t>Losses</w:t>
            </w:r>
          </w:p>
        </w:tc>
        <w:tc>
          <w:tcPr>
            <w:tcW w:w="1276" w:type="dxa"/>
          </w:tcPr>
          <w:p w:rsidR="00B84DB1" w:rsidRPr="00CA1467" w:rsidRDefault="005C4C96" w:rsidP="00B84DB1">
            <w:pPr>
              <w:spacing w:before="80" w:after="80"/>
              <w:jc w:val="left"/>
              <w:rPr>
                <w:sz w:val="18"/>
                <w:szCs w:val="18"/>
                <w:lang w:val="en-NZ"/>
              </w:rPr>
            </w:pPr>
            <w:r w:rsidRPr="00CA1467">
              <w:rPr>
                <w:sz w:val="18"/>
                <w:szCs w:val="18"/>
                <w:lang w:val="en-NZ"/>
              </w:rPr>
              <w:t>Available to owner</w:t>
            </w:r>
          </w:p>
        </w:tc>
        <w:tc>
          <w:tcPr>
            <w:tcW w:w="1843" w:type="dxa"/>
          </w:tcPr>
          <w:p w:rsidR="00B84DB1" w:rsidRPr="00CA1467" w:rsidRDefault="005C4C96" w:rsidP="00B84DB1">
            <w:pPr>
              <w:spacing w:before="80" w:after="80"/>
              <w:jc w:val="left"/>
              <w:rPr>
                <w:sz w:val="18"/>
                <w:szCs w:val="18"/>
                <w:lang w:val="en-NZ"/>
              </w:rPr>
            </w:pPr>
            <w:r w:rsidRPr="00CA1467">
              <w:rPr>
                <w:sz w:val="18"/>
                <w:szCs w:val="18"/>
                <w:lang w:val="en-NZ"/>
              </w:rPr>
              <w:t>Available to partners</w:t>
            </w:r>
          </w:p>
        </w:tc>
        <w:tc>
          <w:tcPr>
            <w:tcW w:w="1984" w:type="dxa"/>
          </w:tcPr>
          <w:p w:rsidR="00B84DB1" w:rsidRPr="00CA1467" w:rsidRDefault="005C4C96" w:rsidP="00B84DB1">
            <w:pPr>
              <w:spacing w:before="80" w:after="80"/>
              <w:jc w:val="left"/>
              <w:rPr>
                <w:sz w:val="18"/>
                <w:szCs w:val="18"/>
                <w:lang w:val="en-NZ"/>
              </w:rPr>
            </w:pPr>
            <w:r w:rsidRPr="00CA1467">
              <w:rPr>
                <w:sz w:val="18"/>
                <w:szCs w:val="18"/>
                <w:lang w:val="en-NZ"/>
              </w:rPr>
              <w:t>Available to partners subject to loss limitation rules</w:t>
            </w:r>
          </w:p>
        </w:tc>
        <w:tc>
          <w:tcPr>
            <w:tcW w:w="1701" w:type="dxa"/>
          </w:tcPr>
          <w:p w:rsidR="00B84DB1" w:rsidRPr="00CA1467" w:rsidRDefault="005C4C96" w:rsidP="00B84DB1">
            <w:pPr>
              <w:spacing w:before="80" w:after="80"/>
              <w:jc w:val="left"/>
              <w:rPr>
                <w:sz w:val="18"/>
                <w:szCs w:val="18"/>
                <w:lang w:val="en-NZ"/>
              </w:rPr>
            </w:pPr>
            <w:r w:rsidRPr="00CA1467">
              <w:rPr>
                <w:sz w:val="18"/>
                <w:szCs w:val="18"/>
                <w:lang w:val="en-NZ"/>
              </w:rPr>
              <w:t>Available to shareholders subject to loss limitation rules (under review)</w:t>
            </w:r>
          </w:p>
        </w:tc>
        <w:tc>
          <w:tcPr>
            <w:tcW w:w="1559" w:type="dxa"/>
          </w:tcPr>
          <w:p w:rsidR="00B84DB1" w:rsidRPr="00CA1467" w:rsidRDefault="005C4C96" w:rsidP="00B84DB1">
            <w:pPr>
              <w:spacing w:before="80" w:after="80"/>
              <w:jc w:val="left"/>
              <w:rPr>
                <w:sz w:val="18"/>
                <w:szCs w:val="18"/>
                <w:lang w:val="en-NZ"/>
              </w:rPr>
            </w:pPr>
            <w:r w:rsidRPr="00CA1467">
              <w:rPr>
                <w:sz w:val="18"/>
                <w:szCs w:val="18"/>
                <w:lang w:val="en-NZ"/>
              </w:rPr>
              <w:t>Available to shareholders</w:t>
            </w:r>
          </w:p>
        </w:tc>
        <w:tc>
          <w:tcPr>
            <w:tcW w:w="1877" w:type="dxa"/>
          </w:tcPr>
          <w:p w:rsidR="00B84DB1" w:rsidRPr="00CA1467" w:rsidRDefault="005C4C96" w:rsidP="00B84DB1">
            <w:pPr>
              <w:spacing w:before="80" w:after="80"/>
              <w:jc w:val="left"/>
              <w:rPr>
                <w:sz w:val="18"/>
                <w:szCs w:val="18"/>
                <w:lang w:val="en-NZ"/>
              </w:rPr>
            </w:pPr>
            <w:r w:rsidRPr="00CA1467">
              <w:rPr>
                <w:sz w:val="18"/>
                <w:szCs w:val="18"/>
                <w:lang w:val="en-NZ"/>
              </w:rPr>
              <w:t>Quarantined to company</w:t>
            </w:r>
          </w:p>
        </w:tc>
        <w:tc>
          <w:tcPr>
            <w:tcW w:w="1809" w:type="dxa"/>
          </w:tcPr>
          <w:p w:rsidR="00B84DB1" w:rsidRPr="00CA1467" w:rsidRDefault="005C4C96" w:rsidP="00B84DB1">
            <w:pPr>
              <w:spacing w:before="80" w:after="80"/>
              <w:jc w:val="left"/>
              <w:rPr>
                <w:sz w:val="18"/>
                <w:szCs w:val="18"/>
                <w:lang w:val="en-NZ"/>
              </w:rPr>
            </w:pPr>
            <w:r w:rsidRPr="00CA1467">
              <w:rPr>
                <w:sz w:val="18"/>
                <w:szCs w:val="18"/>
                <w:lang w:val="en-NZ"/>
              </w:rPr>
              <w:t>Quarantined to trust</w:t>
            </w:r>
          </w:p>
        </w:tc>
        <w:tc>
          <w:tcPr>
            <w:tcW w:w="2302" w:type="dxa"/>
          </w:tcPr>
          <w:p w:rsidR="00B84DB1" w:rsidRPr="00CA1467" w:rsidRDefault="005C4C96" w:rsidP="00B84DB1">
            <w:pPr>
              <w:spacing w:before="80" w:after="80"/>
              <w:jc w:val="left"/>
              <w:rPr>
                <w:sz w:val="18"/>
                <w:szCs w:val="18"/>
                <w:lang w:val="en-NZ"/>
              </w:rPr>
            </w:pPr>
            <w:r w:rsidRPr="00CA1467">
              <w:rPr>
                <w:sz w:val="18"/>
                <w:szCs w:val="18"/>
                <w:lang w:val="en-NZ"/>
              </w:rPr>
              <w:t>Quarantined to company</w:t>
            </w:r>
          </w:p>
        </w:tc>
      </w:tr>
      <w:tr w:rsidR="008A6355" w:rsidRPr="00CA1467" w:rsidTr="008C7350">
        <w:tc>
          <w:tcPr>
            <w:tcW w:w="1384" w:type="dxa"/>
          </w:tcPr>
          <w:p w:rsidR="00B84DB1" w:rsidRPr="00CA1467" w:rsidRDefault="005C4C96" w:rsidP="00B84DB1">
            <w:pPr>
              <w:spacing w:before="80" w:after="80"/>
              <w:jc w:val="left"/>
              <w:rPr>
                <w:b/>
                <w:sz w:val="18"/>
                <w:szCs w:val="18"/>
                <w:lang w:val="en-NZ"/>
              </w:rPr>
            </w:pPr>
            <w:r w:rsidRPr="00CA1467">
              <w:rPr>
                <w:b/>
                <w:sz w:val="18"/>
                <w:szCs w:val="18"/>
                <w:lang w:val="en-NZ"/>
              </w:rPr>
              <w:t>Capital gains</w:t>
            </w:r>
          </w:p>
        </w:tc>
        <w:tc>
          <w:tcPr>
            <w:tcW w:w="1276" w:type="dxa"/>
          </w:tcPr>
          <w:p w:rsidR="00B84DB1" w:rsidRPr="00CA1467" w:rsidRDefault="005C4C96" w:rsidP="00B84DB1">
            <w:pPr>
              <w:spacing w:before="80" w:after="80"/>
              <w:jc w:val="left"/>
              <w:rPr>
                <w:sz w:val="18"/>
                <w:szCs w:val="18"/>
                <w:lang w:val="en-NZ"/>
              </w:rPr>
            </w:pPr>
            <w:r w:rsidRPr="00CA1467">
              <w:rPr>
                <w:sz w:val="18"/>
                <w:szCs w:val="18"/>
                <w:lang w:val="en-NZ"/>
              </w:rPr>
              <w:t>Never taxed</w:t>
            </w:r>
          </w:p>
        </w:tc>
        <w:tc>
          <w:tcPr>
            <w:tcW w:w="1843" w:type="dxa"/>
          </w:tcPr>
          <w:p w:rsidR="00B84DB1" w:rsidRPr="00CA1467" w:rsidRDefault="005C4C96" w:rsidP="00B84DB1">
            <w:pPr>
              <w:spacing w:before="80" w:after="80"/>
              <w:jc w:val="left"/>
              <w:rPr>
                <w:sz w:val="18"/>
                <w:szCs w:val="18"/>
                <w:lang w:val="en-NZ"/>
              </w:rPr>
            </w:pPr>
            <w:r w:rsidRPr="00CA1467">
              <w:rPr>
                <w:sz w:val="18"/>
                <w:szCs w:val="18"/>
                <w:lang w:val="en-NZ"/>
              </w:rPr>
              <w:t>Never taxed</w:t>
            </w:r>
          </w:p>
        </w:tc>
        <w:tc>
          <w:tcPr>
            <w:tcW w:w="1984" w:type="dxa"/>
          </w:tcPr>
          <w:p w:rsidR="00B84DB1" w:rsidRPr="00CA1467" w:rsidRDefault="005C4C96" w:rsidP="00B84DB1">
            <w:pPr>
              <w:spacing w:before="80" w:after="80"/>
              <w:jc w:val="left"/>
              <w:rPr>
                <w:sz w:val="18"/>
                <w:szCs w:val="18"/>
                <w:lang w:val="en-NZ"/>
              </w:rPr>
            </w:pPr>
            <w:r w:rsidRPr="00CA1467">
              <w:rPr>
                <w:sz w:val="18"/>
                <w:szCs w:val="18"/>
                <w:lang w:val="en-NZ"/>
              </w:rPr>
              <w:t>Never taxed</w:t>
            </w:r>
          </w:p>
        </w:tc>
        <w:tc>
          <w:tcPr>
            <w:tcW w:w="1701" w:type="dxa"/>
          </w:tcPr>
          <w:p w:rsidR="00B84DB1" w:rsidRPr="00CA1467" w:rsidRDefault="005C4C96" w:rsidP="00B84DB1">
            <w:pPr>
              <w:spacing w:before="80" w:after="80"/>
              <w:jc w:val="left"/>
              <w:rPr>
                <w:sz w:val="18"/>
                <w:szCs w:val="18"/>
                <w:lang w:val="en-NZ"/>
              </w:rPr>
            </w:pPr>
            <w:r w:rsidRPr="00CA1467">
              <w:rPr>
                <w:sz w:val="18"/>
                <w:szCs w:val="18"/>
                <w:lang w:val="en-NZ"/>
              </w:rPr>
              <w:t>Never taxed</w:t>
            </w:r>
          </w:p>
        </w:tc>
        <w:tc>
          <w:tcPr>
            <w:tcW w:w="1559" w:type="dxa"/>
          </w:tcPr>
          <w:p w:rsidR="00B84DB1" w:rsidRPr="00CA1467" w:rsidRDefault="005C4C96" w:rsidP="00B84DB1">
            <w:pPr>
              <w:spacing w:before="80" w:after="80"/>
              <w:jc w:val="left"/>
              <w:rPr>
                <w:sz w:val="18"/>
                <w:szCs w:val="18"/>
                <w:lang w:val="en-NZ"/>
              </w:rPr>
            </w:pPr>
            <w:r w:rsidRPr="00CA1467">
              <w:rPr>
                <w:sz w:val="18"/>
                <w:szCs w:val="18"/>
                <w:lang w:val="en-NZ"/>
              </w:rPr>
              <w:t>Never taxed</w:t>
            </w:r>
          </w:p>
        </w:tc>
        <w:tc>
          <w:tcPr>
            <w:tcW w:w="1877" w:type="dxa"/>
          </w:tcPr>
          <w:p w:rsidR="00B84DB1" w:rsidRPr="00CA1467" w:rsidRDefault="005C4C96" w:rsidP="00B84DB1">
            <w:pPr>
              <w:spacing w:before="80" w:after="80"/>
              <w:jc w:val="left"/>
              <w:rPr>
                <w:sz w:val="18"/>
                <w:szCs w:val="18"/>
                <w:lang w:val="en-NZ"/>
              </w:rPr>
            </w:pPr>
            <w:r w:rsidRPr="00CA1467">
              <w:rPr>
                <w:sz w:val="18"/>
                <w:szCs w:val="18"/>
                <w:lang w:val="en-NZ"/>
              </w:rPr>
              <w:t>Never taxed</w:t>
            </w:r>
          </w:p>
        </w:tc>
        <w:tc>
          <w:tcPr>
            <w:tcW w:w="1809" w:type="dxa"/>
          </w:tcPr>
          <w:p w:rsidR="00B84DB1" w:rsidRPr="00CA1467" w:rsidRDefault="005C4C96" w:rsidP="00B84DB1">
            <w:pPr>
              <w:spacing w:before="80" w:after="80"/>
              <w:jc w:val="left"/>
              <w:rPr>
                <w:sz w:val="18"/>
                <w:szCs w:val="18"/>
                <w:lang w:val="en-NZ"/>
              </w:rPr>
            </w:pPr>
            <w:r w:rsidRPr="00CA1467">
              <w:rPr>
                <w:sz w:val="18"/>
                <w:szCs w:val="18"/>
                <w:lang w:val="en-NZ"/>
              </w:rPr>
              <w:t>Never taxed</w:t>
            </w:r>
          </w:p>
        </w:tc>
        <w:tc>
          <w:tcPr>
            <w:tcW w:w="2302" w:type="dxa"/>
          </w:tcPr>
          <w:p w:rsidR="00B84DB1" w:rsidRPr="00CA1467" w:rsidRDefault="005C4C96" w:rsidP="00B84DB1">
            <w:pPr>
              <w:spacing w:before="80" w:after="80"/>
              <w:jc w:val="left"/>
              <w:rPr>
                <w:sz w:val="18"/>
                <w:szCs w:val="18"/>
                <w:lang w:val="en-NZ"/>
              </w:rPr>
            </w:pPr>
            <w:r w:rsidRPr="00CA1467">
              <w:rPr>
                <w:sz w:val="18"/>
                <w:szCs w:val="18"/>
                <w:lang w:val="en-NZ"/>
              </w:rPr>
              <w:t>Not taxed on accrual, may be taxed on distribution</w:t>
            </w:r>
          </w:p>
        </w:tc>
      </w:tr>
      <w:tr w:rsidR="008A6355" w:rsidRPr="00CA1467" w:rsidTr="008C7350">
        <w:tc>
          <w:tcPr>
            <w:tcW w:w="1384" w:type="dxa"/>
          </w:tcPr>
          <w:p w:rsidR="00B84DB1" w:rsidRPr="00CA1467" w:rsidRDefault="005C4C96" w:rsidP="00B84DB1">
            <w:pPr>
              <w:spacing w:before="80" w:after="80"/>
              <w:jc w:val="left"/>
              <w:rPr>
                <w:b/>
                <w:sz w:val="18"/>
                <w:szCs w:val="18"/>
                <w:lang w:val="en-NZ"/>
              </w:rPr>
            </w:pPr>
            <w:r w:rsidRPr="00CA1467">
              <w:rPr>
                <w:b/>
                <w:sz w:val="18"/>
                <w:szCs w:val="18"/>
                <w:lang w:val="en-NZ"/>
              </w:rPr>
              <w:t>Ownership changes / restructures</w:t>
            </w:r>
          </w:p>
        </w:tc>
        <w:tc>
          <w:tcPr>
            <w:tcW w:w="1276" w:type="dxa"/>
          </w:tcPr>
          <w:p w:rsidR="00B84DB1" w:rsidRPr="00CA1467" w:rsidRDefault="005C4C96" w:rsidP="00010FE7">
            <w:pPr>
              <w:spacing w:before="80" w:after="80"/>
              <w:jc w:val="left"/>
              <w:rPr>
                <w:sz w:val="18"/>
                <w:szCs w:val="18"/>
                <w:lang w:val="en-NZ"/>
              </w:rPr>
            </w:pPr>
            <w:r w:rsidRPr="00CA1467">
              <w:rPr>
                <w:sz w:val="18"/>
                <w:szCs w:val="18"/>
                <w:lang w:val="en-NZ"/>
              </w:rPr>
              <w:t>Owner taxed on revenue account gains / losses and dep</w:t>
            </w:r>
            <w:r w:rsidR="00010FE7" w:rsidRPr="00CA1467">
              <w:rPr>
                <w:sz w:val="18"/>
                <w:szCs w:val="18"/>
                <w:lang w:val="en-NZ"/>
              </w:rPr>
              <w:t>reciation</w:t>
            </w:r>
            <w:r w:rsidRPr="00CA1467">
              <w:rPr>
                <w:sz w:val="18"/>
                <w:szCs w:val="18"/>
                <w:lang w:val="en-NZ"/>
              </w:rPr>
              <w:t xml:space="preserve"> adjustments</w:t>
            </w:r>
          </w:p>
        </w:tc>
        <w:tc>
          <w:tcPr>
            <w:tcW w:w="1843" w:type="dxa"/>
          </w:tcPr>
          <w:p w:rsidR="00B84DB1" w:rsidRPr="00CA1467" w:rsidRDefault="005C4C96" w:rsidP="00010FE7">
            <w:pPr>
              <w:spacing w:before="80" w:after="80"/>
              <w:jc w:val="left"/>
              <w:rPr>
                <w:sz w:val="18"/>
                <w:szCs w:val="18"/>
                <w:lang w:val="en-NZ"/>
              </w:rPr>
            </w:pPr>
            <w:r w:rsidRPr="00CA1467">
              <w:rPr>
                <w:sz w:val="18"/>
                <w:szCs w:val="18"/>
                <w:lang w:val="en-NZ"/>
              </w:rPr>
              <w:t xml:space="preserve">Partners taxed on share of revenue account gains / losses </w:t>
            </w:r>
            <w:r w:rsidR="00010FE7" w:rsidRPr="00CA1467">
              <w:rPr>
                <w:sz w:val="18"/>
                <w:szCs w:val="18"/>
                <w:lang w:val="en-NZ"/>
              </w:rPr>
              <w:t>and</w:t>
            </w:r>
            <w:r w:rsidRPr="00CA1467">
              <w:rPr>
                <w:sz w:val="18"/>
                <w:szCs w:val="18"/>
                <w:lang w:val="en-NZ"/>
              </w:rPr>
              <w:t xml:space="preserve"> dep</w:t>
            </w:r>
            <w:r w:rsidR="00010FE7" w:rsidRPr="00CA1467">
              <w:rPr>
                <w:sz w:val="18"/>
                <w:szCs w:val="18"/>
                <w:lang w:val="en-NZ"/>
              </w:rPr>
              <w:t>reciation</w:t>
            </w:r>
            <w:r w:rsidRPr="00CA1467">
              <w:rPr>
                <w:sz w:val="18"/>
                <w:szCs w:val="18"/>
                <w:lang w:val="en-NZ"/>
              </w:rPr>
              <w:t xml:space="preserve"> adjustments subject to de minimis rules</w:t>
            </w:r>
          </w:p>
        </w:tc>
        <w:tc>
          <w:tcPr>
            <w:tcW w:w="1984" w:type="dxa"/>
          </w:tcPr>
          <w:p w:rsidR="00B84DB1" w:rsidRPr="00CA1467" w:rsidRDefault="005C4C96" w:rsidP="00010FE7">
            <w:pPr>
              <w:spacing w:before="80" w:after="80"/>
              <w:jc w:val="left"/>
              <w:rPr>
                <w:sz w:val="18"/>
                <w:szCs w:val="18"/>
                <w:lang w:val="en-NZ"/>
              </w:rPr>
            </w:pPr>
            <w:r w:rsidRPr="00CA1467">
              <w:rPr>
                <w:sz w:val="18"/>
                <w:szCs w:val="18"/>
                <w:lang w:val="en-NZ"/>
              </w:rPr>
              <w:t xml:space="preserve">Partners taxed on share of revenue account gains / losses </w:t>
            </w:r>
            <w:r w:rsidR="00010FE7" w:rsidRPr="00CA1467">
              <w:rPr>
                <w:sz w:val="18"/>
                <w:szCs w:val="18"/>
                <w:lang w:val="en-NZ"/>
              </w:rPr>
              <w:t>and</w:t>
            </w:r>
            <w:r w:rsidRPr="00CA1467">
              <w:rPr>
                <w:sz w:val="18"/>
                <w:szCs w:val="18"/>
                <w:lang w:val="en-NZ"/>
              </w:rPr>
              <w:t xml:space="preserve"> de</w:t>
            </w:r>
            <w:r w:rsidR="00010FE7" w:rsidRPr="00CA1467">
              <w:rPr>
                <w:sz w:val="18"/>
                <w:szCs w:val="18"/>
                <w:lang w:val="en-NZ"/>
              </w:rPr>
              <w:t>preciation</w:t>
            </w:r>
            <w:r w:rsidRPr="00CA1467">
              <w:rPr>
                <w:sz w:val="18"/>
                <w:szCs w:val="18"/>
                <w:lang w:val="en-NZ"/>
              </w:rPr>
              <w:t xml:space="preserve"> adjustments subject to de minimis rules</w:t>
            </w:r>
          </w:p>
        </w:tc>
        <w:tc>
          <w:tcPr>
            <w:tcW w:w="1701" w:type="dxa"/>
          </w:tcPr>
          <w:p w:rsidR="00B84DB1" w:rsidRPr="00CA1467" w:rsidRDefault="005C4C96" w:rsidP="00010FE7">
            <w:pPr>
              <w:spacing w:before="80" w:after="80"/>
              <w:jc w:val="left"/>
              <w:rPr>
                <w:sz w:val="18"/>
                <w:szCs w:val="18"/>
                <w:lang w:val="en-NZ"/>
              </w:rPr>
            </w:pPr>
            <w:r w:rsidRPr="00CA1467">
              <w:rPr>
                <w:sz w:val="18"/>
                <w:szCs w:val="18"/>
                <w:lang w:val="en-NZ"/>
              </w:rPr>
              <w:t xml:space="preserve">Shareholders taxed on share of revenue account gains / losses </w:t>
            </w:r>
            <w:r w:rsidR="00010FE7" w:rsidRPr="00CA1467">
              <w:rPr>
                <w:sz w:val="18"/>
                <w:szCs w:val="18"/>
                <w:lang w:val="en-NZ"/>
              </w:rPr>
              <w:t>and</w:t>
            </w:r>
            <w:r w:rsidRPr="00CA1467">
              <w:rPr>
                <w:sz w:val="18"/>
                <w:szCs w:val="18"/>
                <w:lang w:val="en-NZ"/>
              </w:rPr>
              <w:t xml:space="preserve"> dep</w:t>
            </w:r>
            <w:r w:rsidR="00010FE7" w:rsidRPr="00CA1467">
              <w:rPr>
                <w:sz w:val="18"/>
                <w:szCs w:val="18"/>
                <w:lang w:val="en-NZ"/>
              </w:rPr>
              <w:t>reciation</w:t>
            </w:r>
            <w:r w:rsidRPr="00CA1467">
              <w:rPr>
                <w:sz w:val="18"/>
                <w:szCs w:val="18"/>
                <w:lang w:val="en-NZ"/>
              </w:rPr>
              <w:t xml:space="preserve"> adjustments subject to de minimis rules</w:t>
            </w:r>
          </w:p>
        </w:tc>
        <w:tc>
          <w:tcPr>
            <w:tcW w:w="1559" w:type="dxa"/>
          </w:tcPr>
          <w:p w:rsidR="00B84DB1" w:rsidRPr="00CA1467" w:rsidRDefault="005C4C96" w:rsidP="00B84DB1">
            <w:pPr>
              <w:spacing w:before="80" w:after="80"/>
              <w:jc w:val="left"/>
              <w:rPr>
                <w:sz w:val="18"/>
                <w:szCs w:val="18"/>
                <w:lang w:val="en-NZ"/>
              </w:rPr>
            </w:pPr>
            <w:r w:rsidRPr="00CA1467">
              <w:rPr>
                <w:sz w:val="18"/>
                <w:szCs w:val="18"/>
                <w:lang w:val="en-NZ"/>
              </w:rPr>
              <w:t>Not taxed (unless shareholder holds shares on revenue account)</w:t>
            </w:r>
          </w:p>
        </w:tc>
        <w:tc>
          <w:tcPr>
            <w:tcW w:w="1877" w:type="dxa"/>
          </w:tcPr>
          <w:p w:rsidR="00B84DB1" w:rsidRPr="00CA1467" w:rsidRDefault="005C4C96" w:rsidP="00B84DB1">
            <w:pPr>
              <w:spacing w:before="80" w:after="80"/>
              <w:jc w:val="left"/>
              <w:rPr>
                <w:sz w:val="18"/>
                <w:szCs w:val="18"/>
                <w:lang w:val="en-NZ"/>
              </w:rPr>
            </w:pPr>
            <w:r w:rsidRPr="00CA1467">
              <w:rPr>
                <w:sz w:val="18"/>
                <w:szCs w:val="18"/>
                <w:lang w:val="en-NZ"/>
              </w:rPr>
              <w:t>Not taxed (unless shareholder holds shares on revenue account)</w:t>
            </w:r>
          </w:p>
        </w:tc>
        <w:tc>
          <w:tcPr>
            <w:tcW w:w="1809" w:type="dxa"/>
          </w:tcPr>
          <w:p w:rsidR="00B84DB1" w:rsidRPr="00CA1467" w:rsidRDefault="005C4C96" w:rsidP="00B84DB1">
            <w:pPr>
              <w:spacing w:before="80" w:after="80"/>
              <w:jc w:val="left"/>
              <w:rPr>
                <w:sz w:val="18"/>
                <w:szCs w:val="18"/>
                <w:lang w:val="en-NZ"/>
              </w:rPr>
            </w:pPr>
            <w:r w:rsidRPr="00CA1467">
              <w:rPr>
                <w:sz w:val="18"/>
                <w:szCs w:val="18"/>
                <w:lang w:val="en-NZ"/>
              </w:rPr>
              <w:t>Not taxed (beneficiaries’ rights could be changed by varying trust agreement)</w:t>
            </w:r>
          </w:p>
        </w:tc>
        <w:tc>
          <w:tcPr>
            <w:tcW w:w="2302" w:type="dxa"/>
          </w:tcPr>
          <w:p w:rsidR="005C4C96" w:rsidRPr="00CA1467" w:rsidRDefault="005C4C96" w:rsidP="008A6355">
            <w:pPr>
              <w:spacing w:before="80"/>
              <w:jc w:val="left"/>
              <w:rPr>
                <w:sz w:val="18"/>
                <w:szCs w:val="18"/>
                <w:lang w:val="en-NZ"/>
              </w:rPr>
            </w:pPr>
            <w:r w:rsidRPr="00CA1467">
              <w:rPr>
                <w:sz w:val="18"/>
                <w:szCs w:val="18"/>
                <w:lang w:val="en-NZ"/>
              </w:rPr>
              <w:t>Not taxed (unless shares are held on revenue account)</w:t>
            </w:r>
          </w:p>
          <w:p w:rsidR="00B84DB1" w:rsidRPr="00CA1467" w:rsidRDefault="005C4C96" w:rsidP="008A6355">
            <w:pPr>
              <w:spacing w:after="80"/>
              <w:jc w:val="left"/>
              <w:rPr>
                <w:sz w:val="18"/>
                <w:szCs w:val="18"/>
                <w:lang w:val="en-NZ"/>
              </w:rPr>
            </w:pPr>
            <w:r w:rsidRPr="00CA1467">
              <w:rPr>
                <w:sz w:val="18"/>
                <w:szCs w:val="18"/>
                <w:lang w:val="en-NZ"/>
              </w:rPr>
              <w:t>Shareholder continuity requirements apply – if breached, losses and imputation credits are forfeited</w:t>
            </w:r>
          </w:p>
        </w:tc>
      </w:tr>
    </w:tbl>
    <w:p w:rsidR="00E40914" w:rsidRPr="00CA1467" w:rsidRDefault="00E40914">
      <w:pPr>
        <w:jc w:val="left"/>
        <w:rPr>
          <w:lang w:val="en-NZ"/>
        </w:rPr>
        <w:sectPr w:rsidR="00E40914" w:rsidRPr="00CA1467" w:rsidSect="008A6355">
          <w:pgSz w:w="16838" w:h="11906" w:orient="landscape" w:code="9"/>
          <w:pgMar w:top="851" w:right="567" w:bottom="851" w:left="567" w:header="709" w:footer="425" w:gutter="0"/>
          <w:cols w:space="708"/>
          <w:titlePg/>
          <w:docGrid w:linePitch="360"/>
        </w:sectPr>
      </w:pPr>
    </w:p>
    <w:p w:rsidR="00E40914" w:rsidRPr="00CA1467" w:rsidRDefault="00E40914" w:rsidP="00E40914">
      <w:pPr>
        <w:pStyle w:val="Chapter2"/>
        <w:numPr>
          <w:ilvl w:val="0"/>
          <w:numId w:val="25"/>
        </w:numPr>
      </w:pPr>
      <w:r w:rsidRPr="00CA1467">
        <w:t>This approach applies not only to individuals but also to partnerships</w:t>
      </w:r>
      <w:r w:rsidR="008300C6" w:rsidRPr="00CA1467">
        <w:rPr>
          <w:rStyle w:val="FootnoteReference"/>
        </w:rPr>
        <w:footnoteReference w:id="8"/>
      </w:r>
      <w:r w:rsidRPr="00CA1467">
        <w:t xml:space="preserve"> and LTCs as </w:t>
      </w:r>
      <w:proofErr w:type="gramStart"/>
      <w:r w:rsidRPr="00CA1467">
        <w:t>they are closely controlled by individuals</w:t>
      </w:r>
      <w:proofErr w:type="gramEnd"/>
      <w:r w:rsidRPr="00CA1467">
        <w:t xml:space="preserve">.  In their case, the income earned and the expenditure incurred by the company </w:t>
      </w:r>
      <w:proofErr w:type="gramStart"/>
      <w:r w:rsidRPr="00CA1467">
        <w:t>are</w:t>
      </w:r>
      <w:proofErr w:type="gramEnd"/>
      <w:r w:rsidRPr="00CA1467">
        <w:t xml:space="preserve"> allocated to the partners and shareholders on the basis of their respective ownership.  The LTC rules allow the business </w:t>
      </w:r>
      <w:proofErr w:type="gramStart"/>
      <w:r w:rsidRPr="00CA1467">
        <w:t>to still have</w:t>
      </w:r>
      <w:proofErr w:type="gramEnd"/>
      <w:r w:rsidRPr="00CA1467">
        <w:t xml:space="preserve"> the commercial benefits of a company, such as limited liability and the ability to contract in its own right.  Conceptually, this type of integration is ideal for closely held companies as it meets one of the goals of closely held company taxation, which is to reduce the tax impediments and/or unintended benefits of migration from an unincorporated business to a business carried on in a company.  That is, the tax consequences should be similar regardless of the form in which the business </w:t>
      </w:r>
      <w:proofErr w:type="gramStart"/>
      <w:r w:rsidRPr="00CA1467">
        <w:t>is run</w:t>
      </w:r>
      <w:proofErr w:type="gramEnd"/>
      <w:r w:rsidRPr="00CA1467">
        <w:t>.  However, a number of practical constraints limit its desirability as a tax vehicle for all small to medium sized companies.</w:t>
      </w:r>
    </w:p>
    <w:p w:rsidR="00E40914" w:rsidRPr="00CA1467" w:rsidRDefault="00E40914" w:rsidP="00E40914">
      <w:pPr>
        <w:pStyle w:val="Chapter2"/>
        <w:numPr>
          <w:ilvl w:val="0"/>
          <w:numId w:val="0"/>
        </w:numPr>
        <w:ind w:left="851"/>
      </w:pPr>
    </w:p>
    <w:p w:rsidR="00E40914" w:rsidRPr="00CA1467" w:rsidRDefault="00E40914" w:rsidP="00E40914">
      <w:pPr>
        <w:pStyle w:val="Heading2"/>
      </w:pPr>
      <w:r w:rsidRPr="00CA1467">
        <w:t>Standard company taxation approach</w:t>
      </w:r>
    </w:p>
    <w:p w:rsidR="00E40914" w:rsidRPr="00CA1467" w:rsidRDefault="00E40914" w:rsidP="00E40914">
      <w:pPr>
        <w:pStyle w:val="Chapter2"/>
        <w:numPr>
          <w:ilvl w:val="0"/>
          <w:numId w:val="0"/>
        </w:numPr>
        <w:ind w:left="851"/>
      </w:pPr>
    </w:p>
    <w:p w:rsidR="00E40914" w:rsidRPr="00CA1467" w:rsidRDefault="00E40914" w:rsidP="00E40914">
      <w:pPr>
        <w:pStyle w:val="Chapter2"/>
      </w:pPr>
      <w:r w:rsidRPr="00CA1467">
        <w:t xml:space="preserve">The second main approach is company taxation.  The company </w:t>
      </w:r>
      <w:proofErr w:type="gramStart"/>
      <w:r w:rsidRPr="00CA1467">
        <w:t>is taxed</w:t>
      </w:r>
      <w:proofErr w:type="gramEnd"/>
      <w:r w:rsidRPr="00CA1467">
        <w:t xml:space="preserve"> on the income it earns.  When company profits </w:t>
      </w:r>
      <w:proofErr w:type="gramStart"/>
      <w:r w:rsidRPr="00CA1467">
        <w:t>are distributed</w:t>
      </w:r>
      <w:proofErr w:type="gramEnd"/>
      <w:r w:rsidRPr="00CA1467">
        <w:t xml:space="preserve"> as dividends to shareholders, imputation credits can be attached as a credit for the tax paid at the company level, to ensure that there is no double taxation.</w:t>
      </w:r>
    </w:p>
    <w:p w:rsidR="00E40914" w:rsidRPr="00CA1467" w:rsidRDefault="00E40914" w:rsidP="00E40914">
      <w:pPr>
        <w:pStyle w:val="Chapter2"/>
        <w:numPr>
          <w:ilvl w:val="0"/>
          <w:numId w:val="0"/>
        </w:numPr>
        <w:ind w:left="851"/>
      </w:pPr>
    </w:p>
    <w:p w:rsidR="00E40914" w:rsidRPr="00CA1467" w:rsidRDefault="00E40914" w:rsidP="00E40914">
      <w:pPr>
        <w:pStyle w:val="Chapter2"/>
      </w:pPr>
      <w:r w:rsidRPr="00CA1467">
        <w:t xml:space="preserve">Under this approach, if a company earns lightly taxed or tax-free income, this tax preference </w:t>
      </w:r>
      <w:proofErr w:type="gramStart"/>
      <w:r w:rsidRPr="00CA1467">
        <w:t>is clawed</w:t>
      </w:r>
      <w:proofErr w:type="gramEnd"/>
      <w:r w:rsidRPr="00CA1467">
        <w:t xml:space="preserve"> back when dividends are paid because there are no corresponding imputation credits.  Two key examples of preferences that are clawed back are controlled foreign company (CFC) </w:t>
      </w:r>
      <w:proofErr w:type="gramStart"/>
      <w:r w:rsidRPr="00CA1467">
        <w:t>dividends which</w:t>
      </w:r>
      <w:proofErr w:type="gramEnd"/>
      <w:r w:rsidRPr="00CA1467">
        <w:t xml:space="preserve"> are exempt at the company level, and capital gains made by the company.  Under standard company tax treatment, capital gains </w:t>
      </w:r>
      <w:proofErr w:type="gramStart"/>
      <w:r w:rsidRPr="00CA1467">
        <w:t>can only be distributed</w:t>
      </w:r>
      <w:proofErr w:type="gramEnd"/>
      <w:r w:rsidRPr="00CA1467">
        <w:t xml:space="preserve"> tax-free to shareholders on the liquidation of the company.  This aspect </w:t>
      </w:r>
      <w:proofErr w:type="gramStart"/>
      <w:r w:rsidRPr="00CA1467">
        <w:t>is discussed</w:t>
      </w:r>
      <w:proofErr w:type="gramEnd"/>
      <w:r w:rsidRPr="00CA1467">
        <w:t xml:space="preserve"> in more detail later in this chapter.</w:t>
      </w:r>
    </w:p>
    <w:p w:rsidR="00E40914" w:rsidRPr="00CA1467" w:rsidRDefault="00E40914" w:rsidP="00E40914">
      <w:pPr>
        <w:pStyle w:val="Chapter2"/>
        <w:numPr>
          <w:ilvl w:val="0"/>
          <w:numId w:val="0"/>
        </w:numPr>
        <w:ind w:left="851"/>
      </w:pPr>
    </w:p>
    <w:p w:rsidR="00E40914" w:rsidRPr="00CA1467" w:rsidRDefault="00E40914" w:rsidP="00E40914">
      <w:pPr>
        <w:pStyle w:val="Chapter2"/>
      </w:pPr>
      <w:r w:rsidRPr="00CA1467">
        <w:t xml:space="preserve">Also under standard company taxation, losses of a company </w:t>
      </w:r>
      <w:proofErr w:type="gramStart"/>
      <w:r w:rsidRPr="00CA1467">
        <w:t>must be carried forward to be offset</w:t>
      </w:r>
      <w:proofErr w:type="gramEnd"/>
      <w:r w:rsidRPr="00CA1467">
        <w:t xml:space="preserve"> against future company income and cannot be used by the shareholders to offset against their other income.  When a shareholder sells their shares in the business or new owners </w:t>
      </w:r>
      <w:proofErr w:type="gramStart"/>
      <w:r w:rsidRPr="00CA1467">
        <w:t>are introduced</w:t>
      </w:r>
      <w:proofErr w:type="gramEnd"/>
      <w:r w:rsidRPr="00CA1467">
        <w:t>, in many cases it does not trigger tax consequences.</w:t>
      </w:r>
    </w:p>
    <w:p w:rsidR="00E40914" w:rsidRPr="00CA1467" w:rsidRDefault="00E40914" w:rsidP="00E40914">
      <w:pPr>
        <w:pStyle w:val="Chapter2"/>
        <w:numPr>
          <w:ilvl w:val="0"/>
          <w:numId w:val="0"/>
        </w:numPr>
        <w:ind w:left="851"/>
      </w:pPr>
    </w:p>
    <w:p w:rsidR="00373F5D" w:rsidRPr="00CA1467" w:rsidRDefault="00E40914" w:rsidP="00E40914">
      <w:pPr>
        <w:pStyle w:val="Chapter2"/>
      </w:pPr>
      <w:r w:rsidRPr="00CA1467">
        <w:t xml:space="preserve">Examples comparing the individual and company approaches </w:t>
      </w:r>
      <w:proofErr w:type="gramStart"/>
      <w:r w:rsidRPr="00CA1467">
        <w:t>are provided</w:t>
      </w:r>
      <w:proofErr w:type="gramEnd"/>
      <w:r w:rsidRPr="00CA1467">
        <w:t xml:space="preserve"> below in Table 2.</w:t>
      </w:r>
    </w:p>
    <w:p w:rsidR="00E40914" w:rsidRPr="00CA1467" w:rsidRDefault="00E40914">
      <w:pPr>
        <w:jc w:val="left"/>
        <w:rPr>
          <w:snapToGrid w:val="0"/>
          <w:lang w:val="en-NZ" w:eastAsia="en-US"/>
        </w:rPr>
      </w:pPr>
      <w:r w:rsidRPr="00CA1467">
        <w:rPr>
          <w:lang w:val="en-NZ"/>
        </w:rPr>
        <w:br w:type="page"/>
      </w:r>
    </w:p>
    <w:p w:rsidR="00A959DD" w:rsidRPr="00CA1467" w:rsidRDefault="00A959DD" w:rsidP="00F52DEE">
      <w:pPr>
        <w:pStyle w:val="Chapter2"/>
        <w:numPr>
          <w:ilvl w:val="0"/>
          <w:numId w:val="0"/>
        </w:numPr>
        <w:spacing w:after="200"/>
        <w:jc w:val="left"/>
        <w:rPr>
          <w:b/>
          <w:szCs w:val="24"/>
        </w:rPr>
      </w:pPr>
      <w:r w:rsidRPr="00CA1467">
        <w:rPr>
          <w:b/>
          <w:szCs w:val="24"/>
        </w:rPr>
        <w:t>Table 2: Examples comparing individual and company treatment</w:t>
      </w:r>
    </w:p>
    <w:tbl>
      <w:tblPr>
        <w:tblStyle w:val="TableGrid"/>
        <w:tblW w:w="8613" w:type="dxa"/>
        <w:tblLayout w:type="fixed"/>
        <w:tblLook w:val="04A0" w:firstRow="1" w:lastRow="0" w:firstColumn="1" w:lastColumn="0" w:noHBand="0" w:noVBand="1"/>
      </w:tblPr>
      <w:tblGrid>
        <w:gridCol w:w="1809"/>
        <w:gridCol w:w="3402"/>
        <w:gridCol w:w="3402"/>
      </w:tblGrid>
      <w:tr w:rsidR="008A6355" w:rsidRPr="00CA1467" w:rsidTr="008540C0">
        <w:tc>
          <w:tcPr>
            <w:tcW w:w="1809" w:type="dxa"/>
            <w:tcBorders>
              <w:top w:val="nil"/>
              <w:left w:val="nil"/>
            </w:tcBorders>
            <w:noWrap/>
          </w:tcPr>
          <w:p w:rsidR="008A6355" w:rsidRPr="00CA1467" w:rsidRDefault="008A6355" w:rsidP="00A959DD">
            <w:pPr>
              <w:spacing w:before="120" w:after="120"/>
              <w:rPr>
                <w:b/>
                <w:sz w:val="20"/>
                <w:lang w:val="en-NZ"/>
              </w:rPr>
            </w:pPr>
          </w:p>
        </w:tc>
        <w:tc>
          <w:tcPr>
            <w:tcW w:w="3402" w:type="dxa"/>
            <w:noWrap/>
          </w:tcPr>
          <w:p w:rsidR="008A6355" w:rsidRPr="00CA1467" w:rsidRDefault="008A6355" w:rsidP="00A959DD">
            <w:pPr>
              <w:spacing w:before="120" w:after="120"/>
              <w:jc w:val="center"/>
              <w:rPr>
                <w:b/>
                <w:sz w:val="20"/>
                <w:lang w:val="en-NZ"/>
              </w:rPr>
            </w:pPr>
            <w:r w:rsidRPr="00CA1467">
              <w:rPr>
                <w:b/>
                <w:sz w:val="20"/>
                <w:lang w:val="en-NZ"/>
              </w:rPr>
              <w:t>Individual treatment</w:t>
            </w:r>
          </w:p>
        </w:tc>
        <w:tc>
          <w:tcPr>
            <w:tcW w:w="3402" w:type="dxa"/>
            <w:noWrap/>
          </w:tcPr>
          <w:p w:rsidR="008A6355" w:rsidRPr="00CA1467" w:rsidRDefault="008A6355" w:rsidP="00A959DD">
            <w:pPr>
              <w:spacing w:before="120" w:after="120"/>
              <w:jc w:val="center"/>
              <w:rPr>
                <w:b/>
                <w:sz w:val="20"/>
                <w:lang w:val="en-NZ"/>
              </w:rPr>
            </w:pPr>
            <w:r w:rsidRPr="00CA1467">
              <w:rPr>
                <w:b/>
                <w:sz w:val="20"/>
                <w:lang w:val="en-NZ"/>
              </w:rPr>
              <w:t>Standard company treatment (simplified to ignore RWT)</w:t>
            </w:r>
          </w:p>
        </w:tc>
      </w:tr>
      <w:tr w:rsidR="008A6355" w:rsidRPr="00CA1467" w:rsidTr="00A959DD">
        <w:tc>
          <w:tcPr>
            <w:tcW w:w="1809" w:type="dxa"/>
            <w:noWrap/>
          </w:tcPr>
          <w:p w:rsidR="008A6355" w:rsidRPr="00CA1467" w:rsidRDefault="008A6355" w:rsidP="00A959DD">
            <w:pPr>
              <w:spacing w:before="80" w:after="80"/>
              <w:rPr>
                <w:b/>
                <w:sz w:val="20"/>
                <w:lang w:val="en-NZ"/>
              </w:rPr>
            </w:pPr>
            <w:r w:rsidRPr="00CA1467">
              <w:rPr>
                <w:b/>
                <w:sz w:val="20"/>
                <w:lang w:val="en-NZ"/>
              </w:rPr>
              <w:t>Taxable income</w:t>
            </w:r>
          </w:p>
        </w:tc>
        <w:tc>
          <w:tcPr>
            <w:tcW w:w="3402" w:type="dxa"/>
            <w:noWrap/>
          </w:tcPr>
          <w:p w:rsidR="008A6355" w:rsidRPr="00CA1467" w:rsidRDefault="008A6355" w:rsidP="00A959DD">
            <w:pPr>
              <w:spacing w:before="80" w:after="80"/>
              <w:jc w:val="left"/>
              <w:rPr>
                <w:sz w:val="20"/>
                <w:lang w:val="en-NZ"/>
              </w:rPr>
            </w:pPr>
            <w:r w:rsidRPr="00CA1467">
              <w:rPr>
                <w:sz w:val="20"/>
                <w:lang w:val="en-NZ"/>
              </w:rPr>
              <w:t>An individual earns $100 of taxable income.  This is taxed at their marginal tax rate (33% in this case), which means that the tax is $33.</w:t>
            </w:r>
          </w:p>
        </w:tc>
        <w:tc>
          <w:tcPr>
            <w:tcW w:w="3402" w:type="dxa"/>
            <w:noWrap/>
          </w:tcPr>
          <w:p w:rsidR="008A6355" w:rsidRPr="00CA1467" w:rsidRDefault="008A6355" w:rsidP="00A959DD">
            <w:pPr>
              <w:spacing w:before="80" w:after="80"/>
              <w:jc w:val="left"/>
              <w:rPr>
                <w:sz w:val="20"/>
                <w:lang w:val="en-NZ"/>
              </w:rPr>
            </w:pPr>
            <w:r w:rsidRPr="00CA1467">
              <w:rPr>
                <w:sz w:val="20"/>
                <w:lang w:val="en-NZ"/>
              </w:rPr>
              <w:t xml:space="preserve">The individual is the sole shareholder in company A.  Company A earns $100.  This </w:t>
            </w:r>
            <w:proofErr w:type="gramStart"/>
            <w:r w:rsidRPr="00CA1467">
              <w:rPr>
                <w:sz w:val="20"/>
                <w:lang w:val="en-NZ"/>
              </w:rPr>
              <w:t>is taxed</w:t>
            </w:r>
            <w:proofErr w:type="gramEnd"/>
            <w:r w:rsidRPr="00CA1467">
              <w:rPr>
                <w:sz w:val="20"/>
                <w:lang w:val="en-NZ"/>
              </w:rPr>
              <w:t xml:space="preserve"> at the company tax rate of 28%, making the tax $28.</w:t>
            </w:r>
          </w:p>
          <w:p w:rsidR="00A959DD" w:rsidRPr="00CA1467" w:rsidRDefault="00A959DD" w:rsidP="00A959DD">
            <w:pPr>
              <w:spacing w:before="80" w:after="80"/>
              <w:jc w:val="left"/>
              <w:rPr>
                <w:sz w:val="20"/>
                <w:lang w:val="en-NZ"/>
              </w:rPr>
            </w:pPr>
            <w:r w:rsidRPr="00CA1467">
              <w:rPr>
                <w:sz w:val="20"/>
                <w:lang w:val="en-NZ"/>
              </w:rPr>
              <w:t>The company distributes the balance of $72 as a dividend, with $28 in imputation credits attached, making a gross dividend of $100.</w:t>
            </w:r>
          </w:p>
          <w:p w:rsidR="00A959DD" w:rsidRPr="00CA1467" w:rsidRDefault="00A959DD" w:rsidP="00A959DD">
            <w:pPr>
              <w:spacing w:before="80" w:after="80"/>
              <w:jc w:val="left"/>
              <w:rPr>
                <w:sz w:val="20"/>
                <w:lang w:val="en-NZ"/>
              </w:rPr>
            </w:pPr>
            <w:r w:rsidRPr="00CA1467">
              <w:rPr>
                <w:sz w:val="20"/>
                <w:lang w:val="en-NZ"/>
              </w:rPr>
              <w:t>The shareholder includes the $100 dividend in their taxable income and a further $5 of tax is payable after allowing for the $28 imputation credits.</w:t>
            </w:r>
          </w:p>
          <w:p w:rsidR="00A959DD" w:rsidRPr="00CA1467" w:rsidRDefault="00A959DD" w:rsidP="00A959DD">
            <w:pPr>
              <w:spacing w:before="80" w:after="80"/>
              <w:jc w:val="left"/>
              <w:rPr>
                <w:sz w:val="20"/>
                <w:lang w:val="en-NZ"/>
              </w:rPr>
            </w:pPr>
            <w:r w:rsidRPr="00CA1467">
              <w:rPr>
                <w:sz w:val="20"/>
                <w:lang w:val="en-NZ"/>
              </w:rPr>
              <w:t xml:space="preserve">Overall, there is no double taxation and the tax </w:t>
            </w:r>
            <w:proofErr w:type="gramStart"/>
            <w:r w:rsidRPr="00CA1467">
              <w:rPr>
                <w:sz w:val="20"/>
                <w:lang w:val="en-NZ"/>
              </w:rPr>
              <w:t>is based</w:t>
            </w:r>
            <w:proofErr w:type="gramEnd"/>
            <w:r w:rsidRPr="00CA1467">
              <w:rPr>
                <w:sz w:val="20"/>
                <w:lang w:val="en-NZ"/>
              </w:rPr>
              <w:t xml:space="preserve"> on the individual’s tax rate.</w:t>
            </w:r>
          </w:p>
          <w:p w:rsidR="00A959DD" w:rsidRPr="00CA1467" w:rsidRDefault="00A959DD" w:rsidP="00A959DD">
            <w:pPr>
              <w:spacing w:before="80" w:after="80"/>
              <w:jc w:val="left"/>
              <w:rPr>
                <w:sz w:val="20"/>
                <w:lang w:val="en-NZ"/>
              </w:rPr>
            </w:pPr>
            <w:r w:rsidRPr="00CA1467">
              <w:rPr>
                <w:sz w:val="20"/>
                <w:lang w:val="en-NZ"/>
              </w:rPr>
              <w:t xml:space="preserve">Note that if the shareholder is on a marginal tax rate of 17.5%, the tax liability on the $100 dividend is $17.50, so that the balance of the imputation credits ($28 - $17.50) </w:t>
            </w:r>
            <w:proofErr w:type="gramStart"/>
            <w:r w:rsidRPr="00CA1467">
              <w:rPr>
                <w:sz w:val="20"/>
                <w:lang w:val="en-NZ"/>
              </w:rPr>
              <w:t>can be used</w:t>
            </w:r>
            <w:proofErr w:type="gramEnd"/>
            <w:r w:rsidRPr="00CA1467">
              <w:rPr>
                <w:sz w:val="20"/>
                <w:lang w:val="en-NZ"/>
              </w:rPr>
              <w:t xml:space="preserve"> towards meeting the tax on other income.</w:t>
            </w:r>
          </w:p>
        </w:tc>
      </w:tr>
      <w:tr w:rsidR="008A6355" w:rsidRPr="00CA1467" w:rsidTr="00A959DD">
        <w:tc>
          <w:tcPr>
            <w:tcW w:w="1809" w:type="dxa"/>
            <w:noWrap/>
          </w:tcPr>
          <w:p w:rsidR="008A6355" w:rsidRPr="00CA1467" w:rsidRDefault="008A6355" w:rsidP="00A959DD">
            <w:pPr>
              <w:spacing w:before="80" w:after="80"/>
              <w:rPr>
                <w:b/>
                <w:sz w:val="20"/>
                <w:lang w:val="en-NZ"/>
              </w:rPr>
            </w:pPr>
            <w:r w:rsidRPr="00CA1467">
              <w:rPr>
                <w:b/>
                <w:sz w:val="20"/>
                <w:lang w:val="en-NZ"/>
              </w:rPr>
              <w:t>Capital gain</w:t>
            </w:r>
          </w:p>
        </w:tc>
        <w:tc>
          <w:tcPr>
            <w:tcW w:w="3402" w:type="dxa"/>
            <w:noWrap/>
          </w:tcPr>
          <w:p w:rsidR="008A6355" w:rsidRPr="00CA1467" w:rsidRDefault="008A6355" w:rsidP="00A959DD">
            <w:pPr>
              <w:spacing w:before="80" w:after="80"/>
              <w:jc w:val="left"/>
              <w:rPr>
                <w:sz w:val="20"/>
                <w:lang w:val="en-NZ"/>
              </w:rPr>
            </w:pPr>
            <w:r w:rsidRPr="00CA1467">
              <w:rPr>
                <w:sz w:val="20"/>
                <w:lang w:val="en-NZ"/>
              </w:rPr>
              <w:t>An individual earns $100 in capital gains (say on the sale of land).  This does not form part of the individual’s income and no tax is payable.</w:t>
            </w:r>
          </w:p>
        </w:tc>
        <w:tc>
          <w:tcPr>
            <w:tcW w:w="3402" w:type="dxa"/>
            <w:noWrap/>
          </w:tcPr>
          <w:p w:rsidR="008A6355" w:rsidRPr="00CA1467" w:rsidRDefault="008A6355" w:rsidP="00A959DD">
            <w:pPr>
              <w:spacing w:before="80" w:after="80"/>
              <w:jc w:val="left"/>
              <w:rPr>
                <w:sz w:val="20"/>
                <w:lang w:val="en-NZ"/>
              </w:rPr>
            </w:pPr>
            <w:r w:rsidRPr="00CA1467">
              <w:rPr>
                <w:sz w:val="20"/>
                <w:lang w:val="en-NZ"/>
              </w:rPr>
              <w:t>If a company earns a capital gain of $100, there is no company tax.</w:t>
            </w:r>
          </w:p>
          <w:p w:rsidR="00A959DD" w:rsidRPr="00CA1467" w:rsidRDefault="00A959DD" w:rsidP="00A959DD">
            <w:pPr>
              <w:spacing w:before="80" w:after="80"/>
              <w:jc w:val="left"/>
              <w:rPr>
                <w:sz w:val="20"/>
                <w:lang w:val="en-NZ"/>
              </w:rPr>
            </w:pPr>
            <w:r w:rsidRPr="00CA1467">
              <w:rPr>
                <w:sz w:val="20"/>
                <w:lang w:val="en-NZ"/>
              </w:rPr>
              <w:t>If it distributes the $100 as a dividend there would be no imputation credits to attach.</w:t>
            </w:r>
          </w:p>
          <w:p w:rsidR="00A959DD" w:rsidRPr="00CA1467" w:rsidRDefault="00A959DD" w:rsidP="00A959DD">
            <w:pPr>
              <w:spacing w:before="80" w:after="80"/>
              <w:jc w:val="left"/>
              <w:rPr>
                <w:sz w:val="20"/>
                <w:lang w:val="en-NZ"/>
              </w:rPr>
            </w:pPr>
            <w:r w:rsidRPr="00CA1467">
              <w:rPr>
                <w:sz w:val="20"/>
                <w:lang w:val="en-NZ"/>
              </w:rPr>
              <w:t>The individual shareholder includes the $100 dividend in their taxable income and has $33 tax to pay.</w:t>
            </w:r>
          </w:p>
          <w:p w:rsidR="00A959DD" w:rsidRPr="00CA1467" w:rsidRDefault="00A959DD" w:rsidP="00A959DD">
            <w:pPr>
              <w:spacing w:before="80" w:after="80"/>
              <w:jc w:val="left"/>
              <w:rPr>
                <w:sz w:val="20"/>
                <w:lang w:val="en-NZ"/>
              </w:rPr>
            </w:pPr>
            <w:r w:rsidRPr="00CA1467">
              <w:rPr>
                <w:sz w:val="20"/>
                <w:lang w:val="en-NZ"/>
              </w:rPr>
              <w:t xml:space="preserve">This means that under the company treatment, capital gains made at the company level </w:t>
            </w:r>
            <w:proofErr w:type="gramStart"/>
            <w:r w:rsidRPr="00CA1467">
              <w:rPr>
                <w:sz w:val="20"/>
                <w:lang w:val="en-NZ"/>
              </w:rPr>
              <w:t>are clawed</w:t>
            </w:r>
            <w:proofErr w:type="gramEnd"/>
            <w:r w:rsidRPr="00CA1467">
              <w:rPr>
                <w:sz w:val="20"/>
                <w:lang w:val="en-NZ"/>
              </w:rPr>
              <w:t xml:space="preserve"> back on distribution to shareholders (except where the company liquidates).</w:t>
            </w:r>
          </w:p>
        </w:tc>
      </w:tr>
      <w:tr w:rsidR="008A6355" w:rsidRPr="00CA1467" w:rsidTr="00A959DD">
        <w:tc>
          <w:tcPr>
            <w:tcW w:w="1809" w:type="dxa"/>
            <w:noWrap/>
          </w:tcPr>
          <w:p w:rsidR="008A6355" w:rsidRPr="00CA1467" w:rsidRDefault="008A6355" w:rsidP="00A959DD">
            <w:pPr>
              <w:spacing w:before="80" w:after="80"/>
              <w:rPr>
                <w:b/>
                <w:sz w:val="20"/>
                <w:lang w:val="en-NZ"/>
              </w:rPr>
            </w:pPr>
            <w:r w:rsidRPr="00CA1467">
              <w:rPr>
                <w:b/>
                <w:sz w:val="20"/>
                <w:lang w:val="en-NZ"/>
              </w:rPr>
              <w:t>Losses</w:t>
            </w:r>
          </w:p>
        </w:tc>
        <w:tc>
          <w:tcPr>
            <w:tcW w:w="3402" w:type="dxa"/>
            <w:noWrap/>
          </w:tcPr>
          <w:p w:rsidR="008A6355" w:rsidRPr="00CA1467" w:rsidRDefault="008A6355" w:rsidP="00A959DD">
            <w:pPr>
              <w:spacing w:before="80" w:after="80"/>
              <w:jc w:val="left"/>
              <w:rPr>
                <w:sz w:val="20"/>
                <w:lang w:val="en-NZ"/>
              </w:rPr>
            </w:pPr>
            <w:r w:rsidRPr="00CA1467">
              <w:rPr>
                <w:sz w:val="20"/>
                <w:lang w:val="en-NZ"/>
              </w:rPr>
              <w:t xml:space="preserve">An individual makes a tax loss of $100 on an </w:t>
            </w:r>
            <w:proofErr w:type="gramStart"/>
            <w:r w:rsidRPr="00CA1467">
              <w:rPr>
                <w:sz w:val="20"/>
                <w:lang w:val="en-NZ"/>
              </w:rPr>
              <w:t>income earning</w:t>
            </w:r>
            <w:proofErr w:type="gramEnd"/>
            <w:r w:rsidRPr="00CA1467">
              <w:rPr>
                <w:sz w:val="20"/>
                <w:lang w:val="en-NZ"/>
              </w:rPr>
              <w:t xml:space="preserve"> asset (say a rental property).  This loss can be offset against the individual’s other income, or carried forward to offset against future income.</w:t>
            </w:r>
          </w:p>
        </w:tc>
        <w:tc>
          <w:tcPr>
            <w:tcW w:w="3402" w:type="dxa"/>
            <w:noWrap/>
          </w:tcPr>
          <w:p w:rsidR="008A6355" w:rsidRPr="00CA1467" w:rsidRDefault="008A6355" w:rsidP="00A959DD">
            <w:pPr>
              <w:spacing w:before="80" w:after="80"/>
              <w:jc w:val="left"/>
              <w:rPr>
                <w:sz w:val="20"/>
                <w:lang w:val="en-NZ"/>
              </w:rPr>
            </w:pPr>
            <w:r w:rsidRPr="00CA1467">
              <w:rPr>
                <w:sz w:val="20"/>
                <w:lang w:val="en-NZ"/>
              </w:rPr>
              <w:t>A company makes a tax loss of $100</w:t>
            </w:r>
            <w:r w:rsidR="00A959DD" w:rsidRPr="00CA1467">
              <w:rPr>
                <w:sz w:val="20"/>
                <w:lang w:val="en-NZ"/>
              </w:rPr>
              <w:t>.</w:t>
            </w:r>
          </w:p>
          <w:p w:rsidR="00A959DD" w:rsidRPr="00CA1467" w:rsidRDefault="00A959DD" w:rsidP="00A959DD">
            <w:pPr>
              <w:spacing w:before="80" w:after="80"/>
              <w:jc w:val="left"/>
              <w:rPr>
                <w:sz w:val="20"/>
                <w:lang w:val="en-NZ"/>
              </w:rPr>
            </w:pPr>
            <w:r w:rsidRPr="00CA1467">
              <w:rPr>
                <w:sz w:val="20"/>
                <w:lang w:val="en-NZ"/>
              </w:rPr>
              <w:t>This loss can be offset against the company’s other income (if any) or can be carried forward to offset against future company income.</w:t>
            </w:r>
          </w:p>
          <w:p w:rsidR="00A959DD" w:rsidRPr="00CA1467" w:rsidRDefault="00A959DD" w:rsidP="00A959DD">
            <w:pPr>
              <w:spacing w:before="80" w:after="80"/>
              <w:jc w:val="left"/>
              <w:rPr>
                <w:sz w:val="20"/>
                <w:lang w:val="en-NZ"/>
              </w:rPr>
            </w:pPr>
            <w:r w:rsidRPr="00CA1467">
              <w:rPr>
                <w:sz w:val="20"/>
                <w:lang w:val="en-NZ"/>
              </w:rPr>
              <w:t xml:space="preserve">The loss </w:t>
            </w:r>
            <w:proofErr w:type="gramStart"/>
            <w:r w:rsidRPr="00CA1467">
              <w:rPr>
                <w:sz w:val="20"/>
                <w:lang w:val="en-NZ"/>
              </w:rPr>
              <w:t>cannot be distributed</w:t>
            </w:r>
            <w:proofErr w:type="gramEnd"/>
            <w:r w:rsidRPr="00CA1467">
              <w:rPr>
                <w:sz w:val="20"/>
                <w:lang w:val="en-NZ"/>
              </w:rPr>
              <w:t xml:space="preserve"> to shareholders, but it can be offset to other group companies.</w:t>
            </w:r>
          </w:p>
        </w:tc>
      </w:tr>
    </w:tbl>
    <w:p w:rsidR="008A6355" w:rsidRPr="00CA1467" w:rsidRDefault="008A6355" w:rsidP="008F12F0">
      <w:pPr>
        <w:pStyle w:val="Chapter2"/>
        <w:numPr>
          <w:ilvl w:val="0"/>
          <w:numId w:val="0"/>
        </w:numPr>
      </w:pPr>
    </w:p>
    <w:p w:rsidR="00E40914" w:rsidRPr="00CA1467" w:rsidRDefault="00E40914">
      <w:pPr>
        <w:jc w:val="left"/>
        <w:rPr>
          <w:snapToGrid w:val="0"/>
          <w:lang w:val="en-NZ" w:eastAsia="en-US"/>
        </w:rPr>
      </w:pPr>
      <w:r w:rsidRPr="00CA1467">
        <w:rPr>
          <w:lang w:val="en-NZ"/>
        </w:rPr>
        <w:br w:type="page"/>
      </w:r>
    </w:p>
    <w:p w:rsidR="00E40914" w:rsidRPr="00CA1467" w:rsidRDefault="00E40914" w:rsidP="00E40914">
      <w:pPr>
        <w:pStyle w:val="Heading2"/>
      </w:pPr>
      <w:r w:rsidRPr="00CA1467">
        <w:t>Mixture of the two approaches</w:t>
      </w:r>
    </w:p>
    <w:p w:rsidR="00E40914" w:rsidRPr="00CA1467" w:rsidRDefault="00E40914" w:rsidP="00E40914">
      <w:pPr>
        <w:pStyle w:val="Chapter2"/>
        <w:numPr>
          <w:ilvl w:val="0"/>
          <w:numId w:val="0"/>
        </w:numPr>
        <w:ind w:left="851"/>
      </w:pPr>
    </w:p>
    <w:p w:rsidR="00E40914" w:rsidRPr="00CA1467" w:rsidRDefault="00E40914" w:rsidP="00E40914">
      <w:pPr>
        <w:pStyle w:val="Chapter2"/>
      </w:pPr>
      <w:r w:rsidRPr="00CA1467">
        <w:t xml:space="preserve">As Table 1 illustrates, for some types of entity the income tax treatment is a mixture of the above two approaches.  For example, under the QC rules profits are taxed at the standard company tax rate with any subsequent distribution of those profits being taxable at the respective shareholders’ tax rates (with imputation credits attached), but with capital gains and any other untaxed amounts being able to be passed through to shareholders tax-free.  Previously, LAQC losses </w:t>
      </w:r>
      <w:proofErr w:type="gramStart"/>
      <w:r w:rsidRPr="00CA1467">
        <w:t>could also be passed through</w:t>
      </w:r>
      <w:proofErr w:type="gramEnd"/>
      <w:r w:rsidRPr="00CA1467">
        <w:t xml:space="preserve"> to shareholders to offset against any other income they earned.</w:t>
      </w:r>
    </w:p>
    <w:p w:rsidR="00E40914" w:rsidRPr="00CA1467" w:rsidRDefault="00E40914" w:rsidP="00E40914">
      <w:pPr>
        <w:pStyle w:val="Chapter2"/>
        <w:numPr>
          <w:ilvl w:val="0"/>
          <w:numId w:val="0"/>
        </w:numPr>
        <w:ind w:left="851"/>
      </w:pPr>
    </w:p>
    <w:p w:rsidR="00E40914" w:rsidRPr="00CA1467" w:rsidRDefault="00E40914" w:rsidP="00E40914">
      <w:pPr>
        <w:pStyle w:val="Chapter2"/>
      </w:pPr>
      <w:r w:rsidRPr="00CA1467">
        <w:t xml:space="preserve">When the company and top personal tax rates </w:t>
      </w:r>
      <w:proofErr w:type="gramStart"/>
      <w:r w:rsidRPr="00CA1467">
        <w:t>were aligned</w:t>
      </w:r>
      <w:proofErr w:type="gramEnd"/>
      <w:r w:rsidRPr="00CA1467">
        <w:t>, this mixed approach was generally appropriate.  However, once the top personal rate became higher than the company rate there was concern that the QC/LAQC regime went beyond the objective of removing the tax disadvantage from incorporation</w:t>
      </w:r>
      <w:r w:rsidR="00C4314B" w:rsidRPr="00CA1467">
        <w:t>,</w:t>
      </w:r>
      <w:r w:rsidR="008300C6" w:rsidRPr="002A6B04">
        <w:rPr>
          <w:rStyle w:val="FootnoteReference"/>
          <w:sz w:val="22"/>
          <w:szCs w:val="22"/>
        </w:rPr>
        <w:footnoteReference w:id="9"/>
      </w:r>
      <w:r w:rsidRPr="00CA1467">
        <w:t xml:space="preserve"> and in fact provided a tax advantage.</w:t>
      </w:r>
      <w:r w:rsidR="008300C6" w:rsidRPr="00321964">
        <w:rPr>
          <w:rStyle w:val="FootnoteReference"/>
          <w:sz w:val="22"/>
          <w:szCs w:val="22"/>
        </w:rPr>
        <w:footnoteReference w:id="10"/>
      </w:r>
    </w:p>
    <w:p w:rsidR="00E40914" w:rsidRPr="00CA1467" w:rsidRDefault="00E40914" w:rsidP="00E40914">
      <w:pPr>
        <w:pStyle w:val="Chapter2"/>
        <w:numPr>
          <w:ilvl w:val="0"/>
          <w:numId w:val="0"/>
        </w:numPr>
        <w:ind w:left="851"/>
      </w:pPr>
    </w:p>
    <w:p w:rsidR="00E40914" w:rsidRPr="00CA1467" w:rsidRDefault="00E40914" w:rsidP="00E40914">
      <w:pPr>
        <w:pStyle w:val="Chapter2"/>
      </w:pPr>
      <w:r w:rsidRPr="00CA1467">
        <w:t xml:space="preserve">The treatment of trusts is also a hybrid, with the income earned being either taxed as trustee income at equivalent to the top personal rate or, if distributed, taxed at the personal tax rates of the beneficiaries.  Losses </w:t>
      </w:r>
      <w:proofErr w:type="gramStart"/>
      <w:r w:rsidRPr="00CA1467">
        <w:t>are quarantined</w:t>
      </w:r>
      <w:proofErr w:type="gramEnd"/>
      <w:r w:rsidRPr="00CA1467">
        <w:t xml:space="preserve"> within the trust, to be used against future trustee income.</w:t>
      </w:r>
    </w:p>
    <w:p w:rsidR="00E40914" w:rsidRPr="00CA1467" w:rsidRDefault="00E40914" w:rsidP="00E40914">
      <w:pPr>
        <w:pStyle w:val="Chapter2"/>
        <w:numPr>
          <w:ilvl w:val="0"/>
          <w:numId w:val="0"/>
        </w:numPr>
        <w:ind w:left="851"/>
      </w:pPr>
    </w:p>
    <w:p w:rsidR="00E40914" w:rsidRPr="00CA1467" w:rsidRDefault="00E40914" w:rsidP="00E40914">
      <w:pPr>
        <w:pStyle w:val="Heading2"/>
      </w:pPr>
      <w:r w:rsidRPr="00CA1467">
        <w:t xml:space="preserve">Boundary between the approaches </w:t>
      </w:r>
    </w:p>
    <w:p w:rsidR="00E40914" w:rsidRPr="00CA1467" w:rsidRDefault="00E40914" w:rsidP="00E40914">
      <w:pPr>
        <w:pStyle w:val="Chapter2"/>
        <w:numPr>
          <w:ilvl w:val="0"/>
          <w:numId w:val="0"/>
        </w:numPr>
        <w:ind w:left="851"/>
      </w:pPr>
    </w:p>
    <w:p w:rsidR="00E40914" w:rsidRPr="00CA1467" w:rsidRDefault="00E40914" w:rsidP="00E40914">
      <w:pPr>
        <w:pStyle w:val="Chapter2"/>
      </w:pPr>
      <w:r w:rsidRPr="00CA1467">
        <w:t xml:space="preserve">Having two different tax treatments will always create some distortions.  It raises the question about where the line </w:t>
      </w:r>
      <w:proofErr w:type="gramStart"/>
      <w:r w:rsidRPr="00CA1467">
        <w:t>should best be drawn</w:t>
      </w:r>
      <w:proofErr w:type="gramEnd"/>
      <w:r w:rsidRPr="00CA1467">
        <w:t xml:space="preserve"> between them.  There is no perfect solution to this question so a degree of pragmatism is required, while trying to minimise likely distortions.  Since LTCs (and QCs) sit on this boundary (a LTC being legally a company but with individual flow-through tax treatment) it is important to know the target audience for the LTC rules as this influences the criteria that are applied to LTCs.</w:t>
      </w:r>
    </w:p>
    <w:p w:rsidR="00E40914" w:rsidRPr="00CA1467" w:rsidRDefault="00E40914" w:rsidP="00E40914">
      <w:pPr>
        <w:pStyle w:val="Chapter2"/>
        <w:numPr>
          <w:ilvl w:val="0"/>
          <w:numId w:val="0"/>
        </w:numPr>
        <w:ind w:left="851"/>
      </w:pPr>
    </w:p>
    <w:p w:rsidR="00E40914" w:rsidRPr="00CA1467" w:rsidRDefault="00E40914" w:rsidP="00E40914">
      <w:pPr>
        <w:pStyle w:val="Chapter2"/>
      </w:pPr>
      <w:r w:rsidRPr="00CA1467">
        <w:t xml:space="preserve">Individual treatment </w:t>
      </w:r>
      <w:proofErr w:type="gramStart"/>
      <w:r w:rsidRPr="00CA1467">
        <w:t>should be applied</w:t>
      </w:r>
      <w:proofErr w:type="gramEnd"/>
      <w:r w:rsidRPr="00CA1467">
        <w:t xml:space="preserve"> to company situations when the investment could have genuinely been owned directly by the individual or family trust shareholder(s) but they wish to have the protection of limited liability.  This prevents tax being a distorting factor in what would otherwise be a commercial decision to incorporate.</w:t>
      </w:r>
    </w:p>
    <w:p w:rsidR="00E40914" w:rsidRPr="00CA1467" w:rsidRDefault="00E40914" w:rsidP="00E40914">
      <w:pPr>
        <w:pStyle w:val="Chapter2"/>
        <w:numPr>
          <w:ilvl w:val="0"/>
          <w:numId w:val="0"/>
        </w:numPr>
        <w:ind w:left="851"/>
      </w:pPr>
    </w:p>
    <w:p w:rsidR="00E40914" w:rsidRPr="00CA1467" w:rsidRDefault="00E40914" w:rsidP="00E40914">
      <w:pPr>
        <w:pStyle w:val="Chapter2"/>
      </w:pPr>
      <w:r w:rsidRPr="00CA1467">
        <w:t>Allowing the pass-through of losses also raises the possibility of loss trading.</w:t>
      </w:r>
      <w:r w:rsidR="008300C6" w:rsidRPr="00321964">
        <w:rPr>
          <w:rStyle w:val="FootnoteReference"/>
          <w:sz w:val="22"/>
          <w:szCs w:val="22"/>
        </w:rPr>
        <w:footnoteReference w:id="11"/>
      </w:r>
      <w:r w:rsidRPr="00CA1467">
        <w:t xml:space="preserve">  As a matter of </w:t>
      </w:r>
      <w:proofErr w:type="gramStart"/>
      <w:r w:rsidRPr="00CA1467">
        <w:t>policy</w:t>
      </w:r>
      <w:proofErr w:type="gramEnd"/>
      <w:r w:rsidRPr="00CA1467">
        <w:t xml:space="preserve"> the eligibility criteria are an important way of reducing the possibility of such trading.  Focusing on the number of shareholders seems a useful method of reducing this risk.  It is also consistent with the approach that LTCs </w:t>
      </w:r>
      <w:proofErr w:type="gramStart"/>
      <w:r w:rsidRPr="00CA1467">
        <w:t>are only intended</w:t>
      </w:r>
      <w:proofErr w:type="gramEnd"/>
      <w:r w:rsidRPr="00CA1467">
        <w:t xml:space="preserve"> for investors who have a realistic option of operating as individuals or through a company.</w:t>
      </w:r>
    </w:p>
    <w:p w:rsidR="00E40914" w:rsidRPr="00CA1467" w:rsidRDefault="00E40914" w:rsidP="00E40914">
      <w:pPr>
        <w:pStyle w:val="Chapter2"/>
        <w:numPr>
          <w:ilvl w:val="0"/>
          <w:numId w:val="0"/>
        </w:numPr>
        <w:ind w:left="851"/>
      </w:pPr>
    </w:p>
    <w:p w:rsidR="00E40914" w:rsidRPr="00CA1467" w:rsidRDefault="00E40914" w:rsidP="00E40914">
      <w:pPr>
        <w:pStyle w:val="Chapter2"/>
      </w:pPr>
      <w:r w:rsidRPr="00CA1467">
        <w:t xml:space="preserve">A subsequent question is whether this individual treatment approach should apply to companies operating cross-border.  In terms of outbound investment, there is a policy case for applying corporate treatment to most, if not all, overseas businesses owned either directly (branches) or indirectly (CFCs) by New Zealand companies, in order to better align the treatment of cross-border investments in different forms.  This raises the issue of whether it is consistent to allow outbound investment to receive look-through tax treatment.  On the other hand, there is the general point that LTC taxation </w:t>
      </w:r>
      <w:proofErr w:type="gramStart"/>
      <w:r w:rsidRPr="00CA1467">
        <w:t>is intended</w:t>
      </w:r>
      <w:proofErr w:type="gramEnd"/>
      <w:r w:rsidRPr="00CA1467">
        <w:t xml:space="preserve"> to be similar to the taxation of direct investment by shareholders.</w:t>
      </w:r>
      <w:r w:rsidR="008300C6" w:rsidRPr="002A6B04">
        <w:rPr>
          <w:rStyle w:val="FootnoteReference"/>
          <w:sz w:val="22"/>
          <w:szCs w:val="22"/>
        </w:rPr>
        <w:footnoteReference w:id="12"/>
      </w:r>
    </w:p>
    <w:p w:rsidR="00E40914" w:rsidRPr="00CA1467" w:rsidRDefault="00E40914" w:rsidP="00F31C38">
      <w:pPr>
        <w:pStyle w:val="Chapter2"/>
        <w:numPr>
          <w:ilvl w:val="0"/>
          <w:numId w:val="0"/>
        </w:numPr>
        <w:ind w:left="851"/>
      </w:pPr>
    </w:p>
    <w:p w:rsidR="00E40914" w:rsidRPr="00CA1467" w:rsidRDefault="00E40914" w:rsidP="00E40914">
      <w:pPr>
        <w:pStyle w:val="Chapter2"/>
      </w:pPr>
      <w:r w:rsidRPr="00CA1467">
        <w:t xml:space="preserve">There is also the general issue with conduit investment and, consequently, the related risks to the tax base and base erosion and profit shifting (BEPS) concerns.  These international aspects </w:t>
      </w:r>
      <w:proofErr w:type="gramStart"/>
      <w:r w:rsidRPr="00CA1467">
        <w:t>are discussed</w:t>
      </w:r>
      <w:proofErr w:type="gramEnd"/>
      <w:r w:rsidRPr="00CA1467">
        <w:t xml:space="preserve"> in </w:t>
      </w:r>
      <w:r w:rsidR="000A6FA8">
        <w:t>C</w:t>
      </w:r>
      <w:r w:rsidRPr="00CA1467">
        <w:t>hapter 4.</w:t>
      </w:r>
    </w:p>
    <w:p w:rsidR="00E40914" w:rsidRPr="00CA1467" w:rsidRDefault="00E40914" w:rsidP="00E40914">
      <w:pPr>
        <w:pStyle w:val="Chapter2"/>
        <w:numPr>
          <w:ilvl w:val="0"/>
          <w:numId w:val="0"/>
        </w:numPr>
        <w:ind w:left="851"/>
      </w:pPr>
    </w:p>
    <w:p w:rsidR="00E40914" w:rsidRPr="00CA1467" w:rsidRDefault="00E40914" w:rsidP="00E40914">
      <w:pPr>
        <w:pStyle w:val="Chapter2"/>
        <w:numPr>
          <w:ilvl w:val="0"/>
          <w:numId w:val="0"/>
        </w:numPr>
        <w:ind w:left="851"/>
      </w:pPr>
    </w:p>
    <w:p w:rsidR="00E40914" w:rsidRPr="00CA1467" w:rsidRDefault="00E40914" w:rsidP="00F31C38">
      <w:pPr>
        <w:pStyle w:val="Heading1"/>
      </w:pPr>
      <w:bookmarkStart w:id="32" w:name="_Toc429469446"/>
      <w:r w:rsidRPr="00CA1467">
        <w:t>Target audience for the LTC rules</w:t>
      </w:r>
      <w:bookmarkEnd w:id="32"/>
    </w:p>
    <w:p w:rsidR="00E40914" w:rsidRPr="00CA1467" w:rsidRDefault="00E40914" w:rsidP="00E40914">
      <w:pPr>
        <w:pStyle w:val="Chapter2"/>
        <w:numPr>
          <w:ilvl w:val="0"/>
          <w:numId w:val="0"/>
        </w:numPr>
        <w:ind w:left="851"/>
      </w:pPr>
    </w:p>
    <w:p w:rsidR="00E40914" w:rsidRPr="00CA1467" w:rsidRDefault="00E40914" w:rsidP="00E40914">
      <w:pPr>
        <w:pStyle w:val="Chapter2"/>
      </w:pPr>
      <w:r w:rsidRPr="00CA1467">
        <w:t xml:space="preserve">What does this boundary imply for the target audience for the LTC rules?  Our conclusion is that the LTC target audience is any investment that </w:t>
      </w:r>
      <w:proofErr w:type="gramStart"/>
      <w:r w:rsidRPr="00CA1467">
        <w:t>can be done</w:t>
      </w:r>
      <w:proofErr w:type="gramEnd"/>
      <w:r w:rsidRPr="00CA1467">
        <w:t xml:space="preserve"> by an individual or small group of individuals.  This means the focus is on tight control of the entity by individuals rather than on the size of the entity, even though in practice </w:t>
      </w:r>
      <w:proofErr w:type="gramStart"/>
      <w:r w:rsidRPr="00CA1467">
        <w:t>small unsophisticated</w:t>
      </w:r>
      <w:proofErr w:type="gramEnd"/>
      <w:r w:rsidRPr="00CA1467">
        <w:t xml:space="preserve"> businesses are likely to make up the majority of LTCs.  As Chart 1 illustrates later in </w:t>
      </w:r>
      <w:r w:rsidR="000A6FA8">
        <w:t>C</w:t>
      </w:r>
      <w:r w:rsidRPr="00CA1467">
        <w:t>hapter 5, the majority of LTCs fall into the -$20,000 to +$10,000 annual income range and 90</w:t>
      </w:r>
      <w:r w:rsidR="00BA0441">
        <w:t xml:space="preserve"> percent</w:t>
      </w:r>
      <w:r w:rsidR="00BA0441" w:rsidRPr="00CA1467">
        <w:t xml:space="preserve"> </w:t>
      </w:r>
      <w:r w:rsidRPr="00CA1467">
        <w:t>are within the -$50,000 to +$50,000 annual income range.</w:t>
      </w:r>
    </w:p>
    <w:p w:rsidR="00E40914" w:rsidRPr="00CA1467" w:rsidRDefault="00E40914" w:rsidP="00F31C38">
      <w:pPr>
        <w:pStyle w:val="Chapter2"/>
        <w:numPr>
          <w:ilvl w:val="0"/>
          <w:numId w:val="0"/>
        </w:numPr>
        <w:ind w:left="851"/>
      </w:pPr>
    </w:p>
    <w:p w:rsidR="00E40914" w:rsidRPr="00CA1467" w:rsidRDefault="00E40914" w:rsidP="00F31C38">
      <w:pPr>
        <w:pStyle w:val="Chapter2"/>
        <w:numPr>
          <w:ilvl w:val="0"/>
          <w:numId w:val="0"/>
        </w:numPr>
        <w:ind w:left="851"/>
      </w:pPr>
    </w:p>
    <w:p w:rsidR="00E40914" w:rsidRPr="00CA1467" w:rsidRDefault="00E40914" w:rsidP="00F31C38">
      <w:pPr>
        <w:pStyle w:val="Heading1"/>
      </w:pPr>
      <w:bookmarkStart w:id="33" w:name="_Toc429469447"/>
      <w:r w:rsidRPr="00CA1467">
        <w:t>Treatment of capital gains</w:t>
      </w:r>
      <w:bookmarkEnd w:id="33"/>
    </w:p>
    <w:p w:rsidR="00E40914" w:rsidRPr="00CA1467" w:rsidRDefault="00E40914" w:rsidP="00F31C38">
      <w:pPr>
        <w:pStyle w:val="Chapter2"/>
        <w:numPr>
          <w:ilvl w:val="0"/>
          <w:numId w:val="0"/>
        </w:numPr>
        <w:ind w:left="851"/>
      </w:pPr>
    </w:p>
    <w:p w:rsidR="00E40914" w:rsidRPr="00CA1467" w:rsidRDefault="00E40914" w:rsidP="00E40914">
      <w:pPr>
        <w:pStyle w:val="Chapter2"/>
      </w:pPr>
      <w:r w:rsidRPr="00CA1467">
        <w:t xml:space="preserve">We have concentrated our review primarily on streamlining the rules for LTCs.  However, a number of issues with the current wider policy settings </w:t>
      </w:r>
      <w:proofErr w:type="gramStart"/>
      <w:r w:rsidRPr="00CA1467">
        <w:t>have been raised</w:t>
      </w:r>
      <w:proofErr w:type="gramEnd"/>
      <w:r w:rsidRPr="00CA1467">
        <w:t xml:space="preserve"> by stakeholders, including the extent to which closely held companies should be able to distribute capital gains tax-free.</w:t>
      </w:r>
    </w:p>
    <w:p w:rsidR="00E40914" w:rsidRPr="00CA1467" w:rsidRDefault="00E40914" w:rsidP="00F31C38">
      <w:pPr>
        <w:pStyle w:val="Chapter2"/>
        <w:numPr>
          <w:ilvl w:val="0"/>
          <w:numId w:val="0"/>
        </w:numPr>
        <w:ind w:left="851"/>
      </w:pPr>
    </w:p>
    <w:p w:rsidR="00E40914" w:rsidRPr="00CA1467" w:rsidRDefault="00E40914" w:rsidP="00F31C38">
      <w:pPr>
        <w:pStyle w:val="Chapter2"/>
        <w:numPr>
          <w:ilvl w:val="0"/>
          <w:numId w:val="0"/>
        </w:numPr>
        <w:ind w:left="851"/>
      </w:pPr>
    </w:p>
    <w:p w:rsidR="00E40914" w:rsidRPr="00CA1467" w:rsidRDefault="00E40914" w:rsidP="00E40914">
      <w:pPr>
        <w:pStyle w:val="Chapter2"/>
      </w:pPr>
      <w:r w:rsidRPr="00CA1467">
        <w:t>There is a case for allowing capital gains to flow through tax-free in certain circumstances when there is a genuine parallel to direct ownership.  This is because those gains would be tax-free if earned directly (or through a partnership) by the owner.  Similar considerations were behind the Valabh Committee recommending the Q</w:t>
      </w:r>
      <w:r w:rsidR="008300C6" w:rsidRPr="00CA1467">
        <w:t>C regime in the early 1990s.</w:t>
      </w:r>
      <w:r w:rsidR="008300C6" w:rsidRPr="002A6B04">
        <w:rPr>
          <w:rStyle w:val="FootnoteReference"/>
          <w:sz w:val="22"/>
          <w:szCs w:val="22"/>
        </w:rPr>
        <w:footnoteReference w:id="13"/>
      </w:r>
      <w:r w:rsidR="008300C6" w:rsidRPr="00CA1467">
        <w:t xml:space="preserve"> </w:t>
      </w:r>
      <w:r w:rsidRPr="00CA1467">
        <w:t xml:space="preserve"> Like QCs, the LTC regime provides a vehicle for capital gains to be distributed tax-free throughout the life of a company, not just on liquidation.</w:t>
      </w:r>
    </w:p>
    <w:p w:rsidR="00E40914" w:rsidRPr="00CA1467" w:rsidRDefault="00E40914" w:rsidP="00F31C38">
      <w:pPr>
        <w:pStyle w:val="Chapter2"/>
        <w:numPr>
          <w:ilvl w:val="0"/>
          <w:numId w:val="0"/>
        </w:numPr>
        <w:ind w:left="851"/>
      </w:pPr>
    </w:p>
    <w:p w:rsidR="00E40914" w:rsidRPr="00CA1467" w:rsidRDefault="00E40914" w:rsidP="00E40914">
      <w:pPr>
        <w:pStyle w:val="Chapter2"/>
      </w:pPr>
      <w:r w:rsidRPr="00CA1467">
        <w:t xml:space="preserve">Issues such as whether to allow closely held companies outside of LTCs and existing QCs to distribute capital gains tax-free during the course of business are complex and </w:t>
      </w:r>
      <w:proofErr w:type="gramStart"/>
      <w:r w:rsidRPr="00CA1467">
        <w:t>cannot be considered</w:t>
      </w:r>
      <w:proofErr w:type="gramEnd"/>
      <w:r w:rsidRPr="00CA1467">
        <w:t xml:space="preserve"> in isolation.  It would be premature to contemplate changes in these areas without significant further work, which </w:t>
      </w:r>
      <w:proofErr w:type="gramStart"/>
      <w:r w:rsidRPr="00CA1467">
        <w:t>could be handled</w:t>
      </w:r>
      <w:proofErr w:type="gramEnd"/>
      <w:r w:rsidRPr="00CA1467">
        <w:t xml:space="preserve"> through the standard tax policy work programme process at a future date.</w:t>
      </w:r>
    </w:p>
    <w:p w:rsidR="00E40914" w:rsidRPr="00CA1467" w:rsidRDefault="00E40914" w:rsidP="00F31C38">
      <w:pPr>
        <w:pStyle w:val="Chapter2"/>
        <w:numPr>
          <w:ilvl w:val="0"/>
          <w:numId w:val="0"/>
        </w:numPr>
        <w:ind w:left="851"/>
      </w:pPr>
    </w:p>
    <w:p w:rsidR="00E40914" w:rsidRPr="00CA1467" w:rsidRDefault="00E40914" w:rsidP="00E40914">
      <w:pPr>
        <w:pStyle w:val="Chapter2"/>
      </w:pPr>
      <w:r w:rsidRPr="00CA1467">
        <w:t xml:space="preserve">To illustrate their complexity, we note that the issue of the tax status of capital gain distributions </w:t>
      </w:r>
      <w:proofErr w:type="gramStart"/>
      <w:r w:rsidRPr="00CA1467">
        <w:t>is intricately tied up</w:t>
      </w:r>
      <w:proofErr w:type="gramEnd"/>
      <w:r w:rsidRPr="00CA1467">
        <w:t xml:space="preserve"> with the tax treatment of dividends.  Dividends </w:t>
      </w:r>
      <w:proofErr w:type="gramStart"/>
      <w:r w:rsidRPr="00CA1467">
        <w:t>can be classified</w:t>
      </w:r>
      <w:proofErr w:type="gramEnd"/>
      <w:r w:rsidRPr="00CA1467">
        <w:t xml:space="preserve"> as distributions from revenue reserves and distributions from capital sources.  If only certain types of dividend were exempt, such as those paid out of capital profits, there would be pressure to convert company income into the preferred form.  Refraining from permitting the pass-through of tax preferences therefore helps to ensure the robu</w:t>
      </w:r>
      <w:r w:rsidR="008300C6" w:rsidRPr="00CA1467">
        <w:t>stness of the company tax base.</w:t>
      </w:r>
      <w:r w:rsidR="008300C6" w:rsidRPr="002A6B04">
        <w:rPr>
          <w:rStyle w:val="FootnoteReference"/>
          <w:sz w:val="22"/>
          <w:szCs w:val="22"/>
        </w:rPr>
        <w:footnoteReference w:id="14"/>
      </w:r>
      <w:r w:rsidRPr="00CA1467">
        <w:t xml:space="preserve">  Similar considerations apply to limit a company’s ability to return capital to ensure that what is in effect a dividend from retained earnings is not “dressed up” as a return of capital.</w:t>
      </w:r>
    </w:p>
    <w:p w:rsidR="00E40914" w:rsidRPr="00CA1467" w:rsidRDefault="00E40914" w:rsidP="00F31C38">
      <w:pPr>
        <w:pStyle w:val="Chapter2"/>
        <w:numPr>
          <w:ilvl w:val="0"/>
          <w:numId w:val="0"/>
        </w:numPr>
        <w:ind w:left="851"/>
      </w:pPr>
    </w:p>
    <w:p w:rsidR="00E40914" w:rsidRPr="00CA1467" w:rsidRDefault="00E40914" w:rsidP="00E40914">
      <w:pPr>
        <w:pStyle w:val="Chapter2"/>
      </w:pPr>
      <w:r w:rsidRPr="00CA1467">
        <w:t xml:space="preserve">The tax treatment of capital gains on liquidation provides a further complication.  In practice, businesses can distribute capital gains tax-free through forming multiple companies to hold specific assets and liquidating those companies as the capital gains on the assets are realised.  </w:t>
      </w:r>
      <w:proofErr w:type="gramStart"/>
      <w:r w:rsidRPr="00CA1467">
        <w:t>In doing so, however, they incur additional compliance costs.</w:t>
      </w:r>
      <w:proofErr w:type="gramEnd"/>
      <w:r w:rsidRPr="00CA1467">
        <w:t xml:space="preserve">  We acknowledge the compliance cost concerns but </w:t>
      </w:r>
      <w:proofErr w:type="gramStart"/>
      <w:r w:rsidRPr="00CA1467">
        <w:t>arguably</w:t>
      </w:r>
      <w:proofErr w:type="gramEnd"/>
      <w:r w:rsidRPr="00CA1467">
        <w:t xml:space="preserve"> the ability to get out capital gains tax-free on liquidation is a distortion, at least for those companies for whom company tax-treatment is appropriate.</w:t>
      </w:r>
    </w:p>
    <w:p w:rsidR="00E40914" w:rsidRPr="00CA1467" w:rsidRDefault="00E40914" w:rsidP="00F31C38">
      <w:pPr>
        <w:pStyle w:val="Chapter2"/>
        <w:numPr>
          <w:ilvl w:val="0"/>
          <w:numId w:val="0"/>
        </w:numPr>
      </w:pPr>
    </w:p>
    <w:p w:rsidR="00C11581" w:rsidRDefault="00C11581">
      <w:pPr>
        <w:jc w:val="left"/>
        <w:rPr>
          <w:snapToGrid w:val="0"/>
          <w:lang w:val="en-NZ" w:eastAsia="en-US"/>
        </w:rPr>
      </w:pPr>
      <w:r>
        <w:br w:type="page"/>
      </w:r>
    </w:p>
    <w:p w:rsidR="00CA33EC" w:rsidRPr="00CA1467" w:rsidRDefault="00CA33EC" w:rsidP="008F12F0">
      <w:pPr>
        <w:pStyle w:val="Chapter2"/>
        <w:numPr>
          <w:ilvl w:val="0"/>
          <w:numId w:val="0"/>
        </w:numPr>
        <w:ind w:left="851" w:hanging="851"/>
      </w:pPr>
    </w:p>
    <w:p w:rsidR="00CA33EC" w:rsidRPr="00CA1467" w:rsidRDefault="00CA33EC" w:rsidP="008F12F0">
      <w:pPr>
        <w:pStyle w:val="Chapter2"/>
        <w:numPr>
          <w:ilvl w:val="0"/>
          <w:numId w:val="0"/>
        </w:numPr>
      </w:pPr>
      <w:r w:rsidRPr="00CA1467">
        <w:br w:type="page"/>
      </w:r>
    </w:p>
    <w:p w:rsidR="00CA33EC" w:rsidRPr="00CA1467" w:rsidRDefault="001005B7" w:rsidP="00D10025">
      <w:pPr>
        <w:pStyle w:val="Chapterheading"/>
      </w:pPr>
      <w:bookmarkStart w:id="34" w:name="_Toc147568000"/>
      <w:bookmarkStart w:id="35" w:name="_Toc419712211"/>
      <w:bookmarkStart w:id="36" w:name="_Toc419721177"/>
      <w:bookmarkStart w:id="37" w:name="_Toc429151480"/>
      <w:bookmarkStart w:id="38" w:name="_Toc429379727"/>
      <w:bookmarkStart w:id="39" w:name="_Toc429399981"/>
      <w:bookmarkStart w:id="40" w:name="_Toc429400081"/>
      <w:bookmarkStart w:id="41" w:name="_Toc429409168"/>
      <w:bookmarkStart w:id="42" w:name="_Toc429412427"/>
      <w:bookmarkStart w:id="43" w:name="_Toc429417842"/>
      <w:bookmarkStart w:id="44" w:name="_Toc429419967"/>
      <w:bookmarkStart w:id="45" w:name="_Toc429469448"/>
      <w:r w:rsidRPr="00CA1467">
        <w:t xml:space="preserve">CHAPTER </w:t>
      </w:r>
      <w:r w:rsidR="00CA33EC" w:rsidRPr="00CA1467">
        <w:t>3</w:t>
      </w:r>
      <w:bookmarkEnd w:id="34"/>
      <w:bookmarkEnd w:id="35"/>
      <w:bookmarkEnd w:id="36"/>
      <w:bookmarkEnd w:id="37"/>
      <w:bookmarkEnd w:id="38"/>
      <w:bookmarkEnd w:id="39"/>
      <w:bookmarkEnd w:id="40"/>
      <w:bookmarkEnd w:id="41"/>
      <w:bookmarkEnd w:id="42"/>
      <w:bookmarkEnd w:id="43"/>
      <w:bookmarkEnd w:id="44"/>
      <w:bookmarkEnd w:id="45"/>
    </w:p>
    <w:p w:rsidR="00CA33EC" w:rsidRPr="00CA1467" w:rsidRDefault="00CA33EC" w:rsidP="00D10025">
      <w:pPr>
        <w:pStyle w:val="Chapterheading"/>
      </w:pPr>
    </w:p>
    <w:p w:rsidR="00CA33EC" w:rsidRPr="00CA1467" w:rsidRDefault="00F31C38" w:rsidP="00F31C38">
      <w:pPr>
        <w:pStyle w:val="Chapterheading"/>
      </w:pPr>
      <w:bookmarkStart w:id="46" w:name="_Toc429469449"/>
      <w:r w:rsidRPr="00CA1467">
        <w:rPr>
          <w:caps w:val="0"/>
        </w:rPr>
        <w:t>LTC entry criteria</w:t>
      </w:r>
      <w:bookmarkEnd w:id="46"/>
    </w:p>
    <w:p w:rsidR="00CA33EC" w:rsidRPr="00CA1467" w:rsidRDefault="00CA33EC" w:rsidP="008F12F0">
      <w:pPr>
        <w:pStyle w:val="Chapter3"/>
        <w:numPr>
          <w:ilvl w:val="0"/>
          <w:numId w:val="0"/>
        </w:numPr>
        <w:ind w:left="851" w:hanging="851"/>
      </w:pPr>
    </w:p>
    <w:p w:rsidR="00F31C38" w:rsidRPr="00CA1467" w:rsidRDefault="00F31C38" w:rsidP="00F31C38">
      <w:pPr>
        <w:pStyle w:val="Chapter3"/>
        <w:numPr>
          <w:ilvl w:val="0"/>
          <w:numId w:val="0"/>
        </w:numPr>
      </w:pPr>
    </w:p>
    <w:p w:rsidR="00F31C38" w:rsidRPr="00CA1467" w:rsidRDefault="00F31C38" w:rsidP="00F31C38">
      <w:pPr>
        <w:pStyle w:val="Heading1"/>
      </w:pPr>
      <w:bookmarkStart w:id="47" w:name="_Toc429469450"/>
      <w:r w:rsidRPr="00CA1467">
        <w:t>Introduction</w:t>
      </w:r>
      <w:bookmarkEnd w:id="47"/>
    </w:p>
    <w:p w:rsidR="00F31C38" w:rsidRPr="00CA1467" w:rsidRDefault="00F31C38" w:rsidP="00F31C38">
      <w:pPr>
        <w:pStyle w:val="Chapter3"/>
        <w:numPr>
          <w:ilvl w:val="0"/>
          <w:numId w:val="0"/>
        </w:numPr>
        <w:ind w:left="851"/>
      </w:pPr>
    </w:p>
    <w:p w:rsidR="00F31C38" w:rsidRPr="00CA1467" w:rsidRDefault="00F31C38" w:rsidP="00F31C38">
      <w:pPr>
        <w:pStyle w:val="Chapter3"/>
      </w:pPr>
      <w:r w:rsidRPr="00CA1467">
        <w:t xml:space="preserve">A set of entry criteria apply to limit the type of entity that can be a LTC and to limit the type and number of owners.  Given that flow-through treatment includes the flow-through of losses, the entry criteria also help to limit the opportunity for those losses to be </w:t>
      </w:r>
      <w:proofErr w:type="gramStart"/>
      <w:r w:rsidRPr="00CA1467">
        <w:t>traded</w:t>
      </w:r>
      <w:proofErr w:type="gramEnd"/>
      <w:r w:rsidRPr="00CA1467">
        <w:t xml:space="preserve"> or otherwise utilised by those not incurring the economic loss.</w:t>
      </w:r>
    </w:p>
    <w:p w:rsidR="00F31C38" w:rsidRPr="00CA1467" w:rsidRDefault="00F31C38" w:rsidP="00F31C38">
      <w:pPr>
        <w:pStyle w:val="Chapter3"/>
        <w:numPr>
          <w:ilvl w:val="0"/>
          <w:numId w:val="0"/>
        </w:numPr>
        <w:ind w:left="851"/>
      </w:pPr>
    </w:p>
    <w:p w:rsidR="00F31C38" w:rsidRPr="00CA1467" w:rsidRDefault="00F31C38" w:rsidP="00F31C38">
      <w:pPr>
        <w:pStyle w:val="Chapter3"/>
      </w:pPr>
      <w:r w:rsidRPr="00CA1467">
        <w:t>A key consideration of the review has been whether these entry criteria sufficiently match the intent of the LTC regime as designed for closely</w:t>
      </w:r>
      <w:r w:rsidR="00134BF6">
        <w:t xml:space="preserve"> </w:t>
      </w:r>
      <w:r w:rsidRPr="00CA1467">
        <w:t>controlled companies.</w:t>
      </w:r>
    </w:p>
    <w:p w:rsidR="00F31C38" w:rsidRPr="00CA1467" w:rsidRDefault="00F31C38" w:rsidP="00F31C38">
      <w:pPr>
        <w:pStyle w:val="Chapter3"/>
        <w:numPr>
          <w:ilvl w:val="0"/>
          <w:numId w:val="0"/>
        </w:numPr>
        <w:ind w:left="851"/>
      </w:pPr>
    </w:p>
    <w:p w:rsidR="00F31C38" w:rsidRPr="00CA1467" w:rsidRDefault="00F31C38" w:rsidP="00F31C38">
      <w:pPr>
        <w:pStyle w:val="Chapter3"/>
        <w:numPr>
          <w:ilvl w:val="0"/>
          <w:numId w:val="0"/>
        </w:numPr>
        <w:ind w:left="851"/>
      </w:pPr>
    </w:p>
    <w:p w:rsidR="00F31C38" w:rsidRPr="00CA1467" w:rsidRDefault="00F31C38" w:rsidP="00F31C38">
      <w:pPr>
        <w:pStyle w:val="Heading1"/>
      </w:pPr>
      <w:bookmarkStart w:id="48" w:name="_Toc429469451"/>
      <w:r w:rsidRPr="00CA1467">
        <w:t>Current entry criteria</w:t>
      </w:r>
      <w:bookmarkEnd w:id="48"/>
    </w:p>
    <w:p w:rsidR="00F31C38" w:rsidRPr="00CA1467" w:rsidRDefault="00F31C38" w:rsidP="00F31C38">
      <w:pPr>
        <w:pStyle w:val="Chapter3"/>
        <w:numPr>
          <w:ilvl w:val="0"/>
          <w:numId w:val="0"/>
        </w:numPr>
        <w:ind w:left="851"/>
      </w:pPr>
    </w:p>
    <w:p w:rsidR="00F31C38" w:rsidRPr="00CA1467" w:rsidRDefault="00F31C38" w:rsidP="00F31C38">
      <w:pPr>
        <w:pStyle w:val="Chapter3"/>
      </w:pPr>
      <w:r w:rsidRPr="00CA1467">
        <w:t>We have reviewed the entry criteria against the “target audience” for the LTC regime, namely, investments that could otherwise be made by an individual or small group of individuals, including through a family trust.  Other tax-transparent options are available for more widely held investments and, given their different target audience, we do not see the availability of such options as a reason for widening the eligibility criteria for LTCs.</w:t>
      </w:r>
    </w:p>
    <w:p w:rsidR="00F31C38" w:rsidRPr="00CA1467" w:rsidRDefault="00F31C38" w:rsidP="00F31C38">
      <w:pPr>
        <w:pStyle w:val="Chapter3"/>
        <w:numPr>
          <w:ilvl w:val="0"/>
          <w:numId w:val="0"/>
        </w:numPr>
        <w:ind w:left="851"/>
      </w:pPr>
    </w:p>
    <w:p w:rsidR="00F31C38" w:rsidRPr="00CA1467" w:rsidRDefault="00F31C38" w:rsidP="00F31C38">
      <w:pPr>
        <w:pStyle w:val="Chapter3"/>
      </w:pPr>
      <w:r w:rsidRPr="00CA1467">
        <w:t>For example, given that more widely held vehicles such as limited partnerships open up the</w:t>
      </w:r>
      <w:r w:rsidR="008300C6" w:rsidRPr="00CA1467">
        <w:t xml:space="preserve"> possibility for loss retailing</w:t>
      </w:r>
      <w:r w:rsidR="00530DCA" w:rsidRPr="00CA1467">
        <w:t>,</w:t>
      </w:r>
      <w:r w:rsidR="008300C6" w:rsidRPr="002A6B04">
        <w:rPr>
          <w:rStyle w:val="FootnoteReference"/>
          <w:sz w:val="22"/>
          <w:szCs w:val="22"/>
        </w:rPr>
        <w:footnoteReference w:id="15"/>
      </w:r>
      <w:r w:rsidRPr="00CA1467">
        <w:t xml:space="preserve"> it is appropriate that the tax legislation applies a deduction limitation rule in their case to limit the pass through of deductions to the amounts that owners have at risk.  In contrast, this issues paper is recommending (see the next chapter for more detail) that the pass-through of deductions </w:t>
      </w:r>
      <w:proofErr w:type="gramStart"/>
      <w:r w:rsidRPr="00CA1467">
        <w:t>be retained</w:t>
      </w:r>
      <w:proofErr w:type="gramEnd"/>
      <w:r w:rsidRPr="00CA1467">
        <w:t xml:space="preserve"> for LTCs and that a deduction limitation rule should not be applied to most LTCs.  In these circumstances, it is even more important that widely held investments cannot access LTC treatment.</w:t>
      </w:r>
    </w:p>
    <w:p w:rsidR="00F31C38" w:rsidRPr="00CA1467" w:rsidRDefault="00F31C38" w:rsidP="00F31C38">
      <w:pPr>
        <w:pStyle w:val="Chapter3"/>
        <w:numPr>
          <w:ilvl w:val="0"/>
          <w:numId w:val="0"/>
        </w:numPr>
        <w:ind w:left="851"/>
      </w:pPr>
    </w:p>
    <w:p w:rsidR="00F31C38" w:rsidRPr="00CA1467" w:rsidRDefault="00F31C38" w:rsidP="00F31C38">
      <w:pPr>
        <w:pStyle w:val="Chapter3"/>
      </w:pPr>
      <w:r w:rsidRPr="00CA1467">
        <w:t xml:space="preserve">Table 3 summarises the current entry criteria for LTCs and QCs.  The QC rules </w:t>
      </w:r>
      <w:proofErr w:type="gramStart"/>
      <w:r w:rsidRPr="00CA1467">
        <w:t>are used</w:t>
      </w:r>
      <w:proofErr w:type="gramEnd"/>
      <w:r w:rsidRPr="00CA1467">
        <w:t xml:space="preserve"> only as a point of comparison.  We are not proposing changing the current eligibility rules for QCs, which is consistent with the grandparenting of those entities.</w:t>
      </w:r>
    </w:p>
    <w:p w:rsidR="00F31C38" w:rsidRPr="00CA1467" w:rsidRDefault="00F31C38" w:rsidP="00F31C38">
      <w:pPr>
        <w:pStyle w:val="Chapter3"/>
        <w:numPr>
          <w:ilvl w:val="0"/>
          <w:numId w:val="0"/>
        </w:numPr>
        <w:ind w:left="851"/>
      </w:pPr>
    </w:p>
    <w:p w:rsidR="00CA33EC" w:rsidRPr="00CA1467" w:rsidRDefault="00F31C38" w:rsidP="00F31C38">
      <w:pPr>
        <w:pStyle w:val="Chapter3"/>
        <w:numPr>
          <w:ilvl w:val="0"/>
          <w:numId w:val="0"/>
        </w:numPr>
        <w:ind w:left="851" w:hanging="851"/>
      </w:pPr>
      <w:r w:rsidRPr="00CA1467">
        <w:t>3.6</w:t>
      </w:r>
      <w:r w:rsidRPr="00CA1467">
        <w:tab/>
        <w:t xml:space="preserve">In comparison, as noted in Table 1, the tax rules for a partnership contain no comparable entry criteria, and a limited partnership’s main entry restrictions are that it has to have at least one general partner and a limited partner.  General partners manage the </w:t>
      </w:r>
      <w:proofErr w:type="gramStart"/>
      <w:r w:rsidRPr="00CA1467">
        <w:t>business and are liable for the debts and obligations of the partnership, whereas limited partners are usually passive investors</w:t>
      </w:r>
      <w:proofErr w:type="gramEnd"/>
      <w:r w:rsidRPr="00CA1467">
        <w:t xml:space="preserve"> and are only liable to the extent of their capital contribution.  This distinction is akin to directors and shareholders in a company.</w:t>
      </w:r>
    </w:p>
    <w:p w:rsidR="00EB224E" w:rsidRPr="00CA1467" w:rsidRDefault="00EB224E" w:rsidP="00F52DEE">
      <w:pPr>
        <w:spacing w:after="200"/>
        <w:jc w:val="left"/>
        <w:rPr>
          <w:b/>
          <w:snapToGrid w:val="0"/>
          <w:lang w:val="en-NZ" w:eastAsia="en-US"/>
        </w:rPr>
      </w:pPr>
      <w:r w:rsidRPr="00CA1467">
        <w:rPr>
          <w:b/>
          <w:snapToGrid w:val="0"/>
          <w:lang w:val="en-NZ" w:eastAsia="en-US"/>
        </w:rPr>
        <w:t>Table 3: Entry criteria</w:t>
      </w:r>
    </w:p>
    <w:tbl>
      <w:tblPr>
        <w:tblStyle w:val="TableGrid"/>
        <w:tblW w:w="0" w:type="auto"/>
        <w:tblLook w:val="04A0" w:firstRow="1" w:lastRow="0" w:firstColumn="1" w:lastColumn="0" w:noHBand="0" w:noVBand="1"/>
      </w:tblPr>
      <w:tblGrid>
        <w:gridCol w:w="4264"/>
        <w:gridCol w:w="4264"/>
      </w:tblGrid>
      <w:tr w:rsidR="00EB224E" w:rsidRPr="00CA1467" w:rsidTr="00EB224E">
        <w:tc>
          <w:tcPr>
            <w:tcW w:w="4264" w:type="dxa"/>
          </w:tcPr>
          <w:p w:rsidR="00EB224E" w:rsidRPr="00CA1467" w:rsidRDefault="00EB224E" w:rsidP="008540C0">
            <w:pPr>
              <w:spacing w:before="120" w:after="120"/>
              <w:jc w:val="center"/>
              <w:rPr>
                <w:b/>
                <w:snapToGrid w:val="0"/>
                <w:sz w:val="20"/>
                <w:lang w:val="en-NZ" w:eastAsia="en-US"/>
              </w:rPr>
            </w:pPr>
            <w:r w:rsidRPr="00CA1467">
              <w:rPr>
                <w:b/>
                <w:snapToGrid w:val="0"/>
                <w:sz w:val="20"/>
                <w:lang w:val="en-NZ" w:eastAsia="en-US"/>
              </w:rPr>
              <w:t>LTC</w:t>
            </w:r>
          </w:p>
        </w:tc>
        <w:tc>
          <w:tcPr>
            <w:tcW w:w="4264" w:type="dxa"/>
          </w:tcPr>
          <w:p w:rsidR="00EB224E" w:rsidRPr="00CA1467" w:rsidRDefault="00EB224E" w:rsidP="008540C0">
            <w:pPr>
              <w:spacing w:before="120" w:after="120"/>
              <w:jc w:val="center"/>
              <w:rPr>
                <w:b/>
                <w:snapToGrid w:val="0"/>
                <w:sz w:val="20"/>
                <w:lang w:val="en-NZ" w:eastAsia="en-US"/>
              </w:rPr>
            </w:pPr>
            <w:r w:rsidRPr="00CA1467">
              <w:rPr>
                <w:b/>
                <w:snapToGrid w:val="0"/>
                <w:sz w:val="20"/>
                <w:lang w:val="en-NZ" w:eastAsia="en-US"/>
              </w:rPr>
              <w:t>QC</w:t>
            </w:r>
          </w:p>
        </w:tc>
      </w:tr>
      <w:tr w:rsidR="00EB224E" w:rsidRPr="00CA1467" w:rsidTr="00EB224E">
        <w:tc>
          <w:tcPr>
            <w:tcW w:w="4264" w:type="dxa"/>
          </w:tcPr>
          <w:p w:rsidR="00EB224E" w:rsidRPr="00CA1467" w:rsidRDefault="00EB224E" w:rsidP="00EB224E">
            <w:pPr>
              <w:spacing w:before="80" w:after="80"/>
              <w:jc w:val="left"/>
              <w:rPr>
                <w:snapToGrid w:val="0"/>
                <w:sz w:val="20"/>
                <w:lang w:val="en-NZ" w:eastAsia="en-US"/>
              </w:rPr>
            </w:pPr>
            <w:r w:rsidRPr="00CA1467">
              <w:rPr>
                <w:snapToGrid w:val="0"/>
                <w:sz w:val="20"/>
                <w:lang w:val="en-NZ" w:eastAsia="en-US"/>
              </w:rPr>
              <w:t>Company requirements/restrictions:</w:t>
            </w:r>
          </w:p>
          <w:p w:rsidR="00EB224E" w:rsidRPr="00CA1467" w:rsidRDefault="00EB224E" w:rsidP="00AE2908">
            <w:pPr>
              <w:pStyle w:val="Bullets-Table"/>
            </w:pPr>
            <w:r w:rsidRPr="00CA1467">
              <w:t>Has to be “company”</w:t>
            </w:r>
          </w:p>
          <w:p w:rsidR="00EB224E" w:rsidRPr="00CA1467" w:rsidRDefault="00EB224E" w:rsidP="00AE2908">
            <w:pPr>
              <w:pStyle w:val="Bullets-Table"/>
            </w:pPr>
            <w:r w:rsidRPr="00CA1467">
              <w:t>Cannot be flat-owning company</w:t>
            </w:r>
          </w:p>
          <w:p w:rsidR="00EB224E" w:rsidRPr="00CA1467" w:rsidRDefault="00EB224E" w:rsidP="00AE2908">
            <w:pPr>
              <w:pStyle w:val="Bullets-Table"/>
            </w:pPr>
            <w:r w:rsidRPr="00CA1467">
              <w:t xml:space="preserve">Is tax resident in NZ, including </w:t>
            </w:r>
            <w:r w:rsidR="007416AC">
              <w:t xml:space="preserve">under </w:t>
            </w:r>
            <w:r w:rsidRPr="00CA1467">
              <w:t>double tax agreements</w:t>
            </w:r>
          </w:p>
          <w:p w:rsidR="00EB224E" w:rsidRPr="00CA1467" w:rsidRDefault="00EB224E" w:rsidP="00AE2908">
            <w:pPr>
              <w:pStyle w:val="Bullets-Table"/>
            </w:pPr>
            <w:r w:rsidRPr="00CA1467">
              <w:t>One class of share</w:t>
            </w:r>
          </w:p>
          <w:p w:rsidR="00EB224E" w:rsidRPr="00CA1467" w:rsidRDefault="00EB224E" w:rsidP="00AE2908">
            <w:pPr>
              <w:pStyle w:val="Bullets-Table"/>
            </w:pPr>
            <w:r w:rsidRPr="00CA1467">
              <w:t>No restrictions on earning foreign income</w:t>
            </w:r>
          </w:p>
          <w:p w:rsidR="00EB224E" w:rsidRPr="00CA1467" w:rsidRDefault="00EB224E" w:rsidP="00EB224E">
            <w:pPr>
              <w:spacing w:before="80" w:after="80"/>
              <w:jc w:val="left"/>
              <w:rPr>
                <w:snapToGrid w:val="0"/>
                <w:sz w:val="20"/>
                <w:lang w:val="en-NZ" w:eastAsia="en-US"/>
              </w:rPr>
            </w:pPr>
          </w:p>
          <w:p w:rsidR="00EB224E" w:rsidRPr="00CA1467" w:rsidRDefault="00EB224E" w:rsidP="00EB224E">
            <w:pPr>
              <w:spacing w:before="80" w:after="80"/>
              <w:jc w:val="left"/>
              <w:rPr>
                <w:snapToGrid w:val="0"/>
                <w:sz w:val="20"/>
                <w:lang w:val="en-NZ" w:eastAsia="en-US"/>
              </w:rPr>
            </w:pPr>
            <w:r w:rsidRPr="00CA1467">
              <w:rPr>
                <w:snapToGrid w:val="0"/>
                <w:sz w:val="20"/>
                <w:lang w:val="en-NZ" w:eastAsia="en-US"/>
              </w:rPr>
              <w:t>Shareholder requirements:</w:t>
            </w:r>
          </w:p>
          <w:p w:rsidR="00EB224E" w:rsidRPr="00CA1467" w:rsidRDefault="00EB224E" w:rsidP="00AE2908">
            <w:pPr>
              <w:pStyle w:val="Bullets-Table"/>
            </w:pPr>
            <w:r w:rsidRPr="00CA1467">
              <w:t xml:space="preserve">Maximum of </w:t>
            </w:r>
            <w:r w:rsidR="00642796">
              <w:t>five</w:t>
            </w:r>
            <w:r w:rsidR="00642796" w:rsidRPr="00CA1467">
              <w:t xml:space="preserve"> </w:t>
            </w:r>
            <w:r w:rsidRPr="00CA1467">
              <w:t>look-through counted owners</w:t>
            </w:r>
          </w:p>
          <w:p w:rsidR="00EB224E" w:rsidRPr="00CA1467" w:rsidRDefault="00EB224E" w:rsidP="00AE2908">
            <w:pPr>
              <w:pStyle w:val="Bullets-Table"/>
            </w:pPr>
            <w:r w:rsidRPr="00CA1467">
              <w:t>Shareholders must be natural persons, trustees (natural persons or corporate) or another LTC</w:t>
            </w:r>
          </w:p>
          <w:p w:rsidR="00EB224E" w:rsidRPr="00CA1467" w:rsidRDefault="00EB224E" w:rsidP="00AE2908">
            <w:pPr>
              <w:pStyle w:val="Bullets-Table"/>
            </w:pPr>
            <w:r w:rsidRPr="00CA1467">
              <w:t>Can be non-resident</w:t>
            </w:r>
          </w:p>
          <w:p w:rsidR="00EB224E" w:rsidRPr="00CA1467" w:rsidRDefault="00EB224E" w:rsidP="00AE2908">
            <w:pPr>
              <w:pStyle w:val="Bullets-Table"/>
            </w:pPr>
            <w:r w:rsidRPr="00CA1467">
              <w:t xml:space="preserve">Natural persons linked to </w:t>
            </w:r>
            <w:r w:rsidR="00071F62">
              <w:t>two</w:t>
            </w:r>
            <w:r w:rsidR="00071F62" w:rsidRPr="00CA1467">
              <w:t xml:space="preserve"> </w:t>
            </w:r>
            <w:r w:rsidRPr="00CA1467">
              <w:t>degrees counted as one</w:t>
            </w:r>
          </w:p>
          <w:p w:rsidR="00EB224E" w:rsidRPr="00CA1467" w:rsidRDefault="00EB224E" w:rsidP="00AE2908">
            <w:pPr>
              <w:pStyle w:val="Bullets-Table"/>
            </w:pPr>
            <w:r w:rsidRPr="00CA1467">
              <w:t xml:space="preserve">Generally look behind trustees to beneficiaries (provided they have received distributions of beneficiary income in the last </w:t>
            </w:r>
            <w:r w:rsidR="00071F62">
              <w:t>three</w:t>
            </w:r>
            <w:r w:rsidR="00071F62" w:rsidRPr="00CA1467">
              <w:t xml:space="preserve"> </w:t>
            </w:r>
            <w:r w:rsidRPr="00CA1467">
              <w:t>income years – where all the income has not been distributed, the trustees are counted as owners)</w:t>
            </w:r>
          </w:p>
          <w:p w:rsidR="00EB224E" w:rsidRPr="00CA1467" w:rsidRDefault="00EB224E" w:rsidP="00AE2908">
            <w:pPr>
              <w:pStyle w:val="Bullets-Table"/>
            </w:pPr>
            <w:r w:rsidRPr="00CA1467">
              <w:t>Look behind LTC shareholders to the ultimate owners</w:t>
            </w:r>
          </w:p>
        </w:tc>
        <w:tc>
          <w:tcPr>
            <w:tcW w:w="4264" w:type="dxa"/>
          </w:tcPr>
          <w:p w:rsidR="00EB224E" w:rsidRPr="00CA1467" w:rsidRDefault="00EB224E" w:rsidP="00EB224E">
            <w:pPr>
              <w:spacing w:before="80" w:after="80"/>
              <w:jc w:val="left"/>
              <w:rPr>
                <w:snapToGrid w:val="0"/>
                <w:sz w:val="20"/>
                <w:lang w:val="en-NZ" w:eastAsia="en-US"/>
              </w:rPr>
            </w:pPr>
            <w:r w:rsidRPr="00CA1467">
              <w:rPr>
                <w:snapToGrid w:val="0"/>
                <w:sz w:val="20"/>
                <w:lang w:val="en-NZ" w:eastAsia="en-US"/>
              </w:rPr>
              <w:t>Company requirements/restrictions:</w:t>
            </w:r>
          </w:p>
          <w:p w:rsidR="00EB224E" w:rsidRPr="00CA1467" w:rsidRDefault="00EB224E" w:rsidP="00AE2908">
            <w:pPr>
              <w:pStyle w:val="Bullets-Table"/>
            </w:pPr>
            <w:r w:rsidRPr="00CA1467">
              <w:t>Has to be a “company”</w:t>
            </w:r>
          </w:p>
          <w:p w:rsidR="00EB224E" w:rsidRPr="00CA1467" w:rsidRDefault="00EB224E" w:rsidP="00AE2908">
            <w:pPr>
              <w:pStyle w:val="Bullets-Table"/>
            </w:pPr>
            <w:r w:rsidRPr="00CA1467">
              <w:t xml:space="preserve">Is tax resident in NZ, including </w:t>
            </w:r>
            <w:r w:rsidR="007416AC">
              <w:t xml:space="preserve">under </w:t>
            </w:r>
            <w:r w:rsidRPr="00CA1467">
              <w:t>double tax agreements</w:t>
            </w:r>
          </w:p>
          <w:p w:rsidR="00EB224E" w:rsidRPr="00CA1467" w:rsidRDefault="00EB224E" w:rsidP="00AE2908">
            <w:pPr>
              <w:pStyle w:val="Bullets-Table"/>
            </w:pPr>
            <w:r w:rsidRPr="00CA1467">
              <w:t>Cannot earn more than $10,000 p.a. of non-dividend foreign income</w:t>
            </w:r>
          </w:p>
          <w:p w:rsidR="00EB224E" w:rsidRPr="00CA1467" w:rsidRDefault="00EB224E" w:rsidP="00AE2908">
            <w:pPr>
              <w:pStyle w:val="Bullets-Table"/>
            </w:pPr>
            <w:r w:rsidRPr="00CA1467">
              <w:t>Cannot be part of an arrangement, the purpose of which is to defeat intent and application of rules (section GB 6)</w:t>
            </w:r>
          </w:p>
          <w:p w:rsidR="00EB224E" w:rsidRPr="00CA1467" w:rsidRDefault="00EB224E" w:rsidP="00EB224E">
            <w:pPr>
              <w:spacing w:before="80" w:after="80"/>
              <w:jc w:val="left"/>
              <w:rPr>
                <w:snapToGrid w:val="0"/>
                <w:sz w:val="20"/>
                <w:lang w:val="en-NZ" w:eastAsia="en-US"/>
              </w:rPr>
            </w:pPr>
          </w:p>
          <w:p w:rsidR="00EB224E" w:rsidRPr="00CA1467" w:rsidRDefault="00EB224E" w:rsidP="00EB224E">
            <w:pPr>
              <w:spacing w:before="80" w:after="80"/>
              <w:jc w:val="left"/>
              <w:rPr>
                <w:snapToGrid w:val="0"/>
                <w:sz w:val="20"/>
                <w:lang w:val="en-NZ" w:eastAsia="en-US"/>
              </w:rPr>
            </w:pPr>
            <w:r w:rsidRPr="00CA1467">
              <w:rPr>
                <w:snapToGrid w:val="0"/>
                <w:sz w:val="20"/>
                <w:lang w:val="en-NZ" w:eastAsia="en-US"/>
              </w:rPr>
              <w:t>Shareholder requirements:</w:t>
            </w:r>
          </w:p>
          <w:p w:rsidR="00EB224E" w:rsidRPr="00CA1467" w:rsidRDefault="00EB224E" w:rsidP="00AE2908">
            <w:pPr>
              <w:pStyle w:val="Bullets-Table"/>
            </w:pPr>
            <w:r w:rsidRPr="00CA1467">
              <w:t xml:space="preserve">Maximum of </w:t>
            </w:r>
            <w:r w:rsidR="00642796">
              <w:t>five</w:t>
            </w:r>
            <w:r w:rsidR="00642796" w:rsidRPr="00CA1467">
              <w:t xml:space="preserve"> </w:t>
            </w:r>
            <w:r w:rsidRPr="00CA1467">
              <w:t>look-through shareholders</w:t>
            </w:r>
          </w:p>
          <w:p w:rsidR="00EB224E" w:rsidRPr="00CA1467" w:rsidRDefault="00EB224E" w:rsidP="00AE2908">
            <w:pPr>
              <w:pStyle w:val="Bullets-Table"/>
            </w:pPr>
            <w:r w:rsidRPr="00CA1467">
              <w:t>Shareholders must be natural persons, trustees (natural persons or corporate) or another QC</w:t>
            </w:r>
          </w:p>
          <w:p w:rsidR="00EB224E" w:rsidRPr="00CA1467" w:rsidRDefault="00EB224E" w:rsidP="00AE2908">
            <w:pPr>
              <w:pStyle w:val="Bullets-Table"/>
            </w:pPr>
            <w:r w:rsidRPr="00CA1467">
              <w:t>Can be non-resident</w:t>
            </w:r>
          </w:p>
          <w:p w:rsidR="00EB224E" w:rsidRPr="00CA1467" w:rsidRDefault="00EB224E" w:rsidP="00AE2908">
            <w:pPr>
              <w:pStyle w:val="Bullets-Table"/>
            </w:pPr>
            <w:r w:rsidRPr="00CA1467">
              <w:t xml:space="preserve">Natural persons linked to </w:t>
            </w:r>
            <w:r w:rsidR="00642796">
              <w:t>one</w:t>
            </w:r>
            <w:r w:rsidR="00642796" w:rsidRPr="00CA1467">
              <w:t xml:space="preserve"> </w:t>
            </w:r>
            <w:r w:rsidRPr="00CA1467">
              <w:t>degree counted as one</w:t>
            </w:r>
          </w:p>
          <w:p w:rsidR="00EB224E" w:rsidRPr="00CA1467" w:rsidRDefault="00EB224E" w:rsidP="00AE2908">
            <w:pPr>
              <w:pStyle w:val="Bullets-Table"/>
            </w:pPr>
            <w:r w:rsidRPr="00CA1467">
              <w:t>Look behind trustees to beneficiaries (counting all beneficiaries who have received dividends from the QC through the trust as beneficiary income since the 1991</w:t>
            </w:r>
            <w:r w:rsidR="00071F62">
              <w:t>–</w:t>
            </w:r>
            <w:r w:rsidRPr="00CA1467">
              <w:t>92 income year)</w:t>
            </w:r>
          </w:p>
          <w:p w:rsidR="00EB224E" w:rsidRPr="00CA1467" w:rsidRDefault="00EB224E" w:rsidP="00AE2908">
            <w:pPr>
              <w:pStyle w:val="Bullets-Table"/>
            </w:pPr>
            <w:r w:rsidRPr="00CA1467">
              <w:t>Look behi</w:t>
            </w:r>
            <w:r w:rsidR="00AE2908" w:rsidRPr="00CA1467">
              <w:t>nd QCs to their ultimate owners</w:t>
            </w:r>
          </w:p>
        </w:tc>
      </w:tr>
    </w:tbl>
    <w:p w:rsidR="00EB224E" w:rsidRPr="00CA1467" w:rsidRDefault="00EB224E" w:rsidP="00C11945">
      <w:pPr>
        <w:pStyle w:val="Chapter3"/>
        <w:numPr>
          <w:ilvl w:val="0"/>
          <w:numId w:val="0"/>
        </w:numPr>
        <w:ind w:left="851"/>
      </w:pPr>
    </w:p>
    <w:p w:rsidR="00F31C38" w:rsidRPr="00CA1467" w:rsidRDefault="00F31C38" w:rsidP="00F31C38">
      <w:pPr>
        <w:pStyle w:val="Chapter3"/>
        <w:numPr>
          <w:ilvl w:val="0"/>
          <w:numId w:val="0"/>
        </w:numPr>
        <w:ind w:left="851"/>
      </w:pPr>
    </w:p>
    <w:p w:rsidR="00F31C38" w:rsidRPr="00CA1467" w:rsidRDefault="00134BF6" w:rsidP="00750878">
      <w:pPr>
        <w:pStyle w:val="Heading1"/>
      </w:pPr>
      <w:bookmarkStart w:id="49" w:name="_Toc429469452"/>
      <w:r>
        <w:t>Review of c</w:t>
      </w:r>
      <w:r w:rsidR="00F31C38" w:rsidRPr="00CA1467">
        <w:t>ompany requirements</w:t>
      </w:r>
      <w:bookmarkEnd w:id="49"/>
    </w:p>
    <w:p w:rsidR="00F31C38" w:rsidRPr="00CA1467" w:rsidRDefault="00F31C38" w:rsidP="00F31C38">
      <w:pPr>
        <w:pStyle w:val="Chapter3"/>
        <w:numPr>
          <w:ilvl w:val="0"/>
          <w:numId w:val="0"/>
        </w:numPr>
        <w:ind w:left="851"/>
      </w:pPr>
    </w:p>
    <w:p w:rsidR="00F31C38" w:rsidRPr="00CA1467" w:rsidRDefault="00F31C38" w:rsidP="00750878">
      <w:pPr>
        <w:pStyle w:val="Heading2"/>
      </w:pPr>
      <w:r w:rsidRPr="00CA1467">
        <w:t>“Company” and tax resident status requirements</w:t>
      </w:r>
    </w:p>
    <w:p w:rsidR="00F31C38" w:rsidRPr="00CA1467" w:rsidRDefault="00F31C38" w:rsidP="00F31C38">
      <w:pPr>
        <w:pStyle w:val="Chapter3"/>
        <w:numPr>
          <w:ilvl w:val="0"/>
          <w:numId w:val="0"/>
        </w:numPr>
        <w:ind w:left="851"/>
      </w:pPr>
    </w:p>
    <w:p w:rsidR="00F31C38" w:rsidRPr="00CA1467" w:rsidRDefault="00F31C38" w:rsidP="00F31C38">
      <w:pPr>
        <w:pStyle w:val="Chapter3"/>
        <w:numPr>
          <w:ilvl w:val="0"/>
          <w:numId w:val="26"/>
        </w:numPr>
      </w:pPr>
      <w:r w:rsidRPr="00CA1467">
        <w:t xml:space="preserve">The LTC rules </w:t>
      </w:r>
      <w:proofErr w:type="gramStart"/>
      <w:r w:rsidRPr="00CA1467">
        <w:t>are designed</w:t>
      </w:r>
      <w:proofErr w:type="gramEnd"/>
      <w:r w:rsidRPr="00CA1467">
        <w:t xml:space="preserve"> to allow flow-through tax treatment to businesses that have a genuine reason for choosing limited liability corporate structures as an alternative to undertaking their activities as sole traders or as small partnerships.  The requirement that the business be a “company” is, therefore, an integral part of the rules.</w:t>
      </w:r>
    </w:p>
    <w:p w:rsidR="00F31C38" w:rsidRPr="00CA1467" w:rsidRDefault="00F31C38" w:rsidP="00F31C38">
      <w:pPr>
        <w:pStyle w:val="Chapter3"/>
        <w:numPr>
          <w:ilvl w:val="0"/>
          <w:numId w:val="0"/>
        </w:numPr>
        <w:ind w:left="851"/>
      </w:pPr>
    </w:p>
    <w:p w:rsidR="00F31C38" w:rsidRPr="00CA1467" w:rsidRDefault="00F31C38" w:rsidP="00F31C38">
      <w:pPr>
        <w:pStyle w:val="Chapter3"/>
      </w:pPr>
      <w:r w:rsidRPr="00CA1467">
        <w:t xml:space="preserve">Likewise, given that effective look-through treatment </w:t>
      </w:r>
      <w:proofErr w:type="gramStart"/>
      <w:r w:rsidRPr="00CA1467">
        <w:t>is targeted</w:t>
      </w:r>
      <w:proofErr w:type="gramEnd"/>
      <w:r w:rsidRPr="00CA1467">
        <w:t xml:space="preserve"> at closely</w:t>
      </w:r>
      <w:r w:rsidR="00134BF6">
        <w:t xml:space="preserve"> </w:t>
      </w:r>
      <w:r w:rsidRPr="00CA1467">
        <w:t>controlled New Zealand businesses, the requirement that the company be New Zealand tax resident is also appropriate.</w:t>
      </w:r>
    </w:p>
    <w:p w:rsidR="00F31C38" w:rsidRPr="00CA1467" w:rsidRDefault="00F31C38" w:rsidP="00F31C38">
      <w:pPr>
        <w:pStyle w:val="Chapter3"/>
        <w:numPr>
          <w:ilvl w:val="0"/>
          <w:numId w:val="0"/>
        </w:numPr>
        <w:ind w:left="851"/>
      </w:pPr>
    </w:p>
    <w:p w:rsidR="00F31C38" w:rsidRPr="00CA1467" w:rsidRDefault="00F31C38" w:rsidP="00750878">
      <w:pPr>
        <w:pStyle w:val="Heading2"/>
      </w:pPr>
      <w:r w:rsidRPr="00CA1467">
        <w:t>One class of share</w:t>
      </w:r>
    </w:p>
    <w:p w:rsidR="00F31C38" w:rsidRPr="00CA1467" w:rsidRDefault="00F31C38" w:rsidP="00F31C38">
      <w:pPr>
        <w:pStyle w:val="Chapter3"/>
        <w:numPr>
          <w:ilvl w:val="0"/>
          <w:numId w:val="0"/>
        </w:numPr>
        <w:ind w:left="851"/>
      </w:pPr>
    </w:p>
    <w:p w:rsidR="00F31C38" w:rsidRPr="00CA1467" w:rsidRDefault="00F31C38" w:rsidP="00F31C38">
      <w:pPr>
        <w:pStyle w:val="Chapter3"/>
      </w:pPr>
      <w:r w:rsidRPr="00CA1467">
        <w:t xml:space="preserve">Currently a LTC can only have one class of share.  This restriction is an important part of look-through treatment as it makes for ease of calculating relative shareholdings, which provides the basis for allocating a LTC’s income and losses.  Shareholding is likely to represent a person’s contribution to a family business or a conscious decision on the part of those with interests in a company to divide the profits of a business in particular proportions.  Investors in a LTC can achieve different risk profiles </w:t>
      </w:r>
      <w:proofErr w:type="gramStart"/>
      <w:r w:rsidRPr="00CA1467">
        <w:t>through the use of</w:t>
      </w:r>
      <w:proofErr w:type="gramEnd"/>
      <w:r w:rsidRPr="00CA1467">
        <w:t xml:space="preserve"> debt and equity, as appropriate.</w:t>
      </w:r>
    </w:p>
    <w:p w:rsidR="00F31C38" w:rsidRPr="00CA1467" w:rsidRDefault="00F31C38" w:rsidP="00F31C38">
      <w:pPr>
        <w:pStyle w:val="Chapter3"/>
        <w:numPr>
          <w:ilvl w:val="0"/>
          <w:numId w:val="0"/>
        </w:numPr>
        <w:ind w:left="851"/>
      </w:pPr>
    </w:p>
    <w:p w:rsidR="00F31C38" w:rsidRPr="00CA1467" w:rsidRDefault="00F31C38" w:rsidP="00F31C38">
      <w:pPr>
        <w:pStyle w:val="Chapter3"/>
      </w:pPr>
      <w:r w:rsidRPr="00CA1467">
        <w:t xml:space="preserve">We acknowledge </w:t>
      </w:r>
      <w:proofErr w:type="gramStart"/>
      <w:r w:rsidRPr="00CA1467">
        <w:t>that there</w:t>
      </w:r>
      <w:proofErr w:type="gramEnd"/>
      <w:r w:rsidRPr="00CA1467">
        <w:t xml:space="preserve"> can be legitimate commercial/generational planning reasons for shares to carry different voting rights and that the current restriction may inhibit some companies from becoming LTCs.  A parent, for example, because of their industry expertise, may want to retain control of the decision-making process when children </w:t>
      </w:r>
      <w:proofErr w:type="gramStart"/>
      <w:r w:rsidRPr="00CA1467">
        <w:t>are introduced</w:t>
      </w:r>
      <w:proofErr w:type="gramEnd"/>
      <w:r w:rsidRPr="00CA1467">
        <w:t xml:space="preserve"> into the business.</w:t>
      </w:r>
    </w:p>
    <w:p w:rsidR="00F31C38" w:rsidRPr="00CA1467" w:rsidRDefault="00F31C38" w:rsidP="00F31C38">
      <w:pPr>
        <w:pStyle w:val="Chapter3"/>
        <w:numPr>
          <w:ilvl w:val="0"/>
          <w:numId w:val="0"/>
        </w:numPr>
        <w:ind w:left="851"/>
      </w:pPr>
    </w:p>
    <w:p w:rsidR="00F31C38" w:rsidRPr="00CA1467" w:rsidRDefault="00F31C38" w:rsidP="00F31C38">
      <w:pPr>
        <w:pStyle w:val="Chapter3"/>
      </w:pPr>
      <w:r w:rsidRPr="00CA1467">
        <w:t>In these circumstances, we consider that the “one class of share” requirement may be unnecessarily rigid.  However, we remain concerned about types of shares that could produce income or deduction streaming opportunities.</w:t>
      </w:r>
    </w:p>
    <w:p w:rsidR="00F31C38" w:rsidRPr="00CA1467" w:rsidRDefault="00F31C38" w:rsidP="00F31C38">
      <w:pPr>
        <w:pStyle w:val="Chapter3"/>
        <w:numPr>
          <w:ilvl w:val="0"/>
          <w:numId w:val="0"/>
        </w:numPr>
        <w:ind w:left="851"/>
      </w:pPr>
    </w:p>
    <w:p w:rsidR="00F31C38" w:rsidRPr="00CA1467" w:rsidRDefault="00F31C38" w:rsidP="00F31C38">
      <w:pPr>
        <w:pStyle w:val="Chapter3"/>
      </w:pPr>
      <w:r w:rsidRPr="00CA1467">
        <w:t xml:space="preserve">As a result, we are recommending that different classes of shares carrying different voting rights </w:t>
      </w:r>
      <w:proofErr w:type="gramStart"/>
      <w:r w:rsidRPr="00CA1467">
        <w:t>be allowed</w:t>
      </w:r>
      <w:proofErr w:type="gramEnd"/>
      <w:r w:rsidRPr="00CA1467">
        <w:t>, provided all other rights are the same.  In particular, the shares must carry the same rights to income and losses, including on liquidation.</w:t>
      </w:r>
    </w:p>
    <w:p w:rsidR="00F31C38" w:rsidRPr="00CA1467" w:rsidRDefault="00F31C38" w:rsidP="00F31C38">
      <w:pPr>
        <w:pStyle w:val="Chapter3"/>
        <w:numPr>
          <w:ilvl w:val="0"/>
          <w:numId w:val="0"/>
        </w:numPr>
        <w:ind w:left="851"/>
      </w:pPr>
    </w:p>
    <w:p w:rsidR="00F31C38" w:rsidRPr="00CA1467" w:rsidRDefault="00F31C38" w:rsidP="00750878">
      <w:pPr>
        <w:pStyle w:val="Heading2"/>
      </w:pPr>
      <w:r w:rsidRPr="00CA1467">
        <w:t>Foreign income and non-resident ownership</w:t>
      </w:r>
    </w:p>
    <w:p w:rsidR="00F31C38" w:rsidRPr="00CA1467" w:rsidRDefault="00F31C38" w:rsidP="00F31C38">
      <w:pPr>
        <w:pStyle w:val="Chapter3"/>
        <w:numPr>
          <w:ilvl w:val="0"/>
          <w:numId w:val="0"/>
        </w:numPr>
        <w:ind w:left="851"/>
      </w:pPr>
    </w:p>
    <w:p w:rsidR="00F31C38" w:rsidRPr="00CA1467" w:rsidRDefault="00F31C38" w:rsidP="00F31C38">
      <w:pPr>
        <w:pStyle w:val="Chapter3"/>
      </w:pPr>
      <w:r w:rsidRPr="00CA1467">
        <w:t xml:space="preserve">These aspects </w:t>
      </w:r>
      <w:proofErr w:type="gramStart"/>
      <w:r w:rsidRPr="00CA1467">
        <w:t>are discussed</w:t>
      </w:r>
      <w:proofErr w:type="gramEnd"/>
      <w:r w:rsidRPr="00CA1467">
        <w:t xml:space="preserve"> separately in </w:t>
      </w:r>
      <w:r w:rsidR="00A93861">
        <w:t>C</w:t>
      </w:r>
      <w:r w:rsidRPr="00CA1467">
        <w:t>hapter 4.</w:t>
      </w:r>
    </w:p>
    <w:p w:rsidR="00F31C38" w:rsidRDefault="00F31C38" w:rsidP="00F31C38">
      <w:pPr>
        <w:pStyle w:val="Chapter3"/>
        <w:numPr>
          <w:ilvl w:val="0"/>
          <w:numId w:val="0"/>
        </w:numPr>
        <w:ind w:left="851"/>
      </w:pPr>
    </w:p>
    <w:p w:rsidR="00642796" w:rsidRPr="00CA1467" w:rsidRDefault="00642796" w:rsidP="00F31C38">
      <w:pPr>
        <w:pStyle w:val="Chapter3"/>
        <w:numPr>
          <w:ilvl w:val="0"/>
          <w:numId w:val="0"/>
        </w:numPr>
        <w:ind w:left="851"/>
      </w:pPr>
    </w:p>
    <w:p w:rsidR="00F31C38" w:rsidRPr="00CA1467" w:rsidRDefault="00F31C38" w:rsidP="00750878">
      <w:pPr>
        <w:pStyle w:val="Heading1"/>
      </w:pPr>
      <w:bookmarkStart w:id="50" w:name="_Toc429469453"/>
      <w:r w:rsidRPr="00CA1467">
        <w:t xml:space="preserve">Review of shareholder </w:t>
      </w:r>
      <w:r w:rsidR="00642796">
        <w:t>requirements</w:t>
      </w:r>
      <w:bookmarkEnd w:id="50"/>
    </w:p>
    <w:p w:rsidR="00F31C38" w:rsidRPr="00CA1467" w:rsidRDefault="00F31C38" w:rsidP="00F31C38">
      <w:pPr>
        <w:pStyle w:val="Chapter3"/>
        <w:numPr>
          <w:ilvl w:val="0"/>
          <w:numId w:val="0"/>
        </w:numPr>
        <w:ind w:left="851"/>
      </w:pPr>
    </w:p>
    <w:p w:rsidR="00F31C38" w:rsidRPr="00CA1467" w:rsidRDefault="00F31C38" w:rsidP="00750878">
      <w:pPr>
        <w:pStyle w:val="Heading2"/>
      </w:pPr>
      <w:r w:rsidRPr="00CA1467">
        <w:t>Maximum of five look-through counted owners</w:t>
      </w:r>
    </w:p>
    <w:p w:rsidR="00F31C38" w:rsidRPr="00CA1467" w:rsidRDefault="00F31C38" w:rsidP="0052729E">
      <w:pPr>
        <w:pStyle w:val="Chapter3"/>
        <w:numPr>
          <w:ilvl w:val="0"/>
          <w:numId w:val="0"/>
        </w:numPr>
        <w:ind w:left="851"/>
      </w:pPr>
    </w:p>
    <w:p w:rsidR="00F31C38" w:rsidRPr="00CA1467" w:rsidRDefault="00F31C38" w:rsidP="00F31C38">
      <w:pPr>
        <w:pStyle w:val="Chapter3"/>
      </w:pPr>
      <w:r w:rsidRPr="00CA1467">
        <w:t>The purpose of the requirement that a LTC must have five or fewer “look-through counted owners” is to ensure that the company should be “closely</w:t>
      </w:r>
      <w:r w:rsidR="00134BF6">
        <w:t xml:space="preserve"> </w:t>
      </w:r>
      <w:r w:rsidRPr="00CA1467">
        <w:t>controlled” by individuals.  This is consistent with the idea that LTCs are a substitute for direct investment.  Under the current rules:</w:t>
      </w:r>
    </w:p>
    <w:p w:rsidR="00F31C38" w:rsidRPr="00CA1467" w:rsidRDefault="00F31C38" w:rsidP="0052729E">
      <w:pPr>
        <w:pStyle w:val="Chapter3"/>
        <w:numPr>
          <w:ilvl w:val="0"/>
          <w:numId w:val="0"/>
        </w:numPr>
        <w:ind w:left="851"/>
      </w:pPr>
    </w:p>
    <w:p w:rsidR="00F31C38" w:rsidRPr="00CA1467" w:rsidRDefault="00F31C38" w:rsidP="008D5554">
      <w:pPr>
        <w:pStyle w:val="Bullets"/>
      </w:pPr>
      <w:r w:rsidRPr="00CA1467">
        <w:t>owners that are “relatives” are counted together;</w:t>
      </w:r>
    </w:p>
    <w:p w:rsidR="00F31C38" w:rsidRPr="00CA1467" w:rsidRDefault="00F31C38" w:rsidP="008D5554">
      <w:pPr>
        <w:pStyle w:val="Bullets"/>
      </w:pPr>
      <w:r w:rsidRPr="00CA1467">
        <w:t>LTCs that own shares in other LTCs are effectively ignored, with the owners of the parent LTC being instead counted for the purposes of the five-person test;</w:t>
      </w:r>
    </w:p>
    <w:p w:rsidR="00F31C38" w:rsidRPr="00CA1467" w:rsidRDefault="00642796" w:rsidP="008D5554">
      <w:pPr>
        <w:pStyle w:val="Bullets"/>
      </w:pPr>
      <w:proofErr w:type="gramStart"/>
      <w:r>
        <w:t>o</w:t>
      </w:r>
      <w:r w:rsidRPr="00CA1467">
        <w:t>rdinary</w:t>
      </w:r>
      <w:proofErr w:type="gramEnd"/>
      <w:r w:rsidRPr="00CA1467">
        <w:t xml:space="preserve"> </w:t>
      </w:r>
      <w:r w:rsidR="00F31C38" w:rsidRPr="00CA1467">
        <w:t>companies cannot directly hold shares in a LTC, but can indirectly have an interest in a LTC through receiving beneficiary income from a trust that owns shares in a LTC (a shareholding trust).  In the latter case, the ordinary company’s shareholders (and those that hold market value interests) are counted as look-through owners when they have received beneficiary income in either the current year or one of the last three years;</w:t>
      </w:r>
    </w:p>
    <w:p w:rsidR="00F31C38" w:rsidRPr="00CA1467" w:rsidRDefault="00F31C38" w:rsidP="008D5554">
      <w:pPr>
        <w:pStyle w:val="Bullets"/>
      </w:pPr>
      <w:r w:rsidRPr="00CA1467">
        <w:t>similarly, natural person beneficiaries of a shareholding trust are only counted if they have received beneficiary income in the current year or one of the last three years; and</w:t>
      </w:r>
    </w:p>
    <w:p w:rsidR="00F31C38" w:rsidRPr="00CA1467" w:rsidRDefault="00F31C38" w:rsidP="00C11945">
      <w:pPr>
        <w:pStyle w:val="Bullets"/>
        <w:spacing w:after="0"/>
      </w:pPr>
      <w:proofErr w:type="gramStart"/>
      <w:r w:rsidRPr="00CA1467">
        <w:t>a</w:t>
      </w:r>
      <w:proofErr w:type="gramEnd"/>
      <w:r w:rsidRPr="00CA1467">
        <w:t xml:space="preserve"> trustee of a shareholding trust is treated as a counted owner if it has not distributed, as beneficiary income, all income attributed from the LTC interest in the current and last three years.</w:t>
      </w:r>
    </w:p>
    <w:p w:rsidR="00F31C38" w:rsidRDefault="00F31C38" w:rsidP="00F31C38">
      <w:pPr>
        <w:pStyle w:val="Chapter3"/>
        <w:numPr>
          <w:ilvl w:val="0"/>
          <w:numId w:val="0"/>
        </w:numPr>
        <w:ind w:left="851"/>
      </w:pPr>
    </w:p>
    <w:p w:rsidR="00C11945" w:rsidRPr="00CA1467" w:rsidRDefault="00C11945" w:rsidP="00F31C38">
      <w:pPr>
        <w:pStyle w:val="Chapter3"/>
        <w:numPr>
          <w:ilvl w:val="0"/>
          <w:numId w:val="0"/>
        </w:numPr>
        <w:ind w:left="851"/>
      </w:pPr>
    </w:p>
    <w:p w:rsidR="007416AC" w:rsidRDefault="007416AC">
      <w:pPr>
        <w:jc w:val="left"/>
        <w:rPr>
          <w:b/>
          <w:i/>
          <w:szCs w:val="24"/>
          <w:lang w:val="en-NZ"/>
        </w:rPr>
      </w:pPr>
      <w:r>
        <w:br w:type="page"/>
      </w:r>
    </w:p>
    <w:p w:rsidR="00F31C38" w:rsidRPr="00CA1467" w:rsidRDefault="00F31C38" w:rsidP="00750878">
      <w:pPr>
        <w:pStyle w:val="Heading2"/>
      </w:pPr>
      <w:r w:rsidRPr="00CA1467">
        <w:t>Relatives</w:t>
      </w:r>
    </w:p>
    <w:p w:rsidR="00F31C38" w:rsidRPr="00CA1467" w:rsidRDefault="00F31C38" w:rsidP="00F31C38">
      <w:pPr>
        <w:pStyle w:val="Chapter3"/>
        <w:numPr>
          <w:ilvl w:val="0"/>
          <w:numId w:val="0"/>
        </w:numPr>
        <w:ind w:left="851"/>
      </w:pPr>
    </w:p>
    <w:p w:rsidR="00F31C38" w:rsidRPr="00CA1467" w:rsidRDefault="00F31C38" w:rsidP="00F31C38">
      <w:pPr>
        <w:pStyle w:val="Chapter3"/>
      </w:pPr>
      <w:r w:rsidRPr="00CA1467">
        <w:t>To be a “relative”, a person must meet the general “associated persons” test in the tax legislation.  Generally speaking, two people are related if they are:</w:t>
      </w:r>
    </w:p>
    <w:p w:rsidR="00F31C38" w:rsidRPr="00CA1467" w:rsidRDefault="00F31C38" w:rsidP="00F31C38">
      <w:pPr>
        <w:pStyle w:val="Chapter3"/>
        <w:numPr>
          <w:ilvl w:val="0"/>
          <w:numId w:val="0"/>
        </w:numPr>
        <w:ind w:left="851"/>
      </w:pPr>
    </w:p>
    <w:p w:rsidR="00F31C38" w:rsidRPr="00CA1467" w:rsidRDefault="00F31C38" w:rsidP="008D5554">
      <w:pPr>
        <w:pStyle w:val="Bullets"/>
      </w:pPr>
      <w:r w:rsidRPr="00CA1467">
        <w:t>within the second degree of blood relationship with each other;</w:t>
      </w:r>
    </w:p>
    <w:p w:rsidR="00F31C38" w:rsidRPr="00CA1467" w:rsidRDefault="00F31C38" w:rsidP="008D5554">
      <w:pPr>
        <w:pStyle w:val="Bullets"/>
      </w:pPr>
      <w:r w:rsidRPr="00CA1467">
        <w:t>in a marriage, civil union or de facto relationship with each other;</w:t>
      </w:r>
    </w:p>
    <w:p w:rsidR="00F31C38" w:rsidRPr="00CA1467" w:rsidRDefault="00F31C38" w:rsidP="008D5554">
      <w:pPr>
        <w:pStyle w:val="Bullets"/>
      </w:pPr>
      <w:r w:rsidRPr="00CA1467">
        <w:t>in a marriage, civil union or de facto relationship with a person within the second degree of blood relationship;</w:t>
      </w:r>
    </w:p>
    <w:p w:rsidR="00F31C38" w:rsidRPr="00CA1467" w:rsidRDefault="00F31C38" w:rsidP="008D5554">
      <w:pPr>
        <w:pStyle w:val="Bullets"/>
      </w:pPr>
      <w:r w:rsidRPr="00CA1467">
        <w:t>an adopted child of a person and persons within the first degree of relationship of that person;</w:t>
      </w:r>
    </w:p>
    <w:p w:rsidR="00F31C38" w:rsidRPr="00CA1467" w:rsidRDefault="00F31C38" w:rsidP="00C11945">
      <w:pPr>
        <w:pStyle w:val="Bullets"/>
        <w:spacing w:after="0"/>
      </w:pPr>
      <w:proofErr w:type="gramStart"/>
      <w:r w:rsidRPr="00CA1467">
        <w:t>a</w:t>
      </w:r>
      <w:proofErr w:type="gramEnd"/>
      <w:r w:rsidRPr="00CA1467">
        <w:t xml:space="preserve"> trustee of a trust under which a relative has benefitted or is eligible to benefit.</w:t>
      </w:r>
    </w:p>
    <w:p w:rsidR="00F31C38" w:rsidRPr="00CA1467" w:rsidRDefault="00F31C38" w:rsidP="00F31C38">
      <w:pPr>
        <w:pStyle w:val="Chapter3"/>
        <w:numPr>
          <w:ilvl w:val="0"/>
          <w:numId w:val="0"/>
        </w:numPr>
        <w:ind w:left="851"/>
      </w:pPr>
    </w:p>
    <w:p w:rsidR="00F31C38" w:rsidRPr="00CA1467" w:rsidRDefault="00F31C38" w:rsidP="00F31C38">
      <w:pPr>
        <w:pStyle w:val="Chapter3"/>
      </w:pPr>
      <w:r w:rsidRPr="00CA1467">
        <w:t xml:space="preserve">The LTC rules also provide that dissolution of </w:t>
      </w:r>
      <w:proofErr w:type="gramStart"/>
      <w:r w:rsidRPr="00CA1467">
        <w:t>marriage,</w:t>
      </w:r>
      <w:proofErr w:type="gramEnd"/>
      <w:r w:rsidRPr="00CA1467">
        <w:t xml:space="preserve"> civil unions or relationships are to be ignored.</w:t>
      </w:r>
    </w:p>
    <w:p w:rsidR="00D212D5" w:rsidRPr="00CA1467" w:rsidRDefault="00D212D5" w:rsidP="00D212D5">
      <w:pPr>
        <w:pStyle w:val="Chapter3"/>
        <w:numPr>
          <w:ilvl w:val="0"/>
          <w:numId w:val="0"/>
        </w:numPr>
        <w:ind w:left="851"/>
      </w:pPr>
    </w:p>
    <w:p w:rsidR="00D212D5" w:rsidRPr="00CA1467" w:rsidRDefault="00D212D5" w:rsidP="00F31C38">
      <w:pPr>
        <w:pStyle w:val="Chapter3"/>
      </w:pPr>
      <w:r w:rsidRPr="00CA1467">
        <w:t xml:space="preserve">This current test can mean that significant family groups </w:t>
      </w:r>
      <w:proofErr w:type="gramStart"/>
      <w:r w:rsidRPr="00CA1467">
        <w:t>are counted</w:t>
      </w:r>
      <w:proofErr w:type="gramEnd"/>
      <w:r w:rsidRPr="00CA1467">
        <w:t xml:space="preserve"> together as a single LTC owner.  In the following example</w:t>
      </w:r>
      <w:r w:rsidR="00530DCA" w:rsidRPr="002A6B04">
        <w:rPr>
          <w:rStyle w:val="FootnoteReference"/>
          <w:sz w:val="22"/>
          <w:szCs w:val="22"/>
        </w:rPr>
        <w:footnoteReference w:id="16"/>
      </w:r>
      <w:r w:rsidRPr="00CA1467">
        <w:t xml:space="preserve"> (where there is a maximum of two children per couple), if all the people mentioned owned shares in the same LTC they would be counted as one person:</w:t>
      </w:r>
    </w:p>
    <w:p w:rsidR="00F31C38" w:rsidRPr="00CA1467" w:rsidRDefault="00F31C38" w:rsidP="00F31C38">
      <w:pPr>
        <w:pStyle w:val="Chapter3"/>
        <w:numPr>
          <w:ilvl w:val="0"/>
          <w:numId w:val="0"/>
        </w:numPr>
        <w:ind w:left="851"/>
      </w:pPr>
    </w:p>
    <w:p w:rsidR="00D212D5" w:rsidRPr="00CA1467" w:rsidRDefault="006C7541" w:rsidP="006C7541">
      <w:pPr>
        <w:pStyle w:val="Chapter3"/>
        <w:numPr>
          <w:ilvl w:val="0"/>
          <w:numId w:val="0"/>
        </w:numPr>
        <w:ind w:left="851"/>
        <w:jc w:val="center"/>
      </w:pPr>
      <w:r w:rsidRPr="00CA1467">
        <w:rPr>
          <w:noProof/>
          <w:snapToGrid/>
          <w:lang w:eastAsia="en-NZ"/>
        </w:rPr>
        <w:drawing>
          <wp:inline distT="0" distB="0" distL="0" distR="0" wp14:anchorId="6BED0858" wp14:editId="7F65FCAB">
            <wp:extent cx="3193415"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93415" cy="1828800"/>
                    </a:xfrm>
                    <a:prstGeom prst="rect">
                      <a:avLst/>
                    </a:prstGeom>
                    <a:noFill/>
                    <a:ln>
                      <a:noFill/>
                    </a:ln>
                  </pic:spPr>
                </pic:pic>
              </a:graphicData>
            </a:graphic>
          </wp:inline>
        </w:drawing>
      </w:r>
    </w:p>
    <w:p w:rsidR="00D212D5" w:rsidRPr="00CA1467" w:rsidRDefault="00D212D5" w:rsidP="00F31C38">
      <w:pPr>
        <w:pStyle w:val="Chapter3"/>
        <w:numPr>
          <w:ilvl w:val="0"/>
          <w:numId w:val="0"/>
        </w:numPr>
        <w:ind w:left="851"/>
      </w:pPr>
    </w:p>
    <w:p w:rsidR="00D212D5" w:rsidRPr="00CA1467" w:rsidRDefault="00D212D5" w:rsidP="00D212D5">
      <w:pPr>
        <w:pStyle w:val="Chapter3"/>
      </w:pPr>
      <w:r w:rsidRPr="00CA1467">
        <w:t xml:space="preserve">The current rules, therefore, contemplate situations </w:t>
      </w:r>
      <w:proofErr w:type="gramStart"/>
      <w:r w:rsidRPr="00CA1467">
        <w:t>when up to conceivably five multi-generational families could all be shareholders in a company and that company would still be eligible for LTC status</w:t>
      </w:r>
      <w:proofErr w:type="gramEnd"/>
      <w:r w:rsidRPr="00CA1467">
        <w:t>.  By contrast, the QC rules, which only allow one degree of relationship, are in theory more restrictive.  In practice, however, there is no evidence that this difference is leading to significantly wider overall shareholdings.  Most LTCs have only one or two shareholders/owners.</w:t>
      </w:r>
      <w:r w:rsidR="00AE2908" w:rsidRPr="007416AC">
        <w:rPr>
          <w:rStyle w:val="FootnoteReference"/>
          <w:sz w:val="22"/>
          <w:szCs w:val="22"/>
        </w:rPr>
        <w:footnoteReference w:id="17"/>
      </w:r>
      <w:r w:rsidRPr="00CA1467">
        <w:t xml:space="preserve">  The current test also has the benefit of being well understood given it is based on the definition of “associated person”.</w:t>
      </w:r>
    </w:p>
    <w:p w:rsidR="00D212D5" w:rsidRPr="00CA1467" w:rsidRDefault="00D212D5" w:rsidP="00D212D5">
      <w:pPr>
        <w:pStyle w:val="Chapter3"/>
        <w:numPr>
          <w:ilvl w:val="0"/>
          <w:numId w:val="0"/>
        </w:numPr>
        <w:ind w:left="851"/>
      </w:pPr>
    </w:p>
    <w:p w:rsidR="00D212D5" w:rsidRPr="00CA1467" w:rsidRDefault="00D212D5" w:rsidP="00D212D5">
      <w:pPr>
        <w:pStyle w:val="Chapter3"/>
      </w:pPr>
      <w:r w:rsidRPr="00CA1467">
        <w:t xml:space="preserve">Consequently, we are not proposing any changes in this area.  Individuals </w:t>
      </w:r>
      <w:proofErr w:type="gramStart"/>
      <w:r w:rsidRPr="00CA1467">
        <w:t>would, therefore, continue</w:t>
      </w:r>
      <w:proofErr w:type="gramEnd"/>
      <w:r w:rsidRPr="00CA1467">
        <w:t xml:space="preserve"> to be treated as they are now, in other words a two degree of relationship test would continue to apply.</w:t>
      </w:r>
    </w:p>
    <w:p w:rsidR="00D212D5" w:rsidRPr="00CA1467" w:rsidRDefault="00D212D5" w:rsidP="00D212D5">
      <w:pPr>
        <w:pStyle w:val="Chapter3"/>
        <w:numPr>
          <w:ilvl w:val="0"/>
          <w:numId w:val="0"/>
        </w:numPr>
        <w:ind w:left="851"/>
      </w:pPr>
    </w:p>
    <w:p w:rsidR="00D212D5" w:rsidRPr="00CA1467" w:rsidRDefault="00D212D5" w:rsidP="00750878">
      <w:pPr>
        <w:pStyle w:val="Heading2"/>
      </w:pPr>
      <w:r w:rsidRPr="00CA1467">
        <w:t>Companies</w:t>
      </w:r>
    </w:p>
    <w:p w:rsidR="00D212D5" w:rsidRPr="00CA1467" w:rsidRDefault="00D212D5" w:rsidP="00D212D5">
      <w:pPr>
        <w:pStyle w:val="Chapter3"/>
        <w:numPr>
          <w:ilvl w:val="0"/>
          <w:numId w:val="0"/>
        </w:numPr>
        <w:ind w:left="851"/>
      </w:pPr>
    </w:p>
    <w:p w:rsidR="00D212D5" w:rsidRPr="00CA1467" w:rsidRDefault="00D212D5" w:rsidP="00D212D5">
      <w:pPr>
        <w:pStyle w:val="Chapter3"/>
      </w:pPr>
      <w:r w:rsidRPr="00CA1467">
        <w:t xml:space="preserve">At present the only corporate that is permitted to </w:t>
      </w:r>
      <w:proofErr w:type="gramStart"/>
      <w:r w:rsidRPr="00CA1467">
        <w:t>have</w:t>
      </w:r>
      <w:proofErr w:type="gramEnd"/>
      <w:r w:rsidRPr="00CA1467">
        <w:t xml:space="preserve"> a direct shareholding in a LTC is another LTC (other than corporate trustees, which are discussed below).  We are not recommending any changes in this area.  The prohibition on ordinary companies owning LTC shares appears consistent with the idea that LTCs should not be widely held or used as a way to shelter company income from tax</w:t>
      </w:r>
      <w:r w:rsidR="00530DCA" w:rsidRPr="00CA1467">
        <w:t>,</w:t>
      </w:r>
      <w:r w:rsidR="00530DCA" w:rsidRPr="002A6B04">
        <w:rPr>
          <w:rStyle w:val="FootnoteReference"/>
          <w:sz w:val="22"/>
          <w:szCs w:val="22"/>
        </w:rPr>
        <w:footnoteReference w:id="18"/>
      </w:r>
      <w:r w:rsidRPr="00CA1467">
        <w:t xml:space="preserve"> and should be retained.</w:t>
      </w:r>
    </w:p>
    <w:p w:rsidR="00D212D5" w:rsidRPr="00CA1467" w:rsidRDefault="00D212D5" w:rsidP="00D212D5">
      <w:pPr>
        <w:pStyle w:val="Chapter3"/>
        <w:numPr>
          <w:ilvl w:val="0"/>
          <w:numId w:val="0"/>
        </w:numPr>
        <w:ind w:left="851"/>
      </w:pPr>
    </w:p>
    <w:p w:rsidR="00D212D5" w:rsidRPr="00CA1467" w:rsidRDefault="00D212D5" w:rsidP="00750878">
      <w:pPr>
        <w:pStyle w:val="Heading2"/>
      </w:pPr>
      <w:r w:rsidRPr="00CA1467">
        <w:t>Trusts</w:t>
      </w:r>
    </w:p>
    <w:p w:rsidR="00D212D5" w:rsidRPr="00CA1467" w:rsidRDefault="00D212D5" w:rsidP="00D212D5">
      <w:pPr>
        <w:pStyle w:val="Chapter3"/>
        <w:numPr>
          <w:ilvl w:val="0"/>
          <w:numId w:val="0"/>
        </w:numPr>
        <w:ind w:left="851"/>
      </w:pPr>
    </w:p>
    <w:p w:rsidR="00D212D5" w:rsidRPr="00CA1467" w:rsidRDefault="00D212D5" w:rsidP="00D212D5">
      <w:pPr>
        <w:pStyle w:val="Chapter3"/>
      </w:pPr>
      <w:r w:rsidRPr="00CA1467">
        <w:t>Our starting proposition in looking at trustees as shareholders of LTCs is that the entry criteria tests would have failed if the interposing of a shareholding trust allows for more owners than would have been allowed if those people had held shares directly.  In saying this, it is more challenging to determine who has “benefitted” from a LTC in a trust situation.  We accept it is difficult to argue that all beneficiaries will always benefit from the fact that trustees own a LTC.</w:t>
      </w:r>
    </w:p>
    <w:p w:rsidR="00D212D5" w:rsidRPr="00CA1467" w:rsidRDefault="00D212D5" w:rsidP="00D212D5">
      <w:pPr>
        <w:pStyle w:val="Chapter3"/>
        <w:numPr>
          <w:ilvl w:val="0"/>
          <w:numId w:val="0"/>
        </w:numPr>
        <w:ind w:left="851"/>
      </w:pPr>
    </w:p>
    <w:p w:rsidR="00D212D5" w:rsidRPr="00CA1467" w:rsidRDefault="00D212D5" w:rsidP="00D212D5">
      <w:pPr>
        <w:pStyle w:val="Chapter3"/>
      </w:pPr>
      <w:r w:rsidRPr="00CA1467">
        <w:t xml:space="preserve">Nevertheless, we are proposing changes to how trusts </w:t>
      </w:r>
      <w:proofErr w:type="gramStart"/>
      <w:r w:rsidRPr="00CA1467">
        <w:t>are measured</w:t>
      </w:r>
      <w:proofErr w:type="gramEnd"/>
      <w:r w:rsidRPr="00CA1467">
        <w:t xml:space="preserve"> as “look-through counted owners” because the current rules seem to be too generous in two key respects.</w:t>
      </w:r>
    </w:p>
    <w:p w:rsidR="00D212D5" w:rsidRPr="00CA1467" w:rsidRDefault="00D212D5" w:rsidP="00D212D5">
      <w:pPr>
        <w:pStyle w:val="Chapter3"/>
        <w:numPr>
          <w:ilvl w:val="0"/>
          <w:numId w:val="0"/>
        </w:numPr>
        <w:ind w:left="851"/>
      </w:pPr>
    </w:p>
    <w:p w:rsidR="00D212D5" w:rsidRPr="00CA1467" w:rsidRDefault="00D212D5" w:rsidP="00D212D5">
      <w:pPr>
        <w:pStyle w:val="Chapter3"/>
      </w:pPr>
      <w:r w:rsidRPr="00CA1467">
        <w:t xml:space="preserve">The first issue is in relation to the measurement period.  The current test that casts back just three preceding years when considering whether a beneficiary of a trust </w:t>
      </w:r>
      <w:proofErr w:type="gramStart"/>
      <w:r w:rsidRPr="00CA1467">
        <w:t>should be counted</w:t>
      </w:r>
      <w:proofErr w:type="gramEnd"/>
      <w:r w:rsidRPr="00CA1467">
        <w:t xml:space="preserve"> as a look-through counted owner potentially provides scope for beneficiaries to be ‘rotated’.  The rotation of beneficiaries enables the profits of the company to </w:t>
      </w:r>
      <w:proofErr w:type="gramStart"/>
      <w:r w:rsidRPr="00CA1467">
        <w:t>be distributed</w:t>
      </w:r>
      <w:proofErr w:type="gramEnd"/>
      <w:r w:rsidRPr="00CA1467">
        <w:t xml:space="preserve"> to a larger beneficiary class while still meeting the requirement of a maximum of five look-through counted owners.</w:t>
      </w:r>
    </w:p>
    <w:p w:rsidR="00D212D5" w:rsidRPr="00CA1467" w:rsidRDefault="00D212D5" w:rsidP="00D212D5">
      <w:pPr>
        <w:pStyle w:val="Chapter3"/>
        <w:numPr>
          <w:ilvl w:val="0"/>
          <w:numId w:val="0"/>
        </w:numPr>
      </w:pPr>
    </w:p>
    <w:p w:rsidR="00D212D5" w:rsidRPr="00CA1467" w:rsidRDefault="00D212D5" w:rsidP="00D212D5">
      <w:pPr>
        <w:pStyle w:val="Chapter3"/>
      </w:pPr>
      <w:r w:rsidRPr="00CA1467">
        <w:t xml:space="preserve">The second issue is the focus just on distributions of beneficiary income from LTC interests.  The focus on beneficiary income is a proxy for receiving a benefit.  However, there are instances when a person does not receive beneficiary income, </w:t>
      </w:r>
      <w:proofErr w:type="gramStart"/>
      <w:r w:rsidRPr="00CA1467">
        <w:t>but nevertheless</w:t>
      </w:r>
      <w:proofErr w:type="gramEnd"/>
      <w:r w:rsidRPr="00CA1467">
        <w:t xml:space="preserve"> benefits from a trust owning LTC shares.  A person </w:t>
      </w:r>
      <w:proofErr w:type="gramStart"/>
      <w:r w:rsidRPr="00CA1467">
        <w:t>might, for example, receive</w:t>
      </w:r>
      <w:proofErr w:type="gramEnd"/>
      <w:r w:rsidRPr="00CA1467">
        <w:t xml:space="preserve"> a distribution of trustee income.  It is not difficult to envisage situations when multiple beneficiaries could receive distributions of trustee income such that the numbers </w:t>
      </w:r>
      <w:proofErr w:type="gramStart"/>
      <w:r w:rsidRPr="00CA1467">
        <w:t>could be skewed</w:t>
      </w:r>
      <w:proofErr w:type="gramEnd"/>
      <w:r w:rsidRPr="00CA1467">
        <w:t>.</w:t>
      </w:r>
    </w:p>
    <w:p w:rsidR="00F31C38" w:rsidRPr="00CA1467" w:rsidRDefault="00F31C38" w:rsidP="00D212D5">
      <w:pPr>
        <w:pStyle w:val="Chapter3"/>
        <w:numPr>
          <w:ilvl w:val="0"/>
          <w:numId w:val="0"/>
        </w:numPr>
      </w:pPr>
    </w:p>
    <w:p w:rsidR="00C11945" w:rsidRDefault="00C11945">
      <w:pPr>
        <w:jc w:val="left"/>
        <w:rPr>
          <w:b/>
          <w:snapToGrid w:val="0"/>
          <w:sz w:val="20"/>
          <w:lang w:val="en-NZ" w:eastAsia="en-US"/>
        </w:rPr>
      </w:pPr>
      <w:r>
        <w:rPr>
          <w:b/>
          <w:sz w:val="20"/>
        </w:rPr>
        <w:br w:type="page"/>
      </w:r>
    </w:p>
    <w:p w:rsidR="00CA33EC" w:rsidRPr="00CA1467" w:rsidRDefault="003C5C5C" w:rsidP="006C7541">
      <w:pPr>
        <w:pStyle w:val="Chapter3"/>
        <w:numPr>
          <w:ilvl w:val="0"/>
          <w:numId w:val="0"/>
        </w:numPr>
        <w:pBdr>
          <w:top w:val="single" w:sz="4" w:space="10" w:color="auto"/>
          <w:left w:val="single" w:sz="4" w:space="10" w:color="auto"/>
          <w:bottom w:val="single" w:sz="4" w:space="10" w:color="auto"/>
          <w:right w:val="single" w:sz="4" w:space="10" w:color="auto"/>
        </w:pBdr>
        <w:ind w:left="851" w:hanging="851"/>
        <w:rPr>
          <w:b/>
          <w:sz w:val="20"/>
        </w:rPr>
      </w:pPr>
      <w:r w:rsidRPr="00CA1467">
        <w:rPr>
          <w:b/>
          <w:sz w:val="20"/>
        </w:rPr>
        <w:t>Example</w:t>
      </w:r>
    </w:p>
    <w:p w:rsidR="006C7541" w:rsidRPr="00CA1467" w:rsidRDefault="006C7541" w:rsidP="006C7541">
      <w:pPr>
        <w:pStyle w:val="Chapter3"/>
        <w:numPr>
          <w:ilvl w:val="0"/>
          <w:numId w:val="0"/>
        </w:numPr>
        <w:pBdr>
          <w:top w:val="single" w:sz="4" w:space="10" w:color="auto"/>
          <w:left w:val="single" w:sz="4" w:space="10" w:color="auto"/>
          <w:bottom w:val="single" w:sz="4" w:space="10" w:color="auto"/>
          <w:right w:val="single" w:sz="4" w:space="10" w:color="auto"/>
        </w:pBdr>
        <w:ind w:left="851" w:hanging="851"/>
        <w:rPr>
          <w:sz w:val="20"/>
        </w:rPr>
      </w:pPr>
    </w:p>
    <w:p w:rsidR="003C5C5C" w:rsidRPr="00CA1467" w:rsidRDefault="006C7541" w:rsidP="006C7541">
      <w:pPr>
        <w:pStyle w:val="Chapter3"/>
        <w:numPr>
          <w:ilvl w:val="0"/>
          <w:numId w:val="0"/>
        </w:numPr>
        <w:pBdr>
          <w:top w:val="single" w:sz="4" w:space="10" w:color="auto"/>
          <w:left w:val="single" w:sz="4" w:space="10" w:color="auto"/>
          <w:bottom w:val="single" w:sz="4" w:space="10" w:color="auto"/>
          <w:right w:val="single" w:sz="4" w:space="10" w:color="auto"/>
        </w:pBdr>
        <w:rPr>
          <w:sz w:val="20"/>
        </w:rPr>
      </w:pPr>
      <w:proofErr w:type="gramStart"/>
      <w:r w:rsidRPr="00CA1467">
        <w:rPr>
          <w:sz w:val="20"/>
        </w:rPr>
        <w:t>Distributions of income from a LTC interest are made by Family Trust</w:t>
      </w:r>
      <w:proofErr w:type="gramEnd"/>
      <w:r w:rsidRPr="00CA1467">
        <w:rPr>
          <w:sz w:val="20"/>
        </w:rPr>
        <w:t xml:space="preserve"> to 10 beneficiaries.  The trustee is deciding on whether the trust’s current year income </w:t>
      </w:r>
      <w:proofErr w:type="gramStart"/>
      <w:r w:rsidRPr="00CA1467">
        <w:rPr>
          <w:sz w:val="20"/>
        </w:rPr>
        <w:t>should be made</w:t>
      </w:r>
      <w:proofErr w:type="gramEnd"/>
      <w:r w:rsidRPr="00CA1467">
        <w:rPr>
          <w:sz w:val="20"/>
        </w:rPr>
        <w:t xml:space="preserve"> as trustee income or beneficiary income.  Depending on the decision, the outcome in terms of the number of look-through counted owners can vary from </w:t>
      </w:r>
      <w:proofErr w:type="gramStart"/>
      <w:r w:rsidRPr="00CA1467">
        <w:rPr>
          <w:sz w:val="20"/>
        </w:rPr>
        <w:t>1</w:t>
      </w:r>
      <w:proofErr w:type="gramEnd"/>
      <w:r w:rsidRPr="00CA1467">
        <w:rPr>
          <w:sz w:val="20"/>
        </w:rPr>
        <w:t xml:space="preserve"> to 11.</w:t>
      </w:r>
    </w:p>
    <w:p w:rsidR="00CA33EC" w:rsidRPr="00CA1467" w:rsidRDefault="00CA33EC" w:rsidP="008F12F0">
      <w:pPr>
        <w:pStyle w:val="Chapter3"/>
        <w:numPr>
          <w:ilvl w:val="0"/>
          <w:numId w:val="0"/>
        </w:numPr>
        <w:ind w:left="851" w:hanging="851"/>
      </w:pPr>
    </w:p>
    <w:p w:rsidR="006C7541" w:rsidRPr="00CA1467" w:rsidRDefault="006C7541" w:rsidP="008F12F0">
      <w:pPr>
        <w:pStyle w:val="Chapter3"/>
        <w:numPr>
          <w:ilvl w:val="0"/>
          <w:numId w:val="0"/>
        </w:numPr>
        <w:ind w:left="851" w:hanging="851"/>
      </w:pPr>
    </w:p>
    <w:p w:rsidR="003C5C5C" w:rsidRPr="00CA1467" w:rsidRDefault="003C5C5C" w:rsidP="003C5C5C">
      <w:pPr>
        <w:pStyle w:val="Chapter3"/>
      </w:pPr>
      <w:r w:rsidRPr="00CA1467">
        <w:t>Furthermore, the focus on income derived just from a LTC interest may cause practical difficulties given the fungibility of money and the potential for streaming distributions to selected beneficiaries.</w:t>
      </w:r>
    </w:p>
    <w:p w:rsidR="003C5C5C" w:rsidRPr="00CA1467" w:rsidRDefault="003C5C5C" w:rsidP="003C5C5C">
      <w:pPr>
        <w:pStyle w:val="Chapter3"/>
        <w:numPr>
          <w:ilvl w:val="0"/>
          <w:numId w:val="0"/>
        </w:numPr>
        <w:ind w:left="851"/>
      </w:pPr>
    </w:p>
    <w:p w:rsidR="003C5C5C" w:rsidRPr="00CA1467" w:rsidRDefault="003C5C5C" w:rsidP="003C5C5C">
      <w:pPr>
        <w:pStyle w:val="Chapter3"/>
      </w:pPr>
      <w:r w:rsidRPr="00CA1467">
        <w:t xml:space="preserve">We note that a more restrictive test applies to QCs – in their </w:t>
      </w:r>
      <w:proofErr w:type="gramStart"/>
      <w:r w:rsidRPr="00CA1467">
        <w:t>case</w:t>
      </w:r>
      <w:proofErr w:type="gramEnd"/>
      <w:r w:rsidRPr="00CA1467">
        <w:t xml:space="preserve"> a trustee must distribute all dividends from the QC as beneficiary income (other than non-cash dividends).  Furthermore, all beneficiaries that have derived beneficiary income from dividends since the 1991</w:t>
      </w:r>
      <w:r w:rsidR="00530DCA" w:rsidRPr="00CA1467">
        <w:t>–</w:t>
      </w:r>
      <w:r w:rsidRPr="00CA1467">
        <w:t xml:space="preserve">92 income </w:t>
      </w:r>
      <w:proofErr w:type="gramStart"/>
      <w:r w:rsidRPr="00CA1467">
        <w:t>year</w:t>
      </w:r>
      <w:proofErr w:type="gramEnd"/>
      <w:r w:rsidRPr="00CA1467">
        <w:t>, when QCs were introduced, are treated as counted shareholders.  This reference back to 1991</w:t>
      </w:r>
      <w:r w:rsidR="00530DCA" w:rsidRPr="00CA1467">
        <w:t>–</w:t>
      </w:r>
      <w:r w:rsidRPr="00CA1467">
        <w:t>92 has proved to be a compliance problem in some instances, as time has elapsed.</w:t>
      </w:r>
    </w:p>
    <w:p w:rsidR="003C5C5C" w:rsidRPr="00CA1467" w:rsidRDefault="003C5C5C" w:rsidP="003C5C5C">
      <w:pPr>
        <w:pStyle w:val="Chapter3"/>
        <w:numPr>
          <w:ilvl w:val="0"/>
          <w:numId w:val="0"/>
        </w:numPr>
        <w:ind w:left="851"/>
      </w:pPr>
    </w:p>
    <w:p w:rsidR="003C5C5C" w:rsidRPr="00CA1467" w:rsidRDefault="003C5C5C" w:rsidP="00134BF6">
      <w:pPr>
        <w:pStyle w:val="Heading3"/>
      </w:pPr>
      <w:r w:rsidRPr="00CA1467">
        <w:t>The proposal</w:t>
      </w:r>
    </w:p>
    <w:p w:rsidR="003C5C5C" w:rsidRPr="00CA1467" w:rsidRDefault="003C5C5C" w:rsidP="003C5C5C">
      <w:pPr>
        <w:pStyle w:val="Chapter3"/>
        <w:numPr>
          <w:ilvl w:val="0"/>
          <w:numId w:val="0"/>
        </w:numPr>
        <w:ind w:left="851"/>
      </w:pPr>
    </w:p>
    <w:p w:rsidR="003C5C5C" w:rsidRPr="00CA1467" w:rsidRDefault="003C5C5C" w:rsidP="003C5C5C">
      <w:pPr>
        <w:pStyle w:val="Chapter3"/>
      </w:pPr>
      <w:r w:rsidRPr="00CA1467">
        <w:t xml:space="preserve">We are not suggesting adopting the QC approach but rather to count all distributions made, whether beneficiary or trustee income, corpus or capital.  In terms of the </w:t>
      </w:r>
      <w:proofErr w:type="gramStart"/>
      <w:r w:rsidRPr="00CA1467">
        <w:t>time period</w:t>
      </w:r>
      <w:proofErr w:type="gramEnd"/>
      <w:r w:rsidRPr="00CA1467">
        <w:t>, a LTC test that tied in with other more general record-keeping period requirements would appear to be justifiable.  The proposal is that a beneficiary that has received any distribution from the shareholding trust in the last six years would be a counted owner.</w:t>
      </w:r>
    </w:p>
    <w:p w:rsidR="003C5C5C" w:rsidRPr="00CA1467" w:rsidRDefault="003C5C5C" w:rsidP="003C5C5C">
      <w:pPr>
        <w:pStyle w:val="Chapter3"/>
        <w:numPr>
          <w:ilvl w:val="0"/>
          <w:numId w:val="0"/>
        </w:numPr>
        <w:ind w:left="851"/>
      </w:pPr>
    </w:p>
    <w:p w:rsidR="003C5C5C" w:rsidRPr="00CA1467" w:rsidRDefault="003C5C5C" w:rsidP="003C5C5C">
      <w:pPr>
        <w:pStyle w:val="Chapter3"/>
      </w:pPr>
      <w:r w:rsidRPr="00CA1467">
        <w:t xml:space="preserve">This </w:t>
      </w:r>
      <w:proofErr w:type="gramStart"/>
      <w:r w:rsidRPr="00CA1467">
        <w:t>six year</w:t>
      </w:r>
      <w:proofErr w:type="gramEnd"/>
      <w:r w:rsidRPr="00CA1467">
        <w:t xml:space="preserve"> measurement period acknowledges that any extended period would need to be enforceable in practice and that imposing stricter than usual record-keeping requirements on trustees of relatively unsophisticated trusts would be difficult to justify.  Rather than tying the LTC requirement to the record-keeping period required for tax purposes, it seems more appropriate to match the </w:t>
      </w:r>
      <w:proofErr w:type="gramStart"/>
      <w:r w:rsidRPr="00CA1467">
        <w:t>time period</w:t>
      </w:r>
      <w:proofErr w:type="gramEnd"/>
      <w:r w:rsidRPr="00CA1467">
        <w:t xml:space="preserve"> with that generally applying to claims under the Limitations Act 2010 as trustees are required to keep records for at least that time in case a beneficiary challenges a distribution decision.</w:t>
      </w:r>
      <w:r w:rsidR="00530DCA" w:rsidRPr="002A6B04">
        <w:rPr>
          <w:rStyle w:val="FootnoteReference"/>
          <w:sz w:val="22"/>
          <w:szCs w:val="22"/>
        </w:rPr>
        <w:footnoteReference w:id="19"/>
      </w:r>
    </w:p>
    <w:p w:rsidR="003C5C5C" w:rsidRPr="00CA1467" w:rsidRDefault="003C5C5C" w:rsidP="003C5C5C">
      <w:pPr>
        <w:pStyle w:val="Chapter3"/>
        <w:numPr>
          <w:ilvl w:val="0"/>
          <w:numId w:val="0"/>
        </w:numPr>
        <w:ind w:left="851"/>
      </w:pPr>
    </w:p>
    <w:p w:rsidR="003C5C5C" w:rsidRPr="00CA1467" w:rsidRDefault="003C5C5C" w:rsidP="003C5C5C">
      <w:pPr>
        <w:pStyle w:val="Chapter3"/>
      </w:pPr>
      <w:r w:rsidRPr="00CA1467">
        <w:t xml:space="preserve">Some entities are likely to lose their LTC status </w:t>
      </w:r>
      <w:proofErr w:type="gramStart"/>
      <w:r w:rsidRPr="00CA1467">
        <w:t>as a result</w:t>
      </w:r>
      <w:proofErr w:type="gramEnd"/>
      <w:r w:rsidRPr="00CA1467">
        <w:t xml:space="preserve"> of this proposal.  This is an appropriate outcome as it ensures that the LTC ownership rules in relation to trusts do not allow more look-through owners than would be the case under direct ownership.</w:t>
      </w:r>
    </w:p>
    <w:p w:rsidR="003C5C5C" w:rsidRPr="00CA1467" w:rsidRDefault="003C5C5C" w:rsidP="003C5C5C">
      <w:pPr>
        <w:pStyle w:val="Chapter3"/>
        <w:numPr>
          <w:ilvl w:val="0"/>
          <w:numId w:val="0"/>
        </w:numPr>
        <w:ind w:left="851"/>
      </w:pPr>
    </w:p>
    <w:p w:rsidR="003C5C5C" w:rsidRPr="00CA1467" w:rsidRDefault="003C5C5C" w:rsidP="00134BF6">
      <w:pPr>
        <w:pStyle w:val="Heading2"/>
      </w:pPr>
      <w:r w:rsidRPr="00CA1467">
        <w:t>When there are no distributions</w:t>
      </w:r>
    </w:p>
    <w:p w:rsidR="003C5C5C" w:rsidRPr="00CA1467" w:rsidRDefault="003C5C5C" w:rsidP="003C5C5C">
      <w:pPr>
        <w:pStyle w:val="Chapter3"/>
        <w:numPr>
          <w:ilvl w:val="0"/>
          <w:numId w:val="0"/>
        </w:numPr>
        <w:ind w:left="851"/>
      </w:pPr>
    </w:p>
    <w:p w:rsidR="003C5C5C" w:rsidRPr="00CA1467" w:rsidRDefault="003C5C5C" w:rsidP="003C5C5C">
      <w:pPr>
        <w:pStyle w:val="Chapter3"/>
      </w:pPr>
      <w:r w:rsidRPr="00CA1467">
        <w:t xml:space="preserve">Currently, in the event that not all income from an interest in a LTC </w:t>
      </w:r>
      <w:proofErr w:type="gramStart"/>
      <w:r w:rsidRPr="00CA1467">
        <w:t>is distributed</w:t>
      </w:r>
      <w:proofErr w:type="gramEnd"/>
      <w:r w:rsidRPr="00CA1467">
        <w:t xml:space="preserve"> as beneficiary income, the trustee is a single counted owner.  The only viable alternative to counting trustees in these circumstances would be to count settlors, on the assumption that they are the ones ultimately benefitting from the existence of the trust.  However, a settlor test would likely be complicated</w:t>
      </w:r>
      <w:r w:rsidR="00530DCA" w:rsidRPr="00CA1467">
        <w:t>,</w:t>
      </w:r>
      <w:r w:rsidR="00530DCA" w:rsidRPr="002A6B04">
        <w:rPr>
          <w:rStyle w:val="FootnoteReference"/>
          <w:sz w:val="22"/>
          <w:szCs w:val="22"/>
        </w:rPr>
        <w:footnoteReference w:id="20"/>
      </w:r>
      <w:r w:rsidRPr="00CA1467">
        <w:t xml:space="preserve"> and not a test that domestic trusts would be likely to have to apply commonly in their day-to-day management of their tax affairs.  Consequently, our conclusion is that a trustee should continue to be a separate counted owner in the event that not all income </w:t>
      </w:r>
      <w:proofErr w:type="gramStart"/>
      <w:r w:rsidRPr="00CA1467">
        <w:t>is distributed</w:t>
      </w:r>
      <w:proofErr w:type="gramEnd"/>
      <w:r w:rsidRPr="00CA1467">
        <w:t xml:space="preserve"> for the relevant period.  As with the proposed revised test for measuring the number of beneficiaries, the test for determining whether a trustee is a counted owner should be modified to focus on all income sources rather than just income from interests in LTCs.</w:t>
      </w:r>
    </w:p>
    <w:p w:rsidR="003C5C5C" w:rsidRPr="00CA1467" w:rsidRDefault="003C5C5C" w:rsidP="003C5C5C">
      <w:pPr>
        <w:pStyle w:val="Chapter3"/>
        <w:numPr>
          <w:ilvl w:val="0"/>
          <w:numId w:val="0"/>
        </w:numPr>
        <w:ind w:left="851"/>
      </w:pPr>
    </w:p>
    <w:p w:rsidR="003C5C5C" w:rsidRPr="00CA1467" w:rsidRDefault="003C5C5C" w:rsidP="00134BF6">
      <w:pPr>
        <w:pStyle w:val="Heading2"/>
      </w:pPr>
      <w:r w:rsidRPr="00CA1467">
        <w:t>Corporate beneficiaries</w:t>
      </w:r>
    </w:p>
    <w:p w:rsidR="003C5C5C" w:rsidRPr="00CA1467" w:rsidRDefault="003C5C5C" w:rsidP="003C5C5C">
      <w:pPr>
        <w:pStyle w:val="Chapter3"/>
        <w:numPr>
          <w:ilvl w:val="0"/>
          <w:numId w:val="0"/>
        </w:numPr>
        <w:ind w:left="851"/>
      </w:pPr>
    </w:p>
    <w:p w:rsidR="00CA33EC" w:rsidRPr="00CA1467" w:rsidRDefault="003C5C5C" w:rsidP="003C5C5C">
      <w:pPr>
        <w:pStyle w:val="Chapter3"/>
      </w:pPr>
      <w:r w:rsidRPr="00CA1467">
        <w:t xml:space="preserve">Corporate beneficiaries </w:t>
      </w:r>
      <w:proofErr w:type="gramStart"/>
      <w:r w:rsidRPr="00CA1467">
        <w:t>are currently permitted</w:t>
      </w:r>
      <w:proofErr w:type="gramEnd"/>
      <w:r w:rsidRPr="00CA1467">
        <w:t xml:space="preserve">.  This means that although the structure below on the left </w:t>
      </w:r>
      <w:proofErr w:type="gramStart"/>
      <w:r w:rsidRPr="00CA1467">
        <w:t>is prohibited</w:t>
      </w:r>
      <w:proofErr w:type="gramEnd"/>
      <w:r w:rsidRPr="00CA1467">
        <w:t>, the one on the right is permissible.  The effect of the two structures appears, however, to be identical:</w:t>
      </w:r>
    </w:p>
    <w:p w:rsidR="00CA33EC" w:rsidRPr="00CA1467" w:rsidRDefault="00CA33EC" w:rsidP="008F12F0">
      <w:pPr>
        <w:pStyle w:val="Chapter3"/>
        <w:numPr>
          <w:ilvl w:val="0"/>
          <w:numId w:val="0"/>
        </w:numPr>
      </w:pPr>
    </w:p>
    <w:p w:rsidR="006C7541" w:rsidRPr="00CA1467" w:rsidRDefault="006C7541" w:rsidP="008F12F0">
      <w:pPr>
        <w:pStyle w:val="Chapter3"/>
        <w:numPr>
          <w:ilvl w:val="0"/>
          <w:numId w:val="0"/>
        </w:numPr>
      </w:pPr>
    </w:p>
    <w:p w:rsidR="003C5C5C" w:rsidRPr="00CA1467" w:rsidRDefault="009603DA" w:rsidP="009603DA">
      <w:pPr>
        <w:pStyle w:val="Chapter3"/>
        <w:numPr>
          <w:ilvl w:val="0"/>
          <w:numId w:val="0"/>
        </w:numPr>
        <w:ind w:left="851"/>
        <w:jc w:val="center"/>
      </w:pPr>
      <w:r>
        <w:rPr>
          <w:noProof/>
          <w:snapToGrid/>
          <w:lang w:eastAsia="en-NZ"/>
        </w:rPr>
        <w:drawing>
          <wp:inline distT="0" distB="0" distL="0" distR="0">
            <wp:extent cx="4324350" cy="2190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24350" cy="2190750"/>
                    </a:xfrm>
                    <a:prstGeom prst="rect">
                      <a:avLst/>
                    </a:prstGeom>
                    <a:noFill/>
                    <a:ln>
                      <a:noFill/>
                    </a:ln>
                  </pic:spPr>
                </pic:pic>
              </a:graphicData>
            </a:graphic>
          </wp:inline>
        </w:drawing>
      </w:r>
    </w:p>
    <w:p w:rsidR="003C5C5C" w:rsidRPr="00CA1467" w:rsidRDefault="003C5C5C" w:rsidP="008F12F0">
      <w:pPr>
        <w:pStyle w:val="Chapter3"/>
        <w:numPr>
          <w:ilvl w:val="0"/>
          <w:numId w:val="0"/>
        </w:numPr>
      </w:pPr>
    </w:p>
    <w:p w:rsidR="006C7541" w:rsidRPr="00CA1467" w:rsidRDefault="006C7541" w:rsidP="008F12F0">
      <w:pPr>
        <w:pStyle w:val="Chapter3"/>
        <w:numPr>
          <w:ilvl w:val="0"/>
          <w:numId w:val="0"/>
        </w:numPr>
      </w:pPr>
    </w:p>
    <w:p w:rsidR="003C5C5C" w:rsidRPr="00CA1467" w:rsidRDefault="003C5C5C" w:rsidP="003C5C5C">
      <w:pPr>
        <w:pStyle w:val="Chapter3"/>
      </w:pPr>
      <w:r w:rsidRPr="00CA1467">
        <w:t xml:space="preserve">It should, however, be noted that if the trust makes a distribution of beneficiary income from LTC interests to the corporate, the corporate is looked through when determining the number of owners.  If it </w:t>
      </w:r>
      <w:proofErr w:type="gramStart"/>
      <w:r w:rsidRPr="00CA1467">
        <w:t>is</w:t>
      </w:r>
      <w:proofErr w:type="gramEnd"/>
      <w:r w:rsidRPr="00CA1467">
        <w:t xml:space="preserve"> widely held, then LTC status would be revoked.</w:t>
      </w:r>
    </w:p>
    <w:p w:rsidR="003C5C5C" w:rsidRPr="00CA1467" w:rsidRDefault="003C5C5C" w:rsidP="003C5C5C">
      <w:pPr>
        <w:pStyle w:val="Chapter3"/>
        <w:numPr>
          <w:ilvl w:val="0"/>
          <w:numId w:val="0"/>
        </w:numPr>
        <w:ind w:left="851"/>
      </w:pPr>
    </w:p>
    <w:p w:rsidR="00CA33EC" w:rsidRPr="00CA1467" w:rsidRDefault="003C5C5C" w:rsidP="003C5C5C">
      <w:pPr>
        <w:pStyle w:val="Chapter3"/>
      </w:pPr>
      <w:r w:rsidRPr="00CA1467">
        <w:t xml:space="preserve">In keeping with the exclusion of corporate shareholders, a company </w:t>
      </w:r>
      <w:proofErr w:type="gramStart"/>
      <w:r w:rsidRPr="00CA1467">
        <w:t>should not</w:t>
      </w:r>
      <w:r w:rsidR="00530DCA" w:rsidRPr="00CA1467">
        <w:t>,</w:t>
      </w:r>
      <w:r w:rsidRPr="00CA1467">
        <w:t xml:space="preserve"> in principle</w:t>
      </w:r>
      <w:r w:rsidR="00530DCA" w:rsidRPr="00CA1467">
        <w:t>,</w:t>
      </w:r>
      <w:r w:rsidRPr="00CA1467">
        <w:t xml:space="preserve"> be</w:t>
      </w:r>
      <w:proofErr w:type="gramEnd"/>
      <w:r w:rsidRPr="00CA1467">
        <w:t xml:space="preserve"> eligible for LTC status if a trustee shareholder has a corporate (non-LTC) beneficiary.  Given, however, that a number of LTCs may already have corporate beneficiaries, we are proposing that the requirement focus on distributions to corporate beneficiaries.  The proposal is that LTC status would cease from the beginning of the income year in which a distribution </w:t>
      </w:r>
      <w:proofErr w:type="gramStart"/>
      <w:r w:rsidRPr="00CA1467">
        <w:t>is made</w:t>
      </w:r>
      <w:proofErr w:type="gramEnd"/>
      <w:r w:rsidRPr="00CA1467">
        <w:t xml:space="preserve"> to a corporate beneficiary, irrespective of the number of natural person shareholders that it may have.</w:t>
      </w:r>
    </w:p>
    <w:p w:rsidR="00CA33EC" w:rsidRPr="00CA1467" w:rsidRDefault="00CA33EC" w:rsidP="008F12F0">
      <w:pPr>
        <w:pStyle w:val="Chapter3"/>
        <w:numPr>
          <w:ilvl w:val="0"/>
          <w:numId w:val="0"/>
        </w:numPr>
      </w:pPr>
    </w:p>
    <w:p w:rsidR="00C11945" w:rsidRDefault="00C11945">
      <w:pPr>
        <w:jc w:val="left"/>
        <w:rPr>
          <w:b/>
          <w:snapToGrid w:val="0"/>
          <w:sz w:val="20"/>
          <w:lang w:val="en-NZ" w:eastAsia="en-US"/>
        </w:rPr>
      </w:pPr>
      <w:r>
        <w:rPr>
          <w:b/>
          <w:sz w:val="20"/>
        </w:rPr>
        <w:br w:type="page"/>
      </w:r>
    </w:p>
    <w:p w:rsidR="003C5C5C" w:rsidRPr="00CA1467" w:rsidRDefault="006C7541" w:rsidP="006C7541">
      <w:pPr>
        <w:pStyle w:val="Chapter3"/>
        <w:numPr>
          <w:ilvl w:val="0"/>
          <w:numId w:val="0"/>
        </w:numPr>
        <w:pBdr>
          <w:top w:val="single" w:sz="4" w:space="10" w:color="auto"/>
          <w:left w:val="single" w:sz="4" w:space="10" w:color="auto"/>
          <w:bottom w:val="single" w:sz="4" w:space="10" w:color="auto"/>
          <w:right w:val="single" w:sz="4" w:space="10" w:color="auto"/>
        </w:pBdr>
        <w:rPr>
          <w:b/>
          <w:sz w:val="20"/>
        </w:rPr>
      </w:pPr>
      <w:r w:rsidRPr="00CA1467">
        <w:rPr>
          <w:b/>
          <w:sz w:val="20"/>
        </w:rPr>
        <w:t>Example</w:t>
      </w:r>
    </w:p>
    <w:p w:rsidR="006C7541" w:rsidRPr="00CA1467" w:rsidRDefault="006C7541" w:rsidP="006C7541">
      <w:pPr>
        <w:pStyle w:val="Chapter3"/>
        <w:numPr>
          <w:ilvl w:val="0"/>
          <w:numId w:val="0"/>
        </w:numPr>
        <w:pBdr>
          <w:top w:val="single" w:sz="4" w:space="10" w:color="auto"/>
          <w:left w:val="single" w:sz="4" w:space="10" w:color="auto"/>
          <w:bottom w:val="single" w:sz="4" w:space="10" w:color="auto"/>
          <w:right w:val="single" w:sz="4" w:space="10" w:color="auto"/>
        </w:pBdr>
        <w:rPr>
          <w:sz w:val="20"/>
        </w:rPr>
      </w:pPr>
    </w:p>
    <w:p w:rsidR="006C7541" w:rsidRPr="00CA1467" w:rsidRDefault="006C7541" w:rsidP="006C7541">
      <w:pPr>
        <w:pStyle w:val="Chapter3"/>
        <w:numPr>
          <w:ilvl w:val="0"/>
          <w:numId w:val="0"/>
        </w:numPr>
        <w:pBdr>
          <w:top w:val="single" w:sz="4" w:space="10" w:color="auto"/>
          <w:left w:val="single" w:sz="4" w:space="10" w:color="auto"/>
          <w:bottom w:val="single" w:sz="4" w:space="10" w:color="auto"/>
          <w:right w:val="single" w:sz="4" w:space="10" w:color="auto"/>
        </w:pBdr>
        <w:rPr>
          <w:sz w:val="20"/>
        </w:rPr>
      </w:pPr>
      <w:r w:rsidRPr="00CA1467">
        <w:rPr>
          <w:sz w:val="20"/>
        </w:rPr>
        <w:t>XYZ Trust owns shares in ABC Limited (a LTC) and makes a distribution of 2016</w:t>
      </w:r>
      <w:r w:rsidR="003D28D3">
        <w:rPr>
          <w:sz w:val="20"/>
        </w:rPr>
        <w:t>–</w:t>
      </w:r>
      <w:r w:rsidRPr="00CA1467">
        <w:rPr>
          <w:sz w:val="20"/>
        </w:rPr>
        <w:t>17 year income to Corporate Limited (a beneficiary of the trust that is not a LTC) in the 2017</w:t>
      </w:r>
      <w:r w:rsidR="00642796">
        <w:rPr>
          <w:sz w:val="20"/>
        </w:rPr>
        <w:t>–</w:t>
      </w:r>
      <w:r w:rsidRPr="00CA1467">
        <w:rPr>
          <w:sz w:val="20"/>
        </w:rPr>
        <w:t>18 income year.  LTC status would cease from the beginning of the 2017</w:t>
      </w:r>
      <w:r w:rsidR="00785952">
        <w:rPr>
          <w:sz w:val="20"/>
        </w:rPr>
        <w:t>–</w:t>
      </w:r>
      <w:r w:rsidRPr="00CA1467">
        <w:rPr>
          <w:sz w:val="20"/>
        </w:rPr>
        <w:t>18 income year.</w:t>
      </w:r>
    </w:p>
    <w:p w:rsidR="006C7541" w:rsidRPr="00CA1467" w:rsidRDefault="006C7541" w:rsidP="008F12F0">
      <w:pPr>
        <w:pStyle w:val="Chapter3"/>
        <w:numPr>
          <w:ilvl w:val="0"/>
          <w:numId w:val="0"/>
        </w:numPr>
      </w:pPr>
    </w:p>
    <w:p w:rsidR="006C7541" w:rsidRPr="00CA1467" w:rsidRDefault="006C7541" w:rsidP="008F12F0">
      <w:pPr>
        <w:pStyle w:val="Chapter3"/>
        <w:numPr>
          <w:ilvl w:val="0"/>
          <w:numId w:val="0"/>
        </w:numPr>
      </w:pPr>
    </w:p>
    <w:p w:rsidR="003C5C5C" w:rsidRPr="00CA1467" w:rsidRDefault="003C5C5C" w:rsidP="003C5C5C">
      <w:pPr>
        <w:pStyle w:val="Chapter3"/>
      </w:pPr>
      <w:r w:rsidRPr="00CA1467">
        <w:t xml:space="preserve">In the above example, LTC status is lost in the year of the distribution.  Ideally, if the distribution is from beneficiary income, then LTC status should be lost in the year that the beneficiary income </w:t>
      </w:r>
      <w:proofErr w:type="gramStart"/>
      <w:r w:rsidRPr="00CA1467">
        <w:t>is earned</w:t>
      </w:r>
      <w:proofErr w:type="gramEnd"/>
      <w:r w:rsidRPr="00CA1467">
        <w:t>, which in the above example would be the 2016–17 income year.  Because this would involve additional compliance costs in adjusting past tax payments and returns, we prefer to treat all distributions the same and to base the loss of status on the year of the distribution.</w:t>
      </w:r>
    </w:p>
    <w:p w:rsidR="003C5C5C" w:rsidRPr="00CA1467" w:rsidRDefault="003C5C5C" w:rsidP="003C5C5C">
      <w:pPr>
        <w:pStyle w:val="Chapter3"/>
        <w:numPr>
          <w:ilvl w:val="0"/>
          <w:numId w:val="0"/>
        </w:numPr>
        <w:ind w:left="851"/>
      </w:pPr>
    </w:p>
    <w:p w:rsidR="003C5C5C" w:rsidRPr="00CA1467" w:rsidRDefault="003C5C5C" w:rsidP="00750878">
      <w:pPr>
        <w:pStyle w:val="Heading2"/>
      </w:pPr>
      <w:r w:rsidRPr="00CA1467">
        <w:t>Other shareholders/beneficiaries</w:t>
      </w:r>
    </w:p>
    <w:p w:rsidR="003C5C5C" w:rsidRPr="00CA1467" w:rsidRDefault="003C5C5C" w:rsidP="003C5C5C">
      <w:pPr>
        <w:pStyle w:val="Chapter3"/>
        <w:numPr>
          <w:ilvl w:val="0"/>
          <w:numId w:val="0"/>
        </w:numPr>
        <w:ind w:left="851"/>
      </w:pPr>
    </w:p>
    <w:p w:rsidR="003C5C5C" w:rsidRPr="00CA1467" w:rsidRDefault="003C5C5C" w:rsidP="003C5C5C">
      <w:pPr>
        <w:pStyle w:val="Chapter3"/>
      </w:pPr>
      <w:r w:rsidRPr="00CA1467">
        <w:t xml:space="preserve">The above approach of looking through to the ultimate beneficiaries should extend to charities and </w:t>
      </w:r>
      <w:r w:rsidR="00813507" w:rsidRPr="00CA1467">
        <w:t>M</w:t>
      </w:r>
      <w:r w:rsidR="00813507">
        <w:t>ā</w:t>
      </w:r>
      <w:r w:rsidR="00813507" w:rsidRPr="00CA1467">
        <w:t xml:space="preserve">ori </w:t>
      </w:r>
      <w:r w:rsidRPr="00CA1467">
        <w:t>authorities given they are likely to have a wide set of beneficiaries.</w:t>
      </w:r>
    </w:p>
    <w:p w:rsidR="003C5C5C" w:rsidRPr="00CA1467" w:rsidRDefault="003C5C5C" w:rsidP="003C5C5C">
      <w:pPr>
        <w:pStyle w:val="Chapter3"/>
        <w:numPr>
          <w:ilvl w:val="0"/>
          <w:numId w:val="0"/>
        </w:numPr>
        <w:ind w:left="851"/>
      </w:pPr>
    </w:p>
    <w:p w:rsidR="003C5C5C" w:rsidRPr="00CA1467" w:rsidRDefault="003C5C5C" w:rsidP="00D4611B">
      <w:pPr>
        <w:pStyle w:val="Heading3"/>
      </w:pPr>
      <w:r w:rsidRPr="00CA1467">
        <w:t>Charities</w:t>
      </w:r>
    </w:p>
    <w:p w:rsidR="003C5C5C" w:rsidRPr="00CA1467" w:rsidRDefault="003C5C5C" w:rsidP="003C5C5C">
      <w:pPr>
        <w:pStyle w:val="Chapter3"/>
        <w:numPr>
          <w:ilvl w:val="0"/>
          <w:numId w:val="0"/>
        </w:numPr>
        <w:ind w:left="851"/>
      </w:pPr>
    </w:p>
    <w:p w:rsidR="003C5C5C" w:rsidRPr="00CA1467" w:rsidRDefault="003C5C5C" w:rsidP="003C5C5C">
      <w:pPr>
        <w:pStyle w:val="Chapter3"/>
      </w:pPr>
      <w:r w:rsidRPr="00CA1467">
        <w:t>Although not all charities are trusts, they nevertheless have to be carrying out a charitable purpose.</w:t>
      </w:r>
      <w:r w:rsidR="00C4314B" w:rsidRPr="002A6B04">
        <w:rPr>
          <w:rStyle w:val="FootnoteReference"/>
          <w:sz w:val="22"/>
          <w:szCs w:val="22"/>
        </w:rPr>
        <w:footnoteReference w:id="21"/>
      </w:r>
      <w:r w:rsidRPr="00CA1467">
        <w:t xml:space="preserve">  Most also have to meet a public benefit test, which implies that they need to have far more than five beneficiaries.  In these circumstances, rather than focusing on whether the charity is a trust, whether and when distributions </w:t>
      </w:r>
      <w:proofErr w:type="gramStart"/>
      <w:r w:rsidRPr="00CA1467">
        <w:t>have been made</w:t>
      </w:r>
      <w:proofErr w:type="gramEnd"/>
      <w:r w:rsidRPr="00CA1467">
        <w:t xml:space="preserve"> and whether there are more than five beneficiaries, it seems simpler, from a compliance perspective, to treat all charities the same.  The proposal is to exclude charities from being either shareholders in a LTC or beneficiaries of a shareholding trust.  This would not preclude charities from operating through other business structures.</w:t>
      </w:r>
    </w:p>
    <w:p w:rsidR="003C5C5C" w:rsidRPr="00CA1467" w:rsidRDefault="003C5C5C" w:rsidP="003C5C5C">
      <w:pPr>
        <w:pStyle w:val="Chapter3"/>
        <w:numPr>
          <w:ilvl w:val="0"/>
          <w:numId w:val="0"/>
        </w:numPr>
        <w:ind w:left="851"/>
      </w:pPr>
    </w:p>
    <w:p w:rsidR="003C5C5C" w:rsidRPr="00CA1467" w:rsidRDefault="003C5C5C" w:rsidP="003C5C5C">
      <w:pPr>
        <w:pStyle w:val="Chapter3"/>
      </w:pPr>
      <w:r w:rsidRPr="00CA1467">
        <w:t xml:space="preserve">LTCs or shareholding trusts may wish </w:t>
      </w:r>
      <w:proofErr w:type="gramStart"/>
      <w:r w:rsidRPr="00CA1467">
        <w:t>to alternatively make</w:t>
      </w:r>
      <w:proofErr w:type="gramEnd"/>
      <w:r w:rsidRPr="00CA1467">
        <w:t xml:space="preserve"> charitable donations.  Generally, we do not consider that such charitable donations made in the normal course of business would be a problem.  The only concern would be when regular donations </w:t>
      </w:r>
      <w:proofErr w:type="gramStart"/>
      <w:r w:rsidRPr="00CA1467">
        <w:t>were used</w:t>
      </w:r>
      <w:proofErr w:type="gramEnd"/>
      <w:r w:rsidRPr="00CA1467">
        <w:t xml:space="preserve"> as a proxy for LTC ownership.  Given that we do not want to discourage genuine charitable donations, we consider that there may be merit in having an explicit safe-harbour rule to provide greater certainty.  The rule would in effect allow a shareholding trust to donate up to 10</w:t>
      </w:r>
      <w:r w:rsidR="00BA0441">
        <w:t xml:space="preserve"> percent</w:t>
      </w:r>
      <w:r w:rsidR="00BA0441" w:rsidRPr="00CA1467">
        <w:t xml:space="preserve"> </w:t>
      </w:r>
      <w:r w:rsidRPr="00CA1467">
        <w:t>of the net income it receives from its look-through interest in any given year to charitable entities without bringing into question the status of the LTC.</w:t>
      </w:r>
    </w:p>
    <w:p w:rsidR="003C5C5C" w:rsidRDefault="003C5C5C" w:rsidP="003C5C5C">
      <w:pPr>
        <w:pStyle w:val="Chapter3"/>
        <w:numPr>
          <w:ilvl w:val="0"/>
          <w:numId w:val="0"/>
        </w:numPr>
        <w:ind w:left="851"/>
      </w:pPr>
    </w:p>
    <w:p w:rsidR="00C11945" w:rsidRDefault="00C11945" w:rsidP="003C5C5C">
      <w:pPr>
        <w:pStyle w:val="Chapter3"/>
        <w:numPr>
          <w:ilvl w:val="0"/>
          <w:numId w:val="0"/>
        </w:numPr>
        <w:ind w:left="851"/>
      </w:pPr>
    </w:p>
    <w:p w:rsidR="00C11945" w:rsidRPr="00CA1467" w:rsidRDefault="00C11945" w:rsidP="003C5C5C">
      <w:pPr>
        <w:pStyle w:val="Chapter3"/>
        <w:numPr>
          <w:ilvl w:val="0"/>
          <w:numId w:val="0"/>
        </w:numPr>
        <w:ind w:left="851"/>
      </w:pPr>
    </w:p>
    <w:p w:rsidR="003C5C5C" w:rsidRPr="00CA1467" w:rsidRDefault="003C5C5C" w:rsidP="00D4611B">
      <w:pPr>
        <w:pStyle w:val="Heading3"/>
      </w:pPr>
      <w:r w:rsidRPr="00CA1467">
        <w:t>Māori authorities</w:t>
      </w:r>
    </w:p>
    <w:p w:rsidR="003C5C5C" w:rsidRPr="00CA1467" w:rsidRDefault="003C5C5C" w:rsidP="003C5C5C">
      <w:pPr>
        <w:pStyle w:val="Chapter3"/>
        <w:numPr>
          <w:ilvl w:val="0"/>
          <w:numId w:val="0"/>
        </w:numPr>
        <w:ind w:left="851"/>
      </w:pPr>
    </w:p>
    <w:p w:rsidR="003C5C5C" w:rsidRPr="00CA1467" w:rsidRDefault="003C5C5C" w:rsidP="003C5C5C">
      <w:pPr>
        <w:pStyle w:val="Chapter3"/>
      </w:pPr>
      <w:r w:rsidRPr="00CA1467">
        <w:t xml:space="preserve">Māori authorities similarly have a wide number of beneficiaries and, therefore, </w:t>
      </w:r>
      <w:proofErr w:type="gramStart"/>
      <w:r w:rsidRPr="00CA1467">
        <w:t>should also</w:t>
      </w:r>
      <w:proofErr w:type="gramEnd"/>
      <w:r w:rsidRPr="00CA1467">
        <w:t xml:space="preserve"> automatically be precluded from being shareholders in a LTC, either directly or indirectly.  An implication would be that a </w:t>
      </w:r>
      <w:r w:rsidR="00642796" w:rsidRPr="00CA1467">
        <w:t>M</w:t>
      </w:r>
      <w:r w:rsidR="00642796">
        <w:t>ā</w:t>
      </w:r>
      <w:r w:rsidR="00642796" w:rsidRPr="00CA1467">
        <w:t xml:space="preserve">ori </w:t>
      </w:r>
      <w:r w:rsidRPr="00CA1467">
        <w:t xml:space="preserve">authority’s separate corporate business activity would be taxed at the standard company rate of 28%, as intended, rather than at the </w:t>
      </w:r>
      <w:r w:rsidR="00642796" w:rsidRPr="00CA1467">
        <w:t>M</w:t>
      </w:r>
      <w:r w:rsidR="00642796">
        <w:t>ā</w:t>
      </w:r>
      <w:r w:rsidR="00642796" w:rsidRPr="00CA1467">
        <w:t xml:space="preserve">ori </w:t>
      </w:r>
      <w:r w:rsidRPr="00CA1467">
        <w:t>authority rate of 17.5%.</w:t>
      </w:r>
    </w:p>
    <w:p w:rsidR="003C5C5C" w:rsidRPr="00CA1467" w:rsidRDefault="003C5C5C" w:rsidP="003C5C5C">
      <w:pPr>
        <w:pStyle w:val="Chapter3"/>
        <w:numPr>
          <w:ilvl w:val="0"/>
          <w:numId w:val="0"/>
        </w:numPr>
        <w:ind w:left="851"/>
      </w:pPr>
    </w:p>
    <w:p w:rsidR="003C5C5C" w:rsidRPr="00CA1467" w:rsidRDefault="003C5C5C" w:rsidP="003C5C5C">
      <w:pPr>
        <w:pStyle w:val="Chapter3"/>
      </w:pPr>
      <w:r w:rsidRPr="00CA1467">
        <w:t>Our understanding is that these proposed restrictions would not have a significant impact on either charities or M</w:t>
      </w:r>
      <w:r w:rsidR="00642796">
        <w:t>ā</w:t>
      </w:r>
      <w:r w:rsidRPr="00CA1467">
        <w:t>ori authorities, but feedback on this point is invited.</w:t>
      </w:r>
    </w:p>
    <w:p w:rsidR="003C5C5C" w:rsidRPr="00CA1467" w:rsidRDefault="003C5C5C" w:rsidP="003C5C5C">
      <w:pPr>
        <w:pStyle w:val="Chapter3"/>
        <w:numPr>
          <w:ilvl w:val="0"/>
          <w:numId w:val="0"/>
        </w:numPr>
        <w:ind w:left="851"/>
      </w:pPr>
    </w:p>
    <w:p w:rsidR="00C11581" w:rsidRDefault="00C11581">
      <w:pPr>
        <w:jc w:val="left"/>
        <w:rPr>
          <w:snapToGrid w:val="0"/>
          <w:lang w:val="en-NZ" w:eastAsia="en-US"/>
        </w:rPr>
      </w:pPr>
      <w:r>
        <w:br w:type="page"/>
      </w:r>
    </w:p>
    <w:p w:rsidR="00926D28" w:rsidRPr="00CA1467" w:rsidRDefault="00926D28" w:rsidP="008F12F0">
      <w:pPr>
        <w:pStyle w:val="Chapter3"/>
        <w:numPr>
          <w:ilvl w:val="0"/>
          <w:numId w:val="0"/>
        </w:numPr>
        <w:ind w:left="851" w:hanging="851"/>
      </w:pPr>
    </w:p>
    <w:p w:rsidR="00CA33EC" w:rsidRPr="00CA1467" w:rsidRDefault="00CA33EC" w:rsidP="00D10025">
      <w:pPr>
        <w:pStyle w:val="Chapterheading"/>
      </w:pPr>
      <w:r w:rsidRPr="00CA1467">
        <w:br w:type="page"/>
      </w:r>
      <w:bookmarkStart w:id="51" w:name="_Toc147568004"/>
      <w:bookmarkStart w:id="52" w:name="_Toc419712215"/>
      <w:bookmarkStart w:id="53" w:name="_Toc419721181"/>
      <w:bookmarkStart w:id="54" w:name="_Toc429151487"/>
      <w:bookmarkStart w:id="55" w:name="_Toc429379732"/>
      <w:bookmarkStart w:id="56" w:name="_Toc429399986"/>
      <w:bookmarkStart w:id="57" w:name="_Toc429400086"/>
      <w:bookmarkStart w:id="58" w:name="_Toc429409174"/>
      <w:bookmarkStart w:id="59" w:name="_Toc429412433"/>
      <w:bookmarkStart w:id="60" w:name="_Toc429417848"/>
      <w:bookmarkStart w:id="61" w:name="_Toc429419973"/>
      <w:bookmarkStart w:id="62" w:name="_Toc429469454"/>
      <w:r w:rsidR="001005B7" w:rsidRPr="00CA1467">
        <w:t xml:space="preserve">CHAPTER </w:t>
      </w:r>
      <w:r w:rsidRPr="00CA1467">
        <w:t>4</w:t>
      </w:r>
      <w:bookmarkEnd w:id="51"/>
      <w:bookmarkEnd w:id="52"/>
      <w:bookmarkEnd w:id="53"/>
      <w:bookmarkEnd w:id="54"/>
      <w:bookmarkEnd w:id="55"/>
      <w:bookmarkEnd w:id="56"/>
      <w:bookmarkEnd w:id="57"/>
      <w:bookmarkEnd w:id="58"/>
      <w:bookmarkEnd w:id="59"/>
      <w:bookmarkEnd w:id="60"/>
      <w:bookmarkEnd w:id="61"/>
      <w:bookmarkEnd w:id="62"/>
    </w:p>
    <w:p w:rsidR="00CA33EC" w:rsidRPr="00CA1467" w:rsidRDefault="00CA33EC" w:rsidP="00D10025">
      <w:pPr>
        <w:pStyle w:val="Chapterheading"/>
      </w:pPr>
    </w:p>
    <w:p w:rsidR="00CA33EC" w:rsidRPr="00CA1467" w:rsidRDefault="004D5B39" w:rsidP="00D10025">
      <w:pPr>
        <w:pStyle w:val="Chapterheading"/>
      </w:pPr>
      <w:bookmarkStart w:id="63" w:name="_Toc429469455"/>
      <w:r w:rsidRPr="00CA1467">
        <w:rPr>
          <w:caps w:val="0"/>
        </w:rPr>
        <w:t>International aspects – foreign income and non-resident ownership</w:t>
      </w:r>
      <w:bookmarkEnd w:id="63"/>
    </w:p>
    <w:p w:rsidR="00CA33EC" w:rsidRPr="00CA1467" w:rsidRDefault="00CA33EC" w:rsidP="008F12F0">
      <w:pPr>
        <w:pStyle w:val="Chapter4"/>
        <w:numPr>
          <w:ilvl w:val="0"/>
          <w:numId w:val="0"/>
        </w:numPr>
        <w:ind w:left="851" w:hanging="851"/>
      </w:pPr>
    </w:p>
    <w:p w:rsidR="004D5B39" w:rsidRPr="00CA1467" w:rsidRDefault="004D5B39" w:rsidP="004D5B39">
      <w:pPr>
        <w:pStyle w:val="Chapter4"/>
        <w:numPr>
          <w:ilvl w:val="0"/>
          <w:numId w:val="0"/>
        </w:numPr>
      </w:pPr>
    </w:p>
    <w:p w:rsidR="004D5B39" w:rsidRPr="00CA1467" w:rsidRDefault="004D5B39" w:rsidP="00575E11">
      <w:pPr>
        <w:pStyle w:val="Heading1"/>
      </w:pPr>
      <w:bookmarkStart w:id="64" w:name="_Toc429469456"/>
      <w:r w:rsidRPr="00CA1467">
        <w:t>Introduction</w:t>
      </w:r>
      <w:bookmarkEnd w:id="64"/>
    </w:p>
    <w:p w:rsidR="004D5B39" w:rsidRPr="00CA1467" w:rsidRDefault="004D5B39" w:rsidP="004D5B39">
      <w:pPr>
        <w:pStyle w:val="Chapter4"/>
        <w:numPr>
          <w:ilvl w:val="0"/>
          <w:numId w:val="0"/>
        </w:numPr>
        <w:ind w:left="851"/>
      </w:pPr>
    </w:p>
    <w:p w:rsidR="004D5B39" w:rsidRPr="00CA1467" w:rsidRDefault="004D5B39" w:rsidP="004D5B39">
      <w:pPr>
        <w:pStyle w:val="Chapter4"/>
      </w:pPr>
      <w:r w:rsidRPr="00CA1467">
        <w:t>Currently there is no restriction on foreign investments by LTCs or on a LTC having non-resident shareholders.  A LTC can earn foreign income and, unlike a QC, is not restricted to earning a maximum of $10,000 non-dividend foreign income.</w:t>
      </w:r>
    </w:p>
    <w:p w:rsidR="004D5B39" w:rsidRPr="00CA1467" w:rsidRDefault="004D5B39" w:rsidP="004D5B39">
      <w:pPr>
        <w:pStyle w:val="Chapter4"/>
        <w:numPr>
          <w:ilvl w:val="0"/>
          <w:numId w:val="0"/>
        </w:numPr>
        <w:ind w:left="851"/>
      </w:pPr>
    </w:p>
    <w:p w:rsidR="004D5B39" w:rsidRPr="00CA1467" w:rsidRDefault="004D5B39" w:rsidP="004D5B39">
      <w:pPr>
        <w:pStyle w:val="Chapter4"/>
      </w:pPr>
      <w:r w:rsidRPr="00CA1467">
        <w:t>This open approach raises several policy issues:</w:t>
      </w:r>
    </w:p>
    <w:p w:rsidR="004D5B39" w:rsidRPr="00CA1467" w:rsidRDefault="004D5B39" w:rsidP="004D5B39">
      <w:pPr>
        <w:pStyle w:val="Chapter4"/>
        <w:numPr>
          <w:ilvl w:val="0"/>
          <w:numId w:val="0"/>
        </w:numPr>
        <w:ind w:left="851"/>
      </w:pPr>
    </w:p>
    <w:p w:rsidR="004D5B39" w:rsidRPr="00CA1467" w:rsidRDefault="004D5B39" w:rsidP="00575E11">
      <w:pPr>
        <w:pStyle w:val="Bullets"/>
      </w:pPr>
      <w:r w:rsidRPr="00CA1467">
        <w:t>it allows LTCs to be used to avoid the features of the imputation system that apply to foreign income and allows branch losses to be applied against individual income; and</w:t>
      </w:r>
    </w:p>
    <w:p w:rsidR="004D5B39" w:rsidRPr="00CA1467" w:rsidRDefault="004D5B39" w:rsidP="00D34A33">
      <w:pPr>
        <w:pStyle w:val="Bullets"/>
        <w:spacing w:after="0"/>
      </w:pPr>
      <w:proofErr w:type="gramStart"/>
      <w:r w:rsidRPr="00CA1467">
        <w:t>it</w:t>
      </w:r>
      <w:proofErr w:type="gramEnd"/>
      <w:r w:rsidRPr="00CA1467">
        <w:t xml:space="preserve"> provides a relatively low-cost conduit structure for non-residents to utilise.</w:t>
      </w:r>
    </w:p>
    <w:p w:rsidR="004D5B39" w:rsidRPr="00CA1467" w:rsidRDefault="004D5B39" w:rsidP="004D5B39">
      <w:pPr>
        <w:pStyle w:val="Chapter4"/>
        <w:numPr>
          <w:ilvl w:val="0"/>
          <w:numId w:val="0"/>
        </w:numPr>
        <w:ind w:left="851"/>
      </w:pPr>
    </w:p>
    <w:p w:rsidR="004D5B39" w:rsidRPr="00CA1467" w:rsidRDefault="004D5B39" w:rsidP="004D5B39">
      <w:pPr>
        <w:pStyle w:val="Chapter4"/>
      </w:pPr>
      <w:r w:rsidRPr="00CA1467">
        <w:t xml:space="preserve">The issue of whether LTCs </w:t>
      </w:r>
      <w:proofErr w:type="gramStart"/>
      <w:r w:rsidRPr="00CA1467">
        <w:t>should be used</w:t>
      </w:r>
      <w:proofErr w:type="gramEnd"/>
      <w:r w:rsidRPr="00CA1467">
        <w:t xml:space="preserve"> as a vehicle for cross-border investment has not been closely examined from a policy perspective before.  A key aspect to consider is whether the rules for LTCs in respect of cross-border investment are consistent with the general policies underpinning New Zealand’s international tax rules more generally.  There are also some concerns that LTCs </w:t>
      </w:r>
      <w:proofErr w:type="gramStart"/>
      <w:r w:rsidRPr="00CA1467">
        <w:t>could be used</w:t>
      </w:r>
      <w:proofErr w:type="gramEnd"/>
      <w:r w:rsidRPr="00CA1467">
        <w:t xml:space="preserve"> as part of a conduit arrangement.</w:t>
      </w:r>
    </w:p>
    <w:p w:rsidR="004D5B39" w:rsidRPr="00CA1467" w:rsidRDefault="004D5B39" w:rsidP="004D5B39">
      <w:pPr>
        <w:pStyle w:val="Chapter4"/>
        <w:numPr>
          <w:ilvl w:val="0"/>
          <w:numId w:val="0"/>
        </w:numPr>
        <w:ind w:left="851"/>
      </w:pPr>
    </w:p>
    <w:p w:rsidR="004D5B39" w:rsidRPr="00CA1467" w:rsidRDefault="004D5B39" w:rsidP="004D5B39">
      <w:pPr>
        <w:pStyle w:val="Chapter4"/>
        <w:numPr>
          <w:ilvl w:val="0"/>
          <w:numId w:val="0"/>
        </w:numPr>
        <w:ind w:left="851"/>
      </w:pPr>
    </w:p>
    <w:p w:rsidR="004D5B39" w:rsidRPr="00CA1467" w:rsidRDefault="004D5B39" w:rsidP="00575E11">
      <w:pPr>
        <w:pStyle w:val="Heading1"/>
      </w:pPr>
      <w:bookmarkStart w:id="65" w:name="_Toc429469457"/>
      <w:r w:rsidRPr="00CA1467">
        <w:t>Policy considerations</w:t>
      </w:r>
      <w:bookmarkEnd w:id="65"/>
    </w:p>
    <w:p w:rsidR="004D5B39" w:rsidRPr="00CA1467" w:rsidRDefault="004D5B39" w:rsidP="004D5B39">
      <w:pPr>
        <w:pStyle w:val="Chapter4"/>
        <w:numPr>
          <w:ilvl w:val="0"/>
          <w:numId w:val="0"/>
        </w:numPr>
        <w:ind w:left="851"/>
      </w:pPr>
    </w:p>
    <w:p w:rsidR="004D5B39" w:rsidRPr="00CA1467" w:rsidRDefault="004D5B39" w:rsidP="004D5B39">
      <w:pPr>
        <w:pStyle w:val="Chapter4"/>
      </w:pPr>
      <w:r w:rsidRPr="00CA1467">
        <w:t>There are three scenarios in the international context:</w:t>
      </w:r>
    </w:p>
    <w:p w:rsidR="004D5B39" w:rsidRPr="00CA1467" w:rsidRDefault="004D5B39" w:rsidP="004D5B39">
      <w:pPr>
        <w:pStyle w:val="Chapter4"/>
        <w:numPr>
          <w:ilvl w:val="0"/>
          <w:numId w:val="0"/>
        </w:numPr>
        <w:ind w:left="851"/>
      </w:pPr>
    </w:p>
    <w:p w:rsidR="004D5B39" w:rsidRPr="00CA1467" w:rsidRDefault="004D5B39" w:rsidP="00575E11">
      <w:pPr>
        <w:pStyle w:val="Bullets"/>
      </w:pPr>
      <w:proofErr w:type="gramStart"/>
      <w:r w:rsidRPr="00CA1467">
        <w:t>A non-resident investing in New Zealand assets through a LTC.</w:t>
      </w:r>
      <w:proofErr w:type="gramEnd"/>
    </w:p>
    <w:p w:rsidR="004D5B39" w:rsidRPr="00CA1467" w:rsidRDefault="004D5B39" w:rsidP="00575E11">
      <w:pPr>
        <w:pStyle w:val="Bullets"/>
      </w:pPr>
      <w:proofErr w:type="gramStart"/>
      <w:r w:rsidRPr="00CA1467">
        <w:t>A New Zealand resident investing offshore through a LTC.</w:t>
      </w:r>
      <w:proofErr w:type="gramEnd"/>
    </w:p>
    <w:p w:rsidR="004D5B39" w:rsidRPr="00CA1467" w:rsidRDefault="004D5B39" w:rsidP="00563F15">
      <w:pPr>
        <w:pStyle w:val="Bullets"/>
        <w:spacing w:after="0"/>
      </w:pPr>
      <w:r w:rsidRPr="00CA1467">
        <w:t>A LTC owned by a non-resident with only foreign assets (the conduit case).</w:t>
      </w:r>
    </w:p>
    <w:p w:rsidR="004D5B39" w:rsidRPr="00CA1467" w:rsidRDefault="004D5B39" w:rsidP="004D5B39">
      <w:pPr>
        <w:pStyle w:val="Chapter4"/>
        <w:numPr>
          <w:ilvl w:val="0"/>
          <w:numId w:val="0"/>
        </w:numPr>
        <w:ind w:left="851"/>
      </w:pPr>
    </w:p>
    <w:p w:rsidR="004D5B39" w:rsidRPr="00CA1467" w:rsidRDefault="004D5B39" w:rsidP="00575E11">
      <w:pPr>
        <w:pStyle w:val="Heading2"/>
      </w:pPr>
      <w:r w:rsidRPr="00CA1467">
        <w:t xml:space="preserve">A non-resident investing in New Zealand assets through a LTC </w:t>
      </w:r>
    </w:p>
    <w:p w:rsidR="004D5B39" w:rsidRPr="00CA1467" w:rsidRDefault="004D5B39" w:rsidP="00575E11">
      <w:pPr>
        <w:pStyle w:val="Chapter4"/>
        <w:numPr>
          <w:ilvl w:val="0"/>
          <w:numId w:val="0"/>
        </w:numPr>
        <w:ind w:left="851"/>
      </w:pPr>
    </w:p>
    <w:p w:rsidR="004D5B39" w:rsidRPr="00CA1467" w:rsidRDefault="004D5B39" w:rsidP="00575E11">
      <w:pPr>
        <w:pStyle w:val="Chapter4"/>
      </w:pPr>
      <w:r w:rsidRPr="00CA1467">
        <w:t xml:space="preserve">In respect of the first scenario, flow-through treatment means that the non-resident owner of the LTC </w:t>
      </w:r>
      <w:proofErr w:type="gramStart"/>
      <w:r w:rsidRPr="00CA1467">
        <w:t>will be taxed</w:t>
      </w:r>
      <w:proofErr w:type="gramEnd"/>
      <w:r w:rsidRPr="00CA1467">
        <w:t xml:space="preserve"> only on the</w:t>
      </w:r>
      <w:r w:rsidR="0020206F">
        <w:t>ir</w:t>
      </w:r>
      <w:r w:rsidRPr="00CA1467">
        <w:t xml:space="preserve"> New</w:t>
      </w:r>
      <w:r w:rsidR="00061838">
        <w:t xml:space="preserve"> </w:t>
      </w:r>
      <w:r w:rsidRPr="00CA1467">
        <w:t>Zealand</w:t>
      </w:r>
      <w:r w:rsidR="00061838">
        <w:t>-</w:t>
      </w:r>
      <w:r w:rsidRPr="00CA1467">
        <w:t xml:space="preserve">sourced income.  Source taxation </w:t>
      </w:r>
      <w:proofErr w:type="gramStart"/>
      <w:r w:rsidRPr="00CA1467">
        <w:t>may also be reduced or eliminated under New Zealand’s double tax agreements</w:t>
      </w:r>
      <w:proofErr w:type="gramEnd"/>
      <w:r w:rsidRPr="00CA1467">
        <w:t>.</w:t>
      </w:r>
      <w:r w:rsidRPr="00CA1467">
        <w:cr/>
      </w:r>
    </w:p>
    <w:p w:rsidR="004D5B39" w:rsidRPr="00CA1467" w:rsidRDefault="004D5B39" w:rsidP="004D5B39">
      <w:pPr>
        <w:pStyle w:val="Chapter4"/>
      </w:pPr>
      <w:r w:rsidRPr="00CA1467">
        <w:t xml:space="preserve">In this context hybrid entity mismatches where an entity </w:t>
      </w:r>
      <w:proofErr w:type="gramStart"/>
      <w:r w:rsidRPr="00CA1467">
        <w:t>is treated</w:t>
      </w:r>
      <w:proofErr w:type="gramEnd"/>
      <w:r w:rsidRPr="00CA1467">
        <w:t xml:space="preserve"> as flow-through in one country but not in another, which could be the case with LTCs,</w:t>
      </w:r>
      <w:r w:rsidR="00C4314B" w:rsidRPr="002A6B04">
        <w:rPr>
          <w:rStyle w:val="FootnoteReference"/>
          <w:sz w:val="22"/>
          <w:szCs w:val="22"/>
        </w:rPr>
        <w:footnoteReference w:id="22"/>
      </w:r>
      <w:r w:rsidRPr="00CA1467">
        <w:t xml:space="preserve"> are under scrutiny by the OECD as part of its work on base erosion and profit shifting (BEPS).  The OECD is developing recommendations for domestic rules intended to neutralise the tax effect of hybrid mismatches and New Zealand is looking at the suitability of implementing these recommendations.</w:t>
      </w:r>
    </w:p>
    <w:p w:rsidR="004D5B39" w:rsidRPr="00CA1467" w:rsidRDefault="004D5B39" w:rsidP="004D5B39">
      <w:pPr>
        <w:pStyle w:val="Chapter4"/>
        <w:numPr>
          <w:ilvl w:val="0"/>
          <w:numId w:val="0"/>
        </w:numPr>
        <w:ind w:left="851"/>
      </w:pPr>
    </w:p>
    <w:p w:rsidR="004D5B39" w:rsidRPr="00CA1467" w:rsidRDefault="004D5B39" w:rsidP="00575E11">
      <w:pPr>
        <w:pStyle w:val="Heading2"/>
      </w:pPr>
      <w:r w:rsidRPr="00CA1467">
        <w:t>A New Zealand resident investing offshore through a LTC</w:t>
      </w:r>
    </w:p>
    <w:p w:rsidR="004D5B39" w:rsidRPr="00CA1467" w:rsidRDefault="004D5B39" w:rsidP="004D5B39">
      <w:pPr>
        <w:pStyle w:val="Chapter4"/>
        <w:numPr>
          <w:ilvl w:val="0"/>
          <w:numId w:val="0"/>
        </w:numPr>
        <w:ind w:left="851"/>
      </w:pPr>
    </w:p>
    <w:p w:rsidR="004D5B39" w:rsidRPr="00CA1467" w:rsidRDefault="004D5B39" w:rsidP="004D5B39">
      <w:pPr>
        <w:pStyle w:val="Chapter4"/>
      </w:pPr>
      <w:r w:rsidRPr="00CA1467">
        <w:t xml:space="preserve">As discussed earlier, LTCs </w:t>
      </w:r>
      <w:proofErr w:type="gramStart"/>
      <w:r w:rsidRPr="00CA1467">
        <w:t>are designed</w:t>
      </w:r>
      <w:proofErr w:type="gramEnd"/>
      <w:r w:rsidRPr="00CA1467">
        <w:t xml:space="preserve"> for investments that would be made by an individual or small group of individuals, including through a family trust, but for the fact that the investors decide on a limited liability structure.  This prevents tax being a distorting factor in what would otherwise be a commercial decision to incorporate.  This distortion is less obvious when it comes to some forms of outbound investment.  In many situations, making a significant outbound active investment, which typically is of a more significant scale, without the protection of a limited liability structure for the offshore investment would not be commercially realistic.</w:t>
      </w:r>
    </w:p>
    <w:p w:rsidR="004D5B39" w:rsidRPr="00CA1467" w:rsidRDefault="004D5B39" w:rsidP="004D5B39">
      <w:pPr>
        <w:pStyle w:val="Chapter4"/>
        <w:numPr>
          <w:ilvl w:val="0"/>
          <w:numId w:val="0"/>
        </w:numPr>
        <w:ind w:left="851"/>
      </w:pPr>
    </w:p>
    <w:p w:rsidR="004D5B39" w:rsidRPr="00CA1467" w:rsidRDefault="004D5B39" w:rsidP="004D5B39">
      <w:pPr>
        <w:pStyle w:val="Chapter4"/>
      </w:pPr>
      <w:r w:rsidRPr="00CA1467">
        <w:t xml:space="preserve">The QC regime requires that a company cannot earn more than $10,000 </w:t>
      </w:r>
      <w:r w:rsidR="00197EF4">
        <w:t>a year</w:t>
      </w:r>
      <w:r w:rsidRPr="00CA1467">
        <w:t xml:space="preserve"> of non-dividend foreign income.  The reason for this requirement was </w:t>
      </w:r>
      <w:proofErr w:type="gramStart"/>
      <w:r w:rsidRPr="00CA1467">
        <w:t>largely because of</w:t>
      </w:r>
      <w:proofErr w:type="gramEnd"/>
      <w:r w:rsidRPr="00CA1467">
        <w:t xml:space="preserve"> the concern that some foreign income earned at the QC level could be distributed to shareholders tax-free, as unimputed dividends paid by QCs are tax exempt.  At the </w:t>
      </w:r>
      <w:proofErr w:type="gramStart"/>
      <w:r w:rsidRPr="00CA1467">
        <w:t>time</w:t>
      </w:r>
      <w:proofErr w:type="gramEnd"/>
      <w:r w:rsidRPr="00CA1467">
        <w:t xml:space="preserve"> the LTC rules were being developed, a similar restriction was considered not to be necessary because the look-through mechanism would ensure that foreign income would be taxed at the appropriate marginal tax rate when attributed to shareholders.  However, the availability of foreign tax credits to offset some or all of the New Zealand tax owing adds a further overlay.</w:t>
      </w:r>
    </w:p>
    <w:p w:rsidR="004D5B39" w:rsidRPr="00CA1467" w:rsidRDefault="004D5B39" w:rsidP="004D5B39">
      <w:pPr>
        <w:pStyle w:val="Chapter4"/>
        <w:numPr>
          <w:ilvl w:val="0"/>
          <w:numId w:val="0"/>
        </w:numPr>
        <w:ind w:left="851"/>
      </w:pPr>
    </w:p>
    <w:p w:rsidR="004D5B39" w:rsidRPr="00CA1467" w:rsidRDefault="004D5B39" w:rsidP="004D5B39">
      <w:pPr>
        <w:pStyle w:val="Chapter4"/>
      </w:pPr>
      <w:r w:rsidRPr="00CA1467">
        <w:t xml:space="preserve">New Zealand’s imputation system means that preferences earned by companies, such as foreign tax credits, </w:t>
      </w:r>
      <w:proofErr w:type="gramStart"/>
      <w:r w:rsidRPr="00CA1467">
        <w:t>are not passed through</w:t>
      </w:r>
      <w:proofErr w:type="gramEnd"/>
      <w:r w:rsidRPr="00CA1467">
        <w:t xml:space="preserve"> to shareholders.</w:t>
      </w:r>
      <w:r w:rsidR="00B275DE" w:rsidRPr="002A6B04">
        <w:rPr>
          <w:rStyle w:val="FootnoteReference"/>
          <w:sz w:val="22"/>
          <w:szCs w:val="22"/>
        </w:rPr>
        <w:footnoteReference w:id="23"/>
      </w:r>
      <w:r w:rsidRPr="00CA1467">
        <w:t xml:space="preserve">  This has been a cornerstone of New Zealand tax policy since the late 1980s.</w:t>
      </w:r>
      <w:r w:rsidR="00B275DE" w:rsidRPr="002A6B04">
        <w:rPr>
          <w:rStyle w:val="FootnoteReference"/>
          <w:sz w:val="22"/>
          <w:szCs w:val="22"/>
        </w:rPr>
        <w:footnoteReference w:id="24"/>
      </w:r>
      <w:r w:rsidRPr="00CA1467">
        <w:t xml:space="preserve">  Arguably, allowing LTCs to earn significant income offshore is not consistent with this policy given that any foreign tax credits flow through to LTC shareholders.  On the other hand, the counter argument is that those credits would be available if the individual shareholders invested directly.</w:t>
      </w:r>
    </w:p>
    <w:p w:rsidR="004D5B39" w:rsidRPr="00CA1467" w:rsidRDefault="004D5B39" w:rsidP="004D5B39">
      <w:pPr>
        <w:pStyle w:val="Chapter4"/>
        <w:numPr>
          <w:ilvl w:val="0"/>
          <w:numId w:val="0"/>
        </w:numPr>
        <w:ind w:left="851"/>
      </w:pPr>
    </w:p>
    <w:p w:rsidR="004D5B39" w:rsidRPr="00CA1467" w:rsidRDefault="004D5B39" w:rsidP="004D5B39">
      <w:pPr>
        <w:pStyle w:val="Chapter4"/>
      </w:pPr>
      <w:r w:rsidRPr="00CA1467">
        <w:t xml:space="preserve">LTCs also allow foreign branch losses to </w:t>
      </w:r>
      <w:proofErr w:type="gramStart"/>
      <w:r w:rsidRPr="00CA1467">
        <w:t>be applied</w:t>
      </w:r>
      <w:proofErr w:type="gramEnd"/>
      <w:r w:rsidRPr="00CA1467">
        <w:t xml:space="preserve"> against individual income, which creates a coherence risk.  This is because the branch </w:t>
      </w:r>
      <w:proofErr w:type="gramStart"/>
      <w:r w:rsidRPr="00CA1467">
        <w:t>may be converted</w:t>
      </w:r>
      <w:proofErr w:type="gramEnd"/>
      <w:r w:rsidRPr="00CA1467">
        <w:t xml:space="preserve"> to a foreign company when it becomes profitable and, therefore, the foreign branch loss is never recaptured by future foreign income – instead it is available to offset domestic income.  This possibility can arise with company offshore investment generally, although in the case of a LTC there may be an additional risk from being able to flow losses back to shareholders where they </w:t>
      </w:r>
      <w:proofErr w:type="gramStart"/>
      <w:r w:rsidRPr="00CA1467">
        <w:t>can be offset</w:t>
      </w:r>
      <w:proofErr w:type="gramEnd"/>
      <w:r w:rsidRPr="00CA1467">
        <w:t xml:space="preserve"> against the shareholder’s non-business income.</w:t>
      </w:r>
    </w:p>
    <w:p w:rsidR="009F78F2" w:rsidRPr="00CA1467" w:rsidRDefault="009F78F2" w:rsidP="00D03E14">
      <w:pPr>
        <w:pStyle w:val="Chapter4"/>
        <w:numPr>
          <w:ilvl w:val="0"/>
          <w:numId w:val="0"/>
        </w:numPr>
        <w:ind w:left="851"/>
      </w:pPr>
    </w:p>
    <w:p w:rsidR="009F78F2" w:rsidRPr="00CA1467" w:rsidRDefault="009F78F2" w:rsidP="004D5B39">
      <w:pPr>
        <w:pStyle w:val="Chapter4"/>
      </w:pPr>
      <w:r w:rsidRPr="00CA1467">
        <w:t>Foreign personal services income, on the other hand, may not raise the same concerns.  Also, the concerns around direct outbound investment via LTCs may not be an issue in practice as only a very small proportion of LTCs (around 0.5</w:t>
      </w:r>
      <w:r w:rsidR="00BA0441">
        <w:t xml:space="preserve"> percent</w:t>
      </w:r>
      <w:r w:rsidR="00BA0441" w:rsidRPr="00CA1467">
        <w:t xml:space="preserve">) </w:t>
      </w:r>
      <w:r w:rsidRPr="00CA1467">
        <w:t xml:space="preserve">earn foreign income and the vast bulk of those that do, earn less than $10,000 of foreign income (see Tables </w:t>
      </w:r>
      <w:r w:rsidR="00402BE3">
        <w:t>11</w:t>
      </w:r>
      <w:r w:rsidRPr="00CA1467">
        <w:t xml:space="preserve"> and </w:t>
      </w:r>
      <w:r w:rsidR="00402BE3">
        <w:t>12</w:t>
      </w:r>
      <w:r w:rsidRPr="00CA1467">
        <w:t xml:space="preserve"> in Appendix </w:t>
      </w:r>
      <w:r w:rsidR="005C29C2">
        <w:t xml:space="preserve">1 </w:t>
      </w:r>
      <w:r w:rsidRPr="00CA1467">
        <w:t>for more detail).</w:t>
      </w:r>
    </w:p>
    <w:p w:rsidR="00CA33EC" w:rsidRPr="00CA1467" w:rsidRDefault="00CA33EC" w:rsidP="009F78F2">
      <w:pPr>
        <w:pStyle w:val="Chapter4"/>
        <w:numPr>
          <w:ilvl w:val="0"/>
          <w:numId w:val="0"/>
        </w:numPr>
        <w:jc w:val="left"/>
      </w:pPr>
    </w:p>
    <w:p w:rsidR="00E5663D" w:rsidRPr="00CA1467" w:rsidRDefault="00E5663D">
      <w:pPr>
        <w:pStyle w:val="Chapter4"/>
        <w:numPr>
          <w:ilvl w:val="0"/>
          <w:numId w:val="0"/>
        </w:numPr>
        <w:spacing w:after="200"/>
        <w:jc w:val="left"/>
        <w:rPr>
          <w:b/>
        </w:rPr>
      </w:pPr>
      <w:r w:rsidRPr="00CA1467">
        <w:rPr>
          <w:b/>
        </w:rPr>
        <w:t>Table 4: Foreign income/losses and foreign tax credits earned by LTCs</w:t>
      </w:r>
    </w:p>
    <w:tbl>
      <w:tblPr>
        <w:tblStyle w:val="TableGrid"/>
        <w:tblW w:w="0" w:type="auto"/>
        <w:tblInd w:w="63" w:type="dxa"/>
        <w:tblLook w:val="04A0" w:firstRow="1" w:lastRow="0" w:firstColumn="1" w:lastColumn="0" w:noHBand="0" w:noVBand="1"/>
      </w:tblPr>
      <w:tblGrid>
        <w:gridCol w:w="1134"/>
        <w:gridCol w:w="1687"/>
        <w:gridCol w:w="1411"/>
        <w:gridCol w:w="1411"/>
        <w:gridCol w:w="1411"/>
        <w:gridCol w:w="1411"/>
      </w:tblGrid>
      <w:tr w:rsidR="00E5663D" w:rsidRPr="00CA1467" w:rsidTr="00750878">
        <w:tc>
          <w:tcPr>
            <w:tcW w:w="1134" w:type="dxa"/>
            <w:tcBorders>
              <w:top w:val="nil"/>
              <w:left w:val="nil"/>
            </w:tcBorders>
          </w:tcPr>
          <w:p w:rsidR="00E5663D" w:rsidRPr="00CA1467" w:rsidRDefault="00E5663D" w:rsidP="00AF753F">
            <w:pPr>
              <w:pStyle w:val="Chapter4"/>
              <w:numPr>
                <w:ilvl w:val="0"/>
                <w:numId w:val="0"/>
              </w:numPr>
              <w:spacing w:before="80" w:after="80"/>
              <w:rPr>
                <w:sz w:val="20"/>
              </w:rPr>
            </w:pPr>
          </w:p>
        </w:tc>
        <w:tc>
          <w:tcPr>
            <w:tcW w:w="1687" w:type="dxa"/>
          </w:tcPr>
          <w:p w:rsidR="00E5663D" w:rsidRPr="00CA1467" w:rsidRDefault="00E5663D" w:rsidP="00AF753F">
            <w:pPr>
              <w:pStyle w:val="Chapter4"/>
              <w:numPr>
                <w:ilvl w:val="0"/>
                <w:numId w:val="0"/>
              </w:numPr>
              <w:spacing w:before="120" w:after="120"/>
              <w:jc w:val="center"/>
              <w:rPr>
                <w:b/>
                <w:sz w:val="20"/>
              </w:rPr>
            </w:pPr>
            <w:r w:rsidRPr="00CA1467">
              <w:rPr>
                <w:b/>
                <w:sz w:val="20"/>
              </w:rPr>
              <w:t>Number of LTCs with foreign income</w:t>
            </w:r>
          </w:p>
        </w:tc>
        <w:tc>
          <w:tcPr>
            <w:tcW w:w="1411" w:type="dxa"/>
          </w:tcPr>
          <w:p w:rsidR="00E5663D" w:rsidRPr="00CA1467" w:rsidRDefault="00E5663D" w:rsidP="00AF753F">
            <w:pPr>
              <w:pStyle w:val="Chapter4"/>
              <w:numPr>
                <w:ilvl w:val="0"/>
                <w:numId w:val="0"/>
              </w:numPr>
              <w:spacing w:before="120" w:after="120"/>
              <w:jc w:val="center"/>
              <w:rPr>
                <w:b/>
                <w:sz w:val="20"/>
              </w:rPr>
            </w:pPr>
            <w:r w:rsidRPr="00CA1467">
              <w:rPr>
                <w:b/>
                <w:sz w:val="20"/>
              </w:rPr>
              <w:t>Total foreign income</w:t>
            </w:r>
          </w:p>
        </w:tc>
        <w:tc>
          <w:tcPr>
            <w:tcW w:w="1411" w:type="dxa"/>
          </w:tcPr>
          <w:p w:rsidR="00E5663D" w:rsidRPr="00CA1467" w:rsidRDefault="00E5663D" w:rsidP="00AF753F">
            <w:pPr>
              <w:pStyle w:val="Chapter4"/>
              <w:numPr>
                <w:ilvl w:val="0"/>
                <w:numId w:val="0"/>
              </w:numPr>
              <w:spacing w:before="120" w:after="120"/>
              <w:jc w:val="center"/>
              <w:rPr>
                <w:b/>
                <w:sz w:val="20"/>
              </w:rPr>
            </w:pPr>
            <w:r w:rsidRPr="00CA1467">
              <w:rPr>
                <w:b/>
                <w:sz w:val="20"/>
              </w:rPr>
              <w:t>Total FTCs</w:t>
            </w:r>
          </w:p>
        </w:tc>
        <w:tc>
          <w:tcPr>
            <w:tcW w:w="1411" w:type="dxa"/>
          </w:tcPr>
          <w:p w:rsidR="00E5663D" w:rsidRPr="00CA1467" w:rsidRDefault="00E5663D" w:rsidP="00AF753F">
            <w:pPr>
              <w:pStyle w:val="Chapter4"/>
              <w:numPr>
                <w:ilvl w:val="0"/>
                <w:numId w:val="0"/>
              </w:numPr>
              <w:spacing w:before="120" w:after="120"/>
              <w:jc w:val="center"/>
              <w:rPr>
                <w:b/>
                <w:sz w:val="20"/>
              </w:rPr>
            </w:pPr>
            <w:r w:rsidRPr="00CA1467">
              <w:rPr>
                <w:b/>
                <w:sz w:val="20"/>
              </w:rPr>
              <w:t>Number of LTCs with foreign losses</w:t>
            </w:r>
          </w:p>
        </w:tc>
        <w:tc>
          <w:tcPr>
            <w:tcW w:w="1411" w:type="dxa"/>
          </w:tcPr>
          <w:p w:rsidR="00E5663D" w:rsidRPr="00CA1467" w:rsidRDefault="00E5663D" w:rsidP="00AF753F">
            <w:pPr>
              <w:pStyle w:val="Chapter4"/>
              <w:numPr>
                <w:ilvl w:val="0"/>
                <w:numId w:val="0"/>
              </w:numPr>
              <w:spacing w:before="120" w:after="120"/>
              <w:jc w:val="center"/>
              <w:rPr>
                <w:b/>
                <w:sz w:val="20"/>
              </w:rPr>
            </w:pPr>
            <w:r w:rsidRPr="00CA1467">
              <w:rPr>
                <w:b/>
                <w:sz w:val="20"/>
              </w:rPr>
              <w:t>Total foreign losses</w:t>
            </w:r>
          </w:p>
        </w:tc>
      </w:tr>
      <w:tr w:rsidR="00E5663D" w:rsidRPr="00CA1467" w:rsidTr="00750878">
        <w:tc>
          <w:tcPr>
            <w:tcW w:w="1134" w:type="dxa"/>
          </w:tcPr>
          <w:p w:rsidR="00E5663D" w:rsidRPr="00CA1467" w:rsidRDefault="00E5663D" w:rsidP="00AF753F">
            <w:pPr>
              <w:pStyle w:val="Chapter4"/>
              <w:numPr>
                <w:ilvl w:val="0"/>
                <w:numId w:val="0"/>
              </w:numPr>
              <w:spacing w:before="80" w:after="80"/>
              <w:rPr>
                <w:sz w:val="20"/>
              </w:rPr>
            </w:pPr>
            <w:r w:rsidRPr="00CA1467">
              <w:rPr>
                <w:sz w:val="20"/>
              </w:rPr>
              <w:t>2012</w:t>
            </w:r>
          </w:p>
        </w:tc>
        <w:tc>
          <w:tcPr>
            <w:tcW w:w="1687" w:type="dxa"/>
          </w:tcPr>
          <w:p w:rsidR="00E5663D" w:rsidRPr="00CA1467" w:rsidRDefault="00E5663D" w:rsidP="00AF753F">
            <w:pPr>
              <w:pStyle w:val="Chapter4"/>
              <w:numPr>
                <w:ilvl w:val="0"/>
                <w:numId w:val="0"/>
              </w:numPr>
              <w:spacing w:before="80" w:after="80"/>
              <w:jc w:val="center"/>
              <w:rPr>
                <w:sz w:val="20"/>
              </w:rPr>
            </w:pPr>
            <w:r w:rsidRPr="00CA1467">
              <w:rPr>
                <w:sz w:val="20"/>
              </w:rPr>
              <w:t>184</w:t>
            </w:r>
          </w:p>
        </w:tc>
        <w:tc>
          <w:tcPr>
            <w:tcW w:w="1411" w:type="dxa"/>
          </w:tcPr>
          <w:p w:rsidR="00E5663D" w:rsidRPr="00CA1467" w:rsidRDefault="00E5663D" w:rsidP="00AF753F">
            <w:pPr>
              <w:pStyle w:val="Chapter4"/>
              <w:numPr>
                <w:ilvl w:val="0"/>
                <w:numId w:val="0"/>
              </w:numPr>
              <w:tabs>
                <w:tab w:val="right" w:pos="858"/>
              </w:tabs>
              <w:spacing w:before="80" w:after="80"/>
              <w:ind w:right="242"/>
              <w:jc w:val="right"/>
              <w:rPr>
                <w:sz w:val="20"/>
              </w:rPr>
            </w:pPr>
            <w:r w:rsidRPr="00CA1467">
              <w:rPr>
                <w:sz w:val="20"/>
              </w:rPr>
              <w:t>$217.1m</w:t>
            </w:r>
          </w:p>
        </w:tc>
        <w:tc>
          <w:tcPr>
            <w:tcW w:w="1411" w:type="dxa"/>
          </w:tcPr>
          <w:p w:rsidR="00E5663D" w:rsidRPr="00CA1467" w:rsidRDefault="00E5663D" w:rsidP="00AF753F">
            <w:pPr>
              <w:pStyle w:val="Chapter4"/>
              <w:numPr>
                <w:ilvl w:val="0"/>
                <w:numId w:val="0"/>
              </w:numPr>
              <w:spacing w:before="80" w:after="80"/>
              <w:jc w:val="center"/>
              <w:rPr>
                <w:sz w:val="20"/>
              </w:rPr>
            </w:pPr>
            <w:r w:rsidRPr="00CA1467">
              <w:rPr>
                <w:sz w:val="20"/>
              </w:rPr>
              <w:t>$7.2m</w:t>
            </w:r>
          </w:p>
        </w:tc>
        <w:tc>
          <w:tcPr>
            <w:tcW w:w="1411" w:type="dxa"/>
          </w:tcPr>
          <w:p w:rsidR="00E5663D" w:rsidRPr="00CA1467" w:rsidRDefault="00E5663D" w:rsidP="00AF753F">
            <w:pPr>
              <w:pStyle w:val="Chapter4"/>
              <w:numPr>
                <w:ilvl w:val="0"/>
                <w:numId w:val="0"/>
              </w:numPr>
              <w:spacing w:before="80" w:after="80"/>
              <w:jc w:val="center"/>
              <w:rPr>
                <w:sz w:val="20"/>
              </w:rPr>
            </w:pPr>
            <w:r w:rsidRPr="00CA1467">
              <w:rPr>
                <w:sz w:val="20"/>
              </w:rPr>
              <w:t>14</w:t>
            </w:r>
          </w:p>
        </w:tc>
        <w:tc>
          <w:tcPr>
            <w:tcW w:w="1411" w:type="dxa"/>
          </w:tcPr>
          <w:p w:rsidR="00E5663D" w:rsidRPr="00CA1467" w:rsidRDefault="00E5663D" w:rsidP="00AF753F">
            <w:pPr>
              <w:pStyle w:val="Chapter4"/>
              <w:numPr>
                <w:ilvl w:val="0"/>
                <w:numId w:val="0"/>
              </w:numPr>
              <w:spacing w:before="80" w:after="80"/>
              <w:jc w:val="center"/>
              <w:rPr>
                <w:sz w:val="20"/>
              </w:rPr>
            </w:pPr>
            <w:r w:rsidRPr="00CA1467">
              <w:rPr>
                <w:sz w:val="20"/>
              </w:rPr>
              <w:t>-$0.2m</w:t>
            </w:r>
          </w:p>
        </w:tc>
      </w:tr>
      <w:tr w:rsidR="00E5663D" w:rsidRPr="00CA1467" w:rsidTr="00750878">
        <w:tc>
          <w:tcPr>
            <w:tcW w:w="1134" w:type="dxa"/>
          </w:tcPr>
          <w:p w:rsidR="00E5663D" w:rsidRPr="00CA1467" w:rsidRDefault="00E5663D" w:rsidP="00AF753F">
            <w:pPr>
              <w:pStyle w:val="Chapter4"/>
              <w:numPr>
                <w:ilvl w:val="0"/>
                <w:numId w:val="0"/>
              </w:numPr>
              <w:spacing w:before="80" w:after="80"/>
              <w:rPr>
                <w:sz w:val="20"/>
              </w:rPr>
            </w:pPr>
            <w:r w:rsidRPr="00CA1467">
              <w:rPr>
                <w:sz w:val="20"/>
              </w:rPr>
              <w:t>2013</w:t>
            </w:r>
          </w:p>
        </w:tc>
        <w:tc>
          <w:tcPr>
            <w:tcW w:w="1687" w:type="dxa"/>
          </w:tcPr>
          <w:p w:rsidR="00E5663D" w:rsidRPr="00CA1467" w:rsidRDefault="00E5663D" w:rsidP="00AF753F">
            <w:pPr>
              <w:pStyle w:val="Chapter4"/>
              <w:numPr>
                <w:ilvl w:val="0"/>
                <w:numId w:val="0"/>
              </w:numPr>
              <w:spacing w:before="80" w:after="80"/>
              <w:jc w:val="center"/>
              <w:rPr>
                <w:sz w:val="20"/>
              </w:rPr>
            </w:pPr>
            <w:r w:rsidRPr="00CA1467">
              <w:rPr>
                <w:sz w:val="20"/>
              </w:rPr>
              <w:t>239</w:t>
            </w:r>
          </w:p>
        </w:tc>
        <w:tc>
          <w:tcPr>
            <w:tcW w:w="1411" w:type="dxa"/>
          </w:tcPr>
          <w:p w:rsidR="00E5663D" w:rsidRPr="00CA1467" w:rsidRDefault="00E5663D" w:rsidP="00AF753F">
            <w:pPr>
              <w:pStyle w:val="Chapter4"/>
              <w:numPr>
                <w:ilvl w:val="0"/>
                <w:numId w:val="0"/>
              </w:numPr>
              <w:tabs>
                <w:tab w:val="right" w:pos="858"/>
              </w:tabs>
              <w:spacing w:before="80" w:after="80"/>
              <w:ind w:right="242"/>
              <w:jc w:val="right"/>
              <w:rPr>
                <w:sz w:val="20"/>
              </w:rPr>
            </w:pPr>
            <w:r w:rsidRPr="00CA1467">
              <w:rPr>
                <w:sz w:val="20"/>
              </w:rPr>
              <w:t>$29.8m</w:t>
            </w:r>
          </w:p>
        </w:tc>
        <w:tc>
          <w:tcPr>
            <w:tcW w:w="1411" w:type="dxa"/>
          </w:tcPr>
          <w:p w:rsidR="00E5663D" w:rsidRPr="00CA1467" w:rsidRDefault="00E5663D" w:rsidP="00AF753F">
            <w:pPr>
              <w:pStyle w:val="Chapter4"/>
              <w:numPr>
                <w:ilvl w:val="0"/>
                <w:numId w:val="0"/>
              </w:numPr>
              <w:spacing w:before="80" w:after="80"/>
              <w:jc w:val="center"/>
              <w:rPr>
                <w:sz w:val="20"/>
              </w:rPr>
            </w:pPr>
            <w:r w:rsidRPr="00CA1467">
              <w:rPr>
                <w:sz w:val="20"/>
              </w:rPr>
              <w:t>$6.7m</w:t>
            </w:r>
          </w:p>
        </w:tc>
        <w:tc>
          <w:tcPr>
            <w:tcW w:w="1411" w:type="dxa"/>
          </w:tcPr>
          <w:p w:rsidR="00E5663D" w:rsidRPr="00CA1467" w:rsidRDefault="00E5663D" w:rsidP="00AF753F">
            <w:pPr>
              <w:pStyle w:val="Chapter4"/>
              <w:numPr>
                <w:ilvl w:val="0"/>
                <w:numId w:val="0"/>
              </w:numPr>
              <w:spacing w:before="80" w:after="80"/>
              <w:jc w:val="center"/>
              <w:rPr>
                <w:sz w:val="20"/>
              </w:rPr>
            </w:pPr>
            <w:r w:rsidRPr="00CA1467">
              <w:rPr>
                <w:sz w:val="20"/>
              </w:rPr>
              <w:t>21</w:t>
            </w:r>
          </w:p>
        </w:tc>
        <w:tc>
          <w:tcPr>
            <w:tcW w:w="1411" w:type="dxa"/>
          </w:tcPr>
          <w:p w:rsidR="00E5663D" w:rsidRPr="00CA1467" w:rsidRDefault="00E5663D" w:rsidP="00AF753F">
            <w:pPr>
              <w:pStyle w:val="Chapter4"/>
              <w:numPr>
                <w:ilvl w:val="0"/>
                <w:numId w:val="0"/>
              </w:numPr>
              <w:spacing w:before="80" w:after="80"/>
              <w:jc w:val="center"/>
              <w:rPr>
                <w:sz w:val="20"/>
              </w:rPr>
            </w:pPr>
            <w:r w:rsidRPr="00CA1467">
              <w:rPr>
                <w:sz w:val="20"/>
              </w:rPr>
              <w:t>-$1.4m</w:t>
            </w:r>
          </w:p>
        </w:tc>
      </w:tr>
      <w:tr w:rsidR="00E5663D" w:rsidRPr="00CA1467" w:rsidTr="00750878">
        <w:tc>
          <w:tcPr>
            <w:tcW w:w="1134" w:type="dxa"/>
          </w:tcPr>
          <w:p w:rsidR="00E5663D" w:rsidRPr="00CA1467" w:rsidRDefault="00E5663D" w:rsidP="00AF753F">
            <w:pPr>
              <w:pStyle w:val="Chapter4"/>
              <w:numPr>
                <w:ilvl w:val="0"/>
                <w:numId w:val="0"/>
              </w:numPr>
              <w:spacing w:before="80" w:after="80"/>
              <w:rPr>
                <w:sz w:val="20"/>
              </w:rPr>
            </w:pPr>
            <w:r w:rsidRPr="00CA1467">
              <w:rPr>
                <w:sz w:val="20"/>
              </w:rPr>
              <w:t>2014*</w:t>
            </w:r>
          </w:p>
        </w:tc>
        <w:tc>
          <w:tcPr>
            <w:tcW w:w="1687" w:type="dxa"/>
          </w:tcPr>
          <w:p w:rsidR="00E5663D" w:rsidRPr="00CA1467" w:rsidRDefault="00E5663D" w:rsidP="00AF753F">
            <w:pPr>
              <w:pStyle w:val="Chapter4"/>
              <w:numPr>
                <w:ilvl w:val="0"/>
                <w:numId w:val="0"/>
              </w:numPr>
              <w:spacing w:before="80" w:after="80"/>
              <w:jc w:val="center"/>
              <w:rPr>
                <w:sz w:val="20"/>
              </w:rPr>
            </w:pPr>
            <w:r w:rsidRPr="00CA1467">
              <w:rPr>
                <w:sz w:val="20"/>
              </w:rPr>
              <w:t>273</w:t>
            </w:r>
          </w:p>
        </w:tc>
        <w:tc>
          <w:tcPr>
            <w:tcW w:w="1411" w:type="dxa"/>
          </w:tcPr>
          <w:p w:rsidR="00E5663D" w:rsidRPr="00CA1467" w:rsidRDefault="00E5663D" w:rsidP="00AF753F">
            <w:pPr>
              <w:pStyle w:val="Chapter4"/>
              <w:numPr>
                <w:ilvl w:val="0"/>
                <w:numId w:val="0"/>
              </w:numPr>
              <w:tabs>
                <w:tab w:val="right" w:pos="858"/>
              </w:tabs>
              <w:spacing w:before="80" w:after="80"/>
              <w:ind w:right="242"/>
              <w:jc w:val="right"/>
              <w:rPr>
                <w:sz w:val="20"/>
              </w:rPr>
            </w:pPr>
            <w:r w:rsidRPr="00CA1467">
              <w:rPr>
                <w:sz w:val="20"/>
              </w:rPr>
              <w:t>$36.2m</w:t>
            </w:r>
          </w:p>
        </w:tc>
        <w:tc>
          <w:tcPr>
            <w:tcW w:w="1411" w:type="dxa"/>
          </w:tcPr>
          <w:p w:rsidR="00E5663D" w:rsidRPr="00CA1467" w:rsidRDefault="00E5663D" w:rsidP="00AF753F">
            <w:pPr>
              <w:pStyle w:val="Chapter4"/>
              <w:numPr>
                <w:ilvl w:val="0"/>
                <w:numId w:val="0"/>
              </w:numPr>
              <w:spacing w:before="80" w:after="80"/>
              <w:jc w:val="center"/>
              <w:rPr>
                <w:sz w:val="20"/>
              </w:rPr>
            </w:pPr>
            <w:r w:rsidRPr="00CA1467">
              <w:rPr>
                <w:sz w:val="20"/>
              </w:rPr>
              <w:t>$6.0m</w:t>
            </w:r>
          </w:p>
        </w:tc>
        <w:tc>
          <w:tcPr>
            <w:tcW w:w="1411" w:type="dxa"/>
          </w:tcPr>
          <w:p w:rsidR="00E5663D" w:rsidRPr="00CA1467" w:rsidRDefault="00E5663D" w:rsidP="00AF753F">
            <w:pPr>
              <w:pStyle w:val="Chapter4"/>
              <w:numPr>
                <w:ilvl w:val="0"/>
                <w:numId w:val="0"/>
              </w:numPr>
              <w:spacing w:before="80" w:after="80"/>
              <w:jc w:val="center"/>
              <w:rPr>
                <w:sz w:val="20"/>
              </w:rPr>
            </w:pPr>
            <w:r w:rsidRPr="00CA1467">
              <w:rPr>
                <w:sz w:val="20"/>
              </w:rPr>
              <w:t>24</w:t>
            </w:r>
          </w:p>
        </w:tc>
        <w:tc>
          <w:tcPr>
            <w:tcW w:w="1411" w:type="dxa"/>
          </w:tcPr>
          <w:p w:rsidR="00E5663D" w:rsidRPr="00CA1467" w:rsidRDefault="00E5663D" w:rsidP="00AF753F">
            <w:pPr>
              <w:pStyle w:val="Chapter4"/>
              <w:numPr>
                <w:ilvl w:val="0"/>
                <w:numId w:val="0"/>
              </w:numPr>
              <w:spacing w:before="80" w:after="80"/>
              <w:jc w:val="center"/>
              <w:rPr>
                <w:sz w:val="20"/>
              </w:rPr>
            </w:pPr>
            <w:r w:rsidRPr="00CA1467">
              <w:rPr>
                <w:sz w:val="20"/>
              </w:rPr>
              <w:t>-$3.9m</w:t>
            </w:r>
          </w:p>
        </w:tc>
      </w:tr>
    </w:tbl>
    <w:p w:rsidR="009F78F2" w:rsidRPr="00CA1467" w:rsidRDefault="00E5663D" w:rsidP="00750878">
      <w:pPr>
        <w:pStyle w:val="Chapter4"/>
        <w:numPr>
          <w:ilvl w:val="0"/>
          <w:numId w:val="0"/>
        </w:numPr>
        <w:jc w:val="left"/>
        <w:rPr>
          <w:sz w:val="20"/>
        </w:rPr>
      </w:pPr>
      <w:r w:rsidRPr="00CA1467">
        <w:rPr>
          <w:sz w:val="20"/>
        </w:rPr>
        <w:t>*almost a complete year</w:t>
      </w:r>
    </w:p>
    <w:p w:rsidR="00E5663D" w:rsidRPr="00CA1467" w:rsidRDefault="00E5663D" w:rsidP="008F12F0">
      <w:pPr>
        <w:pStyle w:val="Chapter4"/>
        <w:numPr>
          <w:ilvl w:val="0"/>
          <w:numId w:val="0"/>
        </w:numPr>
        <w:ind w:left="851" w:hanging="851"/>
      </w:pPr>
    </w:p>
    <w:p w:rsidR="009F78F2" w:rsidRPr="00CA1467" w:rsidRDefault="009F78F2" w:rsidP="009F78F2">
      <w:pPr>
        <w:pStyle w:val="Heading2"/>
      </w:pPr>
      <w:r w:rsidRPr="00CA1467">
        <w:t>Conduit investments</w:t>
      </w:r>
    </w:p>
    <w:p w:rsidR="009F78F2" w:rsidRPr="00CA1467" w:rsidRDefault="009F78F2" w:rsidP="009F78F2">
      <w:pPr>
        <w:pStyle w:val="Chapter4"/>
        <w:numPr>
          <w:ilvl w:val="0"/>
          <w:numId w:val="0"/>
        </w:numPr>
        <w:ind w:left="851"/>
      </w:pPr>
    </w:p>
    <w:p w:rsidR="009F78F2" w:rsidRPr="00CA1467" w:rsidRDefault="009F78F2" w:rsidP="009F78F2">
      <w:pPr>
        <w:pStyle w:val="Chapter4"/>
      </w:pPr>
      <w:r w:rsidRPr="00CA1467">
        <w:t xml:space="preserve">LTCs </w:t>
      </w:r>
      <w:proofErr w:type="gramStart"/>
      <w:r w:rsidRPr="00CA1467">
        <w:t>were designed</w:t>
      </w:r>
      <w:proofErr w:type="gramEnd"/>
      <w:r w:rsidRPr="00CA1467">
        <w:t xml:space="preserve"> as a domestically focussed vehicle, not as a vehicle for conduit investment.  There are reputational risks with allowing conduit structures and there is some anecdotal evidence that LTCs </w:t>
      </w:r>
      <w:proofErr w:type="gramStart"/>
      <w:r w:rsidRPr="00CA1467">
        <w:t>have been used</w:t>
      </w:r>
      <w:proofErr w:type="gramEnd"/>
      <w:r w:rsidRPr="00CA1467">
        <w:t xml:space="preserve"> to facilitate illegal activity, though they are not the only vehicle to be so used.</w:t>
      </w:r>
    </w:p>
    <w:p w:rsidR="009F78F2" w:rsidRPr="00CA1467" w:rsidRDefault="009F78F2" w:rsidP="009F78F2">
      <w:pPr>
        <w:pStyle w:val="Chapter4"/>
        <w:numPr>
          <w:ilvl w:val="0"/>
          <w:numId w:val="0"/>
        </w:numPr>
        <w:ind w:left="851"/>
      </w:pPr>
    </w:p>
    <w:p w:rsidR="009F78F2" w:rsidRPr="00CA1467" w:rsidRDefault="009F78F2" w:rsidP="009F78F2">
      <w:pPr>
        <w:pStyle w:val="Chapter4"/>
      </w:pPr>
      <w:r w:rsidRPr="00CA1467">
        <w:t xml:space="preserve">In saying this, however, it </w:t>
      </w:r>
      <w:proofErr w:type="gramStart"/>
      <w:r w:rsidRPr="00CA1467">
        <w:t>is not intended</w:t>
      </w:r>
      <w:proofErr w:type="gramEnd"/>
      <w:r w:rsidRPr="00CA1467">
        <w:t xml:space="preserve"> to deny access to the LTC regime when shareholders have a connection to New Zealand and there are no potential reputational concerns, such as if a New Zealand family business has a shareholder that relocates to Australia for personal reasons.</w:t>
      </w:r>
    </w:p>
    <w:p w:rsidR="009F78F2" w:rsidRPr="00CA1467" w:rsidRDefault="009F78F2" w:rsidP="009F78F2">
      <w:pPr>
        <w:pStyle w:val="Chapter4"/>
        <w:numPr>
          <w:ilvl w:val="0"/>
          <w:numId w:val="0"/>
        </w:numPr>
        <w:ind w:left="851"/>
      </w:pPr>
    </w:p>
    <w:p w:rsidR="009F78F2" w:rsidRPr="00CA1467" w:rsidRDefault="009F78F2" w:rsidP="009F78F2">
      <w:pPr>
        <w:pStyle w:val="Chapter4"/>
      </w:pPr>
      <w:r w:rsidRPr="00CA1467">
        <w:t xml:space="preserve">Apart from reputational risks, there is the question of whether there </w:t>
      </w:r>
      <w:proofErr w:type="gramStart"/>
      <w:r w:rsidRPr="00CA1467">
        <w:t>are</w:t>
      </w:r>
      <w:proofErr w:type="gramEnd"/>
      <w:r w:rsidRPr="00CA1467">
        <w:t xml:space="preserve"> revenue risks associated with allowing conduit investments via a LTC.  Our conclusion is that although there is some risk, it is not a major issue, for the following reasons:</w:t>
      </w:r>
    </w:p>
    <w:p w:rsidR="009F78F2" w:rsidRPr="00CA1467" w:rsidRDefault="009F78F2" w:rsidP="009F78F2">
      <w:pPr>
        <w:pStyle w:val="Chapter4"/>
        <w:numPr>
          <w:ilvl w:val="0"/>
          <w:numId w:val="0"/>
        </w:numPr>
        <w:ind w:left="851"/>
      </w:pPr>
    </w:p>
    <w:p w:rsidR="009F78F2" w:rsidRPr="00CA1467" w:rsidRDefault="009F78F2" w:rsidP="009F78F2">
      <w:pPr>
        <w:pStyle w:val="Bullets"/>
      </w:pPr>
      <w:r w:rsidRPr="00CA1467">
        <w:t>Unlike ordinary companies, LTCs do not benefit from the interest deduction provision (section DB 7 of the Income Tax Act) that provides that a company’s interest expenses require no nexus with income to be deductible.  This means that, on its face, a non-resident shareholder in a LTC could not deduct their share of a LTC’s interest expense incurred to derive foreign income.</w:t>
      </w:r>
    </w:p>
    <w:p w:rsidR="009F78F2" w:rsidRPr="00CA1467" w:rsidRDefault="009F78F2" w:rsidP="00563F15">
      <w:pPr>
        <w:pStyle w:val="Bullets"/>
        <w:spacing w:after="0"/>
      </w:pPr>
      <w:r w:rsidRPr="00CA1467">
        <w:t xml:space="preserve">Furthermore, an interest expense incurred by a LTC will be subject to the thin capitalisation rules to the extent it </w:t>
      </w:r>
      <w:proofErr w:type="gramStart"/>
      <w:r w:rsidRPr="00CA1467">
        <w:t>is owned</w:t>
      </w:r>
      <w:proofErr w:type="gramEnd"/>
      <w:r w:rsidRPr="00CA1467">
        <w:t xml:space="preserve"> by non-residents.  The thin capitalisation rules restrict debt deductions based on a person’s assets that are within the New Zealand tax base.  As such, a non-resident with shares in a LTC with both foreign and New Zealand assets will not be able to deduct any more interest under the thin capitalisation rules than if the LTC had only New Zealand assets.  There is scope however, for LTCs to </w:t>
      </w:r>
      <w:proofErr w:type="gramStart"/>
      <w:r w:rsidRPr="00CA1467">
        <w:t>be geared up</w:t>
      </w:r>
      <w:proofErr w:type="gramEnd"/>
      <w:r w:rsidRPr="00CA1467">
        <w:t xml:space="preserve"> to the 60</w:t>
      </w:r>
      <w:r w:rsidR="00BA0441">
        <w:t xml:space="preserve"> percent</w:t>
      </w:r>
      <w:r w:rsidR="00BA0441" w:rsidRPr="00CA1467">
        <w:t xml:space="preserve"> </w:t>
      </w:r>
      <w:r w:rsidRPr="00CA1467">
        <w:t>safe harbour – even if that funding is, in substance, being used to fund offshore assets.</w:t>
      </w:r>
    </w:p>
    <w:p w:rsidR="009F78F2" w:rsidRPr="00CA1467" w:rsidRDefault="009F78F2" w:rsidP="009F78F2">
      <w:pPr>
        <w:pStyle w:val="Chapter4"/>
        <w:numPr>
          <w:ilvl w:val="0"/>
          <w:numId w:val="0"/>
        </w:numPr>
        <w:ind w:left="851"/>
      </w:pPr>
    </w:p>
    <w:p w:rsidR="009F78F2" w:rsidRPr="00CA1467" w:rsidRDefault="009F78F2" w:rsidP="009F78F2">
      <w:pPr>
        <w:pStyle w:val="Heading1"/>
      </w:pPr>
      <w:bookmarkStart w:id="66" w:name="_Toc429469458"/>
      <w:r w:rsidRPr="00CA1467">
        <w:t>Proposed approach</w:t>
      </w:r>
      <w:bookmarkEnd w:id="66"/>
    </w:p>
    <w:p w:rsidR="009F78F2" w:rsidRPr="00CA1467" w:rsidRDefault="009F78F2" w:rsidP="009F78F2">
      <w:pPr>
        <w:pStyle w:val="Chapter4"/>
        <w:numPr>
          <w:ilvl w:val="0"/>
          <w:numId w:val="0"/>
        </w:numPr>
        <w:ind w:left="851"/>
      </w:pPr>
    </w:p>
    <w:p w:rsidR="009F78F2" w:rsidRPr="00CA1467" w:rsidRDefault="009F78F2" w:rsidP="009F78F2">
      <w:pPr>
        <w:pStyle w:val="Chapter4"/>
      </w:pPr>
      <w:r w:rsidRPr="00CA1467">
        <w:t xml:space="preserve">We consider the status quo should be retained for LTCs that are used </w:t>
      </w:r>
      <w:proofErr w:type="gramStart"/>
      <w:r w:rsidRPr="00CA1467">
        <w:t>either for onshore investment into New Zealand or offshore</w:t>
      </w:r>
      <w:proofErr w:type="gramEnd"/>
      <w:r w:rsidRPr="00CA1467">
        <w:t xml:space="preserve"> investment out of New Zealand.  This is an “on-balance” decision </w:t>
      </w:r>
      <w:proofErr w:type="gramStart"/>
      <w:r w:rsidRPr="00CA1467">
        <w:t>taking all the above factors into account</w:t>
      </w:r>
      <w:proofErr w:type="gramEnd"/>
      <w:r w:rsidRPr="00CA1467">
        <w:t>.  If, in the future, concerns emerged about the efficacy of the imputation system or about the material erosion of the tax base, we would need to revisit this decision.  In doing so, we would want to consider the use of similar vehicles such as limited partnerships and trusts for inbound and outbound investment.</w:t>
      </w:r>
    </w:p>
    <w:p w:rsidR="009F78F2" w:rsidRPr="00CA1467" w:rsidRDefault="009F78F2" w:rsidP="009F78F2">
      <w:pPr>
        <w:pStyle w:val="Chapter4"/>
        <w:numPr>
          <w:ilvl w:val="0"/>
          <w:numId w:val="0"/>
        </w:numPr>
        <w:ind w:left="851"/>
      </w:pPr>
    </w:p>
    <w:p w:rsidR="009F78F2" w:rsidRPr="00CA1467" w:rsidRDefault="009F78F2" w:rsidP="009F78F2">
      <w:pPr>
        <w:pStyle w:val="Chapter4"/>
      </w:pPr>
      <w:r w:rsidRPr="00CA1467">
        <w:t xml:space="preserve">We </w:t>
      </w:r>
      <w:proofErr w:type="gramStart"/>
      <w:r w:rsidRPr="00CA1467">
        <w:t>do, however, consider</w:t>
      </w:r>
      <w:proofErr w:type="gramEnd"/>
      <w:r w:rsidRPr="00CA1467">
        <w:t xml:space="preserve"> it appropriate to restrict the ability for LTCs to earn offshore income in the conduit context.</w:t>
      </w:r>
    </w:p>
    <w:p w:rsidR="009F78F2" w:rsidRPr="00CA1467" w:rsidRDefault="009F78F2" w:rsidP="009F78F2">
      <w:pPr>
        <w:pStyle w:val="Chapter4"/>
        <w:numPr>
          <w:ilvl w:val="0"/>
          <w:numId w:val="0"/>
        </w:numPr>
        <w:ind w:left="851"/>
      </w:pPr>
    </w:p>
    <w:p w:rsidR="009F78F2" w:rsidRPr="00CA1467" w:rsidRDefault="009F78F2" w:rsidP="009F78F2">
      <w:pPr>
        <w:pStyle w:val="Chapter4"/>
      </w:pPr>
      <w:r w:rsidRPr="00CA1467">
        <w:t xml:space="preserve">One option for this restriction would be to apply the foreign income restriction in the QC rules, where there is effectively a cap on non-dividend foreign income.  However, this approach </w:t>
      </w:r>
      <w:proofErr w:type="gramStart"/>
      <w:r w:rsidRPr="00CA1467">
        <w:t>might be viewed</w:t>
      </w:r>
      <w:proofErr w:type="gramEnd"/>
      <w:r w:rsidRPr="00CA1467">
        <w:t xml:space="preserve"> as unduly restrictive outside of the conduit situation, such as in cases when there might be a genuine option for an individual to earn foreign income through personal services.</w:t>
      </w:r>
    </w:p>
    <w:p w:rsidR="009F78F2" w:rsidRPr="00CA1467" w:rsidRDefault="009F78F2" w:rsidP="009F78F2">
      <w:pPr>
        <w:pStyle w:val="Chapter4"/>
        <w:numPr>
          <w:ilvl w:val="0"/>
          <w:numId w:val="0"/>
        </w:numPr>
        <w:ind w:left="851"/>
      </w:pPr>
    </w:p>
    <w:p w:rsidR="009F78F2" w:rsidRPr="00CA1467" w:rsidRDefault="009F78F2" w:rsidP="009F78F2">
      <w:pPr>
        <w:pStyle w:val="Chapter4"/>
      </w:pPr>
      <w:r w:rsidRPr="00CA1467">
        <w:t xml:space="preserve">Therefore, the proposal is to restrict the extent to which a company can derive foreign income and retain LTC status if it </w:t>
      </w:r>
      <w:proofErr w:type="gramStart"/>
      <w:r w:rsidRPr="00CA1467">
        <w:t>is controlled</w:t>
      </w:r>
      <w:proofErr w:type="gramEnd"/>
      <w:r w:rsidRPr="00CA1467">
        <w:t xml:space="preserve"> by non-resident shareholders.  In order to retain LTC status when </w:t>
      </w:r>
      <w:proofErr w:type="gramStart"/>
      <w:r w:rsidRPr="00CA1467">
        <w:t>more than 50</w:t>
      </w:r>
      <w:r w:rsidR="00BA0441">
        <w:t xml:space="preserve"> percent</w:t>
      </w:r>
      <w:r w:rsidR="00BA0441" w:rsidRPr="00CA1467">
        <w:t xml:space="preserve"> </w:t>
      </w:r>
      <w:r w:rsidRPr="00CA1467">
        <w:t>of the shareholding in a LTC is held by non-residents</w:t>
      </w:r>
      <w:proofErr w:type="gramEnd"/>
      <w:r w:rsidRPr="00CA1467">
        <w:t>, the LTC’s annual foreign income</w:t>
      </w:r>
      <w:r w:rsidR="00B275DE" w:rsidRPr="002A6B04">
        <w:rPr>
          <w:rStyle w:val="FootnoteReference"/>
          <w:sz w:val="22"/>
          <w:szCs w:val="22"/>
        </w:rPr>
        <w:footnoteReference w:id="25"/>
      </w:r>
      <w:r w:rsidRPr="00CA1467">
        <w:t xml:space="preserve"> would have to be restricted to the greater of $10,000 or 20</w:t>
      </w:r>
      <w:r w:rsidR="00BA0441">
        <w:t xml:space="preserve"> percent</w:t>
      </w:r>
      <w:r w:rsidR="00BA0441" w:rsidRPr="00CA1467">
        <w:t xml:space="preserve"> </w:t>
      </w:r>
      <w:r w:rsidRPr="00CA1467">
        <w:t xml:space="preserve">of the LTC’s gross income.  This </w:t>
      </w:r>
      <w:proofErr w:type="gramStart"/>
      <w:r w:rsidRPr="00CA1467">
        <w:t>would be made</w:t>
      </w:r>
      <w:proofErr w:type="gramEnd"/>
      <w:r w:rsidRPr="00CA1467">
        <w:t xml:space="preserve"> an entry criterion.  If this condition </w:t>
      </w:r>
      <w:proofErr w:type="gramStart"/>
      <w:r w:rsidRPr="00CA1467">
        <w:t>is</w:t>
      </w:r>
      <w:proofErr w:type="gramEnd"/>
      <w:r w:rsidRPr="00CA1467">
        <w:t xml:space="preserve"> breached during the income year, LTC status would be revoked for that year and any subsequent year that the condition was not met.</w:t>
      </w:r>
    </w:p>
    <w:p w:rsidR="009F78F2" w:rsidRPr="00CA1467" w:rsidRDefault="009F78F2" w:rsidP="009F78F2">
      <w:pPr>
        <w:pStyle w:val="Chapter4"/>
        <w:numPr>
          <w:ilvl w:val="0"/>
          <w:numId w:val="0"/>
        </w:numPr>
        <w:ind w:left="851"/>
      </w:pPr>
    </w:p>
    <w:p w:rsidR="009F78F2" w:rsidRPr="00CA1467" w:rsidRDefault="009F78F2" w:rsidP="009F78F2">
      <w:pPr>
        <w:pStyle w:val="Chapter4"/>
      </w:pPr>
      <w:r w:rsidRPr="00CA1467">
        <w:t>This approach should ameliorate any reputational risks related with conduit investment while providing flexibility for some degree of combined non-resident shareholding and foreign income.  It should prevent a domestic family business inadvertently falling outside the rules through an owner emigrating.</w:t>
      </w:r>
    </w:p>
    <w:p w:rsidR="009F78F2" w:rsidRPr="00CA1467" w:rsidRDefault="009F78F2" w:rsidP="009F78F2">
      <w:pPr>
        <w:pStyle w:val="Chapter4"/>
        <w:numPr>
          <w:ilvl w:val="0"/>
          <w:numId w:val="0"/>
        </w:numPr>
        <w:ind w:left="851"/>
      </w:pPr>
    </w:p>
    <w:p w:rsidR="00CA33EC" w:rsidRPr="00CA1467" w:rsidRDefault="009F78F2" w:rsidP="009F78F2">
      <w:pPr>
        <w:pStyle w:val="Chapter4"/>
        <w:numPr>
          <w:ilvl w:val="0"/>
          <w:numId w:val="0"/>
        </w:numPr>
        <w:ind w:left="851" w:hanging="851"/>
      </w:pPr>
      <w:r w:rsidRPr="00CA1467">
        <w:t>4.20</w:t>
      </w:r>
      <w:r w:rsidRPr="00CA1467">
        <w:tab/>
        <w:t xml:space="preserve">It is important to note that addressing the LTC aspects of conduit investment does not necessarily mean that we are comfortable with conduit investments </w:t>
      </w:r>
      <w:proofErr w:type="gramStart"/>
      <w:r w:rsidRPr="00CA1467">
        <w:t>being made</w:t>
      </w:r>
      <w:proofErr w:type="gramEnd"/>
      <w:r w:rsidRPr="00CA1467">
        <w:t xml:space="preserve"> through other structures.  Any wider review </w:t>
      </w:r>
      <w:proofErr w:type="gramStart"/>
      <w:r w:rsidRPr="00CA1467">
        <w:t>would, however, need</w:t>
      </w:r>
      <w:proofErr w:type="gramEnd"/>
      <w:r w:rsidRPr="00CA1467">
        <w:t xml:space="preserve"> to be undertaken as a separate project.  As a general matter, we propose to monitor how different entities are used cross-border, especially in light of BEPS concerns and the broader international tax framework.</w:t>
      </w:r>
    </w:p>
    <w:p w:rsidR="00CA33EC" w:rsidRPr="00CA1467" w:rsidRDefault="00CA33EC" w:rsidP="009F78F2">
      <w:pPr>
        <w:pStyle w:val="Chapter4"/>
        <w:numPr>
          <w:ilvl w:val="0"/>
          <w:numId w:val="0"/>
        </w:numPr>
        <w:ind w:left="851"/>
      </w:pPr>
    </w:p>
    <w:p w:rsidR="00CA33EC" w:rsidRPr="00CA1467" w:rsidRDefault="00CA33EC" w:rsidP="008F12F0">
      <w:pPr>
        <w:pStyle w:val="Chapter4"/>
        <w:numPr>
          <w:ilvl w:val="0"/>
          <w:numId w:val="0"/>
        </w:numPr>
        <w:ind w:left="851" w:hanging="851"/>
      </w:pPr>
    </w:p>
    <w:p w:rsidR="008F691D" w:rsidRPr="00CA1467" w:rsidRDefault="008F691D" w:rsidP="008F12F0">
      <w:pPr>
        <w:pStyle w:val="Chapter4"/>
        <w:numPr>
          <w:ilvl w:val="0"/>
          <w:numId w:val="0"/>
        </w:numPr>
      </w:pPr>
      <w:r w:rsidRPr="00CA1467">
        <w:br w:type="page"/>
      </w:r>
    </w:p>
    <w:p w:rsidR="008F691D" w:rsidRPr="00CA1467" w:rsidRDefault="008F691D" w:rsidP="008F691D">
      <w:pPr>
        <w:pStyle w:val="Chapterheading"/>
      </w:pPr>
      <w:bookmarkStart w:id="67" w:name="_Toc419721185"/>
      <w:bookmarkStart w:id="68" w:name="_Toc429151495"/>
      <w:bookmarkStart w:id="69" w:name="_Toc429379737"/>
      <w:bookmarkStart w:id="70" w:name="_Toc429400091"/>
      <w:bookmarkStart w:id="71" w:name="_Toc429409179"/>
      <w:bookmarkStart w:id="72" w:name="_Toc429412438"/>
      <w:bookmarkStart w:id="73" w:name="_Toc429417853"/>
      <w:bookmarkStart w:id="74" w:name="_Toc429419978"/>
      <w:bookmarkStart w:id="75" w:name="_Toc429469459"/>
      <w:r w:rsidRPr="00CA1467">
        <w:t>CHAPTER 5</w:t>
      </w:r>
      <w:bookmarkEnd w:id="67"/>
      <w:bookmarkEnd w:id="68"/>
      <w:bookmarkEnd w:id="69"/>
      <w:bookmarkEnd w:id="70"/>
      <w:bookmarkEnd w:id="71"/>
      <w:bookmarkEnd w:id="72"/>
      <w:bookmarkEnd w:id="73"/>
      <w:bookmarkEnd w:id="74"/>
      <w:bookmarkEnd w:id="75"/>
    </w:p>
    <w:p w:rsidR="008F691D" w:rsidRPr="00CA1467" w:rsidRDefault="008F691D" w:rsidP="008F691D">
      <w:pPr>
        <w:pStyle w:val="Chapterheading"/>
      </w:pPr>
    </w:p>
    <w:p w:rsidR="008F691D" w:rsidRPr="00CA1467" w:rsidRDefault="009F78F2" w:rsidP="008F691D">
      <w:pPr>
        <w:pStyle w:val="Chapterheading"/>
      </w:pPr>
      <w:bookmarkStart w:id="76" w:name="_Toc429469460"/>
      <w:r w:rsidRPr="00CA1467">
        <w:rPr>
          <w:caps w:val="0"/>
        </w:rPr>
        <w:t>Deduction limitation rule</w:t>
      </w:r>
      <w:bookmarkEnd w:id="76"/>
    </w:p>
    <w:p w:rsidR="008F691D" w:rsidRPr="00CA1467" w:rsidRDefault="008F691D" w:rsidP="008F12F0">
      <w:pPr>
        <w:pStyle w:val="Chapter5"/>
        <w:numPr>
          <w:ilvl w:val="0"/>
          <w:numId w:val="0"/>
        </w:numPr>
        <w:ind w:left="851" w:hanging="851"/>
      </w:pPr>
    </w:p>
    <w:p w:rsidR="009F78F2" w:rsidRPr="00CA1467" w:rsidRDefault="009F78F2" w:rsidP="009F78F2">
      <w:pPr>
        <w:pStyle w:val="Chapter5"/>
        <w:numPr>
          <w:ilvl w:val="0"/>
          <w:numId w:val="0"/>
        </w:numPr>
        <w:ind w:left="851"/>
      </w:pPr>
    </w:p>
    <w:p w:rsidR="009F78F2" w:rsidRPr="00CA1467" w:rsidRDefault="009F78F2" w:rsidP="009F78F2">
      <w:pPr>
        <w:pStyle w:val="Heading1"/>
      </w:pPr>
      <w:bookmarkStart w:id="77" w:name="_Toc429469461"/>
      <w:r w:rsidRPr="00CA1467">
        <w:t>Introduction</w:t>
      </w:r>
      <w:bookmarkEnd w:id="77"/>
    </w:p>
    <w:p w:rsidR="009F78F2" w:rsidRPr="00CA1467" w:rsidRDefault="009F78F2" w:rsidP="009F78F2">
      <w:pPr>
        <w:pStyle w:val="Chapter5"/>
        <w:numPr>
          <w:ilvl w:val="0"/>
          <w:numId w:val="0"/>
        </w:numPr>
        <w:ind w:left="851"/>
      </w:pPr>
    </w:p>
    <w:p w:rsidR="009F78F2" w:rsidRPr="00CA1467" w:rsidRDefault="009F78F2" w:rsidP="009F78F2">
      <w:pPr>
        <w:pStyle w:val="Chapter5"/>
      </w:pPr>
      <w:r w:rsidRPr="00CA1467">
        <w:t xml:space="preserve">The income earned and the expenditure incurred by a LTC </w:t>
      </w:r>
      <w:proofErr w:type="gramStart"/>
      <w:r w:rsidRPr="00CA1467">
        <w:t>are</w:t>
      </w:r>
      <w:proofErr w:type="gramEnd"/>
      <w:r w:rsidRPr="00CA1467">
        <w:t xml:space="preserve"> allocated for tax purposes to the shareholders on the basis of their respective ownership.  The ability of each owner to use their share of the LTC’s expenditure deductions against their other income </w:t>
      </w:r>
      <w:proofErr w:type="gramStart"/>
      <w:r w:rsidRPr="00CA1467">
        <w:t>is determined</w:t>
      </w:r>
      <w:proofErr w:type="gramEnd"/>
      <w:r w:rsidRPr="00CA1467">
        <w:t xml:space="preserve"> by the deduction limitation rule.  The rule was originally developed for limited partnerships, which generally are likely to be </w:t>
      </w:r>
      <w:proofErr w:type="gramStart"/>
      <w:r w:rsidRPr="00CA1467">
        <w:t>more sophisticated entities</w:t>
      </w:r>
      <w:proofErr w:type="gramEnd"/>
      <w:r w:rsidRPr="00CA1467">
        <w:t>.</w:t>
      </w:r>
    </w:p>
    <w:p w:rsidR="009F78F2" w:rsidRPr="00CA1467" w:rsidRDefault="009F78F2" w:rsidP="009F78F2">
      <w:pPr>
        <w:pStyle w:val="Chapter5"/>
        <w:numPr>
          <w:ilvl w:val="0"/>
          <w:numId w:val="0"/>
        </w:numPr>
        <w:ind w:left="851"/>
      </w:pPr>
    </w:p>
    <w:p w:rsidR="009F78F2" w:rsidRPr="00CA1467" w:rsidRDefault="009F78F2" w:rsidP="009F78F2">
      <w:pPr>
        <w:pStyle w:val="Chapter5"/>
      </w:pPr>
      <w:r w:rsidRPr="00CA1467">
        <w:t>The deduction limitation rule is intended to ensure each owner cannot deduct tax expenses in excess of what they have invested in the business, which is referred to as their “owner’s basis”.  Excess deductions can be a concern from both a revenue protection and economic efficiency perspective.  Deductions in excess of the owner’s basis are required to be carried forward for offsetting against future income subject to having adequate “owner’s basis” at that point.</w:t>
      </w:r>
    </w:p>
    <w:p w:rsidR="009F78F2" w:rsidRPr="00CA1467" w:rsidRDefault="009F78F2" w:rsidP="009F78F2">
      <w:pPr>
        <w:pStyle w:val="Chapter5"/>
        <w:numPr>
          <w:ilvl w:val="0"/>
          <w:numId w:val="0"/>
        </w:numPr>
        <w:ind w:left="851"/>
      </w:pPr>
    </w:p>
    <w:p w:rsidR="008F691D" w:rsidRPr="00CA1467" w:rsidRDefault="009F78F2" w:rsidP="009F78F2">
      <w:pPr>
        <w:pStyle w:val="Chapter5"/>
        <w:numPr>
          <w:ilvl w:val="0"/>
          <w:numId w:val="0"/>
        </w:numPr>
        <w:ind w:left="851" w:hanging="851"/>
      </w:pPr>
      <w:r w:rsidRPr="00CA1467">
        <w:t>5.3</w:t>
      </w:r>
      <w:r w:rsidRPr="00CA1467">
        <w:tab/>
        <w:t xml:space="preserve">The deduction limitation rule applies to all LTCs, with all having to undertake the calculations even though in practice it only limits deductions in around </w:t>
      </w:r>
      <w:r w:rsidR="00BA0441">
        <w:t>one percent</w:t>
      </w:r>
      <w:r w:rsidRPr="00CA1467">
        <w:t xml:space="preserve"> of cases.  Consequently, the rule is one of the most heavily criticised features of the LTC rules, being criticised from a compliance cost as well as a technical perspective.  The fact that the rule has such limited application is in part because, as Chart 1 illustrates, most LTCs fall into the </w:t>
      </w:r>
      <w:r w:rsidR="00A61DD7">
        <w:t>-</w:t>
      </w:r>
      <w:r w:rsidRPr="00CA1467">
        <w:t>$20,000 to +$10,000 annual income range.</w:t>
      </w:r>
    </w:p>
    <w:p w:rsidR="00AF753F" w:rsidRPr="00CA1467" w:rsidRDefault="00AF753F" w:rsidP="009F78F2">
      <w:pPr>
        <w:pStyle w:val="Chapter5"/>
        <w:numPr>
          <w:ilvl w:val="0"/>
          <w:numId w:val="0"/>
        </w:numPr>
        <w:ind w:left="851" w:hanging="851"/>
      </w:pPr>
    </w:p>
    <w:p w:rsidR="00AF753F" w:rsidRPr="00CA1467" w:rsidRDefault="00AF753F" w:rsidP="00AF753F">
      <w:pPr>
        <w:pStyle w:val="Chapter5"/>
        <w:numPr>
          <w:ilvl w:val="0"/>
          <w:numId w:val="0"/>
        </w:numPr>
        <w:spacing w:after="200"/>
        <w:ind w:left="851" w:hanging="851"/>
        <w:jc w:val="center"/>
        <w:rPr>
          <w:b/>
        </w:rPr>
      </w:pPr>
      <w:r w:rsidRPr="00CA1467">
        <w:rPr>
          <w:b/>
        </w:rPr>
        <w:t>Chart 1: LTC income – 2013 tax year</w:t>
      </w:r>
    </w:p>
    <w:p w:rsidR="00AF753F" w:rsidRPr="00CA1467" w:rsidRDefault="00AF753F" w:rsidP="008F12F0">
      <w:pPr>
        <w:pStyle w:val="Chapter5"/>
        <w:numPr>
          <w:ilvl w:val="0"/>
          <w:numId w:val="0"/>
        </w:numPr>
        <w:ind w:left="851" w:hanging="851"/>
      </w:pPr>
      <w:r w:rsidRPr="00CA1467">
        <w:rPr>
          <w:noProof/>
          <w:lang w:eastAsia="en-NZ"/>
        </w:rPr>
        <w:drawing>
          <wp:inline distT="0" distB="0" distL="0" distR="0" wp14:anchorId="2A41F5AC" wp14:editId="3F7A91E3">
            <wp:extent cx="5429250" cy="354955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36284" cy="3554152"/>
                    </a:xfrm>
                    <a:prstGeom prst="rect">
                      <a:avLst/>
                    </a:prstGeom>
                    <a:noFill/>
                  </pic:spPr>
                </pic:pic>
              </a:graphicData>
            </a:graphic>
          </wp:inline>
        </w:drawing>
      </w:r>
    </w:p>
    <w:p w:rsidR="00AF753F" w:rsidRPr="00CA1467" w:rsidRDefault="00AF753F" w:rsidP="008F12F0">
      <w:pPr>
        <w:pStyle w:val="Chapter5"/>
        <w:numPr>
          <w:ilvl w:val="0"/>
          <w:numId w:val="0"/>
        </w:numPr>
        <w:ind w:left="851" w:hanging="851"/>
      </w:pPr>
    </w:p>
    <w:p w:rsidR="00A95176" w:rsidRPr="00CA1467" w:rsidRDefault="00A95176" w:rsidP="00A95176">
      <w:pPr>
        <w:pStyle w:val="Heading1"/>
      </w:pPr>
      <w:bookmarkStart w:id="78" w:name="_Toc429469462"/>
      <w:r w:rsidRPr="00CA1467">
        <w:t>The current rule</w:t>
      </w:r>
      <w:bookmarkEnd w:id="78"/>
    </w:p>
    <w:p w:rsidR="00A95176" w:rsidRPr="00CA1467" w:rsidRDefault="00A95176" w:rsidP="00A95176">
      <w:pPr>
        <w:pStyle w:val="Chapter5"/>
        <w:numPr>
          <w:ilvl w:val="0"/>
          <w:numId w:val="0"/>
        </w:numPr>
        <w:ind w:left="851"/>
      </w:pPr>
    </w:p>
    <w:p w:rsidR="008F691D" w:rsidRPr="00CA1467" w:rsidRDefault="00A95176" w:rsidP="00A95176">
      <w:pPr>
        <w:pStyle w:val="Chapter5"/>
        <w:numPr>
          <w:ilvl w:val="0"/>
          <w:numId w:val="0"/>
        </w:numPr>
        <w:ind w:left="851" w:hanging="851"/>
      </w:pPr>
      <w:r w:rsidRPr="00CA1467">
        <w:t>5.4</w:t>
      </w:r>
      <w:r w:rsidRPr="00CA1467">
        <w:tab/>
        <w:t>At its very basic the owner’s basis is the net funds provided by the shareholder, that is, share capital plus loans to the LTC (whether by way of actual funds or a guarantee by the investor or another party) minus disbursements to the shareholder.  This rule is set out in section HB 11 of the Income Tax Act, using the following formula</w:t>
      </w:r>
      <w:r w:rsidR="00DC3757">
        <w:t>:</w:t>
      </w:r>
    </w:p>
    <w:p w:rsidR="006C7541" w:rsidRDefault="006C7541" w:rsidP="00563F15">
      <w:pPr>
        <w:pStyle w:val="Chapter5"/>
        <w:numPr>
          <w:ilvl w:val="0"/>
          <w:numId w:val="0"/>
        </w:numPr>
        <w:ind w:left="851"/>
      </w:pPr>
    </w:p>
    <w:p w:rsidR="006C7541" w:rsidRPr="00563F15" w:rsidRDefault="006C7541" w:rsidP="00750878">
      <w:pPr>
        <w:pStyle w:val="Chapter5"/>
        <w:numPr>
          <w:ilvl w:val="0"/>
          <w:numId w:val="0"/>
        </w:numPr>
        <w:ind w:left="1276"/>
        <w:jc w:val="left"/>
        <w:rPr>
          <w:i/>
          <w:szCs w:val="24"/>
        </w:rPr>
      </w:pPr>
      <w:proofErr w:type="gramStart"/>
      <w:r w:rsidRPr="00563F15">
        <w:rPr>
          <w:i/>
          <w:szCs w:val="24"/>
        </w:rPr>
        <w:t>investments</w:t>
      </w:r>
      <w:proofErr w:type="gramEnd"/>
      <w:r w:rsidRPr="00563F15">
        <w:rPr>
          <w:i/>
          <w:szCs w:val="24"/>
        </w:rPr>
        <w:t xml:space="preserve"> – distributions + income – deductions – disallowed amounts</w:t>
      </w:r>
    </w:p>
    <w:p w:rsidR="006C7541" w:rsidRDefault="006C7541" w:rsidP="00750878">
      <w:pPr>
        <w:pStyle w:val="Chapter5"/>
        <w:numPr>
          <w:ilvl w:val="0"/>
          <w:numId w:val="0"/>
        </w:numPr>
        <w:ind w:left="1276"/>
        <w:rPr>
          <w:szCs w:val="24"/>
        </w:rPr>
      </w:pPr>
    </w:p>
    <w:p w:rsidR="00DC3757" w:rsidRDefault="00DC3757" w:rsidP="00750878">
      <w:pPr>
        <w:pStyle w:val="Chapter5"/>
        <w:numPr>
          <w:ilvl w:val="0"/>
          <w:numId w:val="0"/>
        </w:numPr>
        <w:ind w:left="1276"/>
        <w:rPr>
          <w:szCs w:val="24"/>
        </w:rPr>
      </w:pPr>
      <w:proofErr w:type="gramStart"/>
      <w:r>
        <w:rPr>
          <w:szCs w:val="24"/>
        </w:rPr>
        <w:t>where</w:t>
      </w:r>
      <w:proofErr w:type="gramEnd"/>
      <w:r>
        <w:rPr>
          <w:szCs w:val="24"/>
        </w:rPr>
        <w:t>:</w:t>
      </w:r>
    </w:p>
    <w:p w:rsidR="00563F15" w:rsidRPr="00563F15" w:rsidRDefault="00563F15" w:rsidP="00750878">
      <w:pPr>
        <w:pStyle w:val="Chapter5"/>
        <w:numPr>
          <w:ilvl w:val="0"/>
          <w:numId w:val="0"/>
        </w:numPr>
        <w:ind w:left="1276"/>
        <w:rPr>
          <w:szCs w:val="24"/>
        </w:rPr>
      </w:pPr>
    </w:p>
    <w:p w:rsidR="006C7541" w:rsidRPr="00563F15" w:rsidRDefault="00DC3757" w:rsidP="00750878">
      <w:pPr>
        <w:pStyle w:val="Chapter5"/>
        <w:numPr>
          <w:ilvl w:val="0"/>
          <w:numId w:val="0"/>
        </w:numPr>
        <w:ind w:left="1276"/>
        <w:rPr>
          <w:szCs w:val="24"/>
        </w:rPr>
      </w:pPr>
      <w:r>
        <w:rPr>
          <w:i/>
          <w:szCs w:val="24"/>
        </w:rPr>
        <w:t>i</w:t>
      </w:r>
      <w:r w:rsidR="006C7541" w:rsidRPr="00563F15">
        <w:rPr>
          <w:i/>
          <w:szCs w:val="24"/>
        </w:rPr>
        <w:t>nvestments</w:t>
      </w:r>
      <w:r w:rsidR="006C7541" w:rsidRPr="00563F15">
        <w:rPr>
          <w:szCs w:val="24"/>
        </w:rPr>
        <w:t xml:space="preserve"> is the sum of the equity, goods or assets introduced or services provided to the LTC, or any amounts paid by the owner on behalf of the LTC.  This includes any loans, including shareholder current account credit balances, made by the owner to the LTC and their share of any LTC debt which they, or their associate, have guaranteed (or provided indemnities for</w:t>
      </w:r>
      <w:r w:rsidR="00B275DE" w:rsidRPr="00563F15">
        <w:rPr>
          <w:szCs w:val="24"/>
        </w:rPr>
        <w:t>)</w:t>
      </w:r>
      <w:r>
        <w:rPr>
          <w:szCs w:val="24"/>
        </w:rPr>
        <w:t>;</w:t>
      </w:r>
      <w:r w:rsidR="00B275DE" w:rsidRPr="00A16039">
        <w:rPr>
          <w:rStyle w:val="FootnoteReference"/>
          <w:sz w:val="22"/>
          <w:szCs w:val="22"/>
        </w:rPr>
        <w:footnoteReference w:id="26"/>
      </w:r>
    </w:p>
    <w:p w:rsidR="006C7541" w:rsidRPr="00563F15" w:rsidRDefault="006C7541" w:rsidP="00750878">
      <w:pPr>
        <w:pStyle w:val="Chapter5"/>
        <w:numPr>
          <w:ilvl w:val="0"/>
          <w:numId w:val="0"/>
        </w:numPr>
        <w:ind w:left="1276"/>
        <w:rPr>
          <w:szCs w:val="24"/>
        </w:rPr>
      </w:pPr>
    </w:p>
    <w:p w:rsidR="006C7541" w:rsidRPr="00563F15" w:rsidRDefault="00DC3757" w:rsidP="00750878">
      <w:pPr>
        <w:pStyle w:val="Chapter5"/>
        <w:numPr>
          <w:ilvl w:val="0"/>
          <w:numId w:val="0"/>
        </w:numPr>
        <w:ind w:left="1276"/>
        <w:rPr>
          <w:szCs w:val="24"/>
        </w:rPr>
      </w:pPr>
      <w:proofErr w:type="gramStart"/>
      <w:r>
        <w:rPr>
          <w:i/>
          <w:szCs w:val="24"/>
        </w:rPr>
        <w:t>d</w:t>
      </w:r>
      <w:r w:rsidR="006C7541" w:rsidRPr="00563F15">
        <w:rPr>
          <w:i/>
          <w:szCs w:val="24"/>
        </w:rPr>
        <w:t>istributions</w:t>
      </w:r>
      <w:proofErr w:type="gramEnd"/>
      <w:r w:rsidR="006C7541" w:rsidRPr="00563F15">
        <w:rPr>
          <w:szCs w:val="24"/>
        </w:rPr>
        <w:t xml:space="preserve"> is anything paid out to the owner by the LTC, including dividends and loans, including shareholder current account debit balances.  It does not include any salary or wages received by a working owner</w:t>
      </w:r>
      <w:proofErr w:type="gramStart"/>
      <w:r>
        <w:rPr>
          <w:szCs w:val="24"/>
        </w:rPr>
        <w:t>;</w:t>
      </w:r>
      <w:proofErr w:type="gramEnd"/>
    </w:p>
    <w:p w:rsidR="006C7541" w:rsidRPr="00563F15" w:rsidRDefault="006C7541" w:rsidP="00750878">
      <w:pPr>
        <w:pStyle w:val="Chapter5"/>
        <w:numPr>
          <w:ilvl w:val="0"/>
          <w:numId w:val="0"/>
        </w:numPr>
        <w:ind w:left="1276"/>
        <w:rPr>
          <w:szCs w:val="24"/>
        </w:rPr>
      </w:pPr>
    </w:p>
    <w:p w:rsidR="006C7541" w:rsidRPr="00563F15" w:rsidRDefault="00DC3757" w:rsidP="00750878">
      <w:pPr>
        <w:pStyle w:val="Chapter5"/>
        <w:numPr>
          <w:ilvl w:val="0"/>
          <w:numId w:val="0"/>
        </w:numPr>
        <w:ind w:left="1276"/>
        <w:rPr>
          <w:szCs w:val="24"/>
        </w:rPr>
      </w:pPr>
      <w:r>
        <w:rPr>
          <w:i/>
          <w:szCs w:val="24"/>
        </w:rPr>
        <w:t>i</w:t>
      </w:r>
      <w:r w:rsidRPr="00563F15">
        <w:rPr>
          <w:i/>
          <w:szCs w:val="24"/>
        </w:rPr>
        <w:t>ncome</w:t>
      </w:r>
      <w:r w:rsidRPr="00563F15">
        <w:rPr>
          <w:szCs w:val="24"/>
        </w:rPr>
        <w:t xml:space="preserve"> </w:t>
      </w:r>
      <w:r w:rsidR="006C7541" w:rsidRPr="00563F15">
        <w:rPr>
          <w:szCs w:val="24"/>
        </w:rPr>
        <w:t>is the owner’s share of the LTC’s income (including exempt and excluded income) and realised capital gains from the current and any preceding income years (in which the company was an LTC)</w:t>
      </w:r>
      <w:r>
        <w:rPr>
          <w:szCs w:val="24"/>
        </w:rPr>
        <w:t>;</w:t>
      </w:r>
    </w:p>
    <w:p w:rsidR="006C7541" w:rsidRPr="00563F15" w:rsidRDefault="006C7541" w:rsidP="00750878">
      <w:pPr>
        <w:pStyle w:val="Chapter5"/>
        <w:numPr>
          <w:ilvl w:val="0"/>
          <w:numId w:val="0"/>
        </w:numPr>
        <w:ind w:left="1276"/>
        <w:rPr>
          <w:szCs w:val="24"/>
        </w:rPr>
      </w:pPr>
    </w:p>
    <w:p w:rsidR="006C7541" w:rsidRPr="00563F15" w:rsidRDefault="00DC3757" w:rsidP="00750878">
      <w:pPr>
        <w:pStyle w:val="Chapter5"/>
        <w:numPr>
          <w:ilvl w:val="0"/>
          <w:numId w:val="0"/>
        </w:numPr>
        <w:ind w:left="1276"/>
        <w:rPr>
          <w:szCs w:val="24"/>
        </w:rPr>
      </w:pPr>
      <w:proofErr w:type="gramStart"/>
      <w:r>
        <w:rPr>
          <w:i/>
          <w:szCs w:val="24"/>
        </w:rPr>
        <w:t>d</w:t>
      </w:r>
      <w:r w:rsidRPr="00563F15">
        <w:rPr>
          <w:i/>
          <w:szCs w:val="24"/>
        </w:rPr>
        <w:t>eductions</w:t>
      </w:r>
      <w:proofErr w:type="gramEnd"/>
      <w:r w:rsidRPr="00563F15">
        <w:rPr>
          <w:szCs w:val="24"/>
        </w:rPr>
        <w:t xml:space="preserve"> </w:t>
      </w:r>
      <w:r w:rsidR="006C7541" w:rsidRPr="00563F15">
        <w:rPr>
          <w:szCs w:val="24"/>
        </w:rPr>
        <w:t>is the owner’s share of the LTC’s deductions in the preceding income years (in which the company was an LTC) and any realised capital losses for the current or previous income years</w:t>
      </w:r>
      <w:r>
        <w:rPr>
          <w:szCs w:val="24"/>
        </w:rPr>
        <w:t>;</w:t>
      </w:r>
    </w:p>
    <w:p w:rsidR="006C7541" w:rsidRPr="00563F15" w:rsidRDefault="006C7541" w:rsidP="00750878">
      <w:pPr>
        <w:pStyle w:val="Chapter5"/>
        <w:numPr>
          <w:ilvl w:val="0"/>
          <w:numId w:val="0"/>
        </w:numPr>
        <w:ind w:left="1276"/>
        <w:rPr>
          <w:szCs w:val="24"/>
        </w:rPr>
      </w:pPr>
    </w:p>
    <w:p w:rsidR="006C7541" w:rsidRPr="00563F15" w:rsidRDefault="00DC3757" w:rsidP="00750878">
      <w:pPr>
        <w:pStyle w:val="Chapter5"/>
        <w:numPr>
          <w:ilvl w:val="0"/>
          <w:numId w:val="0"/>
        </w:numPr>
        <w:ind w:left="1276"/>
        <w:rPr>
          <w:szCs w:val="24"/>
        </w:rPr>
      </w:pPr>
      <w:proofErr w:type="gramStart"/>
      <w:r>
        <w:rPr>
          <w:i/>
          <w:szCs w:val="24"/>
        </w:rPr>
        <w:t>d</w:t>
      </w:r>
      <w:r w:rsidR="006C7541" w:rsidRPr="00563F15">
        <w:rPr>
          <w:i/>
          <w:szCs w:val="24"/>
        </w:rPr>
        <w:t>isallowed</w:t>
      </w:r>
      <w:proofErr w:type="gramEnd"/>
      <w:r w:rsidR="006C7541" w:rsidRPr="00563F15">
        <w:rPr>
          <w:i/>
          <w:szCs w:val="24"/>
        </w:rPr>
        <w:t xml:space="preserve"> amount</w:t>
      </w:r>
      <w:r w:rsidR="006C7541" w:rsidRPr="00563F15">
        <w:rPr>
          <w:szCs w:val="24"/>
        </w:rPr>
        <w:t xml:space="preserve"> is the amount of investments made by an owner within 60 days of the last day of the LTC’s income year if these are distributed or reduced within 60 days after the last day of the income year.  This is to prevent the creation of an artificially high basis around the end of the year.  To allow for normal operational </w:t>
      </w:r>
      <w:proofErr w:type="gramStart"/>
      <w:r w:rsidR="006C7541" w:rsidRPr="00563F15">
        <w:rPr>
          <w:szCs w:val="24"/>
        </w:rPr>
        <w:t>cash-flow</w:t>
      </w:r>
      <w:proofErr w:type="gramEnd"/>
      <w:r w:rsidR="006C7541" w:rsidRPr="00563F15">
        <w:rPr>
          <w:szCs w:val="24"/>
        </w:rPr>
        <w:t>, if the reduction of investments within 60 days of the balance sheet date is less than $10,000, it can be ignored.</w:t>
      </w:r>
    </w:p>
    <w:p w:rsidR="00A96010" w:rsidRDefault="002A6B04">
      <w:pPr>
        <w:jc w:val="left"/>
        <w:sectPr w:rsidR="00A96010" w:rsidSect="00B84DB1">
          <w:pgSz w:w="11906" w:h="16838" w:code="9"/>
          <w:pgMar w:top="1134" w:right="1797" w:bottom="1134" w:left="1797" w:header="709" w:footer="425" w:gutter="0"/>
          <w:cols w:space="708"/>
          <w:titlePg/>
          <w:docGrid w:linePitch="360"/>
        </w:sectPr>
      </w:pPr>
      <w:r>
        <w:br w:type="page"/>
      </w:r>
    </w:p>
    <w:p w:rsidR="002A6B04" w:rsidRDefault="00A96010">
      <w:pPr>
        <w:jc w:val="left"/>
        <w:rPr>
          <w:lang w:val="en-NZ"/>
        </w:rPr>
      </w:pPr>
      <w:r>
        <w:rPr>
          <w:noProof/>
          <w:lang w:val="en-NZ" w:eastAsia="en-NZ"/>
        </w:rPr>
        <mc:AlternateContent>
          <mc:Choice Requires="wps">
            <w:drawing>
              <wp:anchor distT="0" distB="0" distL="114300" distR="114300" simplePos="0" relativeHeight="251659264" behindDoc="1" locked="0" layoutInCell="1" allowOverlap="1" wp14:anchorId="4FA33A7B" wp14:editId="440758E0">
                <wp:simplePos x="0" y="0"/>
                <wp:positionH relativeFrom="column">
                  <wp:posOffset>-226695</wp:posOffset>
                </wp:positionH>
                <wp:positionV relativeFrom="paragraph">
                  <wp:posOffset>41910</wp:posOffset>
                </wp:positionV>
                <wp:extent cx="5795158" cy="8286750"/>
                <wp:effectExtent l="0" t="0" r="15240" b="19050"/>
                <wp:wrapNone/>
                <wp:docPr id="6" name="Text Box 6"/>
                <wp:cNvGraphicFramePr/>
                <a:graphic xmlns:a="http://schemas.openxmlformats.org/drawingml/2006/main">
                  <a:graphicData uri="http://schemas.microsoft.com/office/word/2010/wordprocessingShape">
                    <wps:wsp>
                      <wps:cNvSpPr txBox="1"/>
                      <wps:spPr>
                        <a:xfrm>
                          <a:off x="0" y="0"/>
                          <a:ext cx="5795158" cy="8286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34BF6" w:rsidRDefault="00134B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7.85pt;margin-top:3.3pt;width:456.3pt;height:652.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" fillcolor="white [3201]" strokeweight=".5pt">
                <v:textbox>
                  <w:txbxContent>
                    <w:p w:rsidR="00134BF6" w:rsidRDefault="00134BF6"/>
                  </w:txbxContent>
                </v:textbox>
              </v:shape>
            </w:pict>
          </mc:Fallback>
        </mc:AlternateContent>
      </w:r>
    </w:p>
    <w:p w:rsidR="00A95176" w:rsidRPr="00A16039" w:rsidRDefault="002A6B04" w:rsidP="008F12F0">
      <w:pPr>
        <w:pStyle w:val="Chapter5"/>
        <w:numPr>
          <w:ilvl w:val="0"/>
          <w:numId w:val="0"/>
        </w:numPr>
        <w:rPr>
          <w:b/>
          <w:sz w:val="20"/>
        </w:rPr>
      </w:pPr>
      <w:r w:rsidRPr="00A16039">
        <w:rPr>
          <w:b/>
          <w:sz w:val="20"/>
        </w:rPr>
        <w:t>Example</w:t>
      </w:r>
    </w:p>
    <w:p w:rsidR="002A6B04" w:rsidRPr="00A16039" w:rsidRDefault="002A6B04" w:rsidP="008F12F0">
      <w:pPr>
        <w:pStyle w:val="Chapter5"/>
        <w:numPr>
          <w:ilvl w:val="0"/>
          <w:numId w:val="0"/>
        </w:numPr>
        <w:rPr>
          <w:sz w:val="20"/>
        </w:rPr>
      </w:pPr>
    </w:p>
    <w:p w:rsidR="002A6B04" w:rsidRDefault="002A6B04" w:rsidP="008F12F0">
      <w:pPr>
        <w:pStyle w:val="Chapter5"/>
        <w:numPr>
          <w:ilvl w:val="0"/>
          <w:numId w:val="0"/>
        </w:numPr>
        <w:rPr>
          <w:sz w:val="20"/>
        </w:rPr>
      </w:pPr>
      <w:r w:rsidRPr="00A16039">
        <w:rPr>
          <w:sz w:val="20"/>
        </w:rPr>
        <w:t xml:space="preserve">In Table </w:t>
      </w:r>
      <w:r w:rsidR="005C29C2">
        <w:rPr>
          <w:sz w:val="20"/>
        </w:rPr>
        <w:t>5</w:t>
      </w:r>
      <w:r w:rsidRPr="00A16039">
        <w:rPr>
          <w:sz w:val="20"/>
        </w:rPr>
        <w:t xml:space="preserve">, the single owner advances $100,000 of capital.  Revenue in each year is $60,000, of which $30,000 is exempt income and, therefore, non-taxable.  Cash costs are $30,000 each year.  The $30,000 of revenue that is tax exempt </w:t>
      </w:r>
      <w:proofErr w:type="gramStart"/>
      <w:r w:rsidRPr="00A16039">
        <w:rPr>
          <w:sz w:val="20"/>
        </w:rPr>
        <w:t>is distributed</w:t>
      </w:r>
      <w:proofErr w:type="gramEnd"/>
      <w:r w:rsidRPr="00A16039">
        <w:rPr>
          <w:sz w:val="20"/>
        </w:rPr>
        <w:t xml:space="preserve"> to the owner, so no cash is retained in the company.  There are no disallowed amounts.  The owner’s basis </w:t>
      </w:r>
      <w:proofErr w:type="gramStart"/>
      <w:r w:rsidRPr="00A16039">
        <w:rPr>
          <w:sz w:val="20"/>
        </w:rPr>
        <w:t>is calculated</w:t>
      </w:r>
      <w:proofErr w:type="gramEnd"/>
      <w:r w:rsidRPr="00A16039">
        <w:rPr>
          <w:sz w:val="20"/>
        </w:rPr>
        <w:t xml:space="preserve"> for the owner, as follows:</w:t>
      </w:r>
    </w:p>
    <w:p w:rsidR="009D0ED5" w:rsidRPr="00A16039" w:rsidRDefault="009D0ED5" w:rsidP="008F12F0">
      <w:pPr>
        <w:pStyle w:val="Chapter5"/>
        <w:numPr>
          <w:ilvl w:val="0"/>
          <w:numId w:val="0"/>
        </w:numPr>
        <w:rPr>
          <w:sz w:val="20"/>
        </w:rPr>
      </w:pPr>
    </w:p>
    <w:p w:rsidR="002A6B04" w:rsidRPr="00A16039" w:rsidRDefault="002A6B04" w:rsidP="008F12F0">
      <w:pPr>
        <w:pStyle w:val="Chapter5"/>
        <w:numPr>
          <w:ilvl w:val="0"/>
          <w:numId w:val="0"/>
        </w:numPr>
        <w:rPr>
          <w:sz w:val="20"/>
        </w:rPr>
      </w:pPr>
    </w:p>
    <w:tbl>
      <w:tblPr>
        <w:tblStyle w:val="TableGrid"/>
        <w:tblW w:w="0" w:type="auto"/>
        <w:tblLook w:val="04A0" w:firstRow="1" w:lastRow="0" w:firstColumn="1" w:lastColumn="0" w:noHBand="0" w:noVBand="1"/>
      </w:tblPr>
      <w:tblGrid>
        <w:gridCol w:w="2551"/>
        <w:gridCol w:w="1656"/>
      </w:tblGrid>
      <w:tr w:rsidR="002A6B04" w:rsidRPr="00A16039" w:rsidTr="00D9219E">
        <w:tc>
          <w:tcPr>
            <w:tcW w:w="2551" w:type="dxa"/>
          </w:tcPr>
          <w:p w:rsidR="002A6B04" w:rsidRPr="00750878" w:rsidRDefault="002A6B04" w:rsidP="00D9219E">
            <w:pPr>
              <w:pStyle w:val="Chapter5"/>
              <w:numPr>
                <w:ilvl w:val="0"/>
                <w:numId w:val="0"/>
              </w:numPr>
              <w:spacing w:before="80" w:after="80"/>
              <w:rPr>
                <w:b/>
                <w:sz w:val="16"/>
                <w:szCs w:val="16"/>
              </w:rPr>
            </w:pPr>
            <w:r w:rsidRPr="00750878">
              <w:rPr>
                <w:b/>
                <w:sz w:val="16"/>
                <w:szCs w:val="16"/>
              </w:rPr>
              <w:t>Income</w:t>
            </w:r>
          </w:p>
        </w:tc>
        <w:tc>
          <w:tcPr>
            <w:tcW w:w="1656" w:type="dxa"/>
          </w:tcPr>
          <w:p w:rsidR="002A6B04" w:rsidRPr="00750878" w:rsidRDefault="002A6B04" w:rsidP="00750878">
            <w:pPr>
              <w:pStyle w:val="Chapter5"/>
              <w:numPr>
                <w:ilvl w:val="0"/>
                <w:numId w:val="0"/>
              </w:numPr>
              <w:spacing w:before="80" w:after="80"/>
              <w:ind w:right="447"/>
              <w:jc w:val="right"/>
              <w:rPr>
                <w:sz w:val="16"/>
                <w:szCs w:val="16"/>
              </w:rPr>
            </w:pPr>
            <w:r w:rsidRPr="00750878">
              <w:rPr>
                <w:sz w:val="16"/>
                <w:szCs w:val="16"/>
              </w:rPr>
              <w:t>30,000</w:t>
            </w:r>
          </w:p>
        </w:tc>
      </w:tr>
      <w:tr w:rsidR="002A6B04" w:rsidRPr="00A16039" w:rsidTr="00D9219E">
        <w:tc>
          <w:tcPr>
            <w:tcW w:w="2551" w:type="dxa"/>
          </w:tcPr>
          <w:p w:rsidR="002A6B04" w:rsidRPr="00750878" w:rsidRDefault="002A6B04" w:rsidP="00D9219E">
            <w:pPr>
              <w:pStyle w:val="Chapter5"/>
              <w:numPr>
                <w:ilvl w:val="0"/>
                <w:numId w:val="0"/>
              </w:numPr>
              <w:spacing w:before="80" w:after="80"/>
              <w:rPr>
                <w:b/>
                <w:sz w:val="16"/>
                <w:szCs w:val="16"/>
              </w:rPr>
            </w:pPr>
            <w:r w:rsidRPr="00750878">
              <w:rPr>
                <w:b/>
                <w:sz w:val="16"/>
                <w:szCs w:val="16"/>
              </w:rPr>
              <w:t>Costs</w:t>
            </w:r>
          </w:p>
        </w:tc>
        <w:tc>
          <w:tcPr>
            <w:tcW w:w="1656" w:type="dxa"/>
          </w:tcPr>
          <w:p w:rsidR="002A6B04" w:rsidRPr="00750878" w:rsidRDefault="002A6B04" w:rsidP="00750878">
            <w:pPr>
              <w:pStyle w:val="Chapter5"/>
              <w:numPr>
                <w:ilvl w:val="0"/>
                <w:numId w:val="0"/>
              </w:numPr>
              <w:spacing w:before="80" w:after="80"/>
              <w:ind w:right="447"/>
              <w:jc w:val="right"/>
              <w:rPr>
                <w:sz w:val="16"/>
                <w:szCs w:val="16"/>
              </w:rPr>
            </w:pPr>
            <w:r w:rsidRPr="00750878">
              <w:rPr>
                <w:sz w:val="16"/>
                <w:szCs w:val="16"/>
              </w:rPr>
              <w:t>30,000</w:t>
            </w:r>
          </w:p>
        </w:tc>
      </w:tr>
      <w:tr w:rsidR="002A6B04" w:rsidRPr="00A16039" w:rsidTr="00D9219E">
        <w:tc>
          <w:tcPr>
            <w:tcW w:w="2551" w:type="dxa"/>
          </w:tcPr>
          <w:p w:rsidR="002A6B04" w:rsidRPr="00750878" w:rsidRDefault="002A6B04" w:rsidP="00D9219E">
            <w:pPr>
              <w:pStyle w:val="Chapter5"/>
              <w:numPr>
                <w:ilvl w:val="0"/>
                <w:numId w:val="0"/>
              </w:numPr>
              <w:spacing w:before="80" w:after="80"/>
              <w:rPr>
                <w:b/>
                <w:sz w:val="16"/>
                <w:szCs w:val="16"/>
              </w:rPr>
            </w:pPr>
            <w:r w:rsidRPr="00750878">
              <w:rPr>
                <w:b/>
                <w:sz w:val="16"/>
                <w:szCs w:val="16"/>
              </w:rPr>
              <w:t>Interest</w:t>
            </w:r>
          </w:p>
        </w:tc>
        <w:tc>
          <w:tcPr>
            <w:tcW w:w="1656" w:type="dxa"/>
          </w:tcPr>
          <w:p w:rsidR="002A6B04" w:rsidRPr="00750878" w:rsidRDefault="002A6B04" w:rsidP="00750878">
            <w:pPr>
              <w:pStyle w:val="Chapter5"/>
              <w:numPr>
                <w:ilvl w:val="0"/>
                <w:numId w:val="0"/>
              </w:numPr>
              <w:spacing w:before="80" w:after="80"/>
              <w:ind w:right="447"/>
              <w:jc w:val="right"/>
              <w:rPr>
                <w:sz w:val="16"/>
                <w:szCs w:val="16"/>
              </w:rPr>
            </w:pPr>
            <w:r w:rsidRPr="00750878">
              <w:rPr>
                <w:sz w:val="16"/>
                <w:szCs w:val="16"/>
              </w:rPr>
              <w:t>0</w:t>
            </w:r>
          </w:p>
        </w:tc>
      </w:tr>
      <w:tr w:rsidR="002A6B04" w:rsidRPr="00A16039" w:rsidTr="00D9219E">
        <w:tc>
          <w:tcPr>
            <w:tcW w:w="2551" w:type="dxa"/>
          </w:tcPr>
          <w:p w:rsidR="002A6B04" w:rsidRPr="00750878" w:rsidRDefault="002A6B04" w:rsidP="00D9219E">
            <w:pPr>
              <w:pStyle w:val="Chapter5"/>
              <w:numPr>
                <w:ilvl w:val="0"/>
                <w:numId w:val="0"/>
              </w:numPr>
              <w:spacing w:before="80" w:after="80"/>
              <w:rPr>
                <w:b/>
                <w:sz w:val="16"/>
                <w:szCs w:val="16"/>
              </w:rPr>
            </w:pPr>
            <w:r w:rsidRPr="00750878">
              <w:rPr>
                <w:b/>
                <w:sz w:val="16"/>
                <w:szCs w:val="16"/>
              </w:rPr>
              <w:t>Exempt income</w:t>
            </w:r>
          </w:p>
        </w:tc>
        <w:tc>
          <w:tcPr>
            <w:tcW w:w="1656" w:type="dxa"/>
          </w:tcPr>
          <w:p w:rsidR="002A6B04" w:rsidRPr="00750878" w:rsidRDefault="002A6B04" w:rsidP="00750878">
            <w:pPr>
              <w:pStyle w:val="Chapter5"/>
              <w:numPr>
                <w:ilvl w:val="0"/>
                <w:numId w:val="0"/>
              </w:numPr>
              <w:spacing w:before="80" w:after="80"/>
              <w:ind w:right="447"/>
              <w:jc w:val="right"/>
              <w:rPr>
                <w:sz w:val="16"/>
                <w:szCs w:val="16"/>
              </w:rPr>
            </w:pPr>
            <w:r w:rsidRPr="00750878">
              <w:rPr>
                <w:sz w:val="16"/>
                <w:szCs w:val="16"/>
              </w:rPr>
              <w:t>30,000</w:t>
            </w:r>
          </w:p>
        </w:tc>
      </w:tr>
      <w:tr w:rsidR="002A6B04" w:rsidRPr="00A16039" w:rsidTr="00D9219E">
        <w:tc>
          <w:tcPr>
            <w:tcW w:w="2551" w:type="dxa"/>
          </w:tcPr>
          <w:p w:rsidR="002A6B04" w:rsidRPr="00750878" w:rsidRDefault="002A6B04" w:rsidP="00D9219E">
            <w:pPr>
              <w:pStyle w:val="Chapter5"/>
              <w:numPr>
                <w:ilvl w:val="0"/>
                <w:numId w:val="0"/>
              </w:numPr>
              <w:spacing w:before="80" w:after="80"/>
              <w:rPr>
                <w:b/>
                <w:sz w:val="16"/>
                <w:szCs w:val="16"/>
              </w:rPr>
            </w:pPr>
            <w:r w:rsidRPr="00750878">
              <w:rPr>
                <w:b/>
                <w:sz w:val="16"/>
                <w:szCs w:val="16"/>
              </w:rPr>
              <w:t>Capital gains</w:t>
            </w:r>
          </w:p>
        </w:tc>
        <w:tc>
          <w:tcPr>
            <w:tcW w:w="1656" w:type="dxa"/>
          </w:tcPr>
          <w:p w:rsidR="002A6B04" w:rsidRPr="00750878" w:rsidRDefault="002A6B04" w:rsidP="00750878">
            <w:pPr>
              <w:pStyle w:val="Chapter5"/>
              <w:numPr>
                <w:ilvl w:val="0"/>
                <w:numId w:val="0"/>
              </w:numPr>
              <w:spacing w:before="80" w:after="80"/>
              <w:ind w:right="447"/>
              <w:jc w:val="right"/>
              <w:rPr>
                <w:sz w:val="16"/>
                <w:szCs w:val="16"/>
              </w:rPr>
            </w:pPr>
            <w:r w:rsidRPr="00750878">
              <w:rPr>
                <w:sz w:val="16"/>
                <w:szCs w:val="16"/>
              </w:rPr>
              <w:t>0</w:t>
            </w:r>
          </w:p>
        </w:tc>
      </w:tr>
      <w:tr w:rsidR="002A6B04" w:rsidRPr="00A16039" w:rsidTr="00D9219E">
        <w:tc>
          <w:tcPr>
            <w:tcW w:w="2551" w:type="dxa"/>
          </w:tcPr>
          <w:p w:rsidR="002A6B04" w:rsidRPr="00750878" w:rsidRDefault="002A6B04" w:rsidP="00D9219E">
            <w:pPr>
              <w:pStyle w:val="Chapter5"/>
              <w:numPr>
                <w:ilvl w:val="0"/>
                <w:numId w:val="0"/>
              </w:numPr>
              <w:spacing w:before="80" w:after="80"/>
              <w:rPr>
                <w:b/>
                <w:sz w:val="16"/>
                <w:szCs w:val="16"/>
              </w:rPr>
            </w:pPr>
            <w:r w:rsidRPr="00750878">
              <w:rPr>
                <w:b/>
                <w:sz w:val="16"/>
                <w:szCs w:val="16"/>
              </w:rPr>
              <w:t>Net loss</w:t>
            </w:r>
          </w:p>
        </w:tc>
        <w:tc>
          <w:tcPr>
            <w:tcW w:w="1656" w:type="dxa"/>
          </w:tcPr>
          <w:p w:rsidR="002A6B04" w:rsidRPr="00750878" w:rsidRDefault="00A16039" w:rsidP="00750878">
            <w:pPr>
              <w:pStyle w:val="Chapter5"/>
              <w:numPr>
                <w:ilvl w:val="0"/>
                <w:numId w:val="0"/>
              </w:numPr>
              <w:spacing w:before="80" w:after="80"/>
              <w:ind w:right="447"/>
              <w:jc w:val="right"/>
              <w:rPr>
                <w:sz w:val="16"/>
                <w:szCs w:val="16"/>
              </w:rPr>
            </w:pPr>
            <w:r w:rsidRPr="00750878">
              <w:rPr>
                <w:sz w:val="16"/>
                <w:szCs w:val="16"/>
              </w:rPr>
              <w:t>0</w:t>
            </w:r>
          </w:p>
        </w:tc>
      </w:tr>
      <w:tr w:rsidR="002A6B04" w:rsidRPr="00A16039" w:rsidTr="00D9219E">
        <w:tc>
          <w:tcPr>
            <w:tcW w:w="2551" w:type="dxa"/>
          </w:tcPr>
          <w:p w:rsidR="002A6B04" w:rsidRPr="00750878" w:rsidRDefault="002A6B04" w:rsidP="00D9219E">
            <w:pPr>
              <w:pStyle w:val="Chapter5"/>
              <w:numPr>
                <w:ilvl w:val="0"/>
                <w:numId w:val="0"/>
              </w:numPr>
              <w:spacing w:before="80" w:after="80"/>
              <w:rPr>
                <w:b/>
                <w:sz w:val="16"/>
                <w:szCs w:val="16"/>
              </w:rPr>
            </w:pPr>
            <w:r w:rsidRPr="00750878">
              <w:rPr>
                <w:b/>
                <w:sz w:val="16"/>
                <w:szCs w:val="16"/>
              </w:rPr>
              <w:t>Distribution</w:t>
            </w:r>
          </w:p>
        </w:tc>
        <w:tc>
          <w:tcPr>
            <w:tcW w:w="1656" w:type="dxa"/>
          </w:tcPr>
          <w:p w:rsidR="002A6B04" w:rsidRPr="00750878" w:rsidRDefault="00A16039" w:rsidP="00750878">
            <w:pPr>
              <w:pStyle w:val="Chapter5"/>
              <w:numPr>
                <w:ilvl w:val="0"/>
                <w:numId w:val="0"/>
              </w:numPr>
              <w:spacing w:before="80" w:after="80"/>
              <w:ind w:right="447"/>
              <w:jc w:val="right"/>
              <w:rPr>
                <w:sz w:val="16"/>
                <w:szCs w:val="16"/>
              </w:rPr>
            </w:pPr>
            <w:r w:rsidRPr="00750878">
              <w:rPr>
                <w:sz w:val="16"/>
                <w:szCs w:val="16"/>
              </w:rPr>
              <w:t>30,000</w:t>
            </w:r>
          </w:p>
        </w:tc>
      </w:tr>
    </w:tbl>
    <w:p w:rsidR="00A95176" w:rsidRPr="00A16039" w:rsidRDefault="00A95176" w:rsidP="008F12F0">
      <w:pPr>
        <w:pStyle w:val="Chapter5"/>
        <w:numPr>
          <w:ilvl w:val="0"/>
          <w:numId w:val="0"/>
        </w:numPr>
        <w:rPr>
          <w:sz w:val="20"/>
        </w:rPr>
      </w:pPr>
    </w:p>
    <w:p w:rsidR="002A6B04" w:rsidRPr="00A16039" w:rsidRDefault="002A6B04" w:rsidP="008F12F0">
      <w:pPr>
        <w:pStyle w:val="Chapter5"/>
        <w:numPr>
          <w:ilvl w:val="0"/>
          <w:numId w:val="0"/>
        </w:numPr>
        <w:rPr>
          <w:sz w:val="20"/>
        </w:rPr>
      </w:pPr>
    </w:p>
    <w:p w:rsidR="002A6B04" w:rsidRPr="00A16039" w:rsidRDefault="00A16039" w:rsidP="00D9219E">
      <w:pPr>
        <w:pStyle w:val="Chapter5"/>
        <w:numPr>
          <w:ilvl w:val="0"/>
          <w:numId w:val="0"/>
        </w:numPr>
        <w:spacing w:after="200"/>
        <w:jc w:val="left"/>
        <w:rPr>
          <w:b/>
          <w:sz w:val="20"/>
        </w:rPr>
      </w:pPr>
      <w:r w:rsidRPr="00A16039">
        <w:rPr>
          <w:b/>
          <w:sz w:val="20"/>
        </w:rPr>
        <w:t xml:space="preserve">Table </w:t>
      </w:r>
      <w:r w:rsidR="005C29C2">
        <w:rPr>
          <w:b/>
          <w:sz w:val="20"/>
        </w:rPr>
        <w:t>5</w:t>
      </w:r>
      <w:r w:rsidRPr="00A16039">
        <w:rPr>
          <w:b/>
          <w:sz w:val="20"/>
        </w:rPr>
        <w:t>: No losses created, exempt income is distributed</w:t>
      </w:r>
    </w:p>
    <w:tbl>
      <w:tblPr>
        <w:tblStyle w:val="TableGrid"/>
        <w:tblW w:w="0" w:type="auto"/>
        <w:tblLook w:val="04A0" w:firstRow="1" w:lastRow="0" w:firstColumn="1" w:lastColumn="0" w:noHBand="0" w:noVBand="1"/>
      </w:tblPr>
      <w:tblGrid>
        <w:gridCol w:w="361"/>
        <w:gridCol w:w="1105"/>
        <w:gridCol w:w="1149"/>
        <w:gridCol w:w="850"/>
        <w:gridCol w:w="994"/>
        <w:gridCol w:w="905"/>
        <w:gridCol w:w="931"/>
        <w:gridCol w:w="1083"/>
        <w:gridCol w:w="1150"/>
      </w:tblGrid>
      <w:tr w:rsidR="009478B6" w:rsidRPr="009478B6" w:rsidTr="00D9219E">
        <w:trPr>
          <w:cantSplit/>
          <w:trHeight w:val="790"/>
        </w:trPr>
        <w:tc>
          <w:tcPr>
            <w:tcW w:w="361" w:type="dxa"/>
          </w:tcPr>
          <w:p w:rsidR="009478B6" w:rsidRPr="00D9219E" w:rsidRDefault="009478B6" w:rsidP="009478B6">
            <w:pPr>
              <w:pStyle w:val="Chapter5"/>
              <w:ind w:left="0"/>
              <w:rPr>
                <w:sz w:val="16"/>
                <w:szCs w:val="16"/>
              </w:rPr>
            </w:pPr>
          </w:p>
          <w:p w:rsidR="009478B6" w:rsidRPr="00D9219E" w:rsidRDefault="009478B6" w:rsidP="009478B6">
            <w:pPr>
              <w:pStyle w:val="Chapter5"/>
              <w:ind w:left="0"/>
              <w:rPr>
                <w:sz w:val="16"/>
                <w:szCs w:val="16"/>
              </w:rPr>
            </w:pPr>
            <w:r w:rsidRPr="00D9219E">
              <w:rPr>
                <w:sz w:val="16"/>
                <w:szCs w:val="16"/>
              </w:rPr>
              <w:t>Y</w:t>
            </w:r>
          </w:p>
          <w:p w:rsidR="009478B6" w:rsidRPr="00D9219E" w:rsidRDefault="009478B6" w:rsidP="009478B6">
            <w:pPr>
              <w:pStyle w:val="Chapter5"/>
              <w:ind w:left="0"/>
              <w:rPr>
                <w:sz w:val="16"/>
                <w:szCs w:val="16"/>
              </w:rPr>
            </w:pPr>
            <w:r w:rsidRPr="00D9219E">
              <w:rPr>
                <w:sz w:val="16"/>
                <w:szCs w:val="16"/>
              </w:rPr>
              <w:t>e</w:t>
            </w:r>
          </w:p>
          <w:p w:rsidR="009478B6" w:rsidRPr="00D9219E" w:rsidRDefault="009478B6" w:rsidP="009478B6">
            <w:pPr>
              <w:pStyle w:val="Chapter5"/>
              <w:ind w:left="0"/>
              <w:rPr>
                <w:sz w:val="16"/>
                <w:szCs w:val="16"/>
              </w:rPr>
            </w:pPr>
            <w:r w:rsidRPr="00D9219E">
              <w:rPr>
                <w:sz w:val="16"/>
                <w:szCs w:val="16"/>
              </w:rPr>
              <w:t>a</w:t>
            </w:r>
          </w:p>
          <w:p w:rsidR="009478B6" w:rsidRPr="00D9219E" w:rsidRDefault="009478B6" w:rsidP="009478B6">
            <w:pPr>
              <w:pStyle w:val="Chapter5"/>
              <w:ind w:left="0"/>
              <w:rPr>
                <w:sz w:val="16"/>
                <w:szCs w:val="16"/>
              </w:rPr>
            </w:pPr>
            <w:r w:rsidRPr="00D9219E">
              <w:rPr>
                <w:sz w:val="16"/>
                <w:szCs w:val="16"/>
              </w:rPr>
              <w:t>r</w:t>
            </w:r>
          </w:p>
        </w:tc>
        <w:tc>
          <w:tcPr>
            <w:tcW w:w="1105" w:type="dxa"/>
          </w:tcPr>
          <w:p w:rsidR="009478B6" w:rsidRPr="00D9219E" w:rsidRDefault="009478B6">
            <w:pPr>
              <w:pStyle w:val="Chapter5"/>
              <w:spacing w:before="120" w:after="120"/>
              <w:ind w:left="0"/>
              <w:jc w:val="center"/>
              <w:rPr>
                <w:sz w:val="16"/>
                <w:szCs w:val="16"/>
              </w:rPr>
            </w:pPr>
            <w:r w:rsidRPr="00D9219E">
              <w:rPr>
                <w:sz w:val="16"/>
                <w:szCs w:val="16"/>
              </w:rPr>
              <w:t>Investment</w:t>
            </w:r>
          </w:p>
        </w:tc>
        <w:tc>
          <w:tcPr>
            <w:tcW w:w="1149" w:type="dxa"/>
          </w:tcPr>
          <w:p w:rsidR="009478B6" w:rsidRPr="00D9219E" w:rsidRDefault="009478B6" w:rsidP="008436B7">
            <w:pPr>
              <w:pStyle w:val="Chapter5"/>
              <w:spacing w:before="120" w:after="120"/>
              <w:ind w:left="0"/>
              <w:jc w:val="center"/>
              <w:rPr>
                <w:sz w:val="16"/>
                <w:szCs w:val="16"/>
              </w:rPr>
            </w:pPr>
            <w:r w:rsidRPr="00D9219E">
              <w:rPr>
                <w:sz w:val="16"/>
                <w:szCs w:val="16"/>
              </w:rPr>
              <w:t>Distributions</w:t>
            </w:r>
          </w:p>
        </w:tc>
        <w:tc>
          <w:tcPr>
            <w:tcW w:w="850" w:type="dxa"/>
          </w:tcPr>
          <w:p w:rsidR="009478B6" w:rsidRPr="00D9219E" w:rsidRDefault="009478B6" w:rsidP="008436B7">
            <w:pPr>
              <w:pStyle w:val="Chapter5"/>
              <w:spacing w:before="120" w:after="120"/>
              <w:ind w:left="0"/>
              <w:jc w:val="center"/>
              <w:rPr>
                <w:sz w:val="16"/>
                <w:szCs w:val="16"/>
              </w:rPr>
            </w:pPr>
            <w:r w:rsidRPr="00D9219E">
              <w:rPr>
                <w:sz w:val="16"/>
                <w:szCs w:val="16"/>
              </w:rPr>
              <w:t>Income</w:t>
            </w:r>
          </w:p>
        </w:tc>
        <w:tc>
          <w:tcPr>
            <w:tcW w:w="994" w:type="dxa"/>
          </w:tcPr>
          <w:p w:rsidR="009478B6" w:rsidRPr="00D9219E" w:rsidRDefault="009478B6" w:rsidP="008436B7">
            <w:pPr>
              <w:pStyle w:val="Chapter5"/>
              <w:spacing w:before="120" w:after="120"/>
              <w:ind w:left="0"/>
              <w:jc w:val="center"/>
              <w:rPr>
                <w:sz w:val="16"/>
                <w:szCs w:val="16"/>
              </w:rPr>
            </w:pPr>
            <w:r w:rsidRPr="00D9219E">
              <w:rPr>
                <w:sz w:val="16"/>
                <w:szCs w:val="16"/>
              </w:rPr>
              <w:t>Prior year deductions</w:t>
            </w:r>
          </w:p>
        </w:tc>
        <w:tc>
          <w:tcPr>
            <w:tcW w:w="905" w:type="dxa"/>
          </w:tcPr>
          <w:p w:rsidR="009478B6" w:rsidRPr="00D9219E" w:rsidRDefault="009478B6" w:rsidP="008436B7">
            <w:pPr>
              <w:pStyle w:val="Chapter5"/>
              <w:spacing w:before="120" w:after="120"/>
              <w:ind w:left="0"/>
              <w:jc w:val="center"/>
              <w:rPr>
                <w:sz w:val="16"/>
                <w:szCs w:val="16"/>
              </w:rPr>
            </w:pPr>
            <w:r w:rsidRPr="00D9219E">
              <w:rPr>
                <w:sz w:val="16"/>
                <w:szCs w:val="16"/>
              </w:rPr>
              <w:t>Owner’s  basis</w:t>
            </w:r>
          </w:p>
        </w:tc>
        <w:tc>
          <w:tcPr>
            <w:tcW w:w="931" w:type="dxa"/>
          </w:tcPr>
          <w:p w:rsidR="009478B6" w:rsidRPr="00D9219E" w:rsidRDefault="009478B6" w:rsidP="008436B7">
            <w:pPr>
              <w:pStyle w:val="Chapter5"/>
              <w:spacing w:before="120" w:after="120"/>
              <w:ind w:left="0"/>
              <w:jc w:val="center"/>
              <w:rPr>
                <w:sz w:val="16"/>
                <w:szCs w:val="16"/>
              </w:rPr>
            </w:pPr>
            <w:r w:rsidRPr="00D9219E">
              <w:rPr>
                <w:sz w:val="16"/>
                <w:szCs w:val="16"/>
              </w:rPr>
              <w:t>Current year deductions allowed</w:t>
            </w:r>
          </w:p>
        </w:tc>
        <w:tc>
          <w:tcPr>
            <w:tcW w:w="1083" w:type="dxa"/>
          </w:tcPr>
          <w:p w:rsidR="009478B6" w:rsidRPr="00D9219E" w:rsidRDefault="009478B6" w:rsidP="008436B7">
            <w:pPr>
              <w:pStyle w:val="Chapter5"/>
              <w:spacing w:before="120" w:after="120"/>
              <w:ind w:left="0"/>
              <w:jc w:val="center"/>
              <w:rPr>
                <w:sz w:val="16"/>
                <w:szCs w:val="16"/>
              </w:rPr>
            </w:pPr>
            <w:r w:rsidRPr="00D9219E">
              <w:rPr>
                <w:sz w:val="16"/>
                <w:szCs w:val="16"/>
              </w:rPr>
              <w:t>Restricted deductions</w:t>
            </w:r>
          </w:p>
        </w:tc>
        <w:tc>
          <w:tcPr>
            <w:tcW w:w="1150" w:type="dxa"/>
          </w:tcPr>
          <w:p w:rsidR="009478B6" w:rsidRPr="00D9219E" w:rsidRDefault="009478B6" w:rsidP="008436B7">
            <w:pPr>
              <w:pStyle w:val="Chapter5"/>
              <w:spacing w:before="120" w:after="120"/>
              <w:ind w:left="0"/>
              <w:jc w:val="center"/>
              <w:rPr>
                <w:sz w:val="16"/>
                <w:szCs w:val="16"/>
              </w:rPr>
            </w:pPr>
            <w:r w:rsidRPr="00D9219E">
              <w:rPr>
                <w:sz w:val="16"/>
                <w:szCs w:val="16"/>
              </w:rPr>
              <w:t>Cumulative taxable income</w:t>
            </w:r>
          </w:p>
        </w:tc>
      </w:tr>
      <w:tr w:rsidR="009478B6" w:rsidRPr="009478B6" w:rsidTr="00D9219E">
        <w:tc>
          <w:tcPr>
            <w:tcW w:w="361" w:type="dxa"/>
          </w:tcPr>
          <w:p w:rsidR="009478B6" w:rsidRPr="00D9219E" w:rsidRDefault="009478B6" w:rsidP="009478B6">
            <w:pPr>
              <w:pStyle w:val="Chapter5"/>
              <w:numPr>
                <w:ilvl w:val="0"/>
                <w:numId w:val="0"/>
              </w:numPr>
              <w:spacing w:before="80" w:after="80"/>
              <w:rPr>
                <w:sz w:val="16"/>
                <w:szCs w:val="16"/>
              </w:rPr>
            </w:pPr>
            <w:r w:rsidRPr="00D9219E">
              <w:rPr>
                <w:sz w:val="16"/>
                <w:szCs w:val="16"/>
              </w:rPr>
              <w:t>1</w:t>
            </w:r>
          </w:p>
        </w:tc>
        <w:tc>
          <w:tcPr>
            <w:tcW w:w="1105" w:type="dxa"/>
          </w:tcPr>
          <w:p w:rsidR="009478B6" w:rsidRPr="00D9219E" w:rsidRDefault="009478B6" w:rsidP="00750878">
            <w:pPr>
              <w:pStyle w:val="Chapter5"/>
              <w:numPr>
                <w:ilvl w:val="0"/>
                <w:numId w:val="0"/>
              </w:numPr>
              <w:spacing w:before="80" w:after="80"/>
              <w:jc w:val="right"/>
              <w:rPr>
                <w:sz w:val="16"/>
                <w:szCs w:val="16"/>
              </w:rPr>
            </w:pPr>
            <w:r w:rsidRPr="00D9219E">
              <w:rPr>
                <w:sz w:val="16"/>
                <w:szCs w:val="16"/>
              </w:rPr>
              <w:t>100,000</w:t>
            </w:r>
          </w:p>
        </w:tc>
        <w:tc>
          <w:tcPr>
            <w:tcW w:w="1149" w:type="dxa"/>
          </w:tcPr>
          <w:p w:rsidR="009478B6" w:rsidRPr="00D9219E" w:rsidRDefault="009478B6" w:rsidP="009478B6">
            <w:pPr>
              <w:pStyle w:val="Chapter5"/>
              <w:numPr>
                <w:ilvl w:val="0"/>
                <w:numId w:val="0"/>
              </w:numPr>
              <w:spacing w:before="80" w:after="80"/>
              <w:jc w:val="right"/>
              <w:rPr>
                <w:sz w:val="16"/>
                <w:szCs w:val="16"/>
              </w:rPr>
            </w:pPr>
            <w:r w:rsidRPr="00D9219E">
              <w:rPr>
                <w:sz w:val="16"/>
                <w:szCs w:val="16"/>
              </w:rPr>
              <w:t>30,000</w:t>
            </w:r>
          </w:p>
        </w:tc>
        <w:tc>
          <w:tcPr>
            <w:tcW w:w="850" w:type="dxa"/>
          </w:tcPr>
          <w:p w:rsidR="009478B6" w:rsidRPr="00D9219E" w:rsidRDefault="009478B6" w:rsidP="009478B6">
            <w:pPr>
              <w:pStyle w:val="Chapter5"/>
              <w:numPr>
                <w:ilvl w:val="0"/>
                <w:numId w:val="0"/>
              </w:numPr>
              <w:spacing w:before="80" w:after="80"/>
              <w:jc w:val="right"/>
              <w:rPr>
                <w:sz w:val="16"/>
                <w:szCs w:val="16"/>
              </w:rPr>
            </w:pPr>
            <w:r w:rsidRPr="00D9219E">
              <w:rPr>
                <w:sz w:val="16"/>
                <w:szCs w:val="16"/>
              </w:rPr>
              <w:t>60,000</w:t>
            </w:r>
          </w:p>
        </w:tc>
        <w:tc>
          <w:tcPr>
            <w:tcW w:w="994" w:type="dxa"/>
          </w:tcPr>
          <w:p w:rsidR="009478B6" w:rsidRPr="00D9219E" w:rsidRDefault="009478B6" w:rsidP="009478B6">
            <w:pPr>
              <w:pStyle w:val="Chapter5"/>
              <w:numPr>
                <w:ilvl w:val="0"/>
                <w:numId w:val="0"/>
              </w:numPr>
              <w:spacing w:before="80" w:after="80"/>
              <w:jc w:val="right"/>
              <w:rPr>
                <w:sz w:val="16"/>
                <w:szCs w:val="16"/>
              </w:rPr>
            </w:pPr>
            <w:r w:rsidRPr="00D9219E">
              <w:rPr>
                <w:sz w:val="16"/>
                <w:szCs w:val="16"/>
              </w:rPr>
              <w:t>0</w:t>
            </w:r>
          </w:p>
        </w:tc>
        <w:tc>
          <w:tcPr>
            <w:tcW w:w="905" w:type="dxa"/>
          </w:tcPr>
          <w:p w:rsidR="009478B6" w:rsidRPr="00D9219E" w:rsidRDefault="009478B6" w:rsidP="009478B6">
            <w:pPr>
              <w:pStyle w:val="Chapter5"/>
              <w:numPr>
                <w:ilvl w:val="0"/>
                <w:numId w:val="0"/>
              </w:numPr>
              <w:spacing w:before="80" w:after="80"/>
              <w:jc w:val="right"/>
              <w:rPr>
                <w:sz w:val="16"/>
                <w:szCs w:val="16"/>
              </w:rPr>
            </w:pPr>
            <w:r w:rsidRPr="00D9219E">
              <w:rPr>
                <w:sz w:val="16"/>
                <w:szCs w:val="16"/>
              </w:rPr>
              <w:t>130,000</w:t>
            </w:r>
          </w:p>
        </w:tc>
        <w:tc>
          <w:tcPr>
            <w:tcW w:w="931" w:type="dxa"/>
          </w:tcPr>
          <w:p w:rsidR="009478B6" w:rsidRPr="00D9219E" w:rsidRDefault="009478B6" w:rsidP="009478B6">
            <w:pPr>
              <w:pStyle w:val="Chapter5"/>
              <w:numPr>
                <w:ilvl w:val="0"/>
                <w:numId w:val="0"/>
              </w:numPr>
              <w:spacing w:before="80" w:after="80"/>
              <w:jc w:val="right"/>
              <w:rPr>
                <w:sz w:val="16"/>
                <w:szCs w:val="16"/>
              </w:rPr>
            </w:pPr>
            <w:r w:rsidRPr="00D9219E">
              <w:rPr>
                <w:sz w:val="16"/>
                <w:szCs w:val="16"/>
              </w:rPr>
              <w:t>30,000</w:t>
            </w:r>
          </w:p>
        </w:tc>
        <w:tc>
          <w:tcPr>
            <w:tcW w:w="1083" w:type="dxa"/>
          </w:tcPr>
          <w:p w:rsidR="009478B6" w:rsidRPr="00D9219E" w:rsidRDefault="009478B6" w:rsidP="00D9219E">
            <w:pPr>
              <w:pStyle w:val="Chapter5"/>
              <w:numPr>
                <w:ilvl w:val="0"/>
                <w:numId w:val="0"/>
              </w:numPr>
              <w:spacing w:before="80" w:after="80"/>
              <w:jc w:val="right"/>
              <w:rPr>
                <w:sz w:val="16"/>
                <w:szCs w:val="16"/>
              </w:rPr>
            </w:pPr>
            <w:r w:rsidRPr="00D9219E">
              <w:rPr>
                <w:sz w:val="16"/>
                <w:szCs w:val="16"/>
              </w:rPr>
              <w:t>0</w:t>
            </w:r>
          </w:p>
        </w:tc>
        <w:tc>
          <w:tcPr>
            <w:tcW w:w="1150" w:type="dxa"/>
          </w:tcPr>
          <w:p w:rsidR="009478B6" w:rsidRPr="00D9219E" w:rsidRDefault="009478B6" w:rsidP="00D9219E">
            <w:pPr>
              <w:pStyle w:val="Chapter5"/>
              <w:numPr>
                <w:ilvl w:val="0"/>
                <w:numId w:val="0"/>
              </w:numPr>
              <w:spacing w:before="80" w:after="80"/>
              <w:jc w:val="right"/>
              <w:rPr>
                <w:sz w:val="16"/>
                <w:szCs w:val="16"/>
              </w:rPr>
            </w:pPr>
            <w:r w:rsidRPr="00D9219E">
              <w:rPr>
                <w:sz w:val="16"/>
                <w:szCs w:val="16"/>
              </w:rPr>
              <w:t>0</w:t>
            </w:r>
          </w:p>
        </w:tc>
      </w:tr>
      <w:tr w:rsidR="009478B6" w:rsidRPr="009478B6" w:rsidTr="00D9219E">
        <w:tc>
          <w:tcPr>
            <w:tcW w:w="361" w:type="dxa"/>
          </w:tcPr>
          <w:p w:rsidR="009478B6" w:rsidRPr="00D9219E" w:rsidRDefault="009478B6" w:rsidP="009478B6">
            <w:pPr>
              <w:pStyle w:val="Chapter5"/>
              <w:numPr>
                <w:ilvl w:val="0"/>
                <w:numId w:val="0"/>
              </w:numPr>
              <w:spacing w:before="80" w:after="80"/>
              <w:rPr>
                <w:sz w:val="16"/>
                <w:szCs w:val="16"/>
              </w:rPr>
            </w:pPr>
            <w:r w:rsidRPr="00D9219E">
              <w:rPr>
                <w:sz w:val="16"/>
                <w:szCs w:val="16"/>
              </w:rPr>
              <w:t>2</w:t>
            </w:r>
          </w:p>
        </w:tc>
        <w:tc>
          <w:tcPr>
            <w:tcW w:w="1105" w:type="dxa"/>
          </w:tcPr>
          <w:p w:rsidR="009478B6" w:rsidRPr="00D9219E" w:rsidRDefault="009478B6" w:rsidP="00750878">
            <w:pPr>
              <w:pStyle w:val="Chapter5"/>
              <w:numPr>
                <w:ilvl w:val="0"/>
                <w:numId w:val="0"/>
              </w:numPr>
              <w:spacing w:before="80" w:after="80"/>
              <w:jc w:val="right"/>
              <w:rPr>
                <w:sz w:val="16"/>
                <w:szCs w:val="16"/>
              </w:rPr>
            </w:pPr>
            <w:r w:rsidRPr="00D9219E">
              <w:rPr>
                <w:sz w:val="16"/>
                <w:szCs w:val="16"/>
              </w:rPr>
              <w:t>100,000</w:t>
            </w:r>
          </w:p>
        </w:tc>
        <w:tc>
          <w:tcPr>
            <w:tcW w:w="1149" w:type="dxa"/>
          </w:tcPr>
          <w:p w:rsidR="009478B6" w:rsidRPr="00D9219E" w:rsidRDefault="009478B6" w:rsidP="009478B6">
            <w:pPr>
              <w:pStyle w:val="Chapter5"/>
              <w:numPr>
                <w:ilvl w:val="0"/>
                <w:numId w:val="0"/>
              </w:numPr>
              <w:spacing w:before="80" w:after="80"/>
              <w:jc w:val="right"/>
              <w:rPr>
                <w:sz w:val="16"/>
                <w:szCs w:val="16"/>
              </w:rPr>
            </w:pPr>
            <w:r w:rsidRPr="00D9219E">
              <w:rPr>
                <w:sz w:val="16"/>
                <w:szCs w:val="16"/>
              </w:rPr>
              <w:t>60,000</w:t>
            </w:r>
          </w:p>
        </w:tc>
        <w:tc>
          <w:tcPr>
            <w:tcW w:w="850" w:type="dxa"/>
          </w:tcPr>
          <w:p w:rsidR="009478B6" w:rsidRPr="00D9219E" w:rsidRDefault="009478B6" w:rsidP="009478B6">
            <w:pPr>
              <w:pStyle w:val="Chapter5"/>
              <w:numPr>
                <w:ilvl w:val="0"/>
                <w:numId w:val="0"/>
              </w:numPr>
              <w:spacing w:before="80" w:after="80"/>
              <w:jc w:val="right"/>
              <w:rPr>
                <w:sz w:val="16"/>
                <w:szCs w:val="16"/>
              </w:rPr>
            </w:pPr>
            <w:r w:rsidRPr="00D9219E">
              <w:rPr>
                <w:sz w:val="16"/>
                <w:szCs w:val="16"/>
              </w:rPr>
              <w:t>120,000</w:t>
            </w:r>
          </w:p>
        </w:tc>
        <w:tc>
          <w:tcPr>
            <w:tcW w:w="994" w:type="dxa"/>
          </w:tcPr>
          <w:p w:rsidR="009478B6" w:rsidRPr="00D9219E" w:rsidRDefault="009478B6" w:rsidP="009478B6">
            <w:pPr>
              <w:pStyle w:val="Chapter5"/>
              <w:numPr>
                <w:ilvl w:val="0"/>
                <w:numId w:val="0"/>
              </w:numPr>
              <w:spacing w:before="80" w:after="80"/>
              <w:jc w:val="right"/>
              <w:rPr>
                <w:sz w:val="16"/>
                <w:szCs w:val="16"/>
              </w:rPr>
            </w:pPr>
            <w:r w:rsidRPr="00D9219E">
              <w:rPr>
                <w:sz w:val="16"/>
                <w:szCs w:val="16"/>
              </w:rPr>
              <w:t>30,000</w:t>
            </w:r>
          </w:p>
        </w:tc>
        <w:tc>
          <w:tcPr>
            <w:tcW w:w="905" w:type="dxa"/>
          </w:tcPr>
          <w:p w:rsidR="009478B6" w:rsidRPr="00D9219E" w:rsidRDefault="009478B6" w:rsidP="009478B6">
            <w:pPr>
              <w:pStyle w:val="Chapter5"/>
              <w:numPr>
                <w:ilvl w:val="0"/>
                <w:numId w:val="0"/>
              </w:numPr>
              <w:spacing w:before="80" w:after="80"/>
              <w:jc w:val="right"/>
              <w:rPr>
                <w:sz w:val="16"/>
                <w:szCs w:val="16"/>
              </w:rPr>
            </w:pPr>
            <w:r w:rsidRPr="00D9219E">
              <w:rPr>
                <w:sz w:val="16"/>
                <w:szCs w:val="16"/>
              </w:rPr>
              <w:t>130,000</w:t>
            </w:r>
          </w:p>
        </w:tc>
        <w:tc>
          <w:tcPr>
            <w:tcW w:w="931" w:type="dxa"/>
          </w:tcPr>
          <w:p w:rsidR="009478B6" w:rsidRPr="00D9219E" w:rsidRDefault="009478B6" w:rsidP="009478B6">
            <w:pPr>
              <w:pStyle w:val="Chapter5"/>
              <w:numPr>
                <w:ilvl w:val="0"/>
                <w:numId w:val="0"/>
              </w:numPr>
              <w:spacing w:before="80" w:after="80"/>
              <w:jc w:val="right"/>
              <w:rPr>
                <w:sz w:val="16"/>
                <w:szCs w:val="16"/>
              </w:rPr>
            </w:pPr>
            <w:r w:rsidRPr="00D9219E">
              <w:rPr>
                <w:sz w:val="16"/>
                <w:szCs w:val="16"/>
              </w:rPr>
              <w:t>30,000</w:t>
            </w:r>
          </w:p>
        </w:tc>
        <w:tc>
          <w:tcPr>
            <w:tcW w:w="1083" w:type="dxa"/>
          </w:tcPr>
          <w:p w:rsidR="009478B6" w:rsidRPr="00D9219E" w:rsidRDefault="009478B6" w:rsidP="00D9219E">
            <w:pPr>
              <w:pStyle w:val="Chapter5"/>
              <w:numPr>
                <w:ilvl w:val="0"/>
                <w:numId w:val="0"/>
              </w:numPr>
              <w:spacing w:before="80" w:after="80"/>
              <w:jc w:val="right"/>
              <w:rPr>
                <w:sz w:val="16"/>
                <w:szCs w:val="16"/>
              </w:rPr>
            </w:pPr>
            <w:r w:rsidRPr="00D9219E">
              <w:rPr>
                <w:sz w:val="16"/>
                <w:szCs w:val="16"/>
              </w:rPr>
              <w:t>0</w:t>
            </w:r>
          </w:p>
        </w:tc>
        <w:tc>
          <w:tcPr>
            <w:tcW w:w="1150" w:type="dxa"/>
          </w:tcPr>
          <w:p w:rsidR="009478B6" w:rsidRPr="00D9219E" w:rsidRDefault="009478B6" w:rsidP="00D9219E">
            <w:pPr>
              <w:pStyle w:val="Chapter5"/>
              <w:numPr>
                <w:ilvl w:val="0"/>
                <w:numId w:val="0"/>
              </w:numPr>
              <w:spacing w:before="80" w:after="80"/>
              <w:jc w:val="right"/>
              <w:rPr>
                <w:sz w:val="16"/>
                <w:szCs w:val="16"/>
              </w:rPr>
            </w:pPr>
            <w:r w:rsidRPr="00D9219E">
              <w:rPr>
                <w:sz w:val="16"/>
                <w:szCs w:val="16"/>
              </w:rPr>
              <w:t>0</w:t>
            </w:r>
          </w:p>
        </w:tc>
      </w:tr>
      <w:tr w:rsidR="009478B6" w:rsidRPr="009478B6" w:rsidTr="00D9219E">
        <w:tc>
          <w:tcPr>
            <w:tcW w:w="361" w:type="dxa"/>
          </w:tcPr>
          <w:p w:rsidR="009478B6" w:rsidRPr="00D9219E" w:rsidRDefault="009478B6" w:rsidP="009478B6">
            <w:pPr>
              <w:pStyle w:val="Chapter5"/>
              <w:numPr>
                <w:ilvl w:val="0"/>
                <w:numId w:val="0"/>
              </w:numPr>
              <w:spacing w:before="80" w:after="80"/>
              <w:rPr>
                <w:sz w:val="16"/>
                <w:szCs w:val="16"/>
              </w:rPr>
            </w:pPr>
            <w:r w:rsidRPr="00D9219E">
              <w:rPr>
                <w:sz w:val="16"/>
                <w:szCs w:val="16"/>
              </w:rPr>
              <w:t>3</w:t>
            </w:r>
          </w:p>
        </w:tc>
        <w:tc>
          <w:tcPr>
            <w:tcW w:w="1105" w:type="dxa"/>
          </w:tcPr>
          <w:p w:rsidR="009478B6" w:rsidRPr="00D9219E" w:rsidRDefault="009478B6" w:rsidP="00750878">
            <w:pPr>
              <w:pStyle w:val="Chapter5"/>
              <w:numPr>
                <w:ilvl w:val="0"/>
                <w:numId w:val="0"/>
              </w:numPr>
              <w:spacing w:before="80" w:after="80"/>
              <w:jc w:val="right"/>
              <w:rPr>
                <w:sz w:val="16"/>
                <w:szCs w:val="16"/>
              </w:rPr>
            </w:pPr>
            <w:r w:rsidRPr="00D9219E">
              <w:rPr>
                <w:sz w:val="16"/>
                <w:szCs w:val="16"/>
              </w:rPr>
              <w:t>100,000</w:t>
            </w:r>
          </w:p>
        </w:tc>
        <w:tc>
          <w:tcPr>
            <w:tcW w:w="1149" w:type="dxa"/>
          </w:tcPr>
          <w:p w:rsidR="009478B6" w:rsidRPr="00D9219E" w:rsidRDefault="009478B6" w:rsidP="009478B6">
            <w:pPr>
              <w:pStyle w:val="Chapter5"/>
              <w:numPr>
                <w:ilvl w:val="0"/>
                <w:numId w:val="0"/>
              </w:numPr>
              <w:spacing w:before="80" w:after="80"/>
              <w:jc w:val="right"/>
              <w:rPr>
                <w:sz w:val="16"/>
                <w:szCs w:val="16"/>
              </w:rPr>
            </w:pPr>
            <w:r w:rsidRPr="00D9219E">
              <w:rPr>
                <w:sz w:val="16"/>
                <w:szCs w:val="16"/>
              </w:rPr>
              <w:t>90,000</w:t>
            </w:r>
          </w:p>
        </w:tc>
        <w:tc>
          <w:tcPr>
            <w:tcW w:w="850" w:type="dxa"/>
          </w:tcPr>
          <w:p w:rsidR="009478B6" w:rsidRPr="00D9219E" w:rsidRDefault="009478B6" w:rsidP="009478B6">
            <w:pPr>
              <w:pStyle w:val="Chapter5"/>
              <w:numPr>
                <w:ilvl w:val="0"/>
                <w:numId w:val="0"/>
              </w:numPr>
              <w:spacing w:before="80" w:after="80"/>
              <w:jc w:val="right"/>
              <w:rPr>
                <w:sz w:val="16"/>
                <w:szCs w:val="16"/>
              </w:rPr>
            </w:pPr>
            <w:r w:rsidRPr="00D9219E">
              <w:rPr>
                <w:sz w:val="16"/>
                <w:szCs w:val="16"/>
              </w:rPr>
              <w:t>180,000</w:t>
            </w:r>
          </w:p>
        </w:tc>
        <w:tc>
          <w:tcPr>
            <w:tcW w:w="994" w:type="dxa"/>
          </w:tcPr>
          <w:p w:rsidR="009478B6" w:rsidRPr="00D9219E" w:rsidRDefault="009478B6" w:rsidP="009478B6">
            <w:pPr>
              <w:pStyle w:val="Chapter5"/>
              <w:numPr>
                <w:ilvl w:val="0"/>
                <w:numId w:val="0"/>
              </w:numPr>
              <w:spacing w:before="80" w:after="80"/>
              <w:jc w:val="right"/>
              <w:rPr>
                <w:sz w:val="16"/>
                <w:szCs w:val="16"/>
              </w:rPr>
            </w:pPr>
            <w:r w:rsidRPr="00D9219E">
              <w:rPr>
                <w:sz w:val="16"/>
                <w:szCs w:val="16"/>
              </w:rPr>
              <w:t>60,000</w:t>
            </w:r>
          </w:p>
        </w:tc>
        <w:tc>
          <w:tcPr>
            <w:tcW w:w="905" w:type="dxa"/>
          </w:tcPr>
          <w:p w:rsidR="009478B6" w:rsidRPr="00D9219E" w:rsidRDefault="009478B6" w:rsidP="009478B6">
            <w:pPr>
              <w:pStyle w:val="Chapter5"/>
              <w:numPr>
                <w:ilvl w:val="0"/>
                <w:numId w:val="0"/>
              </w:numPr>
              <w:spacing w:before="80" w:after="80"/>
              <w:jc w:val="right"/>
              <w:rPr>
                <w:sz w:val="16"/>
                <w:szCs w:val="16"/>
              </w:rPr>
            </w:pPr>
            <w:r w:rsidRPr="00D9219E">
              <w:rPr>
                <w:sz w:val="16"/>
                <w:szCs w:val="16"/>
              </w:rPr>
              <w:t>130,000</w:t>
            </w:r>
          </w:p>
        </w:tc>
        <w:tc>
          <w:tcPr>
            <w:tcW w:w="931" w:type="dxa"/>
          </w:tcPr>
          <w:p w:rsidR="009478B6" w:rsidRPr="00D9219E" w:rsidRDefault="009478B6" w:rsidP="009478B6">
            <w:pPr>
              <w:pStyle w:val="Chapter5"/>
              <w:numPr>
                <w:ilvl w:val="0"/>
                <w:numId w:val="0"/>
              </w:numPr>
              <w:spacing w:before="80" w:after="80"/>
              <w:jc w:val="right"/>
              <w:rPr>
                <w:sz w:val="16"/>
                <w:szCs w:val="16"/>
              </w:rPr>
            </w:pPr>
            <w:r w:rsidRPr="00D9219E">
              <w:rPr>
                <w:sz w:val="16"/>
                <w:szCs w:val="16"/>
              </w:rPr>
              <w:t>30,000</w:t>
            </w:r>
          </w:p>
        </w:tc>
        <w:tc>
          <w:tcPr>
            <w:tcW w:w="1083" w:type="dxa"/>
          </w:tcPr>
          <w:p w:rsidR="009478B6" w:rsidRPr="00D9219E" w:rsidRDefault="009478B6" w:rsidP="00D9219E">
            <w:pPr>
              <w:pStyle w:val="Chapter5"/>
              <w:numPr>
                <w:ilvl w:val="0"/>
                <w:numId w:val="0"/>
              </w:numPr>
              <w:spacing w:before="80" w:after="80"/>
              <w:jc w:val="right"/>
              <w:rPr>
                <w:sz w:val="16"/>
                <w:szCs w:val="16"/>
              </w:rPr>
            </w:pPr>
            <w:r w:rsidRPr="00D9219E">
              <w:rPr>
                <w:sz w:val="16"/>
                <w:szCs w:val="16"/>
              </w:rPr>
              <w:t>0</w:t>
            </w:r>
          </w:p>
        </w:tc>
        <w:tc>
          <w:tcPr>
            <w:tcW w:w="1150" w:type="dxa"/>
          </w:tcPr>
          <w:p w:rsidR="009478B6" w:rsidRPr="00D9219E" w:rsidRDefault="009478B6" w:rsidP="00D9219E">
            <w:pPr>
              <w:pStyle w:val="Chapter5"/>
              <w:numPr>
                <w:ilvl w:val="0"/>
                <w:numId w:val="0"/>
              </w:numPr>
              <w:spacing w:before="80" w:after="80"/>
              <w:jc w:val="right"/>
              <w:rPr>
                <w:sz w:val="16"/>
                <w:szCs w:val="16"/>
              </w:rPr>
            </w:pPr>
            <w:r w:rsidRPr="00D9219E">
              <w:rPr>
                <w:sz w:val="16"/>
                <w:szCs w:val="16"/>
              </w:rPr>
              <w:t>0</w:t>
            </w:r>
          </w:p>
        </w:tc>
      </w:tr>
      <w:tr w:rsidR="009478B6" w:rsidRPr="009478B6" w:rsidTr="00D9219E">
        <w:tc>
          <w:tcPr>
            <w:tcW w:w="361" w:type="dxa"/>
          </w:tcPr>
          <w:p w:rsidR="009478B6" w:rsidRPr="00D9219E" w:rsidRDefault="009478B6" w:rsidP="009478B6">
            <w:pPr>
              <w:pStyle w:val="Chapter5"/>
              <w:numPr>
                <w:ilvl w:val="0"/>
                <w:numId w:val="0"/>
              </w:numPr>
              <w:spacing w:before="80" w:after="80"/>
              <w:rPr>
                <w:sz w:val="16"/>
                <w:szCs w:val="16"/>
              </w:rPr>
            </w:pPr>
            <w:r w:rsidRPr="00D9219E">
              <w:rPr>
                <w:sz w:val="16"/>
                <w:szCs w:val="16"/>
              </w:rPr>
              <w:t>4</w:t>
            </w:r>
          </w:p>
        </w:tc>
        <w:tc>
          <w:tcPr>
            <w:tcW w:w="1105" w:type="dxa"/>
          </w:tcPr>
          <w:p w:rsidR="009478B6" w:rsidRPr="00D9219E" w:rsidRDefault="009478B6" w:rsidP="00750878">
            <w:pPr>
              <w:pStyle w:val="Chapter5"/>
              <w:numPr>
                <w:ilvl w:val="0"/>
                <w:numId w:val="0"/>
              </w:numPr>
              <w:spacing w:before="80" w:after="80"/>
              <w:jc w:val="right"/>
              <w:rPr>
                <w:sz w:val="16"/>
                <w:szCs w:val="16"/>
              </w:rPr>
            </w:pPr>
            <w:r w:rsidRPr="00D9219E">
              <w:rPr>
                <w:sz w:val="16"/>
                <w:szCs w:val="16"/>
              </w:rPr>
              <w:t>100,000</w:t>
            </w:r>
          </w:p>
        </w:tc>
        <w:tc>
          <w:tcPr>
            <w:tcW w:w="1149" w:type="dxa"/>
          </w:tcPr>
          <w:p w:rsidR="009478B6" w:rsidRPr="00D9219E" w:rsidRDefault="009478B6" w:rsidP="009478B6">
            <w:pPr>
              <w:pStyle w:val="Chapter5"/>
              <w:numPr>
                <w:ilvl w:val="0"/>
                <w:numId w:val="0"/>
              </w:numPr>
              <w:spacing w:before="80" w:after="80"/>
              <w:jc w:val="right"/>
              <w:rPr>
                <w:sz w:val="16"/>
                <w:szCs w:val="16"/>
              </w:rPr>
            </w:pPr>
            <w:r w:rsidRPr="00D9219E">
              <w:rPr>
                <w:sz w:val="16"/>
                <w:szCs w:val="16"/>
              </w:rPr>
              <w:t>120,000</w:t>
            </w:r>
          </w:p>
        </w:tc>
        <w:tc>
          <w:tcPr>
            <w:tcW w:w="850" w:type="dxa"/>
          </w:tcPr>
          <w:p w:rsidR="009478B6" w:rsidRPr="00D9219E" w:rsidRDefault="009478B6" w:rsidP="009478B6">
            <w:pPr>
              <w:pStyle w:val="Chapter5"/>
              <w:numPr>
                <w:ilvl w:val="0"/>
                <w:numId w:val="0"/>
              </w:numPr>
              <w:spacing w:before="80" w:after="80"/>
              <w:jc w:val="right"/>
              <w:rPr>
                <w:sz w:val="16"/>
                <w:szCs w:val="16"/>
              </w:rPr>
            </w:pPr>
            <w:r w:rsidRPr="00D9219E">
              <w:rPr>
                <w:sz w:val="16"/>
                <w:szCs w:val="16"/>
              </w:rPr>
              <w:t>240,000</w:t>
            </w:r>
          </w:p>
        </w:tc>
        <w:tc>
          <w:tcPr>
            <w:tcW w:w="994" w:type="dxa"/>
          </w:tcPr>
          <w:p w:rsidR="009478B6" w:rsidRPr="00D9219E" w:rsidRDefault="009478B6" w:rsidP="009478B6">
            <w:pPr>
              <w:pStyle w:val="Chapter5"/>
              <w:numPr>
                <w:ilvl w:val="0"/>
                <w:numId w:val="0"/>
              </w:numPr>
              <w:spacing w:before="80" w:after="80"/>
              <w:jc w:val="right"/>
              <w:rPr>
                <w:sz w:val="16"/>
                <w:szCs w:val="16"/>
              </w:rPr>
            </w:pPr>
            <w:r w:rsidRPr="00D9219E">
              <w:rPr>
                <w:sz w:val="16"/>
                <w:szCs w:val="16"/>
              </w:rPr>
              <w:t>90,000</w:t>
            </w:r>
          </w:p>
        </w:tc>
        <w:tc>
          <w:tcPr>
            <w:tcW w:w="905" w:type="dxa"/>
          </w:tcPr>
          <w:p w:rsidR="009478B6" w:rsidRPr="00D9219E" w:rsidRDefault="009478B6" w:rsidP="009478B6">
            <w:pPr>
              <w:pStyle w:val="Chapter5"/>
              <w:numPr>
                <w:ilvl w:val="0"/>
                <w:numId w:val="0"/>
              </w:numPr>
              <w:spacing w:before="80" w:after="80"/>
              <w:jc w:val="right"/>
              <w:rPr>
                <w:sz w:val="16"/>
                <w:szCs w:val="16"/>
              </w:rPr>
            </w:pPr>
            <w:r w:rsidRPr="00D9219E">
              <w:rPr>
                <w:sz w:val="16"/>
                <w:szCs w:val="16"/>
              </w:rPr>
              <w:t>130,000</w:t>
            </w:r>
          </w:p>
        </w:tc>
        <w:tc>
          <w:tcPr>
            <w:tcW w:w="931" w:type="dxa"/>
          </w:tcPr>
          <w:p w:rsidR="009478B6" w:rsidRPr="00D9219E" w:rsidRDefault="009478B6" w:rsidP="009478B6">
            <w:pPr>
              <w:pStyle w:val="Chapter5"/>
              <w:numPr>
                <w:ilvl w:val="0"/>
                <w:numId w:val="0"/>
              </w:numPr>
              <w:spacing w:before="80" w:after="80"/>
              <w:jc w:val="right"/>
              <w:rPr>
                <w:sz w:val="16"/>
                <w:szCs w:val="16"/>
              </w:rPr>
            </w:pPr>
            <w:r w:rsidRPr="00D9219E">
              <w:rPr>
                <w:sz w:val="16"/>
                <w:szCs w:val="16"/>
              </w:rPr>
              <w:t>30,000</w:t>
            </w:r>
          </w:p>
        </w:tc>
        <w:tc>
          <w:tcPr>
            <w:tcW w:w="1083" w:type="dxa"/>
          </w:tcPr>
          <w:p w:rsidR="009478B6" w:rsidRPr="00D9219E" w:rsidRDefault="009478B6" w:rsidP="00D9219E">
            <w:pPr>
              <w:pStyle w:val="Chapter5"/>
              <w:numPr>
                <w:ilvl w:val="0"/>
                <w:numId w:val="0"/>
              </w:numPr>
              <w:spacing w:before="80" w:after="80"/>
              <w:jc w:val="right"/>
              <w:rPr>
                <w:sz w:val="16"/>
                <w:szCs w:val="16"/>
              </w:rPr>
            </w:pPr>
            <w:r w:rsidRPr="00D9219E">
              <w:rPr>
                <w:sz w:val="16"/>
                <w:szCs w:val="16"/>
              </w:rPr>
              <w:t>0</w:t>
            </w:r>
          </w:p>
        </w:tc>
        <w:tc>
          <w:tcPr>
            <w:tcW w:w="1150" w:type="dxa"/>
          </w:tcPr>
          <w:p w:rsidR="009478B6" w:rsidRPr="00D9219E" w:rsidRDefault="009478B6" w:rsidP="00D9219E">
            <w:pPr>
              <w:pStyle w:val="Chapter5"/>
              <w:numPr>
                <w:ilvl w:val="0"/>
                <w:numId w:val="0"/>
              </w:numPr>
              <w:spacing w:before="80" w:after="80"/>
              <w:jc w:val="right"/>
              <w:rPr>
                <w:sz w:val="16"/>
                <w:szCs w:val="16"/>
              </w:rPr>
            </w:pPr>
            <w:r w:rsidRPr="00D9219E">
              <w:rPr>
                <w:sz w:val="16"/>
                <w:szCs w:val="16"/>
              </w:rPr>
              <w:t>0</w:t>
            </w:r>
          </w:p>
        </w:tc>
      </w:tr>
      <w:tr w:rsidR="009478B6" w:rsidRPr="009478B6" w:rsidTr="00D9219E">
        <w:tc>
          <w:tcPr>
            <w:tcW w:w="361" w:type="dxa"/>
          </w:tcPr>
          <w:p w:rsidR="009478B6" w:rsidRPr="00D9219E" w:rsidRDefault="009478B6" w:rsidP="009478B6">
            <w:pPr>
              <w:pStyle w:val="Chapter5"/>
              <w:numPr>
                <w:ilvl w:val="0"/>
                <w:numId w:val="0"/>
              </w:numPr>
              <w:spacing w:before="80" w:after="80"/>
              <w:rPr>
                <w:sz w:val="16"/>
                <w:szCs w:val="16"/>
              </w:rPr>
            </w:pPr>
            <w:r w:rsidRPr="00D9219E">
              <w:rPr>
                <w:sz w:val="16"/>
                <w:szCs w:val="16"/>
              </w:rPr>
              <w:t>5</w:t>
            </w:r>
          </w:p>
        </w:tc>
        <w:tc>
          <w:tcPr>
            <w:tcW w:w="1105" w:type="dxa"/>
          </w:tcPr>
          <w:p w:rsidR="009478B6" w:rsidRPr="00D9219E" w:rsidRDefault="009478B6" w:rsidP="00750878">
            <w:pPr>
              <w:pStyle w:val="Chapter5"/>
              <w:numPr>
                <w:ilvl w:val="0"/>
                <w:numId w:val="0"/>
              </w:numPr>
              <w:spacing w:before="80" w:after="80"/>
              <w:jc w:val="right"/>
              <w:rPr>
                <w:sz w:val="16"/>
                <w:szCs w:val="16"/>
              </w:rPr>
            </w:pPr>
            <w:r w:rsidRPr="00D9219E">
              <w:rPr>
                <w:sz w:val="16"/>
                <w:szCs w:val="16"/>
              </w:rPr>
              <w:t>100,000</w:t>
            </w:r>
          </w:p>
        </w:tc>
        <w:tc>
          <w:tcPr>
            <w:tcW w:w="1149" w:type="dxa"/>
          </w:tcPr>
          <w:p w:rsidR="009478B6" w:rsidRPr="00D9219E" w:rsidRDefault="009478B6" w:rsidP="009478B6">
            <w:pPr>
              <w:pStyle w:val="Chapter5"/>
              <w:numPr>
                <w:ilvl w:val="0"/>
                <w:numId w:val="0"/>
              </w:numPr>
              <w:spacing w:before="80" w:after="80"/>
              <w:jc w:val="right"/>
              <w:rPr>
                <w:sz w:val="16"/>
                <w:szCs w:val="16"/>
              </w:rPr>
            </w:pPr>
            <w:r w:rsidRPr="00D9219E">
              <w:rPr>
                <w:sz w:val="16"/>
                <w:szCs w:val="16"/>
              </w:rPr>
              <w:t>150,000</w:t>
            </w:r>
          </w:p>
        </w:tc>
        <w:tc>
          <w:tcPr>
            <w:tcW w:w="850" w:type="dxa"/>
          </w:tcPr>
          <w:p w:rsidR="009478B6" w:rsidRPr="00D9219E" w:rsidRDefault="009478B6" w:rsidP="009478B6">
            <w:pPr>
              <w:pStyle w:val="Chapter5"/>
              <w:numPr>
                <w:ilvl w:val="0"/>
                <w:numId w:val="0"/>
              </w:numPr>
              <w:spacing w:before="80" w:after="80"/>
              <w:jc w:val="right"/>
              <w:rPr>
                <w:sz w:val="16"/>
                <w:szCs w:val="16"/>
              </w:rPr>
            </w:pPr>
            <w:r w:rsidRPr="00D9219E">
              <w:rPr>
                <w:sz w:val="16"/>
                <w:szCs w:val="16"/>
              </w:rPr>
              <w:t>300,000</w:t>
            </w:r>
          </w:p>
        </w:tc>
        <w:tc>
          <w:tcPr>
            <w:tcW w:w="994" w:type="dxa"/>
          </w:tcPr>
          <w:p w:rsidR="009478B6" w:rsidRPr="00D9219E" w:rsidRDefault="009478B6" w:rsidP="009478B6">
            <w:pPr>
              <w:pStyle w:val="Chapter5"/>
              <w:numPr>
                <w:ilvl w:val="0"/>
                <w:numId w:val="0"/>
              </w:numPr>
              <w:spacing w:before="80" w:after="80"/>
              <w:jc w:val="right"/>
              <w:rPr>
                <w:sz w:val="16"/>
                <w:szCs w:val="16"/>
              </w:rPr>
            </w:pPr>
            <w:r w:rsidRPr="00D9219E">
              <w:rPr>
                <w:sz w:val="16"/>
                <w:szCs w:val="16"/>
              </w:rPr>
              <w:t>120,000</w:t>
            </w:r>
          </w:p>
        </w:tc>
        <w:tc>
          <w:tcPr>
            <w:tcW w:w="905" w:type="dxa"/>
          </w:tcPr>
          <w:p w:rsidR="009478B6" w:rsidRPr="00D9219E" w:rsidRDefault="009478B6" w:rsidP="009478B6">
            <w:pPr>
              <w:pStyle w:val="Chapter5"/>
              <w:numPr>
                <w:ilvl w:val="0"/>
                <w:numId w:val="0"/>
              </w:numPr>
              <w:spacing w:before="80" w:after="80"/>
              <w:jc w:val="right"/>
              <w:rPr>
                <w:sz w:val="16"/>
                <w:szCs w:val="16"/>
              </w:rPr>
            </w:pPr>
            <w:r w:rsidRPr="00D9219E">
              <w:rPr>
                <w:sz w:val="16"/>
                <w:szCs w:val="16"/>
              </w:rPr>
              <w:t>130,000</w:t>
            </w:r>
          </w:p>
        </w:tc>
        <w:tc>
          <w:tcPr>
            <w:tcW w:w="931" w:type="dxa"/>
          </w:tcPr>
          <w:p w:rsidR="009478B6" w:rsidRPr="00D9219E" w:rsidRDefault="009478B6" w:rsidP="009478B6">
            <w:pPr>
              <w:pStyle w:val="Chapter5"/>
              <w:numPr>
                <w:ilvl w:val="0"/>
                <w:numId w:val="0"/>
              </w:numPr>
              <w:spacing w:before="80" w:after="80"/>
              <w:jc w:val="right"/>
              <w:rPr>
                <w:sz w:val="16"/>
                <w:szCs w:val="16"/>
              </w:rPr>
            </w:pPr>
            <w:r w:rsidRPr="00D9219E">
              <w:rPr>
                <w:sz w:val="16"/>
                <w:szCs w:val="16"/>
              </w:rPr>
              <w:t>30,000</w:t>
            </w:r>
          </w:p>
        </w:tc>
        <w:tc>
          <w:tcPr>
            <w:tcW w:w="1083" w:type="dxa"/>
          </w:tcPr>
          <w:p w:rsidR="009478B6" w:rsidRPr="00D9219E" w:rsidRDefault="009478B6" w:rsidP="00D9219E">
            <w:pPr>
              <w:pStyle w:val="Chapter5"/>
              <w:numPr>
                <w:ilvl w:val="0"/>
                <w:numId w:val="0"/>
              </w:numPr>
              <w:spacing w:before="80" w:after="80"/>
              <w:jc w:val="right"/>
              <w:rPr>
                <w:sz w:val="16"/>
                <w:szCs w:val="16"/>
              </w:rPr>
            </w:pPr>
            <w:r w:rsidRPr="00D9219E">
              <w:rPr>
                <w:sz w:val="16"/>
                <w:szCs w:val="16"/>
              </w:rPr>
              <w:t>0</w:t>
            </w:r>
          </w:p>
        </w:tc>
        <w:tc>
          <w:tcPr>
            <w:tcW w:w="1150" w:type="dxa"/>
          </w:tcPr>
          <w:p w:rsidR="009478B6" w:rsidRPr="00D9219E" w:rsidRDefault="009478B6" w:rsidP="00D9219E">
            <w:pPr>
              <w:pStyle w:val="Chapter5"/>
              <w:numPr>
                <w:ilvl w:val="0"/>
                <w:numId w:val="0"/>
              </w:numPr>
              <w:spacing w:before="80" w:after="80"/>
              <w:jc w:val="right"/>
              <w:rPr>
                <w:sz w:val="16"/>
                <w:szCs w:val="16"/>
              </w:rPr>
            </w:pPr>
            <w:r w:rsidRPr="00D9219E">
              <w:rPr>
                <w:sz w:val="16"/>
                <w:szCs w:val="16"/>
              </w:rPr>
              <w:t>0</w:t>
            </w:r>
          </w:p>
        </w:tc>
      </w:tr>
    </w:tbl>
    <w:p w:rsidR="00A16039" w:rsidRDefault="00A16039" w:rsidP="008F12F0">
      <w:pPr>
        <w:pStyle w:val="Chapter5"/>
        <w:numPr>
          <w:ilvl w:val="0"/>
          <w:numId w:val="0"/>
        </w:numPr>
        <w:rPr>
          <w:sz w:val="20"/>
        </w:rPr>
      </w:pPr>
    </w:p>
    <w:p w:rsidR="009D0ED5" w:rsidRPr="00A16039" w:rsidRDefault="009D0ED5" w:rsidP="008F12F0">
      <w:pPr>
        <w:pStyle w:val="Chapter5"/>
        <w:numPr>
          <w:ilvl w:val="0"/>
          <w:numId w:val="0"/>
        </w:numPr>
        <w:rPr>
          <w:sz w:val="20"/>
        </w:rPr>
      </w:pPr>
    </w:p>
    <w:p w:rsidR="00A16039" w:rsidRPr="00A16039" w:rsidRDefault="00A16039" w:rsidP="00A16039">
      <w:pPr>
        <w:pStyle w:val="Chapter5"/>
        <w:numPr>
          <w:ilvl w:val="0"/>
          <w:numId w:val="0"/>
        </w:numPr>
        <w:rPr>
          <w:sz w:val="20"/>
        </w:rPr>
      </w:pPr>
      <w:r w:rsidRPr="00A16039">
        <w:rPr>
          <w:sz w:val="20"/>
        </w:rPr>
        <w:t>However, if instead all income were to be distributed, then ultimately deductions would be limited, as follows:</w:t>
      </w:r>
    </w:p>
    <w:p w:rsidR="00A16039" w:rsidRDefault="00A16039" w:rsidP="00A16039">
      <w:pPr>
        <w:pStyle w:val="Chapter5"/>
        <w:numPr>
          <w:ilvl w:val="0"/>
          <w:numId w:val="0"/>
        </w:numPr>
        <w:rPr>
          <w:sz w:val="20"/>
        </w:rPr>
      </w:pPr>
    </w:p>
    <w:p w:rsidR="00D9219E" w:rsidRPr="00A16039" w:rsidRDefault="00D9219E" w:rsidP="00A16039">
      <w:pPr>
        <w:pStyle w:val="Chapter5"/>
        <w:numPr>
          <w:ilvl w:val="0"/>
          <w:numId w:val="0"/>
        </w:numPr>
        <w:rPr>
          <w:sz w:val="20"/>
        </w:rPr>
      </w:pPr>
    </w:p>
    <w:p w:rsidR="00A16039" w:rsidRPr="00A16039" w:rsidRDefault="00A16039" w:rsidP="00D9219E">
      <w:pPr>
        <w:pStyle w:val="Chapter5"/>
        <w:numPr>
          <w:ilvl w:val="0"/>
          <w:numId w:val="0"/>
        </w:numPr>
        <w:spacing w:after="200"/>
        <w:jc w:val="left"/>
        <w:rPr>
          <w:b/>
          <w:sz w:val="20"/>
        </w:rPr>
      </w:pPr>
      <w:r w:rsidRPr="00A16039">
        <w:rPr>
          <w:b/>
          <w:sz w:val="20"/>
        </w:rPr>
        <w:t xml:space="preserve">Table </w:t>
      </w:r>
      <w:r w:rsidR="005C29C2">
        <w:rPr>
          <w:b/>
          <w:sz w:val="20"/>
        </w:rPr>
        <w:t>6</w:t>
      </w:r>
      <w:r w:rsidRPr="00A16039">
        <w:rPr>
          <w:b/>
          <w:sz w:val="20"/>
        </w:rPr>
        <w:t>: No losses created, all income is distributed</w:t>
      </w:r>
    </w:p>
    <w:tbl>
      <w:tblPr>
        <w:tblStyle w:val="TableGrid"/>
        <w:tblW w:w="0" w:type="auto"/>
        <w:tblLook w:val="04A0" w:firstRow="1" w:lastRow="0" w:firstColumn="1" w:lastColumn="0" w:noHBand="0" w:noVBand="1"/>
      </w:tblPr>
      <w:tblGrid>
        <w:gridCol w:w="361"/>
        <w:gridCol w:w="1105"/>
        <w:gridCol w:w="1149"/>
        <w:gridCol w:w="850"/>
        <w:gridCol w:w="994"/>
        <w:gridCol w:w="905"/>
        <w:gridCol w:w="931"/>
        <w:gridCol w:w="1083"/>
        <w:gridCol w:w="1150"/>
      </w:tblGrid>
      <w:tr w:rsidR="009E4F10" w:rsidRPr="009E4F10" w:rsidTr="008436B7">
        <w:trPr>
          <w:trHeight w:val="824"/>
        </w:trPr>
        <w:tc>
          <w:tcPr>
            <w:tcW w:w="361" w:type="dxa"/>
          </w:tcPr>
          <w:p w:rsidR="008436B7" w:rsidRDefault="008436B7" w:rsidP="009E4F10">
            <w:pPr>
              <w:pStyle w:val="Chapter5"/>
              <w:numPr>
                <w:ilvl w:val="0"/>
                <w:numId w:val="0"/>
              </w:numPr>
              <w:rPr>
                <w:sz w:val="16"/>
                <w:szCs w:val="16"/>
              </w:rPr>
            </w:pPr>
          </w:p>
          <w:p w:rsidR="009E4F10" w:rsidRPr="00D9219E" w:rsidRDefault="009E4F10" w:rsidP="009E4F10">
            <w:pPr>
              <w:pStyle w:val="Chapter5"/>
              <w:numPr>
                <w:ilvl w:val="0"/>
                <w:numId w:val="0"/>
              </w:numPr>
              <w:rPr>
                <w:sz w:val="16"/>
                <w:szCs w:val="16"/>
              </w:rPr>
            </w:pPr>
            <w:r w:rsidRPr="00D9219E">
              <w:rPr>
                <w:sz w:val="16"/>
                <w:szCs w:val="16"/>
              </w:rPr>
              <w:t>Y</w:t>
            </w:r>
          </w:p>
          <w:p w:rsidR="009E4F10" w:rsidRPr="00D9219E" w:rsidRDefault="009E4F10" w:rsidP="009E4F10">
            <w:pPr>
              <w:pStyle w:val="Chapter5"/>
              <w:numPr>
                <w:ilvl w:val="0"/>
                <w:numId w:val="0"/>
              </w:numPr>
              <w:rPr>
                <w:sz w:val="16"/>
                <w:szCs w:val="16"/>
              </w:rPr>
            </w:pPr>
            <w:r w:rsidRPr="00D9219E">
              <w:rPr>
                <w:sz w:val="16"/>
                <w:szCs w:val="16"/>
              </w:rPr>
              <w:t>e</w:t>
            </w:r>
          </w:p>
          <w:p w:rsidR="009E4F10" w:rsidRPr="00D9219E" w:rsidRDefault="009E4F10" w:rsidP="009E4F10">
            <w:pPr>
              <w:pStyle w:val="Chapter5"/>
              <w:numPr>
                <w:ilvl w:val="0"/>
                <w:numId w:val="0"/>
              </w:numPr>
              <w:rPr>
                <w:sz w:val="16"/>
                <w:szCs w:val="16"/>
              </w:rPr>
            </w:pPr>
            <w:r w:rsidRPr="00D9219E">
              <w:rPr>
                <w:sz w:val="16"/>
                <w:szCs w:val="16"/>
              </w:rPr>
              <w:t>a</w:t>
            </w:r>
          </w:p>
          <w:p w:rsidR="009E4F10" w:rsidRPr="00D9219E" w:rsidRDefault="009E4F10" w:rsidP="009E4F10">
            <w:pPr>
              <w:pStyle w:val="Chapter5"/>
              <w:ind w:left="0"/>
              <w:rPr>
                <w:sz w:val="16"/>
                <w:szCs w:val="16"/>
              </w:rPr>
            </w:pPr>
            <w:r w:rsidRPr="00D9219E">
              <w:rPr>
                <w:sz w:val="16"/>
                <w:szCs w:val="16"/>
              </w:rPr>
              <w:t>r</w:t>
            </w:r>
          </w:p>
        </w:tc>
        <w:tc>
          <w:tcPr>
            <w:tcW w:w="1105" w:type="dxa"/>
          </w:tcPr>
          <w:p w:rsidR="009E4F10" w:rsidRPr="00D9219E" w:rsidRDefault="009E4F10">
            <w:pPr>
              <w:pStyle w:val="Chapter5"/>
              <w:spacing w:before="120" w:after="120"/>
              <w:ind w:left="0"/>
              <w:jc w:val="center"/>
              <w:rPr>
                <w:sz w:val="16"/>
                <w:szCs w:val="16"/>
              </w:rPr>
            </w:pPr>
            <w:r w:rsidRPr="00D9219E">
              <w:rPr>
                <w:sz w:val="16"/>
                <w:szCs w:val="16"/>
              </w:rPr>
              <w:t>Investment</w:t>
            </w:r>
          </w:p>
        </w:tc>
        <w:tc>
          <w:tcPr>
            <w:tcW w:w="1149" w:type="dxa"/>
          </w:tcPr>
          <w:p w:rsidR="009E4F10" w:rsidRPr="00D9219E" w:rsidRDefault="009E4F10" w:rsidP="009478B6">
            <w:pPr>
              <w:pStyle w:val="Chapter5"/>
              <w:numPr>
                <w:ilvl w:val="0"/>
                <w:numId w:val="0"/>
              </w:numPr>
              <w:spacing w:before="120" w:after="120"/>
              <w:jc w:val="center"/>
              <w:rPr>
                <w:sz w:val="16"/>
                <w:szCs w:val="16"/>
              </w:rPr>
            </w:pPr>
            <w:r w:rsidRPr="00D9219E">
              <w:rPr>
                <w:sz w:val="16"/>
                <w:szCs w:val="16"/>
              </w:rPr>
              <w:t>Distributions</w:t>
            </w:r>
          </w:p>
        </w:tc>
        <w:tc>
          <w:tcPr>
            <w:tcW w:w="850" w:type="dxa"/>
          </w:tcPr>
          <w:p w:rsidR="009E4F10" w:rsidRPr="00D9219E" w:rsidRDefault="009E4F10" w:rsidP="009478B6">
            <w:pPr>
              <w:pStyle w:val="Chapter5"/>
              <w:numPr>
                <w:ilvl w:val="0"/>
                <w:numId w:val="0"/>
              </w:numPr>
              <w:spacing w:before="120" w:after="120"/>
              <w:jc w:val="center"/>
              <w:rPr>
                <w:sz w:val="16"/>
                <w:szCs w:val="16"/>
              </w:rPr>
            </w:pPr>
            <w:r w:rsidRPr="00D9219E">
              <w:rPr>
                <w:sz w:val="16"/>
                <w:szCs w:val="16"/>
              </w:rPr>
              <w:t>In</w:t>
            </w:r>
            <w:r w:rsidR="009478B6" w:rsidRPr="00D9219E">
              <w:rPr>
                <w:sz w:val="16"/>
                <w:szCs w:val="16"/>
              </w:rPr>
              <w:t>c</w:t>
            </w:r>
            <w:r w:rsidRPr="00D9219E">
              <w:rPr>
                <w:sz w:val="16"/>
                <w:szCs w:val="16"/>
              </w:rPr>
              <w:t>ome</w:t>
            </w:r>
          </w:p>
        </w:tc>
        <w:tc>
          <w:tcPr>
            <w:tcW w:w="994" w:type="dxa"/>
          </w:tcPr>
          <w:p w:rsidR="009E4F10" w:rsidRPr="00D9219E" w:rsidRDefault="009E4F10" w:rsidP="009478B6">
            <w:pPr>
              <w:pStyle w:val="Chapter5"/>
              <w:spacing w:before="120" w:after="120"/>
              <w:ind w:left="0"/>
              <w:jc w:val="center"/>
              <w:rPr>
                <w:sz w:val="16"/>
                <w:szCs w:val="16"/>
              </w:rPr>
            </w:pPr>
            <w:r w:rsidRPr="00D9219E">
              <w:rPr>
                <w:sz w:val="16"/>
                <w:szCs w:val="16"/>
              </w:rPr>
              <w:t>Prior year deductions</w:t>
            </w:r>
          </w:p>
        </w:tc>
        <w:tc>
          <w:tcPr>
            <w:tcW w:w="905" w:type="dxa"/>
          </w:tcPr>
          <w:p w:rsidR="009E4F10" w:rsidRPr="00D9219E" w:rsidRDefault="009E4F10" w:rsidP="009478B6">
            <w:pPr>
              <w:pStyle w:val="Chapter5"/>
              <w:numPr>
                <w:ilvl w:val="0"/>
                <w:numId w:val="0"/>
              </w:numPr>
              <w:spacing w:before="120" w:after="120"/>
              <w:jc w:val="center"/>
              <w:rPr>
                <w:sz w:val="16"/>
                <w:szCs w:val="16"/>
              </w:rPr>
            </w:pPr>
            <w:r w:rsidRPr="00D9219E">
              <w:rPr>
                <w:sz w:val="16"/>
                <w:szCs w:val="16"/>
              </w:rPr>
              <w:t>Owner’s basis</w:t>
            </w:r>
          </w:p>
        </w:tc>
        <w:tc>
          <w:tcPr>
            <w:tcW w:w="931" w:type="dxa"/>
          </w:tcPr>
          <w:p w:rsidR="009E4F10" w:rsidRPr="00D9219E" w:rsidRDefault="00D9219E" w:rsidP="009478B6">
            <w:pPr>
              <w:pStyle w:val="Chapter5"/>
              <w:spacing w:before="120" w:after="120"/>
              <w:ind w:left="0"/>
              <w:jc w:val="center"/>
              <w:rPr>
                <w:sz w:val="16"/>
                <w:szCs w:val="16"/>
              </w:rPr>
            </w:pPr>
            <w:r w:rsidRPr="00D9219E">
              <w:rPr>
                <w:sz w:val="16"/>
                <w:szCs w:val="16"/>
              </w:rPr>
              <w:t>Current year deductions allowed</w:t>
            </w:r>
          </w:p>
        </w:tc>
        <w:tc>
          <w:tcPr>
            <w:tcW w:w="1083" w:type="dxa"/>
          </w:tcPr>
          <w:p w:rsidR="009E4F10" w:rsidRPr="00D9219E" w:rsidRDefault="009E4F10" w:rsidP="009478B6">
            <w:pPr>
              <w:pStyle w:val="Chapter5"/>
              <w:spacing w:before="120" w:after="120"/>
              <w:ind w:left="0"/>
              <w:jc w:val="center"/>
              <w:rPr>
                <w:sz w:val="16"/>
                <w:szCs w:val="16"/>
              </w:rPr>
            </w:pPr>
            <w:r w:rsidRPr="00D9219E">
              <w:rPr>
                <w:sz w:val="16"/>
                <w:szCs w:val="16"/>
              </w:rPr>
              <w:t>Restricted deductions</w:t>
            </w:r>
          </w:p>
        </w:tc>
        <w:tc>
          <w:tcPr>
            <w:tcW w:w="1150" w:type="dxa"/>
          </w:tcPr>
          <w:p w:rsidR="009E4F10" w:rsidRPr="00D9219E" w:rsidRDefault="009E4F10" w:rsidP="009478B6">
            <w:pPr>
              <w:pStyle w:val="Chapter5"/>
              <w:spacing w:before="120" w:after="120"/>
              <w:ind w:left="0"/>
              <w:jc w:val="center"/>
              <w:rPr>
                <w:sz w:val="16"/>
                <w:szCs w:val="16"/>
              </w:rPr>
            </w:pPr>
            <w:r w:rsidRPr="00D9219E">
              <w:rPr>
                <w:sz w:val="16"/>
                <w:szCs w:val="16"/>
              </w:rPr>
              <w:t>Cumulative taxable income</w:t>
            </w:r>
          </w:p>
        </w:tc>
      </w:tr>
      <w:tr w:rsidR="009E4F10" w:rsidRPr="009E4F10" w:rsidTr="00D9219E">
        <w:tc>
          <w:tcPr>
            <w:tcW w:w="361" w:type="dxa"/>
          </w:tcPr>
          <w:p w:rsidR="009E4F10" w:rsidRPr="00D9219E" w:rsidRDefault="009E4F10" w:rsidP="00D9219E">
            <w:pPr>
              <w:pStyle w:val="Chapter5"/>
              <w:numPr>
                <w:ilvl w:val="0"/>
                <w:numId w:val="0"/>
              </w:numPr>
              <w:spacing w:before="80" w:after="80"/>
              <w:rPr>
                <w:sz w:val="16"/>
                <w:szCs w:val="16"/>
              </w:rPr>
            </w:pPr>
            <w:r w:rsidRPr="00D9219E">
              <w:rPr>
                <w:sz w:val="16"/>
                <w:szCs w:val="16"/>
              </w:rPr>
              <w:t>1</w:t>
            </w:r>
          </w:p>
        </w:tc>
        <w:tc>
          <w:tcPr>
            <w:tcW w:w="1105" w:type="dxa"/>
          </w:tcPr>
          <w:p w:rsidR="009E4F10" w:rsidRPr="00D9219E" w:rsidRDefault="009E4F10">
            <w:pPr>
              <w:pStyle w:val="Chapter5"/>
              <w:numPr>
                <w:ilvl w:val="0"/>
                <w:numId w:val="0"/>
              </w:numPr>
              <w:spacing w:before="80" w:after="80"/>
              <w:jc w:val="right"/>
              <w:rPr>
                <w:sz w:val="16"/>
                <w:szCs w:val="16"/>
              </w:rPr>
            </w:pPr>
            <w:r w:rsidRPr="00D9219E">
              <w:rPr>
                <w:sz w:val="16"/>
                <w:szCs w:val="16"/>
              </w:rPr>
              <w:t>100,000</w:t>
            </w:r>
          </w:p>
        </w:tc>
        <w:tc>
          <w:tcPr>
            <w:tcW w:w="1149" w:type="dxa"/>
          </w:tcPr>
          <w:p w:rsidR="009E4F10" w:rsidRPr="00D9219E" w:rsidRDefault="009E4F10" w:rsidP="00D9219E">
            <w:pPr>
              <w:pStyle w:val="Chapter5"/>
              <w:numPr>
                <w:ilvl w:val="0"/>
                <w:numId w:val="0"/>
              </w:numPr>
              <w:spacing w:before="80" w:after="80"/>
              <w:jc w:val="right"/>
              <w:rPr>
                <w:sz w:val="16"/>
                <w:szCs w:val="16"/>
              </w:rPr>
            </w:pPr>
            <w:r w:rsidRPr="00D9219E">
              <w:rPr>
                <w:sz w:val="16"/>
                <w:szCs w:val="16"/>
              </w:rPr>
              <w:t>60,000</w:t>
            </w:r>
          </w:p>
        </w:tc>
        <w:tc>
          <w:tcPr>
            <w:tcW w:w="850" w:type="dxa"/>
          </w:tcPr>
          <w:p w:rsidR="009E4F10" w:rsidRPr="00D9219E" w:rsidRDefault="009E4F10" w:rsidP="00D9219E">
            <w:pPr>
              <w:pStyle w:val="Chapter5"/>
              <w:numPr>
                <w:ilvl w:val="0"/>
                <w:numId w:val="0"/>
              </w:numPr>
              <w:spacing w:before="80" w:after="80"/>
              <w:jc w:val="right"/>
              <w:rPr>
                <w:sz w:val="16"/>
                <w:szCs w:val="16"/>
              </w:rPr>
            </w:pPr>
            <w:r w:rsidRPr="00D9219E">
              <w:rPr>
                <w:sz w:val="16"/>
                <w:szCs w:val="16"/>
              </w:rPr>
              <w:t>60,000</w:t>
            </w:r>
          </w:p>
        </w:tc>
        <w:tc>
          <w:tcPr>
            <w:tcW w:w="994" w:type="dxa"/>
          </w:tcPr>
          <w:p w:rsidR="009E4F10" w:rsidRPr="00D9219E" w:rsidRDefault="009E4F10" w:rsidP="00D9219E">
            <w:pPr>
              <w:pStyle w:val="Chapter5"/>
              <w:numPr>
                <w:ilvl w:val="0"/>
                <w:numId w:val="0"/>
              </w:numPr>
              <w:spacing w:before="80" w:after="80"/>
              <w:jc w:val="right"/>
              <w:rPr>
                <w:sz w:val="16"/>
                <w:szCs w:val="16"/>
              </w:rPr>
            </w:pPr>
            <w:r w:rsidRPr="00D9219E">
              <w:rPr>
                <w:sz w:val="16"/>
                <w:szCs w:val="16"/>
              </w:rPr>
              <w:t>0</w:t>
            </w:r>
          </w:p>
        </w:tc>
        <w:tc>
          <w:tcPr>
            <w:tcW w:w="905" w:type="dxa"/>
          </w:tcPr>
          <w:p w:rsidR="009E4F10" w:rsidRPr="00D9219E" w:rsidRDefault="009E4F10" w:rsidP="00D9219E">
            <w:pPr>
              <w:pStyle w:val="Chapter5"/>
              <w:numPr>
                <w:ilvl w:val="0"/>
                <w:numId w:val="0"/>
              </w:numPr>
              <w:spacing w:before="80" w:after="80"/>
              <w:jc w:val="right"/>
              <w:rPr>
                <w:sz w:val="16"/>
                <w:szCs w:val="16"/>
              </w:rPr>
            </w:pPr>
            <w:r w:rsidRPr="00D9219E">
              <w:rPr>
                <w:sz w:val="16"/>
                <w:szCs w:val="16"/>
              </w:rPr>
              <w:t>100,000</w:t>
            </w:r>
          </w:p>
        </w:tc>
        <w:tc>
          <w:tcPr>
            <w:tcW w:w="931" w:type="dxa"/>
          </w:tcPr>
          <w:p w:rsidR="009E4F10" w:rsidRPr="00D9219E" w:rsidRDefault="009E4F10" w:rsidP="00D9219E">
            <w:pPr>
              <w:pStyle w:val="Chapter5"/>
              <w:numPr>
                <w:ilvl w:val="0"/>
                <w:numId w:val="0"/>
              </w:numPr>
              <w:spacing w:before="80" w:after="80"/>
              <w:jc w:val="right"/>
              <w:rPr>
                <w:sz w:val="16"/>
                <w:szCs w:val="16"/>
              </w:rPr>
            </w:pPr>
            <w:r w:rsidRPr="00D9219E">
              <w:rPr>
                <w:sz w:val="16"/>
                <w:szCs w:val="16"/>
              </w:rPr>
              <w:t>30,000</w:t>
            </w:r>
          </w:p>
        </w:tc>
        <w:tc>
          <w:tcPr>
            <w:tcW w:w="1083" w:type="dxa"/>
          </w:tcPr>
          <w:p w:rsidR="009E4F10" w:rsidRPr="00D9219E" w:rsidRDefault="009E4F10" w:rsidP="00D9219E">
            <w:pPr>
              <w:pStyle w:val="Chapter5"/>
              <w:numPr>
                <w:ilvl w:val="0"/>
                <w:numId w:val="0"/>
              </w:numPr>
              <w:spacing w:before="80" w:after="80"/>
              <w:jc w:val="right"/>
              <w:rPr>
                <w:sz w:val="16"/>
                <w:szCs w:val="16"/>
              </w:rPr>
            </w:pPr>
            <w:r w:rsidRPr="00D9219E">
              <w:rPr>
                <w:sz w:val="16"/>
                <w:szCs w:val="16"/>
              </w:rPr>
              <w:t>0</w:t>
            </w:r>
          </w:p>
        </w:tc>
        <w:tc>
          <w:tcPr>
            <w:tcW w:w="1150" w:type="dxa"/>
          </w:tcPr>
          <w:p w:rsidR="009E4F10" w:rsidRPr="00D9219E" w:rsidRDefault="009E4F10" w:rsidP="00D9219E">
            <w:pPr>
              <w:pStyle w:val="Chapter5"/>
              <w:numPr>
                <w:ilvl w:val="0"/>
                <w:numId w:val="0"/>
              </w:numPr>
              <w:spacing w:before="80" w:after="80"/>
              <w:jc w:val="right"/>
              <w:rPr>
                <w:sz w:val="16"/>
                <w:szCs w:val="16"/>
              </w:rPr>
            </w:pPr>
            <w:r w:rsidRPr="00D9219E">
              <w:rPr>
                <w:sz w:val="16"/>
                <w:szCs w:val="16"/>
              </w:rPr>
              <w:t>0</w:t>
            </w:r>
          </w:p>
        </w:tc>
      </w:tr>
      <w:tr w:rsidR="009E4F10" w:rsidRPr="009E4F10" w:rsidTr="00D9219E">
        <w:tc>
          <w:tcPr>
            <w:tcW w:w="361" w:type="dxa"/>
          </w:tcPr>
          <w:p w:rsidR="009E4F10" w:rsidRPr="00D9219E" w:rsidRDefault="009E4F10" w:rsidP="00D9219E">
            <w:pPr>
              <w:pStyle w:val="Chapter5"/>
              <w:numPr>
                <w:ilvl w:val="0"/>
                <w:numId w:val="0"/>
              </w:numPr>
              <w:spacing w:before="80" w:after="80"/>
              <w:rPr>
                <w:sz w:val="16"/>
                <w:szCs w:val="16"/>
              </w:rPr>
            </w:pPr>
            <w:r w:rsidRPr="00D9219E">
              <w:rPr>
                <w:sz w:val="16"/>
                <w:szCs w:val="16"/>
              </w:rPr>
              <w:t>2</w:t>
            </w:r>
          </w:p>
        </w:tc>
        <w:tc>
          <w:tcPr>
            <w:tcW w:w="1105" w:type="dxa"/>
          </w:tcPr>
          <w:p w:rsidR="009E4F10" w:rsidRPr="00D9219E" w:rsidRDefault="009E4F10">
            <w:pPr>
              <w:pStyle w:val="Chapter5"/>
              <w:numPr>
                <w:ilvl w:val="0"/>
                <w:numId w:val="0"/>
              </w:numPr>
              <w:spacing w:before="80" w:after="80"/>
              <w:jc w:val="right"/>
              <w:rPr>
                <w:sz w:val="16"/>
                <w:szCs w:val="16"/>
              </w:rPr>
            </w:pPr>
            <w:r w:rsidRPr="00D9219E">
              <w:rPr>
                <w:sz w:val="16"/>
                <w:szCs w:val="16"/>
              </w:rPr>
              <w:t>100,000</w:t>
            </w:r>
          </w:p>
        </w:tc>
        <w:tc>
          <w:tcPr>
            <w:tcW w:w="1149" w:type="dxa"/>
          </w:tcPr>
          <w:p w:rsidR="009E4F10" w:rsidRPr="00D9219E" w:rsidRDefault="009E4F10" w:rsidP="00D9219E">
            <w:pPr>
              <w:pStyle w:val="Chapter5"/>
              <w:numPr>
                <w:ilvl w:val="0"/>
                <w:numId w:val="0"/>
              </w:numPr>
              <w:spacing w:before="80" w:after="80"/>
              <w:jc w:val="right"/>
              <w:rPr>
                <w:sz w:val="16"/>
                <w:szCs w:val="16"/>
              </w:rPr>
            </w:pPr>
            <w:r w:rsidRPr="00D9219E">
              <w:rPr>
                <w:sz w:val="16"/>
                <w:szCs w:val="16"/>
              </w:rPr>
              <w:t>120,000</w:t>
            </w:r>
          </w:p>
        </w:tc>
        <w:tc>
          <w:tcPr>
            <w:tcW w:w="850" w:type="dxa"/>
          </w:tcPr>
          <w:p w:rsidR="009E4F10" w:rsidRPr="00D9219E" w:rsidRDefault="009E4F10" w:rsidP="00D9219E">
            <w:pPr>
              <w:pStyle w:val="Chapter5"/>
              <w:numPr>
                <w:ilvl w:val="0"/>
                <w:numId w:val="0"/>
              </w:numPr>
              <w:spacing w:before="80" w:after="80"/>
              <w:jc w:val="right"/>
              <w:rPr>
                <w:sz w:val="16"/>
                <w:szCs w:val="16"/>
              </w:rPr>
            </w:pPr>
            <w:r w:rsidRPr="00D9219E">
              <w:rPr>
                <w:sz w:val="16"/>
                <w:szCs w:val="16"/>
              </w:rPr>
              <w:t>120,000</w:t>
            </w:r>
          </w:p>
        </w:tc>
        <w:tc>
          <w:tcPr>
            <w:tcW w:w="994" w:type="dxa"/>
          </w:tcPr>
          <w:p w:rsidR="009E4F10" w:rsidRPr="00D9219E" w:rsidRDefault="009E4F10" w:rsidP="00D9219E">
            <w:pPr>
              <w:pStyle w:val="Chapter5"/>
              <w:numPr>
                <w:ilvl w:val="0"/>
                <w:numId w:val="0"/>
              </w:numPr>
              <w:spacing w:before="80" w:after="80"/>
              <w:jc w:val="right"/>
              <w:rPr>
                <w:sz w:val="16"/>
                <w:szCs w:val="16"/>
              </w:rPr>
            </w:pPr>
            <w:r w:rsidRPr="00D9219E">
              <w:rPr>
                <w:sz w:val="16"/>
                <w:szCs w:val="16"/>
              </w:rPr>
              <w:t>30,000</w:t>
            </w:r>
          </w:p>
        </w:tc>
        <w:tc>
          <w:tcPr>
            <w:tcW w:w="905" w:type="dxa"/>
          </w:tcPr>
          <w:p w:rsidR="009E4F10" w:rsidRPr="00D9219E" w:rsidRDefault="009E4F10" w:rsidP="00D9219E">
            <w:pPr>
              <w:pStyle w:val="Chapter5"/>
              <w:numPr>
                <w:ilvl w:val="0"/>
                <w:numId w:val="0"/>
              </w:numPr>
              <w:spacing w:before="80" w:after="80"/>
              <w:jc w:val="right"/>
              <w:rPr>
                <w:sz w:val="16"/>
                <w:szCs w:val="16"/>
              </w:rPr>
            </w:pPr>
            <w:r w:rsidRPr="00D9219E">
              <w:rPr>
                <w:sz w:val="16"/>
                <w:szCs w:val="16"/>
              </w:rPr>
              <w:t>70,000</w:t>
            </w:r>
          </w:p>
        </w:tc>
        <w:tc>
          <w:tcPr>
            <w:tcW w:w="931" w:type="dxa"/>
          </w:tcPr>
          <w:p w:rsidR="009E4F10" w:rsidRPr="00D9219E" w:rsidRDefault="009E4F10" w:rsidP="00D9219E">
            <w:pPr>
              <w:pStyle w:val="Chapter5"/>
              <w:numPr>
                <w:ilvl w:val="0"/>
                <w:numId w:val="0"/>
              </w:numPr>
              <w:spacing w:before="80" w:after="80"/>
              <w:jc w:val="right"/>
              <w:rPr>
                <w:sz w:val="16"/>
                <w:szCs w:val="16"/>
              </w:rPr>
            </w:pPr>
            <w:r w:rsidRPr="00D9219E">
              <w:rPr>
                <w:sz w:val="16"/>
                <w:szCs w:val="16"/>
              </w:rPr>
              <w:t>30,000</w:t>
            </w:r>
          </w:p>
        </w:tc>
        <w:tc>
          <w:tcPr>
            <w:tcW w:w="1083" w:type="dxa"/>
          </w:tcPr>
          <w:p w:rsidR="009E4F10" w:rsidRPr="00D9219E" w:rsidRDefault="009E4F10" w:rsidP="00D9219E">
            <w:pPr>
              <w:pStyle w:val="Chapter5"/>
              <w:numPr>
                <w:ilvl w:val="0"/>
                <w:numId w:val="0"/>
              </w:numPr>
              <w:spacing w:before="80" w:after="80"/>
              <w:jc w:val="right"/>
              <w:rPr>
                <w:sz w:val="16"/>
                <w:szCs w:val="16"/>
              </w:rPr>
            </w:pPr>
            <w:r w:rsidRPr="00D9219E">
              <w:rPr>
                <w:sz w:val="16"/>
                <w:szCs w:val="16"/>
              </w:rPr>
              <w:t>0</w:t>
            </w:r>
          </w:p>
        </w:tc>
        <w:tc>
          <w:tcPr>
            <w:tcW w:w="1150" w:type="dxa"/>
          </w:tcPr>
          <w:p w:rsidR="009E4F10" w:rsidRPr="00D9219E" w:rsidRDefault="009E4F10" w:rsidP="00D9219E">
            <w:pPr>
              <w:pStyle w:val="Chapter5"/>
              <w:numPr>
                <w:ilvl w:val="0"/>
                <w:numId w:val="0"/>
              </w:numPr>
              <w:spacing w:before="80" w:after="80"/>
              <w:jc w:val="right"/>
              <w:rPr>
                <w:sz w:val="16"/>
                <w:szCs w:val="16"/>
              </w:rPr>
            </w:pPr>
            <w:r w:rsidRPr="00D9219E">
              <w:rPr>
                <w:sz w:val="16"/>
                <w:szCs w:val="16"/>
              </w:rPr>
              <w:t>0</w:t>
            </w:r>
          </w:p>
        </w:tc>
      </w:tr>
      <w:tr w:rsidR="009E4F10" w:rsidRPr="009E4F10" w:rsidTr="00D9219E">
        <w:tc>
          <w:tcPr>
            <w:tcW w:w="361" w:type="dxa"/>
          </w:tcPr>
          <w:p w:rsidR="009E4F10" w:rsidRPr="00D9219E" w:rsidRDefault="009E4F10" w:rsidP="00D9219E">
            <w:pPr>
              <w:pStyle w:val="Chapter5"/>
              <w:numPr>
                <w:ilvl w:val="0"/>
                <w:numId w:val="0"/>
              </w:numPr>
              <w:spacing w:before="80" w:after="80"/>
              <w:rPr>
                <w:sz w:val="16"/>
                <w:szCs w:val="16"/>
              </w:rPr>
            </w:pPr>
            <w:r w:rsidRPr="00D9219E">
              <w:rPr>
                <w:sz w:val="16"/>
                <w:szCs w:val="16"/>
              </w:rPr>
              <w:t>3</w:t>
            </w:r>
          </w:p>
        </w:tc>
        <w:tc>
          <w:tcPr>
            <w:tcW w:w="1105" w:type="dxa"/>
          </w:tcPr>
          <w:p w:rsidR="009E4F10" w:rsidRPr="00D9219E" w:rsidRDefault="009E4F10">
            <w:pPr>
              <w:pStyle w:val="Chapter5"/>
              <w:numPr>
                <w:ilvl w:val="0"/>
                <w:numId w:val="0"/>
              </w:numPr>
              <w:spacing w:before="80" w:after="80"/>
              <w:jc w:val="right"/>
              <w:rPr>
                <w:sz w:val="16"/>
                <w:szCs w:val="16"/>
              </w:rPr>
            </w:pPr>
            <w:r w:rsidRPr="00D9219E">
              <w:rPr>
                <w:sz w:val="16"/>
                <w:szCs w:val="16"/>
              </w:rPr>
              <w:t>100,000</w:t>
            </w:r>
          </w:p>
        </w:tc>
        <w:tc>
          <w:tcPr>
            <w:tcW w:w="1149" w:type="dxa"/>
          </w:tcPr>
          <w:p w:rsidR="009E4F10" w:rsidRPr="00D9219E" w:rsidRDefault="009E4F10" w:rsidP="00D9219E">
            <w:pPr>
              <w:pStyle w:val="Chapter5"/>
              <w:numPr>
                <w:ilvl w:val="0"/>
                <w:numId w:val="0"/>
              </w:numPr>
              <w:spacing w:before="80" w:after="80"/>
              <w:jc w:val="right"/>
              <w:rPr>
                <w:sz w:val="16"/>
                <w:szCs w:val="16"/>
              </w:rPr>
            </w:pPr>
            <w:r w:rsidRPr="00D9219E">
              <w:rPr>
                <w:sz w:val="16"/>
                <w:szCs w:val="16"/>
              </w:rPr>
              <w:t>180,000</w:t>
            </w:r>
          </w:p>
        </w:tc>
        <w:tc>
          <w:tcPr>
            <w:tcW w:w="850" w:type="dxa"/>
          </w:tcPr>
          <w:p w:rsidR="009E4F10" w:rsidRPr="00D9219E" w:rsidRDefault="009E4F10" w:rsidP="00D9219E">
            <w:pPr>
              <w:pStyle w:val="Chapter5"/>
              <w:numPr>
                <w:ilvl w:val="0"/>
                <w:numId w:val="0"/>
              </w:numPr>
              <w:spacing w:before="80" w:after="80"/>
              <w:jc w:val="right"/>
              <w:rPr>
                <w:sz w:val="16"/>
                <w:szCs w:val="16"/>
              </w:rPr>
            </w:pPr>
            <w:r w:rsidRPr="00D9219E">
              <w:rPr>
                <w:sz w:val="16"/>
                <w:szCs w:val="16"/>
              </w:rPr>
              <w:t>180,000</w:t>
            </w:r>
          </w:p>
        </w:tc>
        <w:tc>
          <w:tcPr>
            <w:tcW w:w="994" w:type="dxa"/>
          </w:tcPr>
          <w:p w:rsidR="009E4F10" w:rsidRPr="00D9219E" w:rsidRDefault="009E4F10" w:rsidP="00D9219E">
            <w:pPr>
              <w:pStyle w:val="Chapter5"/>
              <w:numPr>
                <w:ilvl w:val="0"/>
                <w:numId w:val="0"/>
              </w:numPr>
              <w:spacing w:before="80" w:after="80"/>
              <w:jc w:val="right"/>
              <w:rPr>
                <w:sz w:val="16"/>
                <w:szCs w:val="16"/>
              </w:rPr>
            </w:pPr>
            <w:r w:rsidRPr="00D9219E">
              <w:rPr>
                <w:sz w:val="16"/>
                <w:szCs w:val="16"/>
              </w:rPr>
              <w:t>60,000</w:t>
            </w:r>
          </w:p>
        </w:tc>
        <w:tc>
          <w:tcPr>
            <w:tcW w:w="905" w:type="dxa"/>
          </w:tcPr>
          <w:p w:rsidR="009E4F10" w:rsidRPr="00D9219E" w:rsidRDefault="009E4F10" w:rsidP="00D9219E">
            <w:pPr>
              <w:pStyle w:val="Chapter5"/>
              <w:numPr>
                <w:ilvl w:val="0"/>
                <w:numId w:val="0"/>
              </w:numPr>
              <w:spacing w:before="80" w:after="80"/>
              <w:jc w:val="right"/>
              <w:rPr>
                <w:sz w:val="16"/>
                <w:szCs w:val="16"/>
              </w:rPr>
            </w:pPr>
            <w:r w:rsidRPr="00D9219E">
              <w:rPr>
                <w:sz w:val="16"/>
                <w:szCs w:val="16"/>
              </w:rPr>
              <w:t>40,000</w:t>
            </w:r>
          </w:p>
        </w:tc>
        <w:tc>
          <w:tcPr>
            <w:tcW w:w="931" w:type="dxa"/>
          </w:tcPr>
          <w:p w:rsidR="009E4F10" w:rsidRPr="00D9219E" w:rsidRDefault="009E4F10" w:rsidP="00D9219E">
            <w:pPr>
              <w:pStyle w:val="Chapter5"/>
              <w:numPr>
                <w:ilvl w:val="0"/>
                <w:numId w:val="0"/>
              </w:numPr>
              <w:spacing w:before="80" w:after="80"/>
              <w:jc w:val="right"/>
              <w:rPr>
                <w:sz w:val="16"/>
                <w:szCs w:val="16"/>
              </w:rPr>
            </w:pPr>
            <w:r w:rsidRPr="00D9219E">
              <w:rPr>
                <w:sz w:val="16"/>
                <w:szCs w:val="16"/>
              </w:rPr>
              <w:t>30,000</w:t>
            </w:r>
          </w:p>
        </w:tc>
        <w:tc>
          <w:tcPr>
            <w:tcW w:w="1083" w:type="dxa"/>
          </w:tcPr>
          <w:p w:rsidR="009E4F10" w:rsidRPr="00D9219E" w:rsidRDefault="009E4F10" w:rsidP="00D9219E">
            <w:pPr>
              <w:pStyle w:val="Chapter5"/>
              <w:numPr>
                <w:ilvl w:val="0"/>
                <w:numId w:val="0"/>
              </w:numPr>
              <w:spacing w:before="80" w:after="80"/>
              <w:jc w:val="right"/>
              <w:rPr>
                <w:sz w:val="16"/>
                <w:szCs w:val="16"/>
              </w:rPr>
            </w:pPr>
            <w:r w:rsidRPr="00D9219E">
              <w:rPr>
                <w:sz w:val="16"/>
                <w:szCs w:val="16"/>
              </w:rPr>
              <w:t>0</w:t>
            </w:r>
          </w:p>
        </w:tc>
        <w:tc>
          <w:tcPr>
            <w:tcW w:w="1150" w:type="dxa"/>
          </w:tcPr>
          <w:p w:rsidR="009E4F10" w:rsidRPr="00D9219E" w:rsidRDefault="009E4F10" w:rsidP="00D9219E">
            <w:pPr>
              <w:pStyle w:val="Chapter5"/>
              <w:numPr>
                <w:ilvl w:val="0"/>
                <w:numId w:val="0"/>
              </w:numPr>
              <w:spacing w:before="80" w:after="80"/>
              <w:jc w:val="right"/>
              <w:rPr>
                <w:sz w:val="16"/>
                <w:szCs w:val="16"/>
              </w:rPr>
            </w:pPr>
            <w:r w:rsidRPr="00D9219E">
              <w:rPr>
                <w:sz w:val="16"/>
                <w:szCs w:val="16"/>
              </w:rPr>
              <w:t>0</w:t>
            </w:r>
          </w:p>
        </w:tc>
      </w:tr>
      <w:tr w:rsidR="009E4F10" w:rsidRPr="009E4F10" w:rsidTr="00D9219E">
        <w:tc>
          <w:tcPr>
            <w:tcW w:w="361" w:type="dxa"/>
          </w:tcPr>
          <w:p w:rsidR="009E4F10" w:rsidRPr="00D9219E" w:rsidRDefault="009E4F10" w:rsidP="00D9219E">
            <w:pPr>
              <w:pStyle w:val="Chapter5"/>
              <w:numPr>
                <w:ilvl w:val="0"/>
                <w:numId w:val="0"/>
              </w:numPr>
              <w:spacing w:before="80" w:after="80"/>
              <w:rPr>
                <w:sz w:val="16"/>
                <w:szCs w:val="16"/>
              </w:rPr>
            </w:pPr>
            <w:r w:rsidRPr="00D9219E">
              <w:rPr>
                <w:sz w:val="16"/>
                <w:szCs w:val="16"/>
              </w:rPr>
              <w:t>4</w:t>
            </w:r>
          </w:p>
        </w:tc>
        <w:tc>
          <w:tcPr>
            <w:tcW w:w="1105" w:type="dxa"/>
          </w:tcPr>
          <w:p w:rsidR="009E4F10" w:rsidRPr="00D9219E" w:rsidRDefault="009E4F10">
            <w:pPr>
              <w:pStyle w:val="Chapter5"/>
              <w:numPr>
                <w:ilvl w:val="0"/>
                <w:numId w:val="0"/>
              </w:numPr>
              <w:spacing w:before="80" w:after="80"/>
              <w:jc w:val="right"/>
              <w:rPr>
                <w:sz w:val="16"/>
                <w:szCs w:val="16"/>
              </w:rPr>
            </w:pPr>
            <w:r w:rsidRPr="00D9219E">
              <w:rPr>
                <w:sz w:val="16"/>
                <w:szCs w:val="16"/>
              </w:rPr>
              <w:t>100,000</w:t>
            </w:r>
          </w:p>
        </w:tc>
        <w:tc>
          <w:tcPr>
            <w:tcW w:w="1149" w:type="dxa"/>
          </w:tcPr>
          <w:p w:rsidR="009E4F10" w:rsidRPr="00D9219E" w:rsidRDefault="009E4F10" w:rsidP="00D9219E">
            <w:pPr>
              <w:pStyle w:val="Chapter5"/>
              <w:numPr>
                <w:ilvl w:val="0"/>
                <w:numId w:val="0"/>
              </w:numPr>
              <w:spacing w:before="80" w:after="80"/>
              <w:jc w:val="right"/>
              <w:rPr>
                <w:sz w:val="16"/>
                <w:szCs w:val="16"/>
              </w:rPr>
            </w:pPr>
            <w:r w:rsidRPr="00D9219E">
              <w:rPr>
                <w:sz w:val="16"/>
                <w:szCs w:val="16"/>
              </w:rPr>
              <w:t>240,000</w:t>
            </w:r>
          </w:p>
        </w:tc>
        <w:tc>
          <w:tcPr>
            <w:tcW w:w="850" w:type="dxa"/>
          </w:tcPr>
          <w:p w:rsidR="009E4F10" w:rsidRPr="00D9219E" w:rsidRDefault="009E4F10" w:rsidP="00D9219E">
            <w:pPr>
              <w:pStyle w:val="Chapter5"/>
              <w:numPr>
                <w:ilvl w:val="0"/>
                <w:numId w:val="0"/>
              </w:numPr>
              <w:spacing w:before="80" w:after="80"/>
              <w:jc w:val="right"/>
              <w:rPr>
                <w:sz w:val="16"/>
                <w:szCs w:val="16"/>
              </w:rPr>
            </w:pPr>
            <w:r w:rsidRPr="00D9219E">
              <w:rPr>
                <w:sz w:val="16"/>
                <w:szCs w:val="16"/>
              </w:rPr>
              <w:t>240,000</w:t>
            </w:r>
          </w:p>
        </w:tc>
        <w:tc>
          <w:tcPr>
            <w:tcW w:w="994" w:type="dxa"/>
          </w:tcPr>
          <w:p w:rsidR="009E4F10" w:rsidRPr="00D9219E" w:rsidRDefault="009E4F10" w:rsidP="00D9219E">
            <w:pPr>
              <w:pStyle w:val="Chapter5"/>
              <w:numPr>
                <w:ilvl w:val="0"/>
                <w:numId w:val="0"/>
              </w:numPr>
              <w:spacing w:before="80" w:after="80"/>
              <w:jc w:val="right"/>
              <w:rPr>
                <w:sz w:val="16"/>
                <w:szCs w:val="16"/>
              </w:rPr>
            </w:pPr>
            <w:r w:rsidRPr="00D9219E">
              <w:rPr>
                <w:sz w:val="16"/>
                <w:szCs w:val="16"/>
              </w:rPr>
              <w:t>90,000</w:t>
            </w:r>
          </w:p>
        </w:tc>
        <w:tc>
          <w:tcPr>
            <w:tcW w:w="905" w:type="dxa"/>
          </w:tcPr>
          <w:p w:rsidR="009E4F10" w:rsidRPr="00D9219E" w:rsidRDefault="009E4F10" w:rsidP="00D9219E">
            <w:pPr>
              <w:pStyle w:val="Chapter5"/>
              <w:numPr>
                <w:ilvl w:val="0"/>
                <w:numId w:val="0"/>
              </w:numPr>
              <w:spacing w:before="80" w:after="80"/>
              <w:jc w:val="right"/>
              <w:rPr>
                <w:sz w:val="16"/>
                <w:szCs w:val="16"/>
              </w:rPr>
            </w:pPr>
            <w:r w:rsidRPr="00D9219E">
              <w:rPr>
                <w:sz w:val="16"/>
                <w:szCs w:val="16"/>
              </w:rPr>
              <w:t>10,000</w:t>
            </w:r>
          </w:p>
        </w:tc>
        <w:tc>
          <w:tcPr>
            <w:tcW w:w="931" w:type="dxa"/>
          </w:tcPr>
          <w:p w:rsidR="009E4F10" w:rsidRPr="00D9219E" w:rsidRDefault="009E4F10" w:rsidP="00D9219E">
            <w:pPr>
              <w:pStyle w:val="Chapter5"/>
              <w:numPr>
                <w:ilvl w:val="0"/>
                <w:numId w:val="0"/>
              </w:numPr>
              <w:spacing w:before="80" w:after="80"/>
              <w:jc w:val="right"/>
              <w:rPr>
                <w:sz w:val="16"/>
                <w:szCs w:val="16"/>
              </w:rPr>
            </w:pPr>
            <w:r w:rsidRPr="00D9219E">
              <w:rPr>
                <w:sz w:val="16"/>
                <w:szCs w:val="16"/>
              </w:rPr>
              <w:t>10,000</w:t>
            </w:r>
          </w:p>
        </w:tc>
        <w:tc>
          <w:tcPr>
            <w:tcW w:w="1083" w:type="dxa"/>
          </w:tcPr>
          <w:p w:rsidR="009E4F10" w:rsidRPr="00D9219E" w:rsidRDefault="009E4F10" w:rsidP="00D9219E">
            <w:pPr>
              <w:pStyle w:val="Chapter5"/>
              <w:numPr>
                <w:ilvl w:val="0"/>
                <w:numId w:val="0"/>
              </w:numPr>
              <w:spacing w:before="80" w:after="80"/>
              <w:jc w:val="right"/>
              <w:rPr>
                <w:sz w:val="16"/>
                <w:szCs w:val="16"/>
              </w:rPr>
            </w:pPr>
            <w:r w:rsidRPr="00D9219E">
              <w:rPr>
                <w:sz w:val="16"/>
                <w:szCs w:val="16"/>
              </w:rPr>
              <w:t>20,000</w:t>
            </w:r>
          </w:p>
        </w:tc>
        <w:tc>
          <w:tcPr>
            <w:tcW w:w="1150" w:type="dxa"/>
          </w:tcPr>
          <w:p w:rsidR="009E4F10" w:rsidRPr="00D9219E" w:rsidRDefault="009E4F10" w:rsidP="00D9219E">
            <w:pPr>
              <w:pStyle w:val="Chapter5"/>
              <w:numPr>
                <w:ilvl w:val="0"/>
                <w:numId w:val="0"/>
              </w:numPr>
              <w:spacing w:before="80" w:after="80"/>
              <w:jc w:val="right"/>
              <w:rPr>
                <w:sz w:val="16"/>
                <w:szCs w:val="16"/>
              </w:rPr>
            </w:pPr>
            <w:r w:rsidRPr="00D9219E">
              <w:rPr>
                <w:sz w:val="16"/>
                <w:szCs w:val="16"/>
              </w:rPr>
              <w:t>20,000</w:t>
            </w:r>
          </w:p>
        </w:tc>
      </w:tr>
      <w:tr w:rsidR="009E4F10" w:rsidRPr="009E4F10" w:rsidTr="00D9219E">
        <w:tc>
          <w:tcPr>
            <w:tcW w:w="361" w:type="dxa"/>
          </w:tcPr>
          <w:p w:rsidR="009E4F10" w:rsidRPr="00D9219E" w:rsidRDefault="009E4F10" w:rsidP="00D9219E">
            <w:pPr>
              <w:pStyle w:val="Chapter5"/>
              <w:numPr>
                <w:ilvl w:val="0"/>
                <w:numId w:val="0"/>
              </w:numPr>
              <w:spacing w:before="80" w:after="80"/>
              <w:rPr>
                <w:sz w:val="16"/>
                <w:szCs w:val="16"/>
              </w:rPr>
            </w:pPr>
            <w:r w:rsidRPr="00D9219E">
              <w:rPr>
                <w:sz w:val="16"/>
                <w:szCs w:val="16"/>
              </w:rPr>
              <w:t>5</w:t>
            </w:r>
          </w:p>
        </w:tc>
        <w:tc>
          <w:tcPr>
            <w:tcW w:w="1105" w:type="dxa"/>
          </w:tcPr>
          <w:p w:rsidR="009E4F10" w:rsidRPr="00D9219E" w:rsidRDefault="009E4F10">
            <w:pPr>
              <w:pStyle w:val="Chapter5"/>
              <w:numPr>
                <w:ilvl w:val="0"/>
                <w:numId w:val="0"/>
              </w:numPr>
              <w:spacing w:before="80" w:after="80"/>
              <w:jc w:val="right"/>
              <w:rPr>
                <w:sz w:val="16"/>
                <w:szCs w:val="16"/>
              </w:rPr>
            </w:pPr>
            <w:r w:rsidRPr="00D9219E">
              <w:rPr>
                <w:sz w:val="16"/>
                <w:szCs w:val="16"/>
              </w:rPr>
              <w:t>100,000</w:t>
            </w:r>
          </w:p>
        </w:tc>
        <w:tc>
          <w:tcPr>
            <w:tcW w:w="1149" w:type="dxa"/>
          </w:tcPr>
          <w:p w:rsidR="009E4F10" w:rsidRPr="00D9219E" w:rsidRDefault="009E4F10" w:rsidP="00D9219E">
            <w:pPr>
              <w:pStyle w:val="Chapter5"/>
              <w:numPr>
                <w:ilvl w:val="0"/>
                <w:numId w:val="0"/>
              </w:numPr>
              <w:spacing w:before="80" w:after="80"/>
              <w:jc w:val="right"/>
              <w:rPr>
                <w:sz w:val="16"/>
                <w:szCs w:val="16"/>
              </w:rPr>
            </w:pPr>
            <w:r w:rsidRPr="00D9219E">
              <w:rPr>
                <w:sz w:val="16"/>
                <w:szCs w:val="16"/>
              </w:rPr>
              <w:t>300,000</w:t>
            </w:r>
          </w:p>
        </w:tc>
        <w:tc>
          <w:tcPr>
            <w:tcW w:w="850" w:type="dxa"/>
          </w:tcPr>
          <w:p w:rsidR="009E4F10" w:rsidRPr="00D9219E" w:rsidRDefault="009E4F10" w:rsidP="00D9219E">
            <w:pPr>
              <w:pStyle w:val="Chapter5"/>
              <w:numPr>
                <w:ilvl w:val="0"/>
                <w:numId w:val="0"/>
              </w:numPr>
              <w:spacing w:before="80" w:after="80"/>
              <w:jc w:val="right"/>
              <w:rPr>
                <w:sz w:val="16"/>
                <w:szCs w:val="16"/>
              </w:rPr>
            </w:pPr>
            <w:r w:rsidRPr="00D9219E">
              <w:rPr>
                <w:sz w:val="16"/>
                <w:szCs w:val="16"/>
              </w:rPr>
              <w:t>300,000</w:t>
            </w:r>
          </w:p>
        </w:tc>
        <w:tc>
          <w:tcPr>
            <w:tcW w:w="994" w:type="dxa"/>
          </w:tcPr>
          <w:p w:rsidR="009E4F10" w:rsidRPr="00D9219E" w:rsidRDefault="009E4F10" w:rsidP="00D9219E">
            <w:pPr>
              <w:pStyle w:val="Chapter5"/>
              <w:numPr>
                <w:ilvl w:val="0"/>
                <w:numId w:val="0"/>
              </w:numPr>
              <w:spacing w:before="80" w:after="80"/>
              <w:jc w:val="right"/>
              <w:rPr>
                <w:sz w:val="16"/>
                <w:szCs w:val="16"/>
              </w:rPr>
            </w:pPr>
            <w:r w:rsidRPr="00D9219E">
              <w:rPr>
                <w:sz w:val="16"/>
                <w:szCs w:val="16"/>
              </w:rPr>
              <w:t>120,000</w:t>
            </w:r>
          </w:p>
        </w:tc>
        <w:tc>
          <w:tcPr>
            <w:tcW w:w="905" w:type="dxa"/>
          </w:tcPr>
          <w:p w:rsidR="009E4F10" w:rsidRPr="00D9219E" w:rsidRDefault="009E4F10" w:rsidP="00D9219E">
            <w:pPr>
              <w:pStyle w:val="Chapter5"/>
              <w:numPr>
                <w:ilvl w:val="0"/>
                <w:numId w:val="0"/>
              </w:numPr>
              <w:spacing w:before="80" w:after="80"/>
              <w:jc w:val="right"/>
              <w:rPr>
                <w:sz w:val="16"/>
                <w:szCs w:val="16"/>
              </w:rPr>
            </w:pPr>
            <w:r w:rsidRPr="00D9219E">
              <w:rPr>
                <w:sz w:val="16"/>
                <w:szCs w:val="16"/>
              </w:rPr>
              <w:t>-20,000</w:t>
            </w:r>
          </w:p>
        </w:tc>
        <w:tc>
          <w:tcPr>
            <w:tcW w:w="931" w:type="dxa"/>
          </w:tcPr>
          <w:p w:rsidR="009E4F10" w:rsidRPr="00D9219E" w:rsidRDefault="009E4F10" w:rsidP="00D9219E">
            <w:pPr>
              <w:pStyle w:val="Chapter5"/>
              <w:numPr>
                <w:ilvl w:val="0"/>
                <w:numId w:val="0"/>
              </w:numPr>
              <w:spacing w:before="80" w:after="80"/>
              <w:jc w:val="right"/>
              <w:rPr>
                <w:sz w:val="16"/>
                <w:szCs w:val="16"/>
              </w:rPr>
            </w:pPr>
            <w:r w:rsidRPr="00D9219E">
              <w:rPr>
                <w:sz w:val="16"/>
                <w:szCs w:val="16"/>
              </w:rPr>
              <w:t>0</w:t>
            </w:r>
          </w:p>
        </w:tc>
        <w:tc>
          <w:tcPr>
            <w:tcW w:w="1083" w:type="dxa"/>
          </w:tcPr>
          <w:p w:rsidR="009E4F10" w:rsidRPr="00D9219E" w:rsidRDefault="009E4F10" w:rsidP="00D9219E">
            <w:pPr>
              <w:pStyle w:val="Chapter5"/>
              <w:numPr>
                <w:ilvl w:val="0"/>
                <w:numId w:val="0"/>
              </w:numPr>
              <w:spacing w:before="80" w:after="80"/>
              <w:jc w:val="right"/>
              <w:rPr>
                <w:sz w:val="16"/>
                <w:szCs w:val="16"/>
              </w:rPr>
            </w:pPr>
            <w:r w:rsidRPr="00D9219E">
              <w:rPr>
                <w:sz w:val="16"/>
                <w:szCs w:val="16"/>
              </w:rPr>
              <w:t>30,000</w:t>
            </w:r>
          </w:p>
        </w:tc>
        <w:tc>
          <w:tcPr>
            <w:tcW w:w="1150" w:type="dxa"/>
          </w:tcPr>
          <w:p w:rsidR="009E4F10" w:rsidRPr="00D9219E" w:rsidRDefault="009E4F10" w:rsidP="00D9219E">
            <w:pPr>
              <w:pStyle w:val="Chapter5"/>
              <w:numPr>
                <w:ilvl w:val="0"/>
                <w:numId w:val="0"/>
              </w:numPr>
              <w:spacing w:before="80" w:after="80"/>
              <w:jc w:val="right"/>
              <w:rPr>
                <w:sz w:val="16"/>
                <w:szCs w:val="16"/>
              </w:rPr>
            </w:pPr>
            <w:r w:rsidRPr="00D9219E">
              <w:rPr>
                <w:sz w:val="16"/>
                <w:szCs w:val="16"/>
              </w:rPr>
              <w:t>50,000</w:t>
            </w:r>
          </w:p>
        </w:tc>
      </w:tr>
    </w:tbl>
    <w:p w:rsidR="00A16039" w:rsidRPr="00A16039" w:rsidRDefault="00A16039" w:rsidP="008F12F0">
      <w:pPr>
        <w:pStyle w:val="Chapter5"/>
        <w:numPr>
          <w:ilvl w:val="0"/>
          <w:numId w:val="0"/>
        </w:numPr>
        <w:rPr>
          <w:sz w:val="20"/>
        </w:rPr>
      </w:pPr>
    </w:p>
    <w:p w:rsidR="00A16039" w:rsidRPr="00A16039" w:rsidRDefault="00A16039" w:rsidP="008F12F0">
      <w:pPr>
        <w:pStyle w:val="Chapter5"/>
        <w:numPr>
          <w:ilvl w:val="0"/>
          <w:numId w:val="0"/>
        </w:numPr>
        <w:rPr>
          <w:sz w:val="20"/>
        </w:rPr>
      </w:pPr>
    </w:p>
    <w:p w:rsidR="00A96010" w:rsidRDefault="00A95176">
      <w:pPr>
        <w:jc w:val="left"/>
        <w:rPr>
          <w:lang w:val="en-NZ"/>
        </w:rPr>
        <w:sectPr w:rsidR="00A96010" w:rsidSect="00B84DB1">
          <w:pgSz w:w="11906" w:h="16838" w:code="9"/>
          <w:pgMar w:top="1134" w:right="1797" w:bottom="1134" w:left="1797" w:header="709" w:footer="425" w:gutter="0"/>
          <w:cols w:space="708"/>
          <w:titlePg/>
          <w:docGrid w:linePitch="360"/>
        </w:sectPr>
      </w:pPr>
      <w:r w:rsidRPr="00CA1467">
        <w:rPr>
          <w:lang w:val="en-NZ"/>
        </w:rPr>
        <w:br w:type="page"/>
      </w:r>
    </w:p>
    <w:p w:rsidR="00A95176" w:rsidRPr="00CA1467" w:rsidRDefault="00A95176">
      <w:pPr>
        <w:jc w:val="left"/>
        <w:rPr>
          <w:lang w:val="en-NZ"/>
        </w:rPr>
      </w:pPr>
    </w:p>
    <w:p w:rsidR="00A95176" w:rsidRPr="00CA1467" w:rsidRDefault="00A95176" w:rsidP="00A95176">
      <w:pPr>
        <w:pStyle w:val="Heading1"/>
      </w:pPr>
      <w:bookmarkStart w:id="79" w:name="_Toc429469463"/>
      <w:r w:rsidRPr="00CA1467">
        <w:t>Problems with the current rule</w:t>
      </w:r>
      <w:bookmarkEnd w:id="79"/>
    </w:p>
    <w:p w:rsidR="00A95176" w:rsidRPr="00CA1467" w:rsidRDefault="00A95176" w:rsidP="00A95176">
      <w:pPr>
        <w:pStyle w:val="Chapter5"/>
        <w:numPr>
          <w:ilvl w:val="0"/>
          <w:numId w:val="0"/>
        </w:numPr>
        <w:ind w:left="851"/>
      </w:pPr>
    </w:p>
    <w:p w:rsidR="00A95176" w:rsidRPr="00CA1467" w:rsidRDefault="00A95176" w:rsidP="00A95176">
      <w:pPr>
        <w:pStyle w:val="Chapter5"/>
        <w:numPr>
          <w:ilvl w:val="0"/>
          <w:numId w:val="28"/>
        </w:numPr>
      </w:pPr>
      <w:r w:rsidRPr="00CA1467">
        <w:t>There is a general perception that the current rule is overly complex for the target LTC audience, leading to material compliance costs that are unlikely to decrease over time.  The calculation applies to every owner even though most will not have their deductions constrained by it because their share of costs is less than their owner’s basis.</w:t>
      </w:r>
      <w:r w:rsidR="00B275DE" w:rsidRPr="00A16039">
        <w:rPr>
          <w:rStyle w:val="FootnoteReference"/>
          <w:sz w:val="22"/>
          <w:szCs w:val="22"/>
        </w:rPr>
        <w:footnoteReference w:id="27"/>
      </w:r>
      <w:r w:rsidRPr="00CA1467">
        <w:t xml:space="preserve">  If costs exceed available funds, the shareholder can provide more equity to fund the shortfall.  Nevertheless, each owner needs to make an annual calculation to determine the amount of LTC expenditure that </w:t>
      </w:r>
      <w:proofErr w:type="gramStart"/>
      <w:r w:rsidRPr="00CA1467">
        <w:t>they</w:t>
      </w:r>
      <w:proofErr w:type="gramEnd"/>
      <w:r w:rsidRPr="00CA1467">
        <w:t xml:space="preserve"> can deduct.  Even for profitable </w:t>
      </w:r>
      <w:proofErr w:type="gramStart"/>
      <w:r w:rsidRPr="00CA1467">
        <w:t>LTCs</w:t>
      </w:r>
      <w:proofErr w:type="gramEnd"/>
      <w:r w:rsidRPr="00CA1467">
        <w:t xml:space="preserve"> the calculation is needed, in case the LTC eventually makes a loss, or because some of their owners may have their deductions restricted because the rule limits deductions rather than losses.</w:t>
      </w:r>
    </w:p>
    <w:p w:rsidR="00A95176" w:rsidRPr="00CA1467" w:rsidRDefault="00A95176" w:rsidP="00A95176">
      <w:pPr>
        <w:pStyle w:val="Chapter5"/>
        <w:numPr>
          <w:ilvl w:val="0"/>
          <w:numId w:val="0"/>
        </w:numPr>
        <w:ind w:left="851"/>
      </w:pPr>
    </w:p>
    <w:p w:rsidR="00A95176" w:rsidRPr="00CA1467" w:rsidRDefault="00A95176" w:rsidP="00A95176">
      <w:pPr>
        <w:pStyle w:val="Chapter5"/>
      </w:pPr>
      <w:r w:rsidRPr="00CA1467">
        <w:t xml:space="preserve">Moreover, it can restrict deductions in some situations where all costs would be deductible if earned directly by the owners; for example, when not all of an </w:t>
      </w:r>
      <w:proofErr w:type="gramStart"/>
      <w:r w:rsidRPr="00CA1467">
        <w:t>owner’s</w:t>
      </w:r>
      <w:proofErr w:type="gramEnd"/>
      <w:r w:rsidRPr="00CA1467">
        <w:t xml:space="preserve"> economic interest is recognised such as when there is an unrealised capital gain.</w:t>
      </w:r>
    </w:p>
    <w:p w:rsidR="00A95176" w:rsidRPr="00CA1467" w:rsidRDefault="00A95176" w:rsidP="00A95176">
      <w:pPr>
        <w:pStyle w:val="Chapter5"/>
        <w:numPr>
          <w:ilvl w:val="0"/>
          <w:numId w:val="0"/>
        </w:numPr>
        <w:ind w:left="851"/>
      </w:pPr>
    </w:p>
    <w:p w:rsidR="00A95176" w:rsidRPr="00CA1467" w:rsidRDefault="00A95176" w:rsidP="00A95176">
      <w:pPr>
        <w:pStyle w:val="Chapter5"/>
      </w:pPr>
      <w:r w:rsidRPr="00CA1467">
        <w:t xml:space="preserve">Additionally, </w:t>
      </w:r>
      <w:proofErr w:type="gramStart"/>
      <w:r w:rsidRPr="00CA1467">
        <w:t>a range of technical issues have</w:t>
      </w:r>
      <w:proofErr w:type="gramEnd"/>
      <w:r w:rsidRPr="00CA1467">
        <w:t xml:space="preserve"> arisen in relation to how the rule and its defined terms, such as “secured amount” and “deductions”, work in practice.  Some of these issues have led to legislative amendments but further changes seem necessary.</w:t>
      </w:r>
    </w:p>
    <w:p w:rsidR="00A95176" w:rsidRPr="00CA1467" w:rsidRDefault="00A95176" w:rsidP="00A95176">
      <w:pPr>
        <w:pStyle w:val="Chapter5"/>
        <w:numPr>
          <w:ilvl w:val="0"/>
          <w:numId w:val="0"/>
        </w:numPr>
        <w:ind w:left="851"/>
      </w:pPr>
    </w:p>
    <w:p w:rsidR="00A95176" w:rsidRPr="00CA1467" w:rsidRDefault="00A95176" w:rsidP="00A95176">
      <w:pPr>
        <w:pStyle w:val="Heading2"/>
      </w:pPr>
      <w:r w:rsidRPr="00CA1467">
        <w:t>Restricting the ability to apply losses against taxable income</w:t>
      </w:r>
    </w:p>
    <w:p w:rsidR="00A95176" w:rsidRPr="00CA1467" w:rsidRDefault="00A95176" w:rsidP="00A95176">
      <w:pPr>
        <w:pStyle w:val="Chapter5"/>
        <w:numPr>
          <w:ilvl w:val="0"/>
          <w:numId w:val="0"/>
        </w:numPr>
        <w:ind w:left="851"/>
      </w:pPr>
    </w:p>
    <w:p w:rsidR="00A95176" w:rsidRPr="00CA1467" w:rsidRDefault="00A95176" w:rsidP="00A95176">
      <w:pPr>
        <w:pStyle w:val="Chapter5"/>
      </w:pPr>
      <w:r w:rsidRPr="00CA1467">
        <w:t xml:space="preserve">Conceptually business deductions should be able to </w:t>
      </w:r>
      <w:proofErr w:type="gramStart"/>
      <w:r w:rsidRPr="00CA1467">
        <w:t>be offset</w:t>
      </w:r>
      <w:proofErr w:type="gramEnd"/>
      <w:r w:rsidRPr="00CA1467">
        <w:t xml:space="preserve"> against income to the extent they reflect economic costs, just as economic income (business profits and other gains that increase the value of the business) should also be taxable.  Practically, there are certain restrictions on the deductions that </w:t>
      </w:r>
      <w:proofErr w:type="gramStart"/>
      <w:r w:rsidRPr="00CA1467">
        <w:t>can be claimed</w:t>
      </w:r>
      <w:proofErr w:type="gramEnd"/>
      <w:r w:rsidRPr="00CA1467">
        <w:t>, just as there are restrictions on what constitutes income; for example, capital gains, which can be in effect a form of economic income, are taxed in only specific circumstances.</w:t>
      </w:r>
    </w:p>
    <w:p w:rsidR="00A95176" w:rsidRPr="00CA1467" w:rsidRDefault="00A95176" w:rsidP="00A95176">
      <w:pPr>
        <w:pStyle w:val="Chapter5"/>
        <w:numPr>
          <w:ilvl w:val="0"/>
          <w:numId w:val="0"/>
        </w:numPr>
        <w:ind w:left="851"/>
      </w:pPr>
    </w:p>
    <w:p w:rsidR="00A95176" w:rsidRPr="00CA1467" w:rsidRDefault="00A95176" w:rsidP="00A95176">
      <w:pPr>
        <w:pStyle w:val="Chapter5"/>
      </w:pPr>
      <w:r w:rsidRPr="00CA1467">
        <w:t xml:space="preserve">Given that LTCs </w:t>
      </w:r>
      <w:proofErr w:type="gramStart"/>
      <w:r w:rsidRPr="00CA1467">
        <w:t>are intended</w:t>
      </w:r>
      <w:proofErr w:type="gramEnd"/>
      <w:r w:rsidRPr="00CA1467">
        <w:t xml:space="preserve"> to be substitutes for direct ownership of assets in a closely held business, conceptually it seems appropriate to allow deductions when they would be deductible if the assets were owned directly.  The exception would be where there are material differences in arrangements arising from incorporation that lead to excess deductions </w:t>
      </w:r>
      <w:proofErr w:type="gramStart"/>
      <w:r w:rsidRPr="00CA1467">
        <w:t>being claimed</w:t>
      </w:r>
      <w:proofErr w:type="gramEnd"/>
      <w:r w:rsidRPr="00CA1467">
        <w:t>.</w:t>
      </w:r>
    </w:p>
    <w:p w:rsidR="00A95176" w:rsidRPr="00CA1467" w:rsidRDefault="00A95176" w:rsidP="00A95176">
      <w:pPr>
        <w:pStyle w:val="Chapter5"/>
        <w:numPr>
          <w:ilvl w:val="0"/>
          <w:numId w:val="0"/>
        </w:numPr>
        <w:ind w:left="851"/>
      </w:pPr>
    </w:p>
    <w:p w:rsidR="00A95176" w:rsidRPr="00CA1467" w:rsidRDefault="00A95176" w:rsidP="00A95176">
      <w:pPr>
        <w:pStyle w:val="Chapter5"/>
      </w:pPr>
      <w:r w:rsidRPr="00CA1467">
        <w:t xml:space="preserve">As an individual, the shareholder is in effect restricted to deductions that represent the economic costs that the individual has incurred.  Those losses </w:t>
      </w:r>
      <w:proofErr w:type="gramStart"/>
      <w:r w:rsidRPr="00CA1467">
        <w:t>are able to</w:t>
      </w:r>
      <w:proofErr w:type="gramEnd"/>
      <w:r w:rsidRPr="00CA1467">
        <w:t xml:space="preserve"> be offset against an individual’s income from other sources, not just income on the investment or business.</w:t>
      </w:r>
    </w:p>
    <w:p w:rsidR="00A95176" w:rsidRPr="00CA1467" w:rsidRDefault="00A95176" w:rsidP="00A95176">
      <w:pPr>
        <w:pStyle w:val="Chapter5"/>
        <w:numPr>
          <w:ilvl w:val="0"/>
          <w:numId w:val="0"/>
        </w:numPr>
        <w:ind w:left="851"/>
      </w:pPr>
    </w:p>
    <w:p w:rsidR="00A95176" w:rsidRPr="00CA1467" w:rsidRDefault="00A95176" w:rsidP="00A95176">
      <w:pPr>
        <w:pStyle w:val="Chapter5"/>
      </w:pPr>
      <w:r w:rsidRPr="00CA1467">
        <w:t xml:space="preserve">In contrast, in widely held situations, there is generally a separation of entity and shareholder taxation so that losses </w:t>
      </w:r>
      <w:proofErr w:type="gramStart"/>
      <w:r w:rsidRPr="00CA1467">
        <w:t>cannot be transferred</w:t>
      </w:r>
      <w:proofErr w:type="gramEnd"/>
      <w:r w:rsidRPr="00CA1467">
        <w:t xml:space="preserve"> from the company to shareholders.</w:t>
      </w:r>
    </w:p>
    <w:p w:rsidR="00A95176" w:rsidRPr="00CA1467" w:rsidRDefault="00A95176" w:rsidP="00A95176">
      <w:pPr>
        <w:pStyle w:val="Chapter5"/>
        <w:numPr>
          <w:ilvl w:val="0"/>
          <w:numId w:val="0"/>
        </w:numPr>
        <w:ind w:left="851"/>
      </w:pPr>
    </w:p>
    <w:p w:rsidR="00A95176" w:rsidRPr="00CA1467" w:rsidRDefault="00A95176" w:rsidP="00A95176">
      <w:pPr>
        <w:pStyle w:val="Chapter5"/>
      </w:pPr>
      <w:r w:rsidRPr="00CA1467">
        <w:t>Limited partnerships straddle the dichotomy between partnerships and widely held companies, with no limits on the number of persons who can be members of a limited partnership.  In this way, they can be a substitute for a standard company, which means that they should face similar restrictions; hence there are deduction limitation rules for limited partnerships to ensure that deductions are not passed through when they are in excess of w</w:t>
      </w:r>
      <w:r w:rsidR="00B275DE" w:rsidRPr="00CA1467">
        <w:t>hat is perceived to be at risk.</w:t>
      </w:r>
      <w:r w:rsidR="00B275DE" w:rsidRPr="00A16039">
        <w:rPr>
          <w:rStyle w:val="FootnoteReference"/>
          <w:sz w:val="22"/>
          <w:szCs w:val="22"/>
        </w:rPr>
        <w:footnoteReference w:id="28"/>
      </w:r>
    </w:p>
    <w:p w:rsidR="00A95176" w:rsidRPr="00CA1467" w:rsidRDefault="00A95176" w:rsidP="00A95176">
      <w:pPr>
        <w:pStyle w:val="Chapter5"/>
        <w:numPr>
          <w:ilvl w:val="0"/>
          <w:numId w:val="0"/>
        </w:numPr>
        <w:ind w:left="851"/>
      </w:pPr>
    </w:p>
    <w:p w:rsidR="00A95176" w:rsidRPr="00CA1467" w:rsidRDefault="00A95176" w:rsidP="00A95176">
      <w:pPr>
        <w:pStyle w:val="Chapter5"/>
      </w:pPr>
      <w:r w:rsidRPr="00CA1467">
        <w:t>Although LTCs share many characteristics with limited partnerships, there are significant differences between the client groups and the purposes of LTCs and limited partnerships.  In particular:</w:t>
      </w:r>
    </w:p>
    <w:p w:rsidR="00A95176" w:rsidRPr="00CA1467" w:rsidRDefault="00A95176" w:rsidP="00A95176">
      <w:pPr>
        <w:pStyle w:val="Chapter5"/>
        <w:numPr>
          <w:ilvl w:val="0"/>
          <w:numId w:val="0"/>
        </w:numPr>
        <w:ind w:left="851"/>
      </w:pPr>
    </w:p>
    <w:p w:rsidR="00A95176" w:rsidRPr="00CA1467" w:rsidRDefault="00A95176" w:rsidP="00A95176">
      <w:pPr>
        <w:pStyle w:val="Bullets"/>
      </w:pPr>
      <w:proofErr w:type="gramStart"/>
      <w:r w:rsidRPr="00CA1467">
        <w:t>the</w:t>
      </w:r>
      <w:proofErr w:type="gramEnd"/>
      <w:r w:rsidRPr="00CA1467">
        <w:t xml:space="preserve"> limited partnership rules were introduced, in part, as a response to a perceived problem for in-bound venture capital.  LTCs are targeted at closely</w:t>
      </w:r>
      <w:r w:rsidR="00134BF6">
        <w:t xml:space="preserve"> </w:t>
      </w:r>
      <w:r w:rsidRPr="00CA1467">
        <w:t>controlled businesses, primarily with a domestic focus;</w:t>
      </w:r>
    </w:p>
    <w:p w:rsidR="00A95176" w:rsidRPr="00CA1467" w:rsidRDefault="00A95176" w:rsidP="00A95176">
      <w:pPr>
        <w:pStyle w:val="Bullets"/>
      </w:pPr>
      <w:r w:rsidRPr="00CA1467">
        <w:t xml:space="preserve">LTCs are restricted to </w:t>
      </w:r>
      <w:r w:rsidR="00E82B1E">
        <w:t>five</w:t>
      </w:r>
      <w:r w:rsidR="00E82B1E" w:rsidRPr="00CA1467">
        <w:t xml:space="preserve"> </w:t>
      </w:r>
      <w:r w:rsidRPr="00CA1467">
        <w:t>or fewer shareholders.  Limited partnerships have no such limitation;</w:t>
      </w:r>
    </w:p>
    <w:p w:rsidR="00A95176" w:rsidRPr="00CA1467" w:rsidRDefault="00A95176" w:rsidP="00563F15">
      <w:pPr>
        <w:pStyle w:val="Bullets"/>
        <w:spacing w:after="0"/>
      </w:pPr>
      <w:proofErr w:type="gramStart"/>
      <w:r w:rsidRPr="00CA1467">
        <w:t>LTC shareholders can, and typically will, be active in the day-to-day operation of the business.</w:t>
      </w:r>
      <w:proofErr w:type="gramEnd"/>
      <w:r w:rsidRPr="00CA1467">
        <w:t xml:space="preserve">  Limited partners are theoretically restricted to a passive role in the business.</w:t>
      </w:r>
    </w:p>
    <w:p w:rsidR="00A95176" w:rsidRPr="00CA1467" w:rsidRDefault="00A95176" w:rsidP="00A95176">
      <w:pPr>
        <w:pStyle w:val="Chapter5"/>
        <w:numPr>
          <w:ilvl w:val="0"/>
          <w:numId w:val="0"/>
        </w:numPr>
        <w:ind w:left="851"/>
      </w:pPr>
    </w:p>
    <w:p w:rsidR="00A95176" w:rsidRPr="00CA1467" w:rsidRDefault="00A95176" w:rsidP="00A95176">
      <w:pPr>
        <w:pStyle w:val="Chapter5"/>
      </w:pPr>
      <w:r w:rsidRPr="00CA1467">
        <w:t xml:space="preserve">These differences suggest we can be more relaxed about LTC deductions.  Furthermore, LTC shareholders are taxable on debt remission income of the LTC (the remission rules </w:t>
      </w:r>
      <w:proofErr w:type="gramStart"/>
      <w:r w:rsidRPr="00CA1467">
        <w:t>are discussed</w:t>
      </w:r>
      <w:proofErr w:type="gramEnd"/>
      <w:r w:rsidRPr="00CA1467">
        <w:t xml:space="preserve"> later in </w:t>
      </w:r>
      <w:r w:rsidR="000A6FA8">
        <w:t>C</w:t>
      </w:r>
      <w:r w:rsidRPr="00CA1467">
        <w:t xml:space="preserve">hapter 8).  </w:t>
      </w:r>
      <w:proofErr w:type="gramStart"/>
      <w:r w:rsidRPr="00CA1467">
        <w:t>Thus</w:t>
      </w:r>
      <w:proofErr w:type="gramEnd"/>
      <w:r w:rsidRPr="00CA1467">
        <w:t xml:space="preserve"> there is less need for a deduction limitation rule as a base protection mechanism.  Robust LTC entry or qualifying criteria will also reduce concerns about removing the </w:t>
      </w:r>
      <w:proofErr w:type="gramStart"/>
      <w:r w:rsidRPr="00CA1467">
        <w:t>rule</w:t>
      </w:r>
      <w:proofErr w:type="gramEnd"/>
      <w:r w:rsidRPr="00CA1467">
        <w:t xml:space="preserve"> as they are a useful initial filter for arrangements that could result in the generation of excess losses.  In these circumstances, our conclusion is that the deduction limitation rule </w:t>
      </w:r>
      <w:proofErr w:type="gramStart"/>
      <w:r w:rsidRPr="00CA1467">
        <w:t>is needed</w:t>
      </w:r>
      <w:proofErr w:type="gramEnd"/>
      <w:r w:rsidRPr="00CA1467">
        <w:t xml:space="preserve"> only in specific instances.</w:t>
      </w:r>
    </w:p>
    <w:p w:rsidR="00A95176" w:rsidRPr="00CA1467" w:rsidRDefault="00A95176" w:rsidP="00A95176">
      <w:pPr>
        <w:pStyle w:val="Chapter5"/>
        <w:numPr>
          <w:ilvl w:val="0"/>
          <w:numId w:val="0"/>
        </w:numPr>
        <w:ind w:left="851"/>
      </w:pPr>
    </w:p>
    <w:p w:rsidR="00A95176" w:rsidRPr="00CA1467" w:rsidRDefault="00A95176" w:rsidP="00A95176">
      <w:pPr>
        <w:pStyle w:val="Chapter5"/>
        <w:numPr>
          <w:ilvl w:val="0"/>
          <w:numId w:val="0"/>
        </w:numPr>
        <w:ind w:left="851"/>
      </w:pPr>
    </w:p>
    <w:p w:rsidR="00A95176" w:rsidRPr="00CA1467" w:rsidRDefault="00A95176" w:rsidP="00A95176">
      <w:pPr>
        <w:pStyle w:val="Heading1"/>
      </w:pPr>
      <w:bookmarkStart w:id="80" w:name="_Toc429469464"/>
      <w:r w:rsidRPr="00CA1467">
        <w:t>When excess deductions arise that might justify restrictions</w:t>
      </w:r>
      <w:bookmarkEnd w:id="80"/>
    </w:p>
    <w:p w:rsidR="00A95176" w:rsidRPr="00CA1467" w:rsidRDefault="00A95176" w:rsidP="00A95176">
      <w:pPr>
        <w:pStyle w:val="Chapter5"/>
        <w:numPr>
          <w:ilvl w:val="0"/>
          <w:numId w:val="0"/>
        </w:numPr>
        <w:ind w:left="851"/>
      </w:pPr>
    </w:p>
    <w:p w:rsidR="00A95176" w:rsidRPr="00CA1467" w:rsidRDefault="00A95176" w:rsidP="00A95176">
      <w:pPr>
        <w:pStyle w:val="Chapter5"/>
      </w:pPr>
      <w:r w:rsidRPr="00CA1467">
        <w:t>A common concern underlying the need for past restrictions on deductions has been when leveraging at the level of the company or partnership has provided significant interest deductions for the investor, without the obligation for the investor to repay the loan in the event that the project became insolvent.  A variety of mechanisms were used to ensure the loans did not have to be repaid, ranging from the loan being provided on limited or non-recourse terms, to it being lent to a scheme-specific company and only secured over the assets of, and perhaps the shares in, the company.  Other mechanisms included the use of put or call options over scheme assets or the use of “insurance policies”.</w:t>
      </w:r>
      <w:r w:rsidR="00B275DE" w:rsidRPr="00A16039">
        <w:rPr>
          <w:rStyle w:val="FootnoteReference"/>
          <w:sz w:val="22"/>
          <w:szCs w:val="22"/>
        </w:rPr>
        <w:footnoteReference w:id="29"/>
      </w:r>
    </w:p>
    <w:p w:rsidR="00A95176" w:rsidRDefault="00A95176" w:rsidP="00A95176">
      <w:pPr>
        <w:pStyle w:val="Chapter5"/>
        <w:numPr>
          <w:ilvl w:val="0"/>
          <w:numId w:val="0"/>
        </w:numPr>
        <w:ind w:left="851"/>
      </w:pPr>
    </w:p>
    <w:p w:rsidR="00A95176" w:rsidRPr="00CA1467" w:rsidRDefault="00A95176" w:rsidP="00A95176">
      <w:pPr>
        <w:pStyle w:val="Chapter5"/>
      </w:pPr>
      <w:r w:rsidRPr="00CA1467">
        <w:t>Such ‘non-recourse’ schemes have typically involved:</w:t>
      </w:r>
    </w:p>
    <w:p w:rsidR="00A95176" w:rsidRPr="00CA1467" w:rsidRDefault="00A95176" w:rsidP="00A95176">
      <w:pPr>
        <w:pStyle w:val="Chapter5"/>
        <w:numPr>
          <w:ilvl w:val="0"/>
          <w:numId w:val="0"/>
        </w:numPr>
        <w:ind w:left="851"/>
      </w:pPr>
    </w:p>
    <w:p w:rsidR="00A95176" w:rsidRPr="00CA1467" w:rsidRDefault="00A95176" w:rsidP="00A95176">
      <w:pPr>
        <w:pStyle w:val="Bullets"/>
      </w:pPr>
      <w:r w:rsidRPr="00CA1467">
        <w:t>a high-risk activity with apparently optimistic or unrealistic future sales projections, and property, including intangible and intellectual property, that is difficult to value;</w:t>
      </w:r>
    </w:p>
    <w:p w:rsidR="00A95176" w:rsidRPr="00CA1467" w:rsidRDefault="00A95176" w:rsidP="00A95176">
      <w:pPr>
        <w:pStyle w:val="Bullets"/>
      </w:pPr>
      <w:r w:rsidRPr="00CA1467">
        <w:t>the use of non-residents, tax-exempt organisations or tax loss companies so that any income is effectively exempt from New Zealand income tax;</w:t>
      </w:r>
    </w:p>
    <w:p w:rsidR="00A95176" w:rsidRPr="00CA1467" w:rsidRDefault="00A95176" w:rsidP="00984DDF">
      <w:pPr>
        <w:pStyle w:val="Bullets"/>
        <w:spacing w:after="0"/>
      </w:pPr>
      <w:r w:rsidRPr="00CA1467">
        <w:t>investors putting relatively small amounts of their own money into the schemes but the promoter arranging instead for the investors to have access to loan money that is used to purchase high-value assets that diminish in value, at least for tax purposes, over time.</w:t>
      </w:r>
    </w:p>
    <w:p w:rsidR="00A95176" w:rsidRPr="00CA1467" w:rsidRDefault="00A95176" w:rsidP="00A95176">
      <w:pPr>
        <w:pStyle w:val="Chapter5"/>
        <w:numPr>
          <w:ilvl w:val="0"/>
          <w:numId w:val="0"/>
        </w:numPr>
        <w:ind w:left="851"/>
      </w:pPr>
    </w:p>
    <w:p w:rsidR="00A95176" w:rsidRPr="00CA1467" w:rsidRDefault="00A95176" w:rsidP="00A95176">
      <w:pPr>
        <w:pStyle w:val="Chapter5"/>
      </w:pPr>
      <w:r w:rsidRPr="00CA1467">
        <w:t>Specific “money-at-risk” rules</w:t>
      </w:r>
      <w:r w:rsidR="00B275DE" w:rsidRPr="00A16039">
        <w:rPr>
          <w:rStyle w:val="FootnoteReference"/>
          <w:sz w:val="22"/>
          <w:szCs w:val="22"/>
        </w:rPr>
        <w:footnoteReference w:id="30"/>
      </w:r>
      <w:r w:rsidRPr="00CA1467">
        <w:t xml:space="preserve"> </w:t>
      </w:r>
      <w:proofErr w:type="gramStart"/>
      <w:r w:rsidRPr="00CA1467">
        <w:t>were enacted</w:t>
      </w:r>
      <w:proofErr w:type="gramEnd"/>
      <w:r w:rsidRPr="00CA1467">
        <w:t xml:space="preserve"> in 2003 to address the base erosion impact posed by these schemes, but those rules are very specific and predate LTCs.  These rules were targeted at </w:t>
      </w:r>
      <w:proofErr w:type="gramStart"/>
      <w:r w:rsidRPr="00CA1467">
        <w:t>mass</w:t>
      </w:r>
      <w:proofErr w:type="gramEnd"/>
      <w:r w:rsidRPr="00CA1467">
        <w:t xml:space="preserve"> marketed schemes that typically, but not always, used LAQCs.  The overall response to these schemes, including the use of other anti-avoidance rules in the Income Tax Act, has arguably been effective as </w:t>
      </w:r>
      <w:proofErr w:type="gramStart"/>
      <w:r w:rsidRPr="00CA1467">
        <w:t>mass</w:t>
      </w:r>
      <w:proofErr w:type="gramEnd"/>
      <w:r w:rsidRPr="00CA1467">
        <w:t xml:space="preserve"> marketed tax driven schemes since that time have been limited.</w:t>
      </w:r>
    </w:p>
    <w:p w:rsidR="00A95176" w:rsidRPr="00CA1467" w:rsidRDefault="00A95176" w:rsidP="00A95176">
      <w:pPr>
        <w:pStyle w:val="Chapter5"/>
        <w:numPr>
          <w:ilvl w:val="0"/>
          <w:numId w:val="0"/>
        </w:numPr>
        <w:ind w:left="851"/>
      </w:pPr>
    </w:p>
    <w:p w:rsidR="00A95176" w:rsidRPr="00CA1467" w:rsidRDefault="00A95176" w:rsidP="00A95176">
      <w:pPr>
        <w:pStyle w:val="Chapter5"/>
      </w:pPr>
      <w:r w:rsidRPr="00CA1467">
        <w:t>There is the general anti-avoidance rule in section BG 1 that enables the Commissioner to void a tax avoidance arrangement for income tax purposes and to counteract a tax advantage that a person has obtained from or under a tax avoidance arrangement.  Furthermore, the anti-avoidance rule in section GB 50 relating to the valuation of partners’ transactions is potentially of relevance, with some modification.</w:t>
      </w:r>
    </w:p>
    <w:p w:rsidR="00A95176" w:rsidRPr="00CA1467" w:rsidRDefault="00A95176" w:rsidP="00A95176">
      <w:pPr>
        <w:pStyle w:val="Chapter5"/>
        <w:numPr>
          <w:ilvl w:val="0"/>
          <w:numId w:val="0"/>
        </w:numPr>
        <w:ind w:left="851"/>
      </w:pPr>
    </w:p>
    <w:p w:rsidR="00A95176" w:rsidRPr="00CA1467" w:rsidRDefault="00A95176" w:rsidP="00A95176">
      <w:pPr>
        <w:pStyle w:val="Chapter5"/>
      </w:pPr>
      <w:r w:rsidRPr="00CA1467">
        <w:t>In considering changes in relation to the anti-avoidance rules, we have been mindful that any proposals need to avoid replacing one set of compliance costs with another.  Ultimately, the vast majority of LTCs and owners are conducting legitimate business activities and any resultant deductions are genuine.</w:t>
      </w:r>
    </w:p>
    <w:p w:rsidR="00A95176" w:rsidRPr="00CA1467" w:rsidRDefault="00A95176" w:rsidP="00A95176">
      <w:pPr>
        <w:pStyle w:val="Chapter5"/>
        <w:numPr>
          <w:ilvl w:val="0"/>
          <w:numId w:val="0"/>
        </w:numPr>
        <w:ind w:left="851"/>
      </w:pPr>
    </w:p>
    <w:p w:rsidR="00A95176" w:rsidRPr="00CA1467" w:rsidRDefault="00A95176" w:rsidP="00A95176">
      <w:pPr>
        <w:pStyle w:val="Heading2"/>
      </w:pPr>
      <w:r w:rsidRPr="00CA1467">
        <w:t>Arrangements involving partners</w:t>
      </w:r>
    </w:p>
    <w:p w:rsidR="00A95176" w:rsidRPr="00CA1467" w:rsidRDefault="00A95176" w:rsidP="00A95176">
      <w:pPr>
        <w:pStyle w:val="Chapter5"/>
        <w:numPr>
          <w:ilvl w:val="0"/>
          <w:numId w:val="0"/>
        </w:numPr>
        <w:ind w:left="851"/>
      </w:pPr>
    </w:p>
    <w:p w:rsidR="00A95176" w:rsidRPr="00CA1467" w:rsidRDefault="00A95176" w:rsidP="00A95176">
      <w:pPr>
        <w:pStyle w:val="Chapter5"/>
      </w:pPr>
      <w:r w:rsidRPr="00CA1467">
        <w:t>Section GB 50 replaces consideration paid by a partner with a market value amount when the arrangement has the purpose or effect of defeating the intent and application of the partnership tax rules (in subpart HG).</w:t>
      </w:r>
    </w:p>
    <w:p w:rsidR="00A95176" w:rsidRPr="00CA1467" w:rsidRDefault="00A95176" w:rsidP="00A95176">
      <w:pPr>
        <w:pStyle w:val="Chapter5"/>
        <w:numPr>
          <w:ilvl w:val="0"/>
          <w:numId w:val="0"/>
        </w:numPr>
        <w:ind w:left="851"/>
      </w:pPr>
    </w:p>
    <w:p w:rsidR="00A95176" w:rsidRPr="00CA1467" w:rsidRDefault="00A95176" w:rsidP="00A95176">
      <w:pPr>
        <w:pStyle w:val="Chapter5"/>
      </w:pPr>
      <w:r w:rsidRPr="00CA1467">
        <w:t xml:space="preserve">This requirement </w:t>
      </w:r>
      <w:proofErr w:type="gramStart"/>
      <w:r w:rsidRPr="00CA1467">
        <w:t>was designed</w:t>
      </w:r>
      <w:proofErr w:type="gramEnd"/>
      <w:r w:rsidRPr="00CA1467">
        <w:t xml:space="preserve"> to protect the tax base, with the concern being the transfer of assets in and out of a partnership at under- and over-value, for tax benefits.  For example, a controlling partner could introduce valuable assets into a partnership to accelerate their own tax deductions, say on depreciable property.</w:t>
      </w:r>
    </w:p>
    <w:p w:rsidR="00A95176" w:rsidRPr="00CA1467" w:rsidRDefault="00A95176" w:rsidP="00A95176">
      <w:pPr>
        <w:pStyle w:val="Chapter5"/>
        <w:numPr>
          <w:ilvl w:val="0"/>
          <w:numId w:val="0"/>
        </w:numPr>
        <w:ind w:left="851"/>
      </w:pPr>
    </w:p>
    <w:p w:rsidR="00A95176" w:rsidRPr="00CA1467" w:rsidRDefault="00A95176" w:rsidP="00A95176">
      <w:pPr>
        <w:pStyle w:val="Chapter5"/>
      </w:pPr>
      <w:r w:rsidRPr="00CA1467">
        <w:t xml:space="preserve">The rule </w:t>
      </w:r>
      <w:proofErr w:type="gramStart"/>
      <w:r w:rsidRPr="00CA1467">
        <w:t>is not intended</w:t>
      </w:r>
      <w:proofErr w:type="gramEnd"/>
      <w:r w:rsidRPr="00CA1467">
        <w:t xml:space="preserve"> to affect situations where non-market transactions between partners occur legitimately.  It </w:t>
      </w:r>
      <w:proofErr w:type="gramStart"/>
      <w:r w:rsidRPr="00CA1467">
        <w:t>is therefore expressed</w:t>
      </w:r>
      <w:proofErr w:type="gramEnd"/>
      <w:r w:rsidRPr="00CA1467">
        <w:t xml:space="preserve"> as a specific anti-avoidance rule that essentially deems a transaction to have occurred at market value when the transaction is subject to an arrangement entered into to avoid tax.</w:t>
      </w:r>
    </w:p>
    <w:p w:rsidR="00A95176" w:rsidRPr="00CA1467" w:rsidRDefault="00A95176" w:rsidP="00A95176">
      <w:pPr>
        <w:pStyle w:val="Chapter5"/>
        <w:numPr>
          <w:ilvl w:val="0"/>
          <w:numId w:val="0"/>
        </w:numPr>
        <w:ind w:left="851"/>
      </w:pPr>
    </w:p>
    <w:p w:rsidR="00A95176" w:rsidRPr="00CA1467" w:rsidRDefault="00A95176" w:rsidP="00A95176">
      <w:pPr>
        <w:pStyle w:val="Chapter5"/>
      </w:pPr>
      <w:r w:rsidRPr="00CA1467">
        <w:t xml:space="preserve">Given that the LTC rules </w:t>
      </w:r>
      <w:proofErr w:type="gramStart"/>
      <w:r w:rsidRPr="00CA1467">
        <w:t>are based</w:t>
      </w:r>
      <w:proofErr w:type="gramEnd"/>
      <w:r w:rsidRPr="00CA1467">
        <w:t xml:space="preserve"> on the partnership rules, it seems logical to extend section GB 50 to include LTCs.  This would at least address the valuation aspect, which is a likely feature of schemes that involve excessive deductions, irrespective of whether they are mass-marketed.  Extending this rule to LTCs </w:t>
      </w:r>
      <w:proofErr w:type="gramStart"/>
      <w:r w:rsidRPr="00CA1467">
        <w:t>may, however, highlight</w:t>
      </w:r>
      <w:proofErr w:type="gramEnd"/>
      <w:r w:rsidRPr="00CA1467">
        <w:t xml:space="preserve"> some subtle differences.  For example, a nil interest loan from a partner </w:t>
      </w:r>
      <w:proofErr w:type="gramStart"/>
      <w:r w:rsidRPr="00CA1467">
        <w:t>might be squared up</w:t>
      </w:r>
      <w:proofErr w:type="gramEnd"/>
      <w:r w:rsidRPr="00CA1467">
        <w:t xml:space="preserve"> through an adjustment to partners’ profit shares.  Such a profit adjustment </w:t>
      </w:r>
      <w:proofErr w:type="gramStart"/>
      <w:r w:rsidRPr="00CA1467">
        <w:t>cannot be readily done</w:t>
      </w:r>
      <w:proofErr w:type="gramEnd"/>
      <w:r w:rsidRPr="00CA1467">
        <w:t xml:space="preserve"> in the case of LTC shareholders given that allocations are according to shareholdings, although some adjustment to shareholdings may be feasible to achieve a similar outcome.  Feedback </w:t>
      </w:r>
      <w:proofErr w:type="gramStart"/>
      <w:r w:rsidRPr="00CA1467">
        <w:t>is sought</w:t>
      </w:r>
      <w:proofErr w:type="gramEnd"/>
      <w:r w:rsidRPr="00CA1467">
        <w:t xml:space="preserve"> on this point and the general application of the section GB 50 rule.</w:t>
      </w:r>
    </w:p>
    <w:p w:rsidR="00A95176" w:rsidRPr="00CA1467" w:rsidRDefault="00A95176" w:rsidP="00A95176">
      <w:pPr>
        <w:pStyle w:val="Chapter5"/>
        <w:numPr>
          <w:ilvl w:val="0"/>
          <w:numId w:val="0"/>
        </w:numPr>
        <w:ind w:left="851"/>
      </w:pPr>
    </w:p>
    <w:p w:rsidR="00A95176" w:rsidRPr="00CA1467" w:rsidRDefault="00A95176" w:rsidP="00A95176">
      <w:pPr>
        <w:pStyle w:val="Chapter5"/>
        <w:numPr>
          <w:ilvl w:val="0"/>
          <w:numId w:val="0"/>
        </w:numPr>
        <w:ind w:left="851"/>
      </w:pPr>
    </w:p>
    <w:p w:rsidR="00A95176" w:rsidRPr="00CA1467" w:rsidRDefault="00A95176" w:rsidP="00A95176">
      <w:pPr>
        <w:pStyle w:val="Heading1"/>
      </w:pPr>
      <w:bookmarkStart w:id="81" w:name="_Toc429469465"/>
      <w:r w:rsidRPr="00CA1467">
        <w:t>Partnerships of LTCs</w:t>
      </w:r>
      <w:bookmarkEnd w:id="81"/>
    </w:p>
    <w:p w:rsidR="00A95176" w:rsidRPr="00CA1467" w:rsidRDefault="00A95176" w:rsidP="00A95176">
      <w:pPr>
        <w:pStyle w:val="Chapter5"/>
        <w:numPr>
          <w:ilvl w:val="0"/>
          <w:numId w:val="0"/>
        </w:numPr>
        <w:ind w:left="851"/>
      </w:pPr>
    </w:p>
    <w:p w:rsidR="00A95176" w:rsidRPr="00CA1467" w:rsidRDefault="00A95176" w:rsidP="00A95176">
      <w:pPr>
        <w:pStyle w:val="Chapter5"/>
      </w:pPr>
      <w:r w:rsidRPr="00CA1467">
        <w:t xml:space="preserve">Partnerships of LTCs </w:t>
      </w:r>
      <w:proofErr w:type="gramStart"/>
      <w:r w:rsidRPr="00CA1467">
        <w:t>are used</w:t>
      </w:r>
      <w:proofErr w:type="gramEnd"/>
      <w:r w:rsidRPr="00CA1467">
        <w:t xml:space="preserve"> in certain business ventures.  In effect, this is a widely held investment structure and replicates a limited partnership, but with the added advantage of each partner being able to be active in the business in some way.</w:t>
      </w:r>
      <w:r w:rsidRPr="00CA1467">
        <w:cr/>
      </w:r>
    </w:p>
    <w:p w:rsidR="00A95176" w:rsidRPr="00CA1467" w:rsidRDefault="00A95176" w:rsidP="00A95176">
      <w:pPr>
        <w:pStyle w:val="Chapter5"/>
      </w:pPr>
      <w:r w:rsidRPr="00CA1467">
        <w:t xml:space="preserve">From a </w:t>
      </w:r>
      <w:proofErr w:type="gramStart"/>
      <w:r w:rsidRPr="00CA1467">
        <w:t>policy</w:t>
      </w:r>
      <w:proofErr w:type="gramEnd"/>
      <w:r w:rsidRPr="00CA1467">
        <w:t xml:space="preserve"> perspective there is little cause for concern over partnerships of LTCs.  However, this situation changes if the deduction limitation rule as it applies to LTCs </w:t>
      </w:r>
      <w:proofErr w:type="gramStart"/>
      <w:r w:rsidRPr="00CA1467">
        <w:t>is removed</w:t>
      </w:r>
      <w:proofErr w:type="gramEnd"/>
      <w:r w:rsidRPr="00CA1467">
        <w:t xml:space="preserve">.  Such a result has the potential to see limited partnerships </w:t>
      </w:r>
      <w:proofErr w:type="gramStart"/>
      <w:r w:rsidRPr="00CA1467">
        <w:t>being superseded</w:t>
      </w:r>
      <w:proofErr w:type="gramEnd"/>
      <w:r w:rsidRPr="00CA1467">
        <w:t xml:space="preserve"> by partnerships of LTCs as a preferred structure for widely held investments.</w:t>
      </w:r>
    </w:p>
    <w:p w:rsidR="00A95176" w:rsidRPr="00CA1467" w:rsidRDefault="00A95176" w:rsidP="00A95176">
      <w:pPr>
        <w:pStyle w:val="Chapter5"/>
        <w:numPr>
          <w:ilvl w:val="0"/>
          <w:numId w:val="0"/>
        </w:numPr>
        <w:ind w:left="851"/>
      </w:pPr>
    </w:p>
    <w:p w:rsidR="00A95176" w:rsidRPr="00CA1467" w:rsidRDefault="00A95176" w:rsidP="00A95176">
      <w:pPr>
        <w:pStyle w:val="Chapter5"/>
      </w:pPr>
      <w:r w:rsidRPr="00CA1467">
        <w:t xml:space="preserve">Limited partnerships </w:t>
      </w:r>
      <w:proofErr w:type="gramStart"/>
      <w:r w:rsidRPr="00CA1467">
        <w:t>have been designed</w:t>
      </w:r>
      <w:proofErr w:type="gramEnd"/>
      <w:r w:rsidRPr="00CA1467">
        <w:t xml:space="preserve"> as a structure to aid widely held investment where flow-through treatment is considered desirable.  It therefore seems inconsistent to have an alternative structure that replicates the more favourable aspects of limited partnerships but without the restrictions that apply to them.</w:t>
      </w:r>
    </w:p>
    <w:p w:rsidR="00A95176" w:rsidRPr="00CA1467" w:rsidRDefault="00A95176" w:rsidP="00A95176">
      <w:pPr>
        <w:pStyle w:val="Chapter5"/>
        <w:numPr>
          <w:ilvl w:val="0"/>
          <w:numId w:val="0"/>
        </w:numPr>
        <w:ind w:left="851"/>
      </w:pPr>
    </w:p>
    <w:p w:rsidR="00A95176" w:rsidRPr="00CA1467" w:rsidRDefault="00A95176" w:rsidP="00A95176">
      <w:pPr>
        <w:pStyle w:val="Chapter5"/>
      </w:pPr>
      <w:r w:rsidRPr="00CA1467">
        <w:t xml:space="preserve">The deduction limitation rule </w:t>
      </w:r>
      <w:proofErr w:type="gramStart"/>
      <w:r w:rsidRPr="00CA1467">
        <w:t>should therefore be retained</w:t>
      </w:r>
      <w:proofErr w:type="gramEnd"/>
      <w:r w:rsidRPr="00CA1467">
        <w:t xml:space="preserve"> for partnerships of LTCs.  </w:t>
      </w:r>
      <w:proofErr w:type="gramStart"/>
      <w:r w:rsidRPr="00CA1467">
        <w:t>Ideally</w:t>
      </w:r>
      <w:proofErr w:type="gramEnd"/>
      <w:r w:rsidRPr="00CA1467">
        <w:t xml:space="preserve"> this would be when there are more than five look-through counted owners in aggregate across the LTCs in the partnership.  In other words, there would be more owners than would be allowed if the partnership’s activities </w:t>
      </w:r>
      <w:proofErr w:type="gramStart"/>
      <w:r w:rsidRPr="00CA1467">
        <w:t>were undertaken</w:t>
      </w:r>
      <w:proofErr w:type="gramEnd"/>
      <w:r w:rsidRPr="00CA1467">
        <w:t xml:space="preserve"> by a single LTC.  Basing the application of the test on the number of combined owners, </w:t>
      </w:r>
      <w:proofErr w:type="gramStart"/>
      <w:r w:rsidRPr="00CA1467">
        <w:t>may, however, cause</w:t>
      </w:r>
      <w:proofErr w:type="gramEnd"/>
      <w:r w:rsidRPr="00CA1467">
        <w:t xml:space="preserve"> practical difficulties.  This is because it puts the onus on each LTC to know how many owners there are in the other LTCs in the </w:t>
      </w:r>
      <w:proofErr w:type="gramStart"/>
      <w:r w:rsidRPr="00CA1467">
        <w:t>partnership which</w:t>
      </w:r>
      <w:proofErr w:type="gramEnd"/>
      <w:r w:rsidRPr="00CA1467">
        <w:t xml:space="preserve"> becomes complicated if there are trusts and family groups to consider.  This may mean that, for simplicity, all partnerships of LTCs would need to apply the test.  Feedback on this point is invited.</w:t>
      </w:r>
    </w:p>
    <w:p w:rsidR="00A95176" w:rsidRPr="00CA1467" w:rsidRDefault="00A95176" w:rsidP="00A95176">
      <w:pPr>
        <w:pStyle w:val="Chapter5"/>
        <w:numPr>
          <w:ilvl w:val="0"/>
          <w:numId w:val="0"/>
        </w:numPr>
        <w:ind w:left="851"/>
      </w:pPr>
    </w:p>
    <w:p w:rsidR="00A95176" w:rsidRDefault="00A95176" w:rsidP="00A95176">
      <w:pPr>
        <w:pStyle w:val="Chapter5"/>
        <w:numPr>
          <w:ilvl w:val="0"/>
          <w:numId w:val="0"/>
        </w:numPr>
        <w:ind w:left="851"/>
      </w:pPr>
    </w:p>
    <w:p w:rsidR="008354FD" w:rsidRDefault="008354FD" w:rsidP="00A95176">
      <w:pPr>
        <w:pStyle w:val="Chapter5"/>
        <w:numPr>
          <w:ilvl w:val="0"/>
          <w:numId w:val="0"/>
        </w:numPr>
        <w:ind w:left="851"/>
      </w:pPr>
    </w:p>
    <w:p w:rsidR="008354FD" w:rsidRDefault="008354FD" w:rsidP="00A95176">
      <w:pPr>
        <w:pStyle w:val="Chapter5"/>
        <w:numPr>
          <w:ilvl w:val="0"/>
          <w:numId w:val="0"/>
        </w:numPr>
        <w:ind w:left="851"/>
      </w:pPr>
    </w:p>
    <w:p w:rsidR="008354FD" w:rsidRPr="00CA1467" w:rsidRDefault="008354FD" w:rsidP="00A95176">
      <w:pPr>
        <w:pStyle w:val="Chapter5"/>
        <w:numPr>
          <w:ilvl w:val="0"/>
          <w:numId w:val="0"/>
        </w:numPr>
        <w:ind w:left="851"/>
      </w:pPr>
    </w:p>
    <w:p w:rsidR="00A95176" w:rsidRPr="00CA1467" w:rsidRDefault="00A95176" w:rsidP="00A95176">
      <w:pPr>
        <w:pStyle w:val="Heading1"/>
      </w:pPr>
      <w:bookmarkStart w:id="82" w:name="_Toc429469466"/>
      <w:r w:rsidRPr="00CA1467">
        <w:t>Transitional arrangements</w:t>
      </w:r>
      <w:bookmarkEnd w:id="82"/>
    </w:p>
    <w:p w:rsidR="00A95176" w:rsidRPr="00CA1467" w:rsidRDefault="00A95176" w:rsidP="00A95176">
      <w:pPr>
        <w:pStyle w:val="Chapter5"/>
        <w:numPr>
          <w:ilvl w:val="0"/>
          <w:numId w:val="0"/>
        </w:numPr>
        <w:ind w:left="851"/>
      </w:pPr>
    </w:p>
    <w:p w:rsidR="00A95176" w:rsidRPr="00CA1467" w:rsidRDefault="00A95176" w:rsidP="00A95176">
      <w:pPr>
        <w:pStyle w:val="Chapter5"/>
      </w:pPr>
      <w:r w:rsidRPr="00CA1467">
        <w:t xml:space="preserve">The proposed removal in most cases of the deduction limitation rule raises the issue of what to do with those deductions that are limited up to the removal of the rule and </w:t>
      </w:r>
      <w:proofErr w:type="gramStart"/>
      <w:r w:rsidRPr="00CA1467">
        <w:t>have therefore been carried</w:t>
      </w:r>
      <w:proofErr w:type="gramEnd"/>
      <w:r w:rsidRPr="00CA1467">
        <w:t xml:space="preserve"> forward.  Such restricted deductions average around $7m </w:t>
      </w:r>
      <w:r w:rsidR="00197EF4">
        <w:t>a year</w:t>
      </w:r>
      <w:r w:rsidRPr="00CA1467">
        <w:t xml:space="preserve"> and </w:t>
      </w:r>
      <w:proofErr w:type="gramStart"/>
      <w:r w:rsidRPr="00CA1467">
        <w:t>are expected</w:t>
      </w:r>
      <w:proofErr w:type="gramEnd"/>
      <w:r w:rsidRPr="00CA1467">
        <w:t xml:space="preserve"> to have accumulated to $35m by 2016</w:t>
      </w:r>
      <w:r w:rsidR="003D28D3">
        <w:t>–</w:t>
      </w:r>
      <w:r w:rsidRPr="00CA1467">
        <w:t>17, which translates to a fiscal cost of $12m, spread over two years.  Such deductions would become unrestricted from the 2017</w:t>
      </w:r>
      <w:r w:rsidR="00061838">
        <w:t>–</w:t>
      </w:r>
      <w:r w:rsidRPr="00CA1467">
        <w:t>18 income year and could, therefore, be offset against owners’ other income from that income year.</w:t>
      </w:r>
    </w:p>
    <w:p w:rsidR="00A95176" w:rsidRPr="00CA1467" w:rsidRDefault="00A95176" w:rsidP="00A95176">
      <w:pPr>
        <w:pStyle w:val="Chapter5"/>
        <w:numPr>
          <w:ilvl w:val="0"/>
          <w:numId w:val="0"/>
        </w:numPr>
        <w:ind w:left="851"/>
      </w:pPr>
    </w:p>
    <w:p w:rsidR="00A95176" w:rsidRPr="00CA1467" w:rsidRDefault="00A95176" w:rsidP="00A95176">
      <w:pPr>
        <w:pStyle w:val="Chapter5"/>
        <w:numPr>
          <w:ilvl w:val="0"/>
          <w:numId w:val="0"/>
        </w:numPr>
        <w:ind w:left="851"/>
      </w:pPr>
    </w:p>
    <w:p w:rsidR="00A95176" w:rsidRPr="00CA1467" w:rsidRDefault="00A95176" w:rsidP="00A95176">
      <w:pPr>
        <w:pStyle w:val="Heading1"/>
      </w:pPr>
      <w:bookmarkStart w:id="83" w:name="_Toc429469467"/>
      <w:r w:rsidRPr="00CA1467">
        <w:t>Technical changes to the deduction limitation rule</w:t>
      </w:r>
      <w:bookmarkEnd w:id="83"/>
    </w:p>
    <w:p w:rsidR="00A95176" w:rsidRPr="00CA1467" w:rsidRDefault="00A95176" w:rsidP="00A95176">
      <w:pPr>
        <w:pStyle w:val="Chapter5"/>
        <w:numPr>
          <w:ilvl w:val="0"/>
          <w:numId w:val="0"/>
        </w:numPr>
        <w:ind w:left="851"/>
      </w:pPr>
    </w:p>
    <w:p w:rsidR="00A95176" w:rsidRPr="00CA1467" w:rsidRDefault="00A95176" w:rsidP="00A95176">
      <w:pPr>
        <w:pStyle w:val="Chapter5"/>
      </w:pPr>
      <w:r w:rsidRPr="00CA1467">
        <w:t xml:space="preserve">We are proposing some technical changes to the deduction limitation rule to clarify its application for those who would continue to </w:t>
      </w:r>
      <w:proofErr w:type="gramStart"/>
      <w:r w:rsidRPr="00CA1467">
        <w:t>be covered</w:t>
      </w:r>
      <w:proofErr w:type="gramEnd"/>
      <w:r w:rsidRPr="00CA1467">
        <w:t xml:space="preserve"> by it.  The changes involve:</w:t>
      </w:r>
    </w:p>
    <w:p w:rsidR="00A95176" w:rsidRPr="00CA1467" w:rsidRDefault="00A95176" w:rsidP="00A95176">
      <w:pPr>
        <w:pStyle w:val="Chapter5"/>
        <w:numPr>
          <w:ilvl w:val="0"/>
          <w:numId w:val="0"/>
        </w:numPr>
        <w:ind w:left="851"/>
      </w:pPr>
    </w:p>
    <w:p w:rsidR="00A95176" w:rsidRPr="00CA1467" w:rsidRDefault="00A95176" w:rsidP="00A95176">
      <w:pPr>
        <w:pStyle w:val="Bullets"/>
      </w:pPr>
      <w:r w:rsidRPr="00CA1467">
        <w:t>a balance sheet based starting point for the calculation of “owner’s basis” for companies that enter the LTC regime;</w:t>
      </w:r>
    </w:p>
    <w:p w:rsidR="00A95176" w:rsidRPr="00CA1467" w:rsidRDefault="00A95176" w:rsidP="00A95176">
      <w:pPr>
        <w:pStyle w:val="Bullets"/>
      </w:pPr>
      <w:r w:rsidRPr="00CA1467">
        <w:t>the inclusion of unrealised gains on real property; and</w:t>
      </w:r>
    </w:p>
    <w:p w:rsidR="00A95176" w:rsidRPr="00CA1467" w:rsidRDefault="00A95176" w:rsidP="00984DDF">
      <w:pPr>
        <w:pStyle w:val="Bullets"/>
        <w:spacing w:after="0"/>
      </w:pPr>
      <w:proofErr w:type="gramStart"/>
      <w:r w:rsidRPr="00CA1467">
        <w:t>further</w:t>
      </w:r>
      <w:proofErr w:type="gramEnd"/>
      <w:r w:rsidRPr="00CA1467">
        <w:t xml:space="preserve"> consideration of the treatment of guarantees, requiring among other things, that the guarantor be a person of substance and not the LTC itself.</w:t>
      </w:r>
    </w:p>
    <w:p w:rsidR="00A95176" w:rsidRPr="00CA1467" w:rsidRDefault="00A95176" w:rsidP="00A95176">
      <w:pPr>
        <w:pStyle w:val="Chapter5"/>
        <w:numPr>
          <w:ilvl w:val="0"/>
          <w:numId w:val="0"/>
        </w:numPr>
        <w:ind w:left="851"/>
      </w:pPr>
    </w:p>
    <w:p w:rsidR="00A95176" w:rsidRPr="00CA1467" w:rsidRDefault="00A95176" w:rsidP="00A95176">
      <w:pPr>
        <w:pStyle w:val="Chapter5"/>
      </w:pPr>
      <w:r w:rsidRPr="00CA1467">
        <w:t>Submissions are welcome on any other aspects of the rule that are causing concern.  In the meantime, officials will continue to consider the detail of this rule with the aim of further simplification.</w:t>
      </w:r>
    </w:p>
    <w:p w:rsidR="00A95176" w:rsidRPr="00CA1467" w:rsidRDefault="00A95176" w:rsidP="00A95176">
      <w:pPr>
        <w:pStyle w:val="Chapter5"/>
        <w:numPr>
          <w:ilvl w:val="0"/>
          <w:numId w:val="0"/>
        </w:numPr>
        <w:ind w:left="851"/>
      </w:pPr>
    </w:p>
    <w:p w:rsidR="00A95176" w:rsidRPr="00CA1467" w:rsidRDefault="00A95176" w:rsidP="00A95176">
      <w:pPr>
        <w:pStyle w:val="Heading2"/>
      </w:pPr>
      <w:r w:rsidRPr="00CA1467">
        <w:t>Balance sheet based starting point</w:t>
      </w:r>
    </w:p>
    <w:p w:rsidR="00A95176" w:rsidRPr="00CA1467" w:rsidRDefault="00A95176" w:rsidP="00A95176">
      <w:pPr>
        <w:pStyle w:val="Chapter5"/>
        <w:numPr>
          <w:ilvl w:val="0"/>
          <w:numId w:val="0"/>
        </w:numPr>
        <w:ind w:left="851"/>
      </w:pPr>
    </w:p>
    <w:p w:rsidR="00A95176" w:rsidRPr="00CA1467" w:rsidRDefault="00A95176" w:rsidP="00A95176">
      <w:pPr>
        <w:pStyle w:val="Chapter5"/>
      </w:pPr>
      <w:proofErr w:type="gramStart"/>
      <w:r w:rsidRPr="00CA1467">
        <w:t>At the moment</w:t>
      </w:r>
      <w:proofErr w:type="gramEnd"/>
      <w:r w:rsidRPr="00CA1467">
        <w:t xml:space="preserve"> the tax law is unclear how the term “investments” in the formula is to be calculated in respect of an existing company that elects into the LTC regime.  For example, the company may have been in existence for many years.  A balance sheet based approach, with adjustments (such as reversal of revaluations except in respect of real property), would provide a clean starting point.</w:t>
      </w:r>
    </w:p>
    <w:p w:rsidR="00A95176" w:rsidRPr="00CA1467" w:rsidRDefault="00A95176" w:rsidP="00A95176">
      <w:pPr>
        <w:pStyle w:val="Chapter5"/>
        <w:numPr>
          <w:ilvl w:val="0"/>
          <w:numId w:val="0"/>
        </w:numPr>
        <w:ind w:left="851"/>
      </w:pPr>
    </w:p>
    <w:p w:rsidR="00A95176" w:rsidRPr="00CA1467" w:rsidRDefault="00A95176" w:rsidP="00A95176">
      <w:pPr>
        <w:pStyle w:val="Heading2"/>
      </w:pPr>
      <w:r w:rsidRPr="00CA1467">
        <w:t>Inclusion of unrealised capital gains into the current formula</w:t>
      </w:r>
    </w:p>
    <w:p w:rsidR="00A95176" w:rsidRPr="00CA1467" w:rsidRDefault="00A95176" w:rsidP="00A95176">
      <w:pPr>
        <w:pStyle w:val="Chapter5"/>
        <w:numPr>
          <w:ilvl w:val="0"/>
          <w:numId w:val="0"/>
        </w:numPr>
        <w:ind w:left="851"/>
      </w:pPr>
    </w:p>
    <w:p w:rsidR="00A95176" w:rsidRPr="00CA1467" w:rsidRDefault="00A95176" w:rsidP="00A95176">
      <w:pPr>
        <w:pStyle w:val="Chapter5"/>
      </w:pPr>
      <w:r w:rsidRPr="00CA1467">
        <w:t xml:space="preserve">An owner has money at risk even in relation to gains on capital assets that have not been realised.  When the assets are intangible, valuing those gains with confidence can be problematic.  However, in the case of real property, revaluations are already provided for in the </w:t>
      </w:r>
      <w:proofErr w:type="gramStart"/>
      <w:r w:rsidRPr="00CA1467">
        <w:t>mixed use</w:t>
      </w:r>
      <w:proofErr w:type="gramEnd"/>
      <w:r w:rsidRPr="00CA1467">
        <w:t xml:space="preserve"> assets rules in the Income Tax Act.  Consequently, we are proposing that revaluations of real property, calculated in a similar fashion to the </w:t>
      </w:r>
      <w:proofErr w:type="gramStart"/>
      <w:r w:rsidRPr="00CA1467">
        <w:t>mixed use</w:t>
      </w:r>
      <w:proofErr w:type="gramEnd"/>
      <w:r w:rsidRPr="00CA1467">
        <w:t xml:space="preserve"> assets rules, be added to “owner’s basis”.</w:t>
      </w:r>
    </w:p>
    <w:p w:rsidR="00A95176" w:rsidRPr="00CA1467" w:rsidRDefault="00A95176" w:rsidP="00A95176">
      <w:pPr>
        <w:pStyle w:val="Chapter5"/>
        <w:numPr>
          <w:ilvl w:val="0"/>
          <w:numId w:val="0"/>
        </w:numPr>
        <w:ind w:left="851"/>
      </w:pPr>
    </w:p>
    <w:p w:rsidR="00A95176" w:rsidRPr="00CA1467" w:rsidRDefault="00A95176" w:rsidP="00A95176">
      <w:pPr>
        <w:pStyle w:val="Chapter5"/>
        <w:numPr>
          <w:ilvl w:val="0"/>
          <w:numId w:val="0"/>
        </w:numPr>
        <w:ind w:left="851"/>
      </w:pPr>
    </w:p>
    <w:p w:rsidR="00061838" w:rsidRDefault="00061838">
      <w:pPr>
        <w:jc w:val="left"/>
        <w:rPr>
          <w:b/>
          <w:szCs w:val="24"/>
          <w:lang w:val="en-NZ"/>
        </w:rPr>
      </w:pPr>
      <w:r>
        <w:br w:type="page"/>
      </w:r>
    </w:p>
    <w:p w:rsidR="00A95176" w:rsidRPr="00CA1467" w:rsidRDefault="00A95176" w:rsidP="00A95176">
      <w:pPr>
        <w:pStyle w:val="Heading1"/>
      </w:pPr>
      <w:bookmarkStart w:id="84" w:name="_Toc429469468"/>
      <w:r w:rsidRPr="00CA1467">
        <w:t>Possible alternative rule</w:t>
      </w:r>
      <w:bookmarkEnd w:id="84"/>
    </w:p>
    <w:p w:rsidR="00A95176" w:rsidRPr="00CA1467" w:rsidRDefault="00A95176" w:rsidP="00A95176">
      <w:pPr>
        <w:pStyle w:val="Chapter5"/>
        <w:numPr>
          <w:ilvl w:val="0"/>
          <w:numId w:val="0"/>
        </w:numPr>
        <w:ind w:left="851"/>
      </w:pPr>
    </w:p>
    <w:p w:rsidR="00A95176" w:rsidRPr="00CA1467" w:rsidRDefault="00A95176" w:rsidP="00A95176">
      <w:pPr>
        <w:pStyle w:val="Chapter5"/>
      </w:pPr>
      <w:r w:rsidRPr="00CA1467">
        <w:t xml:space="preserve">We did consider whether a more fundamental change to the rule </w:t>
      </w:r>
      <w:proofErr w:type="gramStart"/>
      <w:r w:rsidRPr="00CA1467">
        <w:t>was needed</w:t>
      </w:r>
      <w:proofErr w:type="gramEnd"/>
      <w:r w:rsidRPr="00CA1467">
        <w:t xml:space="preserve">, while retaining the principle of denying excessive deductions.  Our conclusion was that any rule is inevitably going to </w:t>
      </w:r>
      <w:proofErr w:type="gramStart"/>
      <w:r w:rsidRPr="00CA1467">
        <w:t>be detailed</w:t>
      </w:r>
      <w:proofErr w:type="gramEnd"/>
      <w:r w:rsidRPr="00CA1467">
        <w:t xml:space="preserve"> given the variety of assets, liabilities and businesses that might be included in a LTC.  The existing rule has been in place for several years in which case LTCs will be familiar with it and a new rule would involve another teething period.  Furthermore, the proposed removal in most cases of the deduction limitation rule reduces the benefits from any fundamental rewrite of the rule.  It seems preferable, therefore, </w:t>
      </w:r>
      <w:proofErr w:type="gramStart"/>
      <w:r w:rsidRPr="00CA1467">
        <w:t>to instead make</w:t>
      </w:r>
      <w:proofErr w:type="gramEnd"/>
      <w:r w:rsidRPr="00CA1467">
        <w:t xml:space="preserve"> some minor adjustments to the existing rule, as outlined above.  However, it may be helpful </w:t>
      </w:r>
      <w:proofErr w:type="gramStart"/>
      <w:r w:rsidRPr="00CA1467">
        <w:t>to at least summarise</w:t>
      </w:r>
      <w:proofErr w:type="gramEnd"/>
      <w:r w:rsidRPr="00CA1467">
        <w:t xml:space="preserve"> some of our thinking on some possible alternative ways of designin</w:t>
      </w:r>
      <w:r w:rsidR="00984DDF">
        <w:t>g a rule.  This is included in A</w:t>
      </w:r>
      <w:r w:rsidRPr="00CA1467">
        <w:t>ppendix 2.</w:t>
      </w:r>
    </w:p>
    <w:p w:rsidR="00C11581" w:rsidRDefault="00C11581">
      <w:pPr>
        <w:jc w:val="left"/>
        <w:rPr>
          <w:rFonts w:ascii="Times New Roman Bold" w:hAnsi="Times New Roman Bold"/>
          <w:b/>
          <w:bCs/>
          <w:caps/>
          <w:sz w:val="28"/>
          <w:szCs w:val="28"/>
          <w:lang w:val="en-NZ"/>
        </w:rPr>
      </w:pPr>
      <w:r>
        <w:br w:type="page"/>
      </w:r>
    </w:p>
    <w:p w:rsidR="00A95176" w:rsidRPr="00CA1467" w:rsidRDefault="00A95176" w:rsidP="00A95176">
      <w:pPr>
        <w:pStyle w:val="Chapterheading"/>
      </w:pPr>
      <w:r w:rsidRPr="00CA1467">
        <w:br w:type="page"/>
      </w:r>
      <w:bookmarkStart w:id="85" w:name="_Toc429151509"/>
      <w:bookmarkStart w:id="86" w:name="_Toc429379747"/>
      <w:bookmarkStart w:id="87" w:name="_Toc429400101"/>
      <w:bookmarkStart w:id="88" w:name="_Toc429409189"/>
      <w:bookmarkStart w:id="89" w:name="_Toc429412448"/>
      <w:bookmarkStart w:id="90" w:name="_Toc429417863"/>
      <w:bookmarkStart w:id="91" w:name="_Toc429419988"/>
      <w:bookmarkStart w:id="92" w:name="_Toc429469469"/>
      <w:r w:rsidRPr="00CA1467">
        <w:t>CHAPTER 6</w:t>
      </w:r>
      <w:bookmarkEnd w:id="85"/>
      <w:bookmarkEnd w:id="86"/>
      <w:bookmarkEnd w:id="87"/>
      <w:bookmarkEnd w:id="88"/>
      <w:bookmarkEnd w:id="89"/>
      <w:bookmarkEnd w:id="90"/>
      <w:bookmarkEnd w:id="91"/>
      <w:bookmarkEnd w:id="92"/>
    </w:p>
    <w:p w:rsidR="00A95176" w:rsidRPr="00CA1467" w:rsidRDefault="00A95176" w:rsidP="00A95176">
      <w:pPr>
        <w:pStyle w:val="Chapterheading"/>
      </w:pPr>
    </w:p>
    <w:p w:rsidR="00A95176" w:rsidRPr="00CA1467" w:rsidRDefault="00A95176" w:rsidP="00A95176">
      <w:pPr>
        <w:pStyle w:val="Chapterheading"/>
        <w:rPr>
          <w:caps w:val="0"/>
        </w:rPr>
      </w:pPr>
      <w:bookmarkStart w:id="93" w:name="_Toc429469470"/>
      <w:r w:rsidRPr="00CA1467">
        <w:rPr>
          <w:caps w:val="0"/>
        </w:rPr>
        <w:t>Qualifying companies</w:t>
      </w:r>
      <w:bookmarkEnd w:id="93"/>
    </w:p>
    <w:p w:rsidR="00A95176" w:rsidRPr="00CA1467" w:rsidRDefault="00A95176" w:rsidP="004E6AE5">
      <w:pPr>
        <w:pStyle w:val="Chapter6"/>
        <w:numPr>
          <w:ilvl w:val="0"/>
          <w:numId w:val="0"/>
        </w:numPr>
        <w:ind w:left="851" w:hanging="851"/>
      </w:pPr>
    </w:p>
    <w:p w:rsidR="00B275DE" w:rsidRPr="00CA1467" w:rsidRDefault="00B275DE" w:rsidP="004E6AE5">
      <w:pPr>
        <w:pStyle w:val="Chapter6"/>
        <w:numPr>
          <w:ilvl w:val="0"/>
          <w:numId w:val="0"/>
        </w:numPr>
        <w:ind w:left="851" w:hanging="851"/>
      </w:pPr>
    </w:p>
    <w:p w:rsidR="004E6AE5" w:rsidRPr="00CA1467" w:rsidRDefault="004E6AE5" w:rsidP="004E6AE5">
      <w:pPr>
        <w:pStyle w:val="Heading1"/>
      </w:pPr>
      <w:bookmarkStart w:id="94" w:name="_Toc429469471"/>
      <w:r w:rsidRPr="00CA1467">
        <w:t xml:space="preserve">What </w:t>
      </w:r>
      <w:proofErr w:type="gramStart"/>
      <w:r w:rsidRPr="00CA1467">
        <w:t>should be done</w:t>
      </w:r>
      <w:proofErr w:type="gramEnd"/>
      <w:r w:rsidRPr="00CA1467">
        <w:t xml:space="preserve"> about those companies that remain as QCs?</w:t>
      </w:r>
      <w:bookmarkEnd w:id="94"/>
    </w:p>
    <w:p w:rsidR="004E6AE5" w:rsidRPr="00CA1467" w:rsidRDefault="004E6AE5" w:rsidP="004E6AE5">
      <w:pPr>
        <w:pStyle w:val="Chapter6"/>
        <w:numPr>
          <w:ilvl w:val="0"/>
          <w:numId w:val="0"/>
        </w:numPr>
        <w:ind w:left="851"/>
      </w:pPr>
    </w:p>
    <w:p w:rsidR="004E6AE5" w:rsidRPr="00CA1467" w:rsidRDefault="004E6AE5" w:rsidP="004E6AE5">
      <w:pPr>
        <w:pStyle w:val="Chapter6"/>
      </w:pPr>
      <w:r w:rsidRPr="00CA1467">
        <w:t xml:space="preserve">An aim of the review is to make the LTC rules more workable so that more small businesses can use them.  If this objective </w:t>
      </w:r>
      <w:proofErr w:type="gramStart"/>
      <w:r w:rsidRPr="00CA1467">
        <w:t>is achieved</w:t>
      </w:r>
      <w:proofErr w:type="gramEnd"/>
      <w:r w:rsidRPr="00CA1467">
        <w:t>, will the LTC rules be sufficient to cover all targeted small companies, including QCs?  As discussed earlier, it is not desirable to have multiple regimes covering essentially similar types of businesses but with slightly different boundaries.  This is particularly the case when those regimes are optional and it is relatively easy to switch from one to the other to minimise tax liabilities.</w:t>
      </w:r>
    </w:p>
    <w:p w:rsidR="004E6AE5" w:rsidRPr="00CA1467" w:rsidRDefault="004E6AE5" w:rsidP="004E6AE5">
      <w:pPr>
        <w:pStyle w:val="Chapter6"/>
        <w:numPr>
          <w:ilvl w:val="0"/>
          <w:numId w:val="0"/>
        </w:numPr>
        <w:ind w:left="851"/>
      </w:pPr>
    </w:p>
    <w:p w:rsidR="004E6AE5" w:rsidRPr="00CA1467" w:rsidRDefault="004E6AE5" w:rsidP="004E6AE5">
      <w:pPr>
        <w:pStyle w:val="Chapter6"/>
      </w:pPr>
      <w:r w:rsidRPr="00CA1467">
        <w:t>Furthermore, allowing existing QCs to continue will provide them with a permanent advantage</w:t>
      </w:r>
      <w:r w:rsidR="00B275DE" w:rsidRPr="00CA1467">
        <w:t>,</w:t>
      </w:r>
      <w:r w:rsidR="00B275DE" w:rsidRPr="00A16039">
        <w:rPr>
          <w:rStyle w:val="FootnoteReference"/>
          <w:sz w:val="22"/>
          <w:szCs w:val="22"/>
        </w:rPr>
        <w:footnoteReference w:id="31"/>
      </w:r>
      <w:r w:rsidRPr="00CA1467">
        <w:t xml:space="preserve"> leading to their </w:t>
      </w:r>
      <w:proofErr w:type="gramStart"/>
      <w:r w:rsidRPr="00CA1467">
        <w:t>being traded for</w:t>
      </w:r>
      <w:proofErr w:type="gramEnd"/>
      <w:r w:rsidRPr="00CA1467">
        <w:t xml:space="preserve"> tax purposes and potential involvement in undesirable tax behaviour.</w:t>
      </w:r>
    </w:p>
    <w:p w:rsidR="004E6AE5" w:rsidRPr="00CA1467" w:rsidRDefault="004E6AE5" w:rsidP="004E6AE5">
      <w:pPr>
        <w:pStyle w:val="Chapter6"/>
        <w:numPr>
          <w:ilvl w:val="0"/>
          <w:numId w:val="0"/>
        </w:numPr>
      </w:pPr>
    </w:p>
    <w:p w:rsidR="004E6AE5" w:rsidRPr="00CA1467" w:rsidRDefault="004E6AE5" w:rsidP="004E6AE5">
      <w:pPr>
        <w:pStyle w:val="Chapter6"/>
      </w:pPr>
      <w:r w:rsidRPr="00CA1467">
        <w:t>While we might anticipate that the numbers of QCs will decline over time, the feedback from some stakeholders has been that the LTC regime is too limited to cover all closely held companies.  For example, the requirement that there must be only one class of shares would preclude some QCs from becoming a LTC.  As noted earlier, we intend to recommend allowing more than one class of shares, provided the only variation relates to voting rights.</w:t>
      </w:r>
    </w:p>
    <w:p w:rsidR="004E6AE5" w:rsidRPr="00CA1467" w:rsidRDefault="004E6AE5" w:rsidP="004E6AE5">
      <w:pPr>
        <w:pStyle w:val="Chapter6"/>
        <w:numPr>
          <w:ilvl w:val="0"/>
          <w:numId w:val="0"/>
        </w:numPr>
        <w:ind w:left="851"/>
      </w:pPr>
    </w:p>
    <w:p w:rsidR="004E6AE5" w:rsidRPr="00CA1467" w:rsidRDefault="004E6AE5" w:rsidP="004E6AE5">
      <w:pPr>
        <w:pStyle w:val="Chapter6"/>
      </w:pPr>
      <w:r w:rsidRPr="00CA1467">
        <w:t xml:space="preserve">Another concern is that some QCs </w:t>
      </w:r>
      <w:proofErr w:type="gramStart"/>
      <w:r w:rsidRPr="00CA1467">
        <w:t>may be deterred</w:t>
      </w:r>
      <w:proofErr w:type="gramEnd"/>
      <w:r w:rsidRPr="00CA1467">
        <w:t xml:space="preserve"> from transitioning into the LTC regime because under the LTC rules existing shareholders face tax consequences, such as depreciation claw-back and the taxation of any gains made on revenue account property upon exit from the LTC regime.  To reduce compliance costs, the tax on the disposal of the underlying property </w:t>
      </w:r>
      <w:proofErr w:type="gramStart"/>
      <w:r w:rsidRPr="00CA1467">
        <w:t>is ignored</w:t>
      </w:r>
      <w:proofErr w:type="gramEnd"/>
      <w:r w:rsidRPr="00CA1467">
        <w:t xml:space="preserve"> when the tax adjustment is below certain thresholds.  In contrast, under the QC rules the exiting shareholder is treated as selling their </w:t>
      </w:r>
      <w:proofErr w:type="gramStart"/>
      <w:r w:rsidRPr="00CA1467">
        <w:t>shareholding which</w:t>
      </w:r>
      <w:proofErr w:type="gramEnd"/>
      <w:r w:rsidRPr="00CA1467">
        <w:t xml:space="preserve"> in most cases would not have a tax consequence.  Our conclusion is that although the tax consequence on disposal does create compliance costs, even with (or in some cases because of) the thresholds, it is difficult to find a robust alternative.  Hence, recognising disposals seems to be a necessary feature of the LTC rules, as it is for ordinary partnerships.</w:t>
      </w:r>
    </w:p>
    <w:p w:rsidR="004E6AE5" w:rsidRPr="00CA1467" w:rsidRDefault="004E6AE5" w:rsidP="004E6AE5">
      <w:pPr>
        <w:pStyle w:val="Chapter6"/>
        <w:numPr>
          <w:ilvl w:val="0"/>
          <w:numId w:val="0"/>
        </w:numPr>
        <w:ind w:left="851"/>
      </w:pPr>
    </w:p>
    <w:p w:rsidR="004E6AE5" w:rsidRPr="00CA1467" w:rsidRDefault="004E6AE5" w:rsidP="004E6AE5">
      <w:pPr>
        <w:pStyle w:val="Chapter6"/>
        <w:numPr>
          <w:ilvl w:val="0"/>
          <w:numId w:val="0"/>
        </w:numPr>
        <w:ind w:left="851"/>
      </w:pPr>
    </w:p>
    <w:p w:rsidR="004E6AE5" w:rsidRPr="00CA1467" w:rsidRDefault="004E6AE5" w:rsidP="004E6AE5">
      <w:pPr>
        <w:pStyle w:val="Heading1"/>
      </w:pPr>
      <w:bookmarkStart w:id="95" w:name="_Toc429469472"/>
      <w:r w:rsidRPr="00CA1467">
        <w:t>Proposed approach</w:t>
      </w:r>
      <w:bookmarkEnd w:id="95"/>
    </w:p>
    <w:p w:rsidR="004E6AE5" w:rsidRPr="00CA1467" w:rsidRDefault="004E6AE5" w:rsidP="004E6AE5">
      <w:pPr>
        <w:pStyle w:val="Chapter6"/>
        <w:numPr>
          <w:ilvl w:val="0"/>
          <w:numId w:val="0"/>
        </w:numPr>
        <w:ind w:left="851"/>
      </w:pPr>
    </w:p>
    <w:p w:rsidR="004E6AE5" w:rsidRPr="00CA1467" w:rsidRDefault="004E6AE5" w:rsidP="004E6AE5">
      <w:pPr>
        <w:pStyle w:val="Chapter6"/>
      </w:pPr>
      <w:r w:rsidRPr="00CA1467">
        <w:t xml:space="preserve">On balance, our conclusion is that the existing QCs </w:t>
      </w:r>
      <w:proofErr w:type="gramStart"/>
      <w:r w:rsidRPr="00CA1467">
        <w:t>should be retained</w:t>
      </w:r>
      <w:proofErr w:type="gramEnd"/>
      <w:r w:rsidRPr="00CA1467">
        <w:t xml:space="preserve">, but a QC should lose its QC status upon the sale of the company.  The loss of QC status upon sale would discourage trading in QCs where that trading </w:t>
      </w:r>
      <w:proofErr w:type="gramStart"/>
      <w:r w:rsidRPr="00CA1467">
        <w:t>is driven</w:t>
      </w:r>
      <w:proofErr w:type="gramEnd"/>
      <w:r w:rsidRPr="00CA1467">
        <w:t xml:space="preserve"> by their tax advantage.</w:t>
      </w:r>
    </w:p>
    <w:p w:rsidR="004E6AE5" w:rsidRDefault="004E6AE5" w:rsidP="004E6AE5">
      <w:pPr>
        <w:pStyle w:val="Chapter6"/>
        <w:numPr>
          <w:ilvl w:val="0"/>
          <w:numId w:val="0"/>
        </w:numPr>
        <w:ind w:left="851"/>
      </w:pPr>
    </w:p>
    <w:p w:rsidR="00984DDF" w:rsidRPr="00CA1467" w:rsidRDefault="00984DDF" w:rsidP="004E6AE5">
      <w:pPr>
        <w:pStyle w:val="Chapter6"/>
        <w:numPr>
          <w:ilvl w:val="0"/>
          <w:numId w:val="0"/>
        </w:numPr>
        <w:ind w:left="851"/>
      </w:pPr>
    </w:p>
    <w:p w:rsidR="004E6AE5" w:rsidRPr="00CA1467" w:rsidRDefault="004E6AE5" w:rsidP="004E6AE5">
      <w:pPr>
        <w:pStyle w:val="Chapter6"/>
      </w:pPr>
      <w:r w:rsidRPr="00CA1467">
        <w:t xml:space="preserve">The sale of the company </w:t>
      </w:r>
      <w:proofErr w:type="gramStart"/>
      <w:r w:rsidRPr="00CA1467">
        <w:t>would be measured</w:t>
      </w:r>
      <w:proofErr w:type="gramEnd"/>
      <w:r w:rsidRPr="00CA1467">
        <w:t xml:space="preserve"> by a change in control (that is, a change in shareholding of over 50</w:t>
      </w:r>
      <w:r w:rsidR="00BA0441">
        <w:t xml:space="preserve"> percent</w:t>
      </w:r>
      <w:r w:rsidR="00BA0441" w:rsidRPr="00CA1467">
        <w:t xml:space="preserve"> </w:t>
      </w:r>
      <w:r w:rsidRPr="00CA1467">
        <w:t xml:space="preserve">in aggregate).  We envisage that this would involve applying a </w:t>
      </w:r>
      <w:proofErr w:type="gramStart"/>
      <w:r w:rsidRPr="00CA1467">
        <w:t>shareholder continuity type test</w:t>
      </w:r>
      <w:proofErr w:type="gramEnd"/>
      <w:r w:rsidRPr="00CA1467">
        <w:t xml:space="preserve"> to measure if control had been retained by the same group of owners, using as the continuity period the period commencing from the date of enactment of the legislation up to the date of sale of an interest in the LTC.</w:t>
      </w:r>
    </w:p>
    <w:p w:rsidR="00B275DE" w:rsidRPr="00CA1467" w:rsidRDefault="00B275DE" w:rsidP="00B275DE">
      <w:pPr>
        <w:pStyle w:val="Chapter6"/>
        <w:numPr>
          <w:ilvl w:val="0"/>
          <w:numId w:val="0"/>
        </w:numPr>
        <w:ind w:left="851" w:hanging="851"/>
      </w:pPr>
    </w:p>
    <w:p w:rsidR="00B275DE" w:rsidRPr="00CA1467" w:rsidRDefault="00B275DE">
      <w:pPr>
        <w:jc w:val="left"/>
        <w:rPr>
          <w:rFonts w:ascii="Times New Roman Bold" w:hAnsi="Times New Roman Bold"/>
          <w:b/>
          <w:bCs/>
          <w:caps/>
          <w:sz w:val="28"/>
          <w:szCs w:val="28"/>
          <w:lang w:val="en-NZ"/>
        </w:rPr>
      </w:pPr>
      <w:bookmarkStart w:id="96" w:name="_Toc429151513"/>
      <w:bookmarkStart w:id="97" w:name="_Toc429379751"/>
      <w:r w:rsidRPr="00CA1467">
        <w:rPr>
          <w:lang w:val="en-NZ"/>
        </w:rPr>
        <w:br w:type="page"/>
      </w:r>
    </w:p>
    <w:p w:rsidR="004E6AE5" w:rsidRPr="00CA1467" w:rsidRDefault="004E6AE5" w:rsidP="004E6AE5">
      <w:pPr>
        <w:pStyle w:val="Chapterheading"/>
      </w:pPr>
      <w:bookmarkStart w:id="98" w:name="_Toc429400105"/>
      <w:bookmarkStart w:id="99" w:name="_Toc429409193"/>
      <w:bookmarkStart w:id="100" w:name="_Toc429412452"/>
      <w:bookmarkStart w:id="101" w:name="_Toc429417867"/>
      <w:bookmarkStart w:id="102" w:name="_Toc429419992"/>
      <w:bookmarkStart w:id="103" w:name="_Toc429469473"/>
      <w:r w:rsidRPr="00CA1467">
        <w:t>CHAPTER 7</w:t>
      </w:r>
      <w:bookmarkEnd w:id="96"/>
      <w:bookmarkEnd w:id="97"/>
      <w:bookmarkEnd w:id="98"/>
      <w:bookmarkEnd w:id="99"/>
      <w:bookmarkEnd w:id="100"/>
      <w:bookmarkEnd w:id="101"/>
      <w:bookmarkEnd w:id="102"/>
      <w:bookmarkEnd w:id="103"/>
    </w:p>
    <w:p w:rsidR="004E6AE5" w:rsidRPr="00CA1467" w:rsidRDefault="004E6AE5" w:rsidP="004E6AE5">
      <w:pPr>
        <w:pStyle w:val="Chapterheading"/>
      </w:pPr>
    </w:p>
    <w:p w:rsidR="004E6AE5" w:rsidRPr="00CA1467" w:rsidRDefault="004E6AE5" w:rsidP="004E6AE5">
      <w:pPr>
        <w:pStyle w:val="Chapterheading"/>
        <w:rPr>
          <w:caps w:val="0"/>
        </w:rPr>
      </w:pPr>
      <w:bookmarkStart w:id="104" w:name="_Toc429469474"/>
      <w:r w:rsidRPr="00CA1467">
        <w:rPr>
          <w:caps w:val="0"/>
        </w:rPr>
        <w:t>Transitioning into the LTC regime</w:t>
      </w:r>
      <w:bookmarkEnd w:id="104"/>
    </w:p>
    <w:p w:rsidR="004E6AE5" w:rsidRPr="00CA1467" w:rsidRDefault="004E6AE5" w:rsidP="004E6AE5">
      <w:pPr>
        <w:pStyle w:val="Chapter6"/>
        <w:numPr>
          <w:ilvl w:val="0"/>
          <w:numId w:val="0"/>
        </w:numPr>
        <w:ind w:left="851" w:hanging="851"/>
      </w:pPr>
    </w:p>
    <w:p w:rsidR="004E6AE5" w:rsidRPr="00CA1467" w:rsidRDefault="004E6AE5" w:rsidP="004E6AE5">
      <w:pPr>
        <w:pStyle w:val="Chapter6"/>
        <w:numPr>
          <w:ilvl w:val="0"/>
          <w:numId w:val="0"/>
        </w:numPr>
        <w:ind w:left="851" w:hanging="851"/>
      </w:pPr>
    </w:p>
    <w:p w:rsidR="004E6AE5" w:rsidRPr="00CA1467" w:rsidRDefault="004E6AE5" w:rsidP="004E6AE5">
      <w:pPr>
        <w:pStyle w:val="Heading1"/>
      </w:pPr>
      <w:bookmarkStart w:id="105" w:name="_Toc429469475"/>
      <w:r w:rsidRPr="00CA1467">
        <w:t>Introduction</w:t>
      </w:r>
      <w:bookmarkEnd w:id="105"/>
    </w:p>
    <w:p w:rsidR="004E6AE5" w:rsidRPr="00CA1467" w:rsidRDefault="004E6AE5" w:rsidP="004E6AE5">
      <w:pPr>
        <w:pStyle w:val="Chapter7"/>
        <w:numPr>
          <w:ilvl w:val="0"/>
          <w:numId w:val="0"/>
        </w:numPr>
        <w:ind w:left="851"/>
      </w:pPr>
    </w:p>
    <w:p w:rsidR="004E6AE5" w:rsidRPr="00CA1467" w:rsidRDefault="004E6AE5" w:rsidP="004E6AE5">
      <w:pPr>
        <w:pStyle w:val="Chapter7"/>
      </w:pPr>
      <w:proofErr w:type="gramStart"/>
      <w:r w:rsidRPr="00CA1467">
        <w:t>There are several issues in relation to the rules that apply on becoming a LTC.</w:t>
      </w:r>
      <w:proofErr w:type="gramEnd"/>
    </w:p>
    <w:p w:rsidR="004E6AE5" w:rsidRPr="00CA1467" w:rsidRDefault="004E6AE5" w:rsidP="004E6AE5">
      <w:pPr>
        <w:pStyle w:val="Chapter7"/>
        <w:numPr>
          <w:ilvl w:val="0"/>
          <w:numId w:val="0"/>
        </w:numPr>
        <w:ind w:left="851"/>
      </w:pPr>
    </w:p>
    <w:p w:rsidR="004E6AE5" w:rsidRPr="00CA1467" w:rsidRDefault="004E6AE5" w:rsidP="004E6AE5">
      <w:pPr>
        <w:pStyle w:val="Heading1"/>
      </w:pPr>
      <w:bookmarkStart w:id="106" w:name="_Toc429469476"/>
      <w:r w:rsidRPr="00CA1467">
        <w:t>Entry formula</w:t>
      </w:r>
      <w:bookmarkEnd w:id="106"/>
    </w:p>
    <w:p w:rsidR="004E6AE5" w:rsidRPr="00CA1467" w:rsidRDefault="004E6AE5" w:rsidP="004E6AE5">
      <w:pPr>
        <w:pStyle w:val="Chapter7"/>
        <w:numPr>
          <w:ilvl w:val="0"/>
          <w:numId w:val="0"/>
        </w:numPr>
        <w:ind w:left="851"/>
      </w:pPr>
    </w:p>
    <w:p w:rsidR="004E6AE5" w:rsidRPr="00CA1467" w:rsidRDefault="004E6AE5" w:rsidP="004E6AE5">
      <w:pPr>
        <w:pStyle w:val="Chapter7"/>
      </w:pPr>
      <w:r w:rsidRPr="00CA1467">
        <w:t xml:space="preserve">We are proposing to amend the adjustment done at the time of entering into the LTC regime.  The adjustment </w:t>
      </w:r>
      <w:proofErr w:type="gramStart"/>
      <w:r w:rsidRPr="00CA1467">
        <w:t>is intended</w:t>
      </w:r>
      <w:proofErr w:type="gramEnd"/>
      <w:r w:rsidRPr="00CA1467">
        <w:t xml:space="preserve"> to reflect the fact that retained earnings earned before becoming a LTC would have been taxable in the hands of shareholders if distributed before the company became a LTC.  This in effect provides a </w:t>
      </w:r>
      <w:proofErr w:type="gramStart"/>
      <w:r w:rsidRPr="00CA1467">
        <w:t>square-up</w:t>
      </w:r>
      <w:proofErr w:type="gramEnd"/>
      <w:r w:rsidRPr="00CA1467">
        <w:t xml:space="preserve"> or clean slate on entry given that any distribution by the LTC will be tax-free.  The adjustment amount becomes income for the LTC owners.</w:t>
      </w:r>
    </w:p>
    <w:p w:rsidR="004E6AE5" w:rsidRPr="00CA1467" w:rsidRDefault="004E6AE5" w:rsidP="004E6AE5">
      <w:pPr>
        <w:pStyle w:val="Chapter7"/>
        <w:numPr>
          <w:ilvl w:val="0"/>
          <w:numId w:val="0"/>
        </w:numPr>
        <w:ind w:left="851"/>
      </w:pPr>
    </w:p>
    <w:p w:rsidR="004E6AE5" w:rsidRPr="00CA1467" w:rsidRDefault="004E6AE5" w:rsidP="004E6AE5">
      <w:pPr>
        <w:pStyle w:val="Chapter7"/>
      </w:pPr>
      <w:r w:rsidRPr="00CA1467">
        <w:t xml:space="preserve">The income adjustment </w:t>
      </w:r>
      <w:proofErr w:type="gramStart"/>
      <w:r w:rsidRPr="00CA1467">
        <w:t>is based</w:t>
      </w:r>
      <w:proofErr w:type="gramEnd"/>
      <w:r w:rsidRPr="00CA1467">
        <w:t xml:space="preserve"> on the income that would arise if the company had been liquidated immediately before becoming a LTC, except that unrealised gains are not realised.  The formula is:</w:t>
      </w:r>
    </w:p>
    <w:p w:rsidR="004E6AE5" w:rsidRPr="00CA1467" w:rsidRDefault="004E6AE5" w:rsidP="00984DDF">
      <w:pPr>
        <w:pStyle w:val="Chapter7"/>
        <w:numPr>
          <w:ilvl w:val="0"/>
          <w:numId w:val="0"/>
        </w:numPr>
        <w:ind w:left="851"/>
      </w:pPr>
    </w:p>
    <w:p w:rsidR="00984DDF" w:rsidRPr="00984DDF" w:rsidRDefault="00984DDF" w:rsidP="00750878">
      <w:pPr>
        <w:pStyle w:val="Chapter7"/>
        <w:numPr>
          <w:ilvl w:val="0"/>
          <w:numId w:val="0"/>
        </w:numPr>
        <w:ind w:left="1276"/>
        <w:jc w:val="left"/>
        <w:rPr>
          <w:i/>
        </w:rPr>
      </w:pPr>
      <w:proofErr w:type="gramStart"/>
      <w:r w:rsidRPr="00984DDF">
        <w:rPr>
          <w:i/>
        </w:rPr>
        <w:t>dividends</w:t>
      </w:r>
      <w:proofErr w:type="gramEnd"/>
      <w:r w:rsidRPr="00984DDF">
        <w:rPr>
          <w:i/>
        </w:rPr>
        <w:t xml:space="preserve"> + </w:t>
      </w:r>
      <w:r w:rsidR="00183C05">
        <w:rPr>
          <w:i/>
        </w:rPr>
        <w:t>balances – assessable income –</w:t>
      </w:r>
      <w:r w:rsidRPr="00984DDF">
        <w:rPr>
          <w:i/>
        </w:rPr>
        <w:t xml:space="preserve"> </w:t>
      </w:r>
      <w:r w:rsidRPr="00183C05">
        <w:rPr>
          <w:i/>
          <w:u w:val="single"/>
        </w:rPr>
        <w:t>balances</w:t>
      </w:r>
      <w:r w:rsidRPr="00984DDF">
        <w:rPr>
          <w:i/>
        </w:rPr>
        <w:t xml:space="preserve"> – exit exemption</w:t>
      </w:r>
    </w:p>
    <w:p w:rsidR="00984DDF" w:rsidRPr="00984DDF" w:rsidRDefault="00183C05">
      <w:pPr>
        <w:pStyle w:val="Chapter7"/>
        <w:numPr>
          <w:ilvl w:val="0"/>
          <w:numId w:val="0"/>
        </w:numPr>
        <w:tabs>
          <w:tab w:val="left" w:pos="5529"/>
        </w:tabs>
        <w:ind w:left="1276"/>
        <w:jc w:val="left"/>
        <w:rPr>
          <w:i/>
        </w:rPr>
      </w:pPr>
      <w:r>
        <w:rPr>
          <w:i/>
        </w:rPr>
        <w:tab/>
      </w:r>
      <w:r w:rsidR="000B1F5C">
        <w:rPr>
          <w:i/>
        </w:rPr>
        <w:t xml:space="preserve"> </w:t>
      </w:r>
      <w:proofErr w:type="gramStart"/>
      <w:r w:rsidR="00984DDF" w:rsidRPr="00984DDF">
        <w:rPr>
          <w:i/>
        </w:rPr>
        <w:t>tax</w:t>
      </w:r>
      <w:proofErr w:type="gramEnd"/>
      <w:r w:rsidR="00984DDF" w:rsidRPr="00984DDF">
        <w:rPr>
          <w:i/>
        </w:rPr>
        <w:t xml:space="preserve"> rate</w:t>
      </w:r>
    </w:p>
    <w:p w:rsidR="00984DDF" w:rsidRDefault="000B1F5C" w:rsidP="00DC3757">
      <w:pPr>
        <w:pStyle w:val="Chapter7"/>
        <w:numPr>
          <w:ilvl w:val="0"/>
          <w:numId w:val="0"/>
        </w:numPr>
        <w:ind w:left="1276"/>
      </w:pPr>
      <w:proofErr w:type="gramStart"/>
      <w:r>
        <w:t>where</w:t>
      </w:r>
      <w:proofErr w:type="gramEnd"/>
      <w:r>
        <w:t>:</w:t>
      </w:r>
    </w:p>
    <w:p w:rsidR="000B1F5C" w:rsidRDefault="000B1F5C" w:rsidP="00DC3757">
      <w:pPr>
        <w:pStyle w:val="Chapter7"/>
        <w:numPr>
          <w:ilvl w:val="0"/>
          <w:numId w:val="0"/>
        </w:numPr>
        <w:ind w:left="1276"/>
      </w:pPr>
    </w:p>
    <w:p w:rsidR="00984DDF" w:rsidRDefault="000B1F5C" w:rsidP="00DC3757">
      <w:pPr>
        <w:pStyle w:val="Chapter7"/>
        <w:numPr>
          <w:ilvl w:val="0"/>
          <w:numId w:val="0"/>
        </w:numPr>
        <w:ind w:left="1276"/>
      </w:pPr>
      <w:proofErr w:type="gramStart"/>
      <w:r>
        <w:rPr>
          <w:i/>
        </w:rPr>
        <w:t>d</w:t>
      </w:r>
      <w:r w:rsidR="00984DDF" w:rsidRPr="00183C05">
        <w:rPr>
          <w:i/>
        </w:rPr>
        <w:t>ividends</w:t>
      </w:r>
      <w:r w:rsidR="00984DDF">
        <w:t xml:space="preserve"> is the sum of the amounts that would be dividends if immediately before becoming a LTC the property of the company, other than cash, were disposed of at market value and the company met all its liabilities at market value and it was liquidated and the net cash amount was distributed to shareholders without imputation credits or foreign dividend payment credits attached.</w:t>
      </w:r>
      <w:proofErr w:type="gramEnd"/>
      <w:r w:rsidR="00984DDF">
        <w:t xml:space="preserve">  In other </w:t>
      </w:r>
      <w:proofErr w:type="gramStart"/>
      <w:r w:rsidR="00984DDF">
        <w:t>words</w:t>
      </w:r>
      <w:proofErr w:type="gramEnd"/>
      <w:r w:rsidR="00984DDF">
        <w:t xml:space="preserve"> a liquidation took place</w:t>
      </w:r>
      <w:r>
        <w:t>;</w:t>
      </w:r>
    </w:p>
    <w:p w:rsidR="00984DDF" w:rsidRDefault="00984DDF" w:rsidP="00DC3757">
      <w:pPr>
        <w:pStyle w:val="Chapter7"/>
        <w:numPr>
          <w:ilvl w:val="0"/>
          <w:numId w:val="0"/>
        </w:numPr>
        <w:ind w:left="1276"/>
      </w:pPr>
    </w:p>
    <w:p w:rsidR="00984DDF" w:rsidRDefault="000B1F5C" w:rsidP="00DC3757">
      <w:pPr>
        <w:pStyle w:val="Chapter7"/>
        <w:numPr>
          <w:ilvl w:val="0"/>
          <w:numId w:val="0"/>
        </w:numPr>
        <w:ind w:left="1276"/>
      </w:pPr>
      <w:r>
        <w:rPr>
          <w:i/>
        </w:rPr>
        <w:t>b</w:t>
      </w:r>
      <w:r w:rsidR="00984DDF" w:rsidRPr="00183C05">
        <w:rPr>
          <w:i/>
        </w:rPr>
        <w:t>alances</w:t>
      </w:r>
      <w:r w:rsidR="00984DDF">
        <w:t xml:space="preserve"> is the sum of the balances in the imputation credit account and foreign dividend payment credit account immediately before becoming a LTC, plus amounts of income tax payable for an earlier income year but not paid before the relevant date, less refunds due for the earlier income year but paid after the relevant date</w:t>
      </w:r>
      <w:r>
        <w:t>;</w:t>
      </w:r>
    </w:p>
    <w:p w:rsidR="00984DDF" w:rsidRDefault="00984DDF" w:rsidP="00DC3757">
      <w:pPr>
        <w:pStyle w:val="Chapter7"/>
        <w:numPr>
          <w:ilvl w:val="0"/>
          <w:numId w:val="0"/>
        </w:numPr>
        <w:ind w:left="1276"/>
      </w:pPr>
    </w:p>
    <w:p w:rsidR="00984DDF" w:rsidRDefault="000B1F5C" w:rsidP="00DC3757">
      <w:pPr>
        <w:pStyle w:val="Chapter7"/>
        <w:numPr>
          <w:ilvl w:val="0"/>
          <w:numId w:val="0"/>
        </w:numPr>
        <w:ind w:left="1276"/>
      </w:pPr>
      <w:proofErr w:type="gramStart"/>
      <w:r>
        <w:rPr>
          <w:i/>
        </w:rPr>
        <w:t>a</w:t>
      </w:r>
      <w:r w:rsidRPr="00183C05">
        <w:rPr>
          <w:i/>
        </w:rPr>
        <w:t>ssessable</w:t>
      </w:r>
      <w:proofErr w:type="gramEnd"/>
      <w:r w:rsidRPr="00183C05">
        <w:rPr>
          <w:i/>
        </w:rPr>
        <w:t xml:space="preserve"> </w:t>
      </w:r>
      <w:r w:rsidR="00984DDF" w:rsidRPr="00183C05">
        <w:rPr>
          <w:i/>
        </w:rPr>
        <w:t>income</w:t>
      </w:r>
      <w:r w:rsidR="00984DDF">
        <w:t xml:space="preserve"> is the amount of income that would arise as a result of liquidation less any deductions that the company would have as a result of liquidating.  This includes depreciation gains or losses, bad debts and disposals of revenue account property</w:t>
      </w:r>
      <w:proofErr w:type="gramStart"/>
      <w:r>
        <w:t>;</w:t>
      </w:r>
      <w:proofErr w:type="gramEnd"/>
    </w:p>
    <w:p w:rsidR="00984DDF" w:rsidRDefault="00984DDF" w:rsidP="00DC3757">
      <w:pPr>
        <w:pStyle w:val="Chapter7"/>
        <w:numPr>
          <w:ilvl w:val="0"/>
          <w:numId w:val="0"/>
        </w:numPr>
        <w:ind w:left="1276"/>
      </w:pPr>
    </w:p>
    <w:p w:rsidR="00984DDF" w:rsidRDefault="000B1F5C" w:rsidP="00DC3757">
      <w:pPr>
        <w:pStyle w:val="Chapter7"/>
        <w:numPr>
          <w:ilvl w:val="0"/>
          <w:numId w:val="0"/>
        </w:numPr>
        <w:ind w:left="1276"/>
      </w:pPr>
      <w:proofErr w:type="gramStart"/>
      <w:r>
        <w:rPr>
          <w:i/>
        </w:rPr>
        <w:t>t</w:t>
      </w:r>
      <w:r w:rsidRPr="00183C05">
        <w:rPr>
          <w:i/>
        </w:rPr>
        <w:t>ax</w:t>
      </w:r>
      <w:proofErr w:type="gramEnd"/>
      <w:r w:rsidRPr="00183C05">
        <w:rPr>
          <w:i/>
        </w:rPr>
        <w:t xml:space="preserve"> </w:t>
      </w:r>
      <w:r w:rsidR="00984DDF" w:rsidRPr="00183C05">
        <w:rPr>
          <w:i/>
        </w:rPr>
        <w:t>rate</w:t>
      </w:r>
      <w:r w:rsidR="00984DDF">
        <w:t xml:space="preserve"> is the company tax rate in the income year before the income year in which the company becomes a LTC</w:t>
      </w:r>
      <w:r>
        <w:t>;</w:t>
      </w:r>
    </w:p>
    <w:p w:rsidR="00984DDF" w:rsidRDefault="00984DDF" w:rsidP="00DC3757">
      <w:pPr>
        <w:pStyle w:val="Chapter7"/>
        <w:numPr>
          <w:ilvl w:val="0"/>
          <w:numId w:val="0"/>
        </w:numPr>
        <w:ind w:left="1276"/>
      </w:pPr>
    </w:p>
    <w:p w:rsidR="004E6AE5" w:rsidRPr="00CA1467" w:rsidRDefault="000B1F5C" w:rsidP="00DC3757">
      <w:pPr>
        <w:pStyle w:val="Chapter7"/>
        <w:numPr>
          <w:ilvl w:val="0"/>
          <w:numId w:val="0"/>
        </w:numPr>
        <w:ind w:left="1276"/>
      </w:pPr>
      <w:r>
        <w:rPr>
          <w:i/>
        </w:rPr>
        <w:t>e</w:t>
      </w:r>
      <w:r w:rsidRPr="00183C05">
        <w:rPr>
          <w:i/>
        </w:rPr>
        <w:t xml:space="preserve">xit </w:t>
      </w:r>
      <w:r w:rsidR="00984DDF" w:rsidRPr="00183C05">
        <w:rPr>
          <w:i/>
        </w:rPr>
        <w:t>exemption</w:t>
      </w:r>
      <w:r w:rsidR="00984DDF">
        <w:t xml:space="preserve"> is the exit dividends that, if the company had previously been a LTC and is now re-entering the LTC rules, would be attributed to any retained reserves from the previous LTC period that have not since been distributed</w:t>
      </w:r>
      <w:r>
        <w:t>;</w:t>
      </w:r>
    </w:p>
    <w:p w:rsidR="004E6AE5" w:rsidRPr="00CA1467" w:rsidRDefault="004E6AE5" w:rsidP="00984DDF">
      <w:pPr>
        <w:pStyle w:val="Chapter7"/>
        <w:numPr>
          <w:ilvl w:val="0"/>
          <w:numId w:val="0"/>
        </w:numPr>
        <w:ind w:left="851"/>
      </w:pPr>
    </w:p>
    <w:p w:rsidR="004E6AE5" w:rsidRPr="00CA1467" w:rsidRDefault="004E6AE5" w:rsidP="004E6AE5">
      <w:pPr>
        <w:pStyle w:val="Chapter7"/>
      </w:pPr>
      <w:r w:rsidRPr="00CA1467">
        <w:t xml:space="preserve">For compliance cost reasons, the adjustment formula uses the company tax rate, currently 28%, but this means that </w:t>
      </w:r>
      <w:proofErr w:type="gramStart"/>
      <w:r w:rsidRPr="00CA1467">
        <w:t>no further tax is paid by LTC shareholders on fully imputed income</w:t>
      </w:r>
      <w:proofErr w:type="gramEnd"/>
      <w:r w:rsidRPr="00CA1467">
        <w:t>, which is contrary to the liquidation concept.</w:t>
      </w:r>
    </w:p>
    <w:p w:rsidR="004E6AE5" w:rsidRPr="00CA1467" w:rsidRDefault="004E6AE5" w:rsidP="004E6AE5">
      <w:pPr>
        <w:pStyle w:val="Chapter7"/>
        <w:numPr>
          <w:ilvl w:val="0"/>
          <w:numId w:val="0"/>
        </w:numPr>
        <w:ind w:left="851" w:hanging="851"/>
      </w:pPr>
    </w:p>
    <w:p w:rsidR="006C7541" w:rsidRPr="00CA1467" w:rsidRDefault="006C7541" w:rsidP="006C7541">
      <w:pPr>
        <w:pBdr>
          <w:top w:val="single" w:sz="4" w:space="10" w:color="auto"/>
          <w:left w:val="single" w:sz="4" w:space="10" w:color="auto"/>
          <w:bottom w:val="single" w:sz="4" w:space="10" w:color="auto"/>
          <w:right w:val="single" w:sz="4" w:space="10" w:color="auto"/>
        </w:pBdr>
        <w:rPr>
          <w:b/>
          <w:sz w:val="20"/>
          <w:lang w:val="en-NZ"/>
        </w:rPr>
      </w:pPr>
      <w:r w:rsidRPr="00CA1467">
        <w:rPr>
          <w:b/>
          <w:sz w:val="20"/>
          <w:lang w:val="en-NZ"/>
        </w:rPr>
        <w:t>Example</w:t>
      </w:r>
    </w:p>
    <w:p w:rsidR="006C7541" w:rsidRPr="00CA1467" w:rsidRDefault="006C7541" w:rsidP="006C7541">
      <w:pPr>
        <w:pBdr>
          <w:top w:val="single" w:sz="4" w:space="10" w:color="auto"/>
          <w:left w:val="single" w:sz="4" w:space="10" w:color="auto"/>
          <w:bottom w:val="single" w:sz="4" w:space="10" w:color="auto"/>
          <w:right w:val="single" w:sz="4" w:space="10" w:color="auto"/>
        </w:pBdr>
        <w:rPr>
          <w:sz w:val="20"/>
          <w:lang w:val="en-NZ"/>
        </w:rPr>
      </w:pPr>
    </w:p>
    <w:p w:rsidR="004E6AE5" w:rsidRPr="00CA1467" w:rsidRDefault="006C7541" w:rsidP="006C7541">
      <w:pPr>
        <w:pBdr>
          <w:top w:val="single" w:sz="4" w:space="10" w:color="auto"/>
          <w:left w:val="single" w:sz="4" w:space="10" w:color="auto"/>
          <w:bottom w:val="single" w:sz="4" w:space="10" w:color="auto"/>
          <w:right w:val="single" w:sz="4" w:space="10" w:color="auto"/>
        </w:pBdr>
        <w:rPr>
          <w:lang w:val="en-NZ"/>
        </w:rPr>
      </w:pPr>
      <w:r w:rsidRPr="00CA1467">
        <w:rPr>
          <w:sz w:val="20"/>
          <w:lang w:val="en-NZ"/>
        </w:rPr>
        <w:t>If on liquidation there would be a $72 dividend with $28 imputations credits attached, the formula produces an answer of $0 additional income.  In contrast, upon a real liquidation and for a shareholder on a tax rate of 33%, $5 more tax would be payable.</w:t>
      </w:r>
    </w:p>
    <w:p w:rsidR="006C7541" w:rsidRPr="00CA1467" w:rsidRDefault="006C7541" w:rsidP="006C7541">
      <w:pPr>
        <w:rPr>
          <w:lang w:val="en-NZ"/>
        </w:rPr>
      </w:pPr>
    </w:p>
    <w:p w:rsidR="006C7541" w:rsidRPr="00CA1467" w:rsidRDefault="006C7541" w:rsidP="006C7541">
      <w:pPr>
        <w:rPr>
          <w:lang w:val="en-NZ"/>
        </w:rPr>
      </w:pPr>
    </w:p>
    <w:p w:rsidR="004E6AE5" w:rsidRPr="00CA1467" w:rsidRDefault="004E6AE5" w:rsidP="004E6AE5">
      <w:pPr>
        <w:pStyle w:val="Chapter7"/>
      </w:pPr>
      <w:r w:rsidRPr="00CA1467">
        <w:t xml:space="preserve">The question of whether utilising the LTC rules to take advantage of any under-taxation and subsequently liquidating </w:t>
      </w:r>
      <w:proofErr w:type="gramStart"/>
      <w:r w:rsidRPr="00CA1467">
        <w:t>would be considered</w:t>
      </w:r>
      <w:proofErr w:type="gramEnd"/>
      <w:r w:rsidRPr="00CA1467">
        <w:t xml:space="preserve"> tax avoidance by Inland Revenue has been raised in a number of fora in recent years.  As a </w:t>
      </w:r>
      <w:proofErr w:type="gramStart"/>
      <w:r w:rsidRPr="00CA1467">
        <w:t>result</w:t>
      </w:r>
      <w:proofErr w:type="gramEnd"/>
      <w:r w:rsidRPr="00CA1467">
        <w:t xml:space="preserve"> Inland Revenue issued a Question We Have Been Asked (QWBA) on the issue as part of a wider QWBA (No. 14/11) on tax avoidance scenarios.  That QWBA indicated that avoidance </w:t>
      </w:r>
      <w:proofErr w:type="gramStart"/>
      <w:r w:rsidRPr="00CA1467">
        <w:t>will</w:t>
      </w:r>
      <w:proofErr w:type="gramEnd"/>
      <w:r w:rsidRPr="00CA1467">
        <w:t xml:space="preserve"> be considered to arise if there is an arrangement that involves an election to become a LTC and to subsequently liquidate.</w:t>
      </w:r>
    </w:p>
    <w:p w:rsidR="004E6AE5" w:rsidRPr="00CA1467" w:rsidRDefault="004E6AE5" w:rsidP="004E6AE5">
      <w:pPr>
        <w:pStyle w:val="Chapter7"/>
        <w:numPr>
          <w:ilvl w:val="0"/>
          <w:numId w:val="0"/>
        </w:numPr>
        <w:ind w:left="851"/>
      </w:pPr>
    </w:p>
    <w:p w:rsidR="004E6AE5" w:rsidRPr="00CA1467" w:rsidRDefault="004E6AE5" w:rsidP="004E6AE5">
      <w:pPr>
        <w:pStyle w:val="Chapter7"/>
      </w:pPr>
      <w:r w:rsidRPr="00CA1467">
        <w:t>However, irrespective of whether avoidance is an issue, there is still a tax rate advantage for shareholders on 30% and 33% marginal tax rates.  Conversely, if the company has a predominance of shareholders who are on marginal tax rates less than 28%, then overall there is an over-taxation on becoming a LTC.</w:t>
      </w:r>
    </w:p>
    <w:p w:rsidR="004E6AE5" w:rsidRPr="00CA1467" w:rsidRDefault="004E6AE5" w:rsidP="004E6AE5">
      <w:pPr>
        <w:pStyle w:val="Chapter7"/>
        <w:numPr>
          <w:ilvl w:val="0"/>
          <w:numId w:val="0"/>
        </w:numPr>
        <w:ind w:left="851"/>
      </w:pPr>
    </w:p>
    <w:p w:rsidR="004E6AE5" w:rsidRPr="00CA1467" w:rsidRDefault="004E6AE5" w:rsidP="004E6AE5">
      <w:pPr>
        <w:pStyle w:val="Chapter7"/>
      </w:pPr>
      <w:r w:rsidRPr="00CA1467">
        <w:t xml:space="preserve">To achieve a more equitable outcome, we are proposing that the adjustment formula in section CB </w:t>
      </w:r>
      <w:proofErr w:type="gramStart"/>
      <w:r w:rsidRPr="00CA1467">
        <w:t>32C(</w:t>
      </w:r>
      <w:proofErr w:type="gramEnd"/>
      <w:r w:rsidRPr="00CA1467">
        <w:t>5) should be replaced with a formula that ensures the income that arises is taxed at shareholders’ marginal tax rates, rather than the company rate of 28%.</w:t>
      </w:r>
      <w:r w:rsidR="00B275DE" w:rsidRPr="00A16039">
        <w:rPr>
          <w:rStyle w:val="FootnoteReference"/>
          <w:sz w:val="22"/>
          <w:szCs w:val="22"/>
        </w:rPr>
        <w:footnoteReference w:id="32"/>
      </w:r>
      <w:r w:rsidRPr="00CA1467">
        <w:t xml:space="preserve">  The new formula would treat the retained income and imputation credits that would arise on liquidation of the company as being distributed to the individual LTC shareholders who would include the income and imputation credits in their return of income.  This approach would leave it to each individual shareholder to determine what tax rate applies to their share of the income.  Allocating out the income and imputation credits would produce a fairer tax outcome but would result in additional compliance costs.</w:t>
      </w:r>
    </w:p>
    <w:p w:rsidR="004E6AE5" w:rsidRPr="00CA1467" w:rsidRDefault="004E6AE5" w:rsidP="00D03E14">
      <w:pPr>
        <w:pStyle w:val="Chapter7"/>
        <w:numPr>
          <w:ilvl w:val="0"/>
          <w:numId w:val="0"/>
        </w:numPr>
        <w:ind w:left="851"/>
      </w:pPr>
    </w:p>
    <w:p w:rsidR="00183C05" w:rsidRPr="00183C05" w:rsidRDefault="00183C05" w:rsidP="006C7541">
      <w:pPr>
        <w:pBdr>
          <w:top w:val="single" w:sz="4" w:space="10" w:color="auto"/>
          <w:left w:val="single" w:sz="4" w:space="10" w:color="auto"/>
          <w:bottom w:val="single" w:sz="4" w:space="10" w:color="auto"/>
          <w:right w:val="single" w:sz="4" w:space="10" w:color="auto"/>
        </w:pBdr>
        <w:rPr>
          <w:b/>
          <w:sz w:val="20"/>
          <w:lang w:val="en-NZ"/>
        </w:rPr>
      </w:pPr>
      <w:r w:rsidRPr="00183C05">
        <w:rPr>
          <w:b/>
          <w:sz w:val="20"/>
          <w:lang w:val="en-NZ"/>
        </w:rPr>
        <w:t>Example</w:t>
      </w:r>
    </w:p>
    <w:p w:rsidR="00183C05" w:rsidRPr="00183C05" w:rsidRDefault="00183C05" w:rsidP="006C7541">
      <w:pPr>
        <w:pBdr>
          <w:top w:val="single" w:sz="4" w:space="10" w:color="auto"/>
          <w:left w:val="single" w:sz="4" w:space="10" w:color="auto"/>
          <w:bottom w:val="single" w:sz="4" w:space="10" w:color="auto"/>
          <w:right w:val="single" w:sz="4" w:space="10" w:color="auto"/>
        </w:pBdr>
        <w:rPr>
          <w:sz w:val="20"/>
          <w:lang w:val="en-NZ"/>
        </w:rPr>
      </w:pPr>
    </w:p>
    <w:p w:rsidR="004E6AE5" w:rsidRPr="00183C05" w:rsidRDefault="006C7541" w:rsidP="006C7541">
      <w:pPr>
        <w:pBdr>
          <w:top w:val="single" w:sz="4" w:space="10" w:color="auto"/>
          <w:left w:val="single" w:sz="4" w:space="10" w:color="auto"/>
          <w:bottom w:val="single" w:sz="4" w:space="10" w:color="auto"/>
          <w:right w:val="single" w:sz="4" w:space="10" w:color="auto"/>
        </w:pBdr>
        <w:rPr>
          <w:sz w:val="20"/>
          <w:lang w:val="en-NZ"/>
        </w:rPr>
      </w:pPr>
      <w:r w:rsidRPr="00183C05">
        <w:rPr>
          <w:sz w:val="20"/>
          <w:lang w:val="en-NZ"/>
        </w:rPr>
        <w:t>Taking the earlier example, this would mean the shareholder on a tax rate of 33% would receive a dividend of $72 with $28 imputation credits attached, and a further $5 would be payable.</w:t>
      </w:r>
    </w:p>
    <w:p w:rsidR="004E6AE5" w:rsidRPr="00CA1467" w:rsidRDefault="004E6AE5" w:rsidP="004E6AE5">
      <w:pPr>
        <w:pStyle w:val="Chapter7"/>
        <w:numPr>
          <w:ilvl w:val="0"/>
          <w:numId w:val="0"/>
        </w:numPr>
        <w:ind w:left="851" w:hanging="851"/>
      </w:pPr>
    </w:p>
    <w:p w:rsidR="006C7541" w:rsidRPr="00CA1467" w:rsidRDefault="006C7541" w:rsidP="004E6AE5">
      <w:pPr>
        <w:pStyle w:val="Chapter7"/>
        <w:numPr>
          <w:ilvl w:val="0"/>
          <w:numId w:val="0"/>
        </w:numPr>
        <w:ind w:left="851" w:hanging="851"/>
      </w:pPr>
    </w:p>
    <w:p w:rsidR="00183C05" w:rsidRDefault="00183C05">
      <w:pPr>
        <w:jc w:val="left"/>
        <w:rPr>
          <w:b/>
          <w:szCs w:val="24"/>
          <w:lang w:val="en-NZ"/>
        </w:rPr>
      </w:pPr>
      <w:r>
        <w:br w:type="page"/>
      </w:r>
    </w:p>
    <w:p w:rsidR="004E6AE5" w:rsidRPr="00CA1467" w:rsidRDefault="004E6AE5" w:rsidP="004E6AE5">
      <w:pPr>
        <w:pStyle w:val="Heading1"/>
      </w:pPr>
      <w:bookmarkStart w:id="107" w:name="_Toc429469477"/>
      <w:r w:rsidRPr="00CA1467">
        <w:t>QCs transitioning to LTCs</w:t>
      </w:r>
      <w:bookmarkEnd w:id="107"/>
    </w:p>
    <w:p w:rsidR="004E6AE5" w:rsidRPr="00CA1467" w:rsidRDefault="004E6AE5" w:rsidP="004E6AE5">
      <w:pPr>
        <w:pStyle w:val="Chapter7"/>
        <w:numPr>
          <w:ilvl w:val="0"/>
          <w:numId w:val="0"/>
        </w:numPr>
        <w:ind w:left="851" w:hanging="851"/>
      </w:pPr>
    </w:p>
    <w:p w:rsidR="004E6AE5" w:rsidRPr="00CA1467" w:rsidRDefault="004E6AE5" w:rsidP="004E6AE5">
      <w:pPr>
        <w:pStyle w:val="Chapter7"/>
      </w:pPr>
      <w:r w:rsidRPr="00CA1467">
        <w:t xml:space="preserve">An associated issue is how to treat transitioning QCs under the adjustment formula.  Conceptually, the outcome should be, as above, as if the QC </w:t>
      </w:r>
      <w:proofErr w:type="gramStart"/>
      <w:r w:rsidRPr="00CA1467">
        <w:t>had been liquidated</w:t>
      </w:r>
      <w:proofErr w:type="gramEnd"/>
      <w:r w:rsidRPr="00CA1467">
        <w:t xml:space="preserve">.  Under this </w:t>
      </w:r>
      <w:proofErr w:type="gramStart"/>
      <w:r w:rsidRPr="00CA1467">
        <w:t>approach</w:t>
      </w:r>
      <w:proofErr w:type="gramEnd"/>
      <w:r w:rsidRPr="00CA1467">
        <w:t xml:space="preserve"> the revised formula would make it clear that consistent with the QC liquidation rules</w:t>
      </w:r>
      <w:r w:rsidR="00134BF6">
        <w:t>,</w:t>
      </w:r>
      <w:r w:rsidRPr="00CA1467">
        <w:t xml:space="preserve"> unimputed amounts would not be taxed.</w:t>
      </w:r>
    </w:p>
    <w:p w:rsidR="004E6AE5" w:rsidRPr="00CA1467" w:rsidRDefault="004E6AE5" w:rsidP="004E6AE5">
      <w:pPr>
        <w:pStyle w:val="Chapter7"/>
        <w:numPr>
          <w:ilvl w:val="0"/>
          <w:numId w:val="0"/>
        </w:numPr>
        <w:ind w:left="851"/>
      </w:pPr>
    </w:p>
    <w:p w:rsidR="004E6AE5" w:rsidRPr="00CA1467" w:rsidRDefault="004E6AE5" w:rsidP="004E6AE5">
      <w:pPr>
        <w:pStyle w:val="Chapter7"/>
      </w:pPr>
      <w:r w:rsidRPr="00CA1467">
        <w:t xml:space="preserve">Previously, QCs had a </w:t>
      </w:r>
      <w:proofErr w:type="gramStart"/>
      <w:r w:rsidRPr="00CA1467">
        <w:t>two year</w:t>
      </w:r>
      <w:proofErr w:type="gramEnd"/>
      <w:r w:rsidRPr="00CA1467">
        <w:t xml:space="preserve"> exemption window, to encourage conversion, which included exemption from the entry formula.  This is in fact not a “free” conversion as effectively imputation credits are lost, which is akin to taxing all shareholders at 28% with no subsequent </w:t>
      </w:r>
      <w:proofErr w:type="gramStart"/>
      <w:r w:rsidRPr="00CA1467">
        <w:t>square-up</w:t>
      </w:r>
      <w:proofErr w:type="gramEnd"/>
      <w:r w:rsidRPr="00CA1467">
        <w:t xml:space="preserve"> on taxed income.  Although this benefits shareholders on 30% and 33% marginal tax rates, it disadvantages those on lesser marginal rates.  Whether it results in a more tax advantageous outcome than under allocating out the income and imputation credits to all shareholders, therefore, depends on the composition of shareholders and their marginal tax rates.  A QC with a preponderance of low tax-rate shareholders would always have the choice of making a distribution before electing to become a LTC, to avoid any tax disadvantage.</w:t>
      </w:r>
    </w:p>
    <w:p w:rsidR="004E6AE5" w:rsidRPr="00CA1467" w:rsidRDefault="004E6AE5" w:rsidP="004E6AE5">
      <w:pPr>
        <w:pStyle w:val="Chapter7"/>
        <w:numPr>
          <w:ilvl w:val="0"/>
          <w:numId w:val="0"/>
        </w:numPr>
        <w:ind w:left="851"/>
      </w:pPr>
    </w:p>
    <w:p w:rsidR="004E6AE5" w:rsidRPr="00CA1467" w:rsidRDefault="004E6AE5" w:rsidP="004E6AE5">
      <w:pPr>
        <w:pStyle w:val="Chapter7"/>
      </w:pPr>
      <w:r w:rsidRPr="00CA1467">
        <w:t xml:space="preserve">On balance, we are proposing that the standard liquidation approach </w:t>
      </w:r>
      <w:proofErr w:type="gramStart"/>
      <w:r w:rsidRPr="00CA1467">
        <w:t>should be applied</w:t>
      </w:r>
      <w:proofErr w:type="gramEnd"/>
      <w:r w:rsidRPr="00CA1467">
        <w:t xml:space="preserve">.  This means that not only would an entry adjustment be required, modified as suggested above, but also losses that had accumulated in the QC </w:t>
      </w:r>
      <w:proofErr w:type="gramStart"/>
      <w:r w:rsidRPr="00CA1467">
        <w:t>could not be carried over</w:t>
      </w:r>
      <w:proofErr w:type="gramEnd"/>
      <w:r w:rsidRPr="00CA1467">
        <w:t xml:space="preserve"> to the LTC.  Allowing QC accumulated losses to be carried over would have a significant fiscal </w:t>
      </w:r>
      <w:proofErr w:type="gramStart"/>
      <w:r w:rsidRPr="00CA1467">
        <w:t>cost which</w:t>
      </w:r>
      <w:proofErr w:type="gramEnd"/>
      <w:r w:rsidRPr="00CA1467">
        <w:t xml:space="preserve"> would be hard to justify.</w:t>
      </w:r>
    </w:p>
    <w:p w:rsidR="004E6AE5" w:rsidRPr="00CA1467" w:rsidRDefault="004E6AE5" w:rsidP="004E6AE5">
      <w:pPr>
        <w:pStyle w:val="Chapter7"/>
        <w:numPr>
          <w:ilvl w:val="0"/>
          <w:numId w:val="0"/>
        </w:numPr>
        <w:ind w:left="851"/>
      </w:pPr>
    </w:p>
    <w:p w:rsidR="004E6AE5" w:rsidRPr="00CA1467" w:rsidRDefault="004E6AE5" w:rsidP="004E6AE5">
      <w:pPr>
        <w:pStyle w:val="Chapter7"/>
      </w:pPr>
      <w:r w:rsidRPr="00CA1467">
        <w:t xml:space="preserve">This would not, however, affect entitlements to losses transferred on conversion during the </w:t>
      </w:r>
      <w:proofErr w:type="gramStart"/>
      <w:r w:rsidRPr="00CA1467">
        <w:t>two year</w:t>
      </w:r>
      <w:proofErr w:type="gramEnd"/>
      <w:r w:rsidRPr="00CA1467">
        <w:t xml:space="preserve"> exemption window (under section DV 23).  Those transferred losses have been able to </w:t>
      </w:r>
      <w:proofErr w:type="gramStart"/>
      <w:r w:rsidRPr="00CA1467">
        <w:t>be used</w:t>
      </w:r>
      <w:proofErr w:type="gramEnd"/>
      <w:r w:rsidRPr="00CA1467">
        <w:t xml:space="preserve"> to the extent that there has been LTC income post-conversion and this will continue to be the case.</w:t>
      </w:r>
    </w:p>
    <w:p w:rsidR="004E6AE5" w:rsidRPr="00CA1467" w:rsidRDefault="004E6AE5" w:rsidP="004E6AE5">
      <w:pPr>
        <w:pStyle w:val="Chapter7"/>
        <w:numPr>
          <w:ilvl w:val="0"/>
          <w:numId w:val="0"/>
        </w:numPr>
        <w:ind w:left="851"/>
      </w:pPr>
    </w:p>
    <w:p w:rsidR="004E6AE5" w:rsidRPr="00CA1467" w:rsidRDefault="004E6AE5" w:rsidP="004E6AE5">
      <w:pPr>
        <w:pStyle w:val="Chapter7"/>
        <w:numPr>
          <w:ilvl w:val="0"/>
          <w:numId w:val="0"/>
        </w:numPr>
        <w:ind w:left="851"/>
      </w:pPr>
    </w:p>
    <w:p w:rsidR="004E6AE5" w:rsidRPr="00CA1467" w:rsidRDefault="004E6AE5" w:rsidP="004E6AE5">
      <w:pPr>
        <w:pStyle w:val="Heading1"/>
      </w:pPr>
      <w:bookmarkStart w:id="108" w:name="_Toc429469478"/>
      <w:r w:rsidRPr="00CA1467">
        <w:t>Values at time of entry</w:t>
      </w:r>
      <w:bookmarkEnd w:id="108"/>
    </w:p>
    <w:p w:rsidR="004E6AE5" w:rsidRPr="00CA1467" w:rsidRDefault="004E6AE5" w:rsidP="004E6AE5">
      <w:pPr>
        <w:pStyle w:val="Chapter7"/>
        <w:numPr>
          <w:ilvl w:val="0"/>
          <w:numId w:val="0"/>
        </w:numPr>
        <w:ind w:left="851"/>
      </w:pPr>
    </w:p>
    <w:p w:rsidR="004E6AE5" w:rsidRPr="00CA1467" w:rsidRDefault="004E6AE5" w:rsidP="004E6AE5">
      <w:pPr>
        <w:pStyle w:val="Chapter7"/>
      </w:pPr>
      <w:r w:rsidRPr="00CA1467">
        <w:t xml:space="preserve">A retrospective technical change </w:t>
      </w:r>
      <w:proofErr w:type="gramStart"/>
      <w:r w:rsidRPr="00CA1467">
        <w:t>should be made</w:t>
      </w:r>
      <w:proofErr w:type="gramEnd"/>
      <w:r w:rsidRPr="00CA1467">
        <w:t xml:space="preserve"> to clarify the values at which a LTC’s </w:t>
      </w:r>
      <w:r w:rsidR="00785952">
        <w:t xml:space="preserve">assets and liabilities are </w:t>
      </w:r>
      <w:r w:rsidRPr="00CA1467">
        <w:t xml:space="preserve">deemed to be held </w:t>
      </w:r>
      <w:r w:rsidR="00785952">
        <w:t xml:space="preserve">by the LTC owners and </w:t>
      </w:r>
      <w:r w:rsidRPr="00CA1467">
        <w:t xml:space="preserve">in the LTC accounts when an ordinary company or QC converts to a LTC.  </w:t>
      </w:r>
      <w:r w:rsidR="00785952">
        <w:t xml:space="preserve">They </w:t>
      </w:r>
      <w:proofErr w:type="gramStart"/>
      <w:r w:rsidRPr="00CA1467">
        <w:t xml:space="preserve">should be </w:t>
      </w:r>
      <w:r w:rsidR="00785952">
        <w:t>based</w:t>
      </w:r>
      <w:proofErr w:type="gramEnd"/>
      <w:r w:rsidR="00785952">
        <w:t xml:space="preserve"> on </w:t>
      </w:r>
      <w:r w:rsidRPr="00CA1467">
        <w:t>the tax book values of the ordinary company or QC immediately before conversion.</w:t>
      </w:r>
    </w:p>
    <w:p w:rsidR="004E6AE5" w:rsidRPr="00CA1467" w:rsidRDefault="004E6AE5" w:rsidP="004E6AE5">
      <w:pPr>
        <w:pStyle w:val="Chapter7"/>
        <w:numPr>
          <w:ilvl w:val="0"/>
          <w:numId w:val="0"/>
        </w:numPr>
        <w:ind w:left="851"/>
      </w:pPr>
    </w:p>
    <w:p w:rsidR="00C11581" w:rsidRDefault="004E6AE5">
      <w:pPr>
        <w:jc w:val="left"/>
        <w:rPr>
          <w:lang w:val="en-NZ"/>
        </w:rPr>
      </w:pPr>
      <w:r w:rsidRPr="00CA1467">
        <w:rPr>
          <w:lang w:val="en-NZ"/>
        </w:rPr>
        <w:br w:type="page"/>
      </w:r>
      <w:r w:rsidR="00C11581">
        <w:rPr>
          <w:lang w:val="en-NZ"/>
        </w:rPr>
        <w:br w:type="page"/>
      </w:r>
    </w:p>
    <w:p w:rsidR="004E6AE5" w:rsidRPr="00CA1467" w:rsidRDefault="004E6AE5">
      <w:pPr>
        <w:jc w:val="left"/>
        <w:rPr>
          <w:szCs w:val="24"/>
          <w:lang w:val="en-NZ"/>
        </w:rPr>
      </w:pPr>
    </w:p>
    <w:p w:rsidR="004E6AE5" w:rsidRPr="00CA1467" w:rsidRDefault="004E6AE5" w:rsidP="004E6AE5">
      <w:pPr>
        <w:pStyle w:val="Chapterheading"/>
      </w:pPr>
      <w:bookmarkStart w:id="109" w:name="_Toc429151519"/>
      <w:bookmarkStart w:id="110" w:name="_Toc429379757"/>
      <w:bookmarkStart w:id="111" w:name="_Toc429400111"/>
      <w:bookmarkStart w:id="112" w:name="_Toc429409199"/>
      <w:bookmarkStart w:id="113" w:name="_Toc429412458"/>
      <w:bookmarkStart w:id="114" w:name="_Toc429417873"/>
      <w:bookmarkStart w:id="115" w:name="_Toc429419998"/>
      <w:bookmarkStart w:id="116" w:name="_Toc429469479"/>
      <w:r w:rsidRPr="00CA1467">
        <w:t>CHAPTER 8</w:t>
      </w:r>
      <w:bookmarkEnd w:id="109"/>
      <w:bookmarkEnd w:id="110"/>
      <w:bookmarkEnd w:id="111"/>
      <w:bookmarkEnd w:id="112"/>
      <w:bookmarkEnd w:id="113"/>
      <w:bookmarkEnd w:id="114"/>
      <w:bookmarkEnd w:id="115"/>
      <w:bookmarkEnd w:id="116"/>
    </w:p>
    <w:p w:rsidR="004E6AE5" w:rsidRPr="00CA1467" w:rsidRDefault="004E6AE5" w:rsidP="004E6AE5">
      <w:pPr>
        <w:pStyle w:val="Chapterheading"/>
      </w:pPr>
    </w:p>
    <w:p w:rsidR="004E6AE5" w:rsidRPr="00CA1467" w:rsidRDefault="004E6AE5" w:rsidP="004E6AE5">
      <w:pPr>
        <w:pStyle w:val="Chapterheading"/>
        <w:rPr>
          <w:caps w:val="0"/>
        </w:rPr>
      </w:pPr>
      <w:bookmarkStart w:id="117" w:name="_Toc429469480"/>
      <w:r w:rsidRPr="00CA1467">
        <w:rPr>
          <w:caps w:val="0"/>
        </w:rPr>
        <w:t>Debt remission</w:t>
      </w:r>
      <w:bookmarkEnd w:id="117"/>
    </w:p>
    <w:p w:rsidR="004E6AE5" w:rsidRPr="00CA1467" w:rsidRDefault="004E6AE5" w:rsidP="00D03E14">
      <w:pPr>
        <w:pStyle w:val="Chapter8"/>
        <w:numPr>
          <w:ilvl w:val="0"/>
          <w:numId w:val="0"/>
        </w:numPr>
        <w:ind w:left="851" w:hanging="851"/>
      </w:pPr>
    </w:p>
    <w:p w:rsidR="004E6AE5" w:rsidRPr="00CA1467" w:rsidRDefault="004E6AE5" w:rsidP="00D03E14">
      <w:pPr>
        <w:pStyle w:val="Chapter8"/>
        <w:numPr>
          <w:ilvl w:val="0"/>
          <w:numId w:val="0"/>
        </w:numPr>
        <w:ind w:left="851" w:hanging="851"/>
      </w:pPr>
    </w:p>
    <w:p w:rsidR="004E6AE5" w:rsidRPr="00CA1467" w:rsidRDefault="004E6AE5" w:rsidP="004E6AE5">
      <w:pPr>
        <w:pStyle w:val="Heading1"/>
      </w:pPr>
      <w:bookmarkStart w:id="118" w:name="_Toc429469481"/>
      <w:r w:rsidRPr="00CA1467">
        <w:t>Introduction</w:t>
      </w:r>
      <w:bookmarkEnd w:id="118"/>
    </w:p>
    <w:p w:rsidR="004E6AE5" w:rsidRPr="00CA1467" w:rsidRDefault="004E6AE5" w:rsidP="00D03E14">
      <w:pPr>
        <w:pStyle w:val="Chapter8"/>
        <w:numPr>
          <w:ilvl w:val="0"/>
          <w:numId w:val="0"/>
        </w:numPr>
        <w:ind w:left="851" w:hanging="851"/>
      </w:pPr>
    </w:p>
    <w:p w:rsidR="004E6AE5" w:rsidRPr="00CA1467" w:rsidRDefault="004E6AE5" w:rsidP="004E6AE5">
      <w:pPr>
        <w:pStyle w:val="Chapter8"/>
      </w:pPr>
      <w:r w:rsidRPr="00CA1467">
        <w:t xml:space="preserve">Under current policy </w:t>
      </w:r>
      <w:proofErr w:type="gramStart"/>
      <w:r w:rsidRPr="00CA1467">
        <w:t>settings</w:t>
      </w:r>
      <w:proofErr w:type="gramEnd"/>
      <w:r w:rsidRPr="00CA1467">
        <w:t xml:space="preserve"> debt remission generates taxable income for the LTC’s shareholders.  This is because of the interaction of the LTC rules with the financial arrangements rules.  There is concern that when a shareholder is also the creditor this outcome can be inappropriate because the shareholder will have suffered a non-deductible loss on the same loan.  This chapter discusses this issue and how it can be resolved.</w:t>
      </w:r>
    </w:p>
    <w:p w:rsidR="004E6AE5" w:rsidRPr="00CA1467" w:rsidRDefault="004E6AE5" w:rsidP="004E6AE5">
      <w:pPr>
        <w:pStyle w:val="Chapter8"/>
        <w:numPr>
          <w:ilvl w:val="0"/>
          <w:numId w:val="0"/>
        </w:numPr>
        <w:ind w:left="851"/>
      </w:pPr>
    </w:p>
    <w:p w:rsidR="004E6AE5" w:rsidRPr="00CA1467" w:rsidRDefault="004E6AE5" w:rsidP="004E6AE5">
      <w:pPr>
        <w:pStyle w:val="Chapter8"/>
      </w:pPr>
      <w:r w:rsidRPr="00CA1467">
        <w:t>Outside of the above situation, the chapter discusses a legislative clarification to ensure that the debt remission income arises as intended when a LTC either liquidates or elects out of the LTC rules.</w:t>
      </w:r>
    </w:p>
    <w:p w:rsidR="004E6AE5" w:rsidRPr="00CA1467" w:rsidRDefault="004E6AE5" w:rsidP="004E6AE5">
      <w:pPr>
        <w:pStyle w:val="Chapter8"/>
        <w:numPr>
          <w:ilvl w:val="0"/>
          <w:numId w:val="0"/>
        </w:numPr>
        <w:ind w:left="851"/>
      </w:pPr>
    </w:p>
    <w:p w:rsidR="004E6AE5" w:rsidRPr="00CA1467" w:rsidRDefault="004E6AE5" w:rsidP="004E6AE5">
      <w:pPr>
        <w:pStyle w:val="Chapter8"/>
        <w:numPr>
          <w:ilvl w:val="0"/>
          <w:numId w:val="0"/>
        </w:numPr>
        <w:ind w:left="851"/>
      </w:pPr>
    </w:p>
    <w:p w:rsidR="004E6AE5" w:rsidRPr="00CA1467" w:rsidRDefault="004E6AE5" w:rsidP="004E6AE5">
      <w:pPr>
        <w:pStyle w:val="Heading1"/>
      </w:pPr>
      <w:bookmarkStart w:id="119" w:name="_Toc429469482"/>
      <w:r w:rsidRPr="00CA1467">
        <w:t>Related parties debt remission in asymmetric situations</w:t>
      </w:r>
      <w:bookmarkEnd w:id="119"/>
    </w:p>
    <w:p w:rsidR="004E6AE5" w:rsidRPr="00CA1467" w:rsidRDefault="004E6AE5" w:rsidP="004E6AE5">
      <w:pPr>
        <w:pStyle w:val="Chapter8"/>
        <w:numPr>
          <w:ilvl w:val="0"/>
          <w:numId w:val="0"/>
        </w:numPr>
        <w:ind w:left="851"/>
      </w:pPr>
    </w:p>
    <w:p w:rsidR="004E6AE5" w:rsidRPr="00CA1467" w:rsidRDefault="004E6AE5" w:rsidP="004E6AE5">
      <w:pPr>
        <w:pStyle w:val="Chapter8"/>
      </w:pPr>
      <w:r w:rsidRPr="00CA1467">
        <w:t xml:space="preserve">The February 2015 consultation document </w:t>
      </w:r>
      <w:proofErr w:type="gramStart"/>
      <w:r w:rsidRPr="00CA1467">
        <w:rPr>
          <w:i/>
        </w:rPr>
        <w:t>Related</w:t>
      </w:r>
      <w:proofErr w:type="gramEnd"/>
      <w:r w:rsidRPr="00CA1467">
        <w:rPr>
          <w:i/>
        </w:rPr>
        <w:t xml:space="preserve"> parties debt remissio</w:t>
      </w:r>
      <w:r w:rsidRPr="00CA1467">
        <w:t xml:space="preserve">n dealt with situations where the debt, if capitalised, would lead to no change in ownership of the debtor.  These aspects are </w:t>
      </w:r>
      <w:proofErr w:type="gramStart"/>
      <w:r w:rsidRPr="00CA1467">
        <w:t>not</w:t>
      </w:r>
      <w:proofErr w:type="gramEnd"/>
      <w:r w:rsidRPr="00CA1467">
        <w:t xml:space="preserve"> </w:t>
      </w:r>
      <w:proofErr w:type="gramStart"/>
      <w:r w:rsidRPr="00CA1467">
        <w:t>further</w:t>
      </w:r>
      <w:proofErr w:type="gramEnd"/>
      <w:r w:rsidRPr="00CA1467">
        <w:t xml:space="preserve"> discussed in this paper.</w:t>
      </w:r>
    </w:p>
    <w:p w:rsidR="004E6AE5" w:rsidRPr="00CA1467" w:rsidRDefault="004E6AE5" w:rsidP="004E6AE5">
      <w:pPr>
        <w:pStyle w:val="Chapter8"/>
        <w:numPr>
          <w:ilvl w:val="0"/>
          <w:numId w:val="0"/>
        </w:numPr>
        <w:ind w:left="851"/>
      </w:pPr>
    </w:p>
    <w:p w:rsidR="004E6AE5" w:rsidRPr="00CA1467" w:rsidRDefault="004E6AE5" w:rsidP="004E6AE5">
      <w:pPr>
        <w:pStyle w:val="Chapter8"/>
      </w:pPr>
      <w:proofErr w:type="gramStart"/>
      <w:r w:rsidRPr="00CA1467">
        <w:t>However, for “look through” entities (</w:t>
      </w:r>
      <w:r w:rsidR="00134BF6">
        <w:t>ordinary</w:t>
      </w:r>
      <w:r w:rsidR="002573D7" w:rsidRPr="00CA1467">
        <w:t xml:space="preserve"> </w:t>
      </w:r>
      <w:r w:rsidRPr="00CA1467">
        <w:t xml:space="preserve">partnerships, </w:t>
      </w:r>
      <w:r w:rsidR="002573D7" w:rsidRPr="00CA1467">
        <w:t>limited</w:t>
      </w:r>
      <w:r w:rsidRPr="00CA1467">
        <w:t xml:space="preserve"> partnerships and LTCs) there is a variation of this situation that also seems to result in an inappropriate outcome.</w:t>
      </w:r>
      <w:proofErr w:type="gramEnd"/>
      <w:r w:rsidRPr="00CA1467">
        <w:t xml:space="preserve">  The issue </w:t>
      </w:r>
      <w:proofErr w:type="gramStart"/>
      <w:r w:rsidRPr="00CA1467">
        <w:t>is, therefore, not necessarily confined</w:t>
      </w:r>
      <w:proofErr w:type="gramEnd"/>
      <w:r w:rsidRPr="00CA1467">
        <w:t xml:space="preserve"> to LTCs.</w:t>
      </w:r>
    </w:p>
    <w:p w:rsidR="004E6AE5" w:rsidRPr="00CA1467" w:rsidRDefault="004E6AE5" w:rsidP="004E6AE5">
      <w:pPr>
        <w:pStyle w:val="Chapter8"/>
        <w:numPr>
          <w:ilvl w:val="0"/>
          <w:numId w:val="0"/>
        </w:numPr>
        <w:ind w:left="851"/>
      </w:pPr>
    </w:p>
    <w:p w:rsidR="004E6AE5" w:rsidRPr="00CA1467" w:rsidRDefault="004E6AE5" w:rsidP="004E6AE5">
      <w:pPr>
        <w:pStyle w:val="Chapter8"/>
      </w:pPr>
      <w:r w:rsidRPr="00CA1467">
        <w:t xml:space="preserve">Consider a simple LTC situation with several shareholders, all of whom are unrelated.  One of those owners lends a sum of money to the LTC.  This loan would be a financial arrangement and therefore subject to the financial arrangements rules in subpart EW of the Income Tax Act.  Sometime later the LTC is in financial difficulty and the loan </w:t>
      </w:r>
      <w:proofErr w:type="gramStart"/>
      <w:r w:rsidRPr="00CA1467">
        <w:t>is remitted</w:t>
      </w:r>
      <w:proofErr w:type="gramEnd"/>
      <w:r w:rsidRPr="00CA1467">
        <w:t>, giving rise to debt remission income.</w:t>
      </w:r>
    </w:p>
    <w:p w:rsidR="004E6AE5" w:rsidRPr="00CA1467" w:rsidRDefault="004E6AE5" w:rsidP="004E6AE5">
      <w:pPr>
        <w:pStyle w:val="Chapter8"/>
        <w:numPr>
          <w:ilvl w:val="0"/>
          <w:numId w:val="0"/>
        </w:numPr>
        <w:ind w:left="851"/>
      </w:pPr>
    </w:p>
    <w:p w:rsidR="004E6AE5" w:rsidRPr="00CA1467" w:rsidRDefault="004E6AE5" w:rsidP="004E6AE5">
      <w:pPr>
        <w:pStyle w:val="Chapter8"/>
      </w:pPr>
      <w:r w:rsidRPr="00CA1467">
        <w:t xml:space="preserve">Under current tax </w:t>
      </w:r>
      <w:proofErr w:type="gramStart"/>
      <w:r w:rsidRPr="00CA1467">
        <w:t>law</w:t>
      </w:r>
      <w:proofErr w:type="gramEnd"/>
      <w:r w:rsidRPr="00CA1467">
        <w:t xml:space="preserve"> all shareholders would derive debt remission income in proportion to their respective shareholdings.  From a policy </w:t>
      </w:r>
      <w:proofErr w:type="gramStart"/>
      <w:r w:rsidRPr="00CA1467">
        <w:t>perspective</w:t>
      </w:r>
      <w:proofErr w:type="gramEnd"/>
      <w:r w:rsidRPr="00CA1467">
        <w:t xml:space="preserve"> this outcome is logical for the shareholders that did not advance the loan as they have in effect made a gain.</w:t>
      </w:r>
    </w:p>
    <w:p w:rsidR="004E6AE5" w:rsidRPr="00CA1467" w:rsidRDefault="004E6AE5" w:rsidP="004E6AE5">
      <w:pPr>
        <w:pStyle w:val="Chapter8"/>
        <w:numPr>
          <w:ilvl w:val="0"/>
          <w:numId w:val="0"/>
        </w:numPr>
        <w:ind w:left="851"/>
      </w:pPr>
    </w:p>
    <w:p w:rsidR="004E6AE5" w:rsidRPr="00CA1467" w:rsidRDefault="004E6AE5" w:rsidP="004E6AE5">
      <w:pPr>
        <w:pStyle w:val="Chapter8"/>
      </w:pPr>
      <w:r w:rsidRPr="00CA1467">
        <w:t xml:space="preserve">However, the creditor shareholder has actually made an economic loss (of the portion that is “attributed” to the other shareholders).  Yet that shareholder </w:t>
      </w:r>
      <w:proofErr w:type="gramStart"/>
      <w:r w:rsidRPr="00CA1467">
        <w:t>is taxed</w:t>
      </w:r>
      <w:proofErr w:type="gramEnd"/>
      <w:r w:rsidRPr="00CA1467">
        <w:t xml:space="preserve"> on their share of the remission income with no tax deduction for their actual loss.</w:t>
      </w:r>
      <w:r w:rsidR="00B275DE" w:rsidRPr="00A16039">
        <w:rPr>
          <w:rStyle w:val="FootnoteReference"/>
          <w:sz w:val="22"/>
          <w:szCs w:val="22"/>
        </w:rPr>
        <w:footnoteReference w:id="33"/>
      </w:r>
      <w:r w:rsidRPr="00CA1467">
        <w:t xml:space="preserve">  This result is not the desired policy outcome.</w:t>
      </w:r>
    </w:p>
    <w:p w:rsidR="004E6AE5" w:rsidRPr="00CA1467" w:rsidRDefault="004E6AE5" w:rsidP="00D03E14">
      <w:pPr>
        <w:pStyle w:val="Chapter8"/>
        <w:numPr>
          <w:ilvl w:val="0"/>
          <w:numId w:val="0"/>
        </w:numPr>
        <w:ind w:left="851"/>
      </w:pPr>
    </w:p>
    <w:p w:rsidR="001F34EC" w:rsidRPr="00CA1467" w:rsidRDefault="001F34EC" w:rsidP="001F34EC">
      <w:pPr>
        <w:pBdr>
          <w:top w:val="single" w:sz="4" w:space="10" w:color="auto"/>
          <w:left w:val="single" w:sz="4" w:space="10" w:color="auto"/>
          <w:bottom w:val="single" w:sz="4" w:space="10" w:color="auto"/>
          <w:right w:val="single" w:sz="4" w:space="10" w:color="auto"/>
        </w:pBdr>
        <w:rPr>
          <w:b/>
          <w:sz w:val="20"/>
          <w:lang w:val="en-NZ"/>
        </w:rPr>
      </w:pPr>
      <w:r w:rsidRPr="00CA1467">
        <w:rPr>
          <w:b/>
          <w:sz w:val="20"/>
          <w:lang w:val="en-NZ"/>
        </w:rPr>
        <w:t>Example</w:t>
      </w:r>
    </w:p>
    <w:p w:rsidR="001F34EC" w:rsidRPr="00CA1467" w:rsidRDefault="001F34EC" w:rsidP="001F34EC">
      <w:pPr>
        <w:pBdr>
          <w:top w:val="single" w:sz="4" w:space="10" w:color="auto"/>
          <w:left w:val="single" w:sz="4" w:space="10" w:color="auto"/>
          <w:bottom w:val="single" w:sz="4" w:space="10" w:color="auto"/>
          <w:right w:val="single" w:sz="4" w:space="10" w:color="auto"/>
        </w:pBdr>
        <w:rPr>
          <w:sz w:val="20"/>
          <w:lang w:val="en-NZ"/>
        </w:rPr>
      </w:pPr>
    </w:p>
    <w:p w:rsidR="001F34EC" w:rsidRPr="00CA1467" w:rsidRDefault="001F34EC" w:rsidP="001F34EC">
      <w:pPr>
        <w:pBdr>
          <w:top w:val="single" w:sz="4" w:space="10" w:color="auto"/>
          <w:left w:val="single" w:sz="4" w:space="10" w:color="auto"/>
          <w:bottom w:val="single" w:sz="4" w:space="10" w:color="auto"/>
          <w:right w:val="single" w:sz="4" w:space="10" w:color="auto"/>
        </w:pBdr>
        <w:rPr>
          <w:sz w:val="20"/>
          <w:lang w:val="en-NZ"/>
        </w:rPr>
      </w:pPr>
      <w:r w:rsidRPr="00CA1467">
        <w:rPr>
          <w:sz w:val="20"/>
          <w:lang w:val="en-NZ"/>
        </w:rPr>
        <w:t>George and Mario own, respectively, 60</w:t>
      </w:r>
      <w:r w:rsidR="00BA0441">
        <w:rPr>
          <w:sz w:val="20"/>
          <w:lang w:val="en-NZ"/>
        </w:rPr>
        <w:t xml:space="preserve"> percent</w:t>
      </w:r>
      <w:r w:rsidR="00BA0441" w:rsidRPr="00CA1467">
        <w:rPr>
          <w:sz w:val="20"/>
          <w:lang w:val="en-NZ"/>
        </w:rPr>
        <w:t xml:space="preserve"> </w:t>
      </w:r>
      <w:r w:rsidRPr="00CA1467">
        <w:rPr>
          <w:sz w:val="20"/>
          <w:lang w:val="en-NZ"/>
        </w:rPr>
        <w:t>and 40</w:t>
      </w:r>
      <w:r w:rsidR="00BA0441">
        <w:rPr>
          <w:sz w:val="20"/>
          <w:lang w:val="en-NZ"/>
        </w:rPr>
        <w:t xml:space="preserve"> percent</w:t>
      </w:r>
      <w:r w:rsidRPr="00CA1467">
        <w:rPr>
          <w:sz w:val="20"/>
          <w:lang w:val="en-NZ"/>
        </w:rPr>
        <w:t xml:space="preserve"> of GEL Enterprises Limited (GEL), a look through company.  In addition, George has advanced $1 million to GEL.  Some years later GEL is effectively insolvent and George chooses to remit the loan.</w:t>
      </w:r>
    </w:p>
    <w:p w:rsidR="001F34EC" w:rsidRPr="00CA1467" w:rsidRDefault="001F34EC" w:rsidP="001F34EC">
      <w:pPr>
        <w:pBdr>
          <w:top w:val="single" w:sz="4" w:space="10" w:color="auto"/>
          <w:left w:val="single" w:sz="4" w:space="10" w:color="auto"/>
          <w:bottom w:val="single" w:sz="4" w:space="10" w:color="auto"/>
          <w:right w:val="single" w:sz="4" w:space="10" w:color="auto"/>
        </w:pBdr>
        <w:rPr>
          <w:sz w:val="20"/>
          <w:lang w:val="en-NZ"/>
        </w:rPr>
      </w:pPr>
    </w:p>
    <w:p w:rsidR="004E6AE5" w:rsidRPr="00CA1467" w:rsidRDefault="001F34EC" w:rsidP="001F34EC">
      <w:pPr>
        <w:pBdr>
          <w:top w:val="single" w:sz="4" w:space="10" w:color="auto"/>
          <w:left w:val="single" w:sz="4" w:space="10" w:color="auto"/>
          <w:bottom w:val="single" w:sz="4" w:space="10" w:color="auto"/>
          <w:right w:val="single" w:sz="4" w:space="10" w:color="auto"/>
        </w:pBdr>
        <w:rPr>
          <w:lang w:val="en-NZ"/>
        </w:rPr>
      </w:pPr>
      <w:r w:rsidRPr="00CA1467">
        <w:rPr>
          <w:sz w:val="20"/>
          <w:lang w:val="en-NZ"/>
        </w:rPr>
        <w:t xml:space="preserve">From a taxation perspective, Mario derives taxable debt remission income from GEL’s base price adjustment (the BPA) of $400,000 and there are no policy problems with this.  George derives $600,000 of taxable debt remission income but </w:t>
      </w:r>
      <w:proofErr w:type="gramStart"/>
      <w:r w:rsidRPr="00CA1467">
        <w:rPr>
          <w:sz w:val="20"/>
          <w:lang w:val="en-NZ"/>
        </w:rPr>
        <w:t>is denied</w:t>
      </w:r>
      <w:proofErr w:type="gramEnd"/>
      <w:r w:rsidRPr="00CA1467">
        <w:rPr>
          <w:sz w:val="20"/>
          <w:lang w:val="en-NZ"/>
        </w:rPr>
        <w:t xml:space="preserve"> a tax deduction for any of his $1 million loss.  Economically George has lost a net $400,000, but he has taxable income of $600,000.</w:t>
      </w:r>
    </w:p>
    <w:p w:rsidR="004E6AE5" w:rsidRPr="00CA1467" w:rsidRDefault="004E6AE5" w:rsidP="00183C05">
      <w:pPr>
        <w:pStyle w:val="Chapter8"/>
        <w:numPr>
          <w:ilvl w:val="0"/>
          <w:numId w:val="0"/>
        </w:numPr>
        <w:ind w:left="851"/>
      </w:pPr>
    </w:p>
    <w:p w:rsidR="004E6AE5" w:rsidRPr="00CA1467" w:rsidRDefault="004E6AE5" w:rsidP="004E6AE5">
      <w:pPr>
        <w:pStyle w:val="Chapter8"/>
        <w:numPr>
          <w:ilvl w:val="0"/>
          <w:numId w:val="0"/>
        </w:numPr>
        <w:ind w:left="851"/>
      </w:pPr>
    </w:p>
    <w:p w:rsidR="004E6AE5" w:rsidRPr="00CA1467" w:rsidRDefault="00183C05" w:rsidP="004E6AE5">
      <w:pPr>
        <w:pStyle w:val="Heading2"/>
      </w:pPr>
      <w:r>
        <w:t>Proposed solution</w:t>
      </w:r>
    </w:p>
    <w:p w:rsidR="004E6AE5" w:rsidRPr="00CA1467" w:rsidRDefault="004E6AE5" w:rsidP="004E6AE5">
      <w:pPr>
        <w:pStyle w:val="Chapter8"/>
        <w:numPr>
          <w:ilvl w:val="0"/>
          <w:numId w:val="0"/>
        </w:numPr>
        <w:ind w:left="851"/>
      </w:pPr>
    </w:p>
    <w:p w:rsidR="004E6AE5" w:rsidRPr="00CA1467" w:rsidRDefault="004E6AE5" w:rsidP="004E6AE5">
      <w:pPr>
        <w:pStyle w:val="Chapter8"/>
      </w:pPr>
      <w:r w:rsidRPr="00CA1467">
        <w:t>The proposal is to turn off the creditor shareholder’s share of the debt remission income.</w:t>
      </w:r>
    </w:p>
    <w:p w:rsidR="004E6AE5" w:rsidRPr="00CA1467" w:rsidRDefault="004E6AE5" w:rsidP="004E6AE5">
      <w:pPr>
        <w:pStyle w:val="Chapter8"/>
        <w:numPr>
          <w:ilvl w:val="0"/>
          <w:numId w:val="0"/>
        </w:numPr>
        <w:ind w:left="851" w:hanging="851"/>
      </w:pPr>
    </w:p>
    <w:p w:rsidR="00183C05" w:rsidRPr="00183C05" w:rsidRDefault="00183C05" w:rsidP="001F34EC">
      <w:pPr>
        <w:pBdr>
          <w:top w:val="single" w:sz="4" w:space="10" w:color="auto"/>
          <w:left w:val="single" w:sz="4" w:space="10" w:color="auto"/>
          <w:bottom w:val="single" w:sz="4" w:space="10" w:color="auto"/>
          <w:right w:val="single" w:sz="4" w:space="10" w:color="auto"/>
        </w:pBdr>
        <w:rPr>
          <w:b/>
          <w:sz w:val="20"/>
          <w:lang w:val="en-NZ"/>
        </w:rPr>
      </w:pPr>
      <w:r w:rsidRPr="00183C05">
        <w:rPr>
          <w:b/>
          <w:sz w:val="20"/>
          <w:lang w:val="en-NZ"/>
        </w:rPr>
        <w:t>Example</w:t>
      </w:r>
    </w:p>
    <w:p w:rsidR="00183C05" w:rsidRPr="00183C05" w:rsidRDefault="00183C05" w:rsidP="001F34EC">
      <w:pPr>
        <w:pBdr>
          <w:top w:val="single" w:sz="4" w:space="10" w:color="auto"/>
          <w:left w:val="single" w:sz="4" w:space="10" w:color="auto"/>
          <w:bottom w:val="single" w:sz="4" w:space="10" w:color="auto"/>
          <w:right w:val="single" w:sz="4" w:space="10" w:color="auto"/>
        </w:pBdr>
        <w:rPr>
          <w:sz w:val="20"/>
          <w:lang w:val="en-NZ"/>
        </w:rPr>
      </w:pPr>
    </w:p>
    <w:p w:rsidR="004E6AE5" w:rsidRPr="00183C05" w:rsidRDefault="001F34EC" w:rsidP="001F34EC">
      <w:pPr>
        <w:pBdr>
          <w:top w:val="single" w:sz="4" w:space="10" w:color="auto"/>
          <w:left w:val="single" w:sz="4" w:space="10" w:color="auto"/>
          <w:bottom w:val="single" w:sz="4" w:space="10" w:color="auto"/>
          <w:right w:val="single" w:sz="4" w:space="10" w:color="auto"/>
        </w:pBdr>
        <w:rPr>
          <w:sz w:val="20"/>
          <w:lang w:val="en-NZ"/>
        </w:rPr>
      </w:pPr>
      <w:r w:rsidRPr="00183C05">
        <w:rPr>
          <w:sz w:val="20"/>
          <w:lang w:val="en-NZ"/>
        </w:rPr>
        <w:t xml:space="preserve">In the above example, this would mean George would not have the $600,000 debt remission income so that </w:t>
      </w:r>
      <w:proofErr w:type="gramStart"/>
      <w:r w:rsidRPr="00183C05">
        <w:rPr>
          <w:sz w:val="20"/>
          <w:lang w:val="en-NZ"/>
        </w:rPr>
        <w:t>overall</w:t>
      </w:r>
      <w:proofErr w:type="gramEnd"/>
      <w:r w:rsidRPr="00183C05">
        <w:rPr>
          <w:sz w:val="20"/>
          <w:lang w:val="en-NZ"/>
        </w:rPr>
        <w:t xml:space="preserve"> he would be $400,000 out of pocket which matches the transfer to Mario, and Mario is taxed on that transfer as debt remission income.</w:t>
      </w:r>
    </w:p>
    <w:p w:rsidR="001F34EC" w:rsidRPr="00CA1467" w:rsidRDefault="001F34EC" w:rsidP="004E6AE5">
      <w:pPr>
        <w:pStyle w:val="Chapter8"/>
        <w:numPr>
          <w:ilvl w:val="0"/>
          <w:numId w:val="0"/>
        </w:numPr>
        <w:ind w:left="851" w:hanging="851"/>
      </w:pPr>
    </w:p>
    <w:p w:rsidR="001F34EC" w:rsidRPr="00CA1467" w:rsidRDefault="001F34EC" w:rsidP="004E6AE5">
      <w:pPr>
        <w:pStyle w:val="Chapter8"/>
        <w:numPr>
          <w:ilvl w:val="0"/>
          <w:numId w:val="0"/>
        </w:numPr>
        <w:ind w:left="851" w:hanging="851"/>
      </w:pPr>
    </w:p>
    <w:p w:rsidR="00D20A9A" w:rsidRPr="00CA1467" w:rsidRDefault="00D20A9A" w:rsidP="00D20A9A">
      <w:pPr>
        <w:pStyle w:val="Chapter8"/>
      </w:pPr>
      <w:r w:rsidRPr="00CA1467">
        <w:t>Submissions on this proposal and on an appropriate application date are welcome.  The change could be backdated to the inception of the LTC rules (1 April 2011) but this could result in compliance and administrative costs.  We seek feedback on the extent to which shareholders of LTCs who have lent money to the LTC have found themselves in the above situation and have had to pay tax.</w:t>
      </w:r>
    </w:p>
    <w:p w:rsidR="00D20A9A" w:rsidRPr="00CA1467" w:rsidRDefault="00D20A9A" w:rsidP="00D20A9A">
      <w:pPr>
        <w:pStyle w:val="Chapter8"/>
        <w:numPr>
          <w:ilvl w:val="0"/>
          <w:numId w:val="0"/>
        </w:numPr>
        <w:ind w:left="851"/>
      </w:pPr>
    </w:p>
    <w:p w:rsidR="00D20A9A" w:rsidRPr="00CA1467" w:rsidRDefault="00D20A9A" w:rsidP="00D20A9A">
      <w:pPr>
        <w:pStyle w:val="Heading2"/>
      </w:pPr>
      <w:r w:rsidRPr="00CA1467">
        <w:t>Loans to partnerships</w:t>
      </w:r>
    </w:p>
    <w:p w:rsidR="00D20A9A" w:rsidRPr="00CA1467" w:rsidRDefault="00D20A9A" w:rsidP="00D20A9A">
      <w:pPr>
        <w:pStyle w:val="Chapter8"/>
        <w:numPr>
          <w:ilvl w:val="0"/>
          <w:numId w:val="0"/>
        </w:numPr>
        <w:ind w:left="851"/>
      </w:pPr>
    </w:p>
    <w:p w:rsidR="00D20A9A" w:rsidRPr="00CA1467" w:rsidRDefault="00D20A9A" w:rsidP="00D20A9A">
      <w:pPr>
        <w:pStyle w:val="Chapter8"/>
      </w:pPr>
      <w:proofErr w:type="gramStart"/>
      <w:r w:rsidRPr="00CA1467">
        <w:t>Arguably</w:t>
      </w:r>
      <w:proofErr w:type="gramEnd"/>
      <w:r w:rsidRPr="00CA1467">
        <w:t xml:space="preserve"> the above approach should also apply to a creditor partner’s share of debt remission income when a partner has made a loan to a partnership and the loan cannot be subsequently repaid.  Comments on this aspect and examples of practical situations in which it has been a problem are welcome.</w:t>
      </w:r>
    </w:p>
    <w:p w:rsidR="00D20A9A" w:rsidRPr="00CA1467" w:rsidRDefault="00D20A9A" w:rsidP="00D20A9A">
      <w:pPr>
        <w:pStyle w:val="Chapter8"/>
        <w:numPr>
          <w:ilvl w:val="0"/>
          <w:numId w:val="0"/>
        </w:numPr>
        <w:ind w:left="851"/>
      </w:pPr>
    </w:p>
    <w:p w:rsidR="00D20A9A" w:rsidRPr="00CA1467" w:rsidRDefault="00D20A9A" w:rsidP="00D20A9A">
      <w:pPr>
        <w:pStyle w:val="Chapter8"/>
        <w:numPr>
          <w:ilvl w:val="0"/>
          <w:numId w:val="0"/>
        </w:numPr>
        <w:ind w:left="851"/>
      </w:pPr>
    </w:p>
    <w:p w:rsidR="00D20A9A" w:rsidRPr="00CA1467" w:rsidRDefault="00D20A9A" w:rsidP="00D20A9A">
      <w:pPr>
        <w:pStyle w:val="Heading1"/>
      </w:pPr>
      <w:bookmarkStart w:id="120" w:name="_Toc429469483"/>
      <w:r w:rsidRPr="00CA1467">
        <w:t>Clarifying remission income on exiting the LTC rules</w:t>
      </w:r>
      <w:bookmarkEnd w:id="120"/>
      <w:r w:rsidRPr="00CA1467">
        <w:t xml:space="preserve"> </w:t>
      </w:r>
    </w:p>
    <w:p w:rsidR="00D20A9A" w:rsidRPr="00CA1467" w:rsidRDefault="00D20A9A" w:rsidP="00D20A9A">
      <w:pPr>
        <w:pStyle w:val="Chapter8"/>
        <w:numPr>
          <w:ilvl w:val="0"/>
          <w:numId w:val="0"/>
        </w:numPr>
        <w:ind w:left="851"/>
      </w:pPr>
    </w:p>
    <w:p w:rsidR="00D20A9A" w:rsidRPr="00CA1467" w:rsidRDefault="00D20A9A" w:rsidP="00D20A9A">
      <w:pPr>
        <w:pStyle w:val="Chapter8"/>
      </w:pPr>
      <w:r w:rsidRPr="00CA1467">
        <w:t xml:space="preserve">A concern underlying the removal of LAQCs was their use in the avoidance of remission income.  Under standard tax </w:t>
      </w:r>
      <w:proofErr w:type="gramStart"/>
      <w:r w:rsidRPr="00CA1467">
        <w:t>rules</w:t>
      </w:r>
      <w:proofErr w:type="gramEnd"/>
      <w:r w:rsidRPr="00CA1467">
        <w:t xml:space="preserve"> a taxpayer can claim a deduction for an expenditure or loss for income tax purposes when it is incurred, even if payment has not taken place.  Normally this is not an issue as any unpaid portion of expenditure </w:t>
      </w:r>
      <w:proofErr w:type="gramStart"/>
      <w:r w:rsidRPr="00CA1467">
        <w:t>is subsequently clawed</w:t>
      </w:r>
      <w:proofErr w:type="gramEnd"/>
      <w:r w:rsidRPr="00CA1467">
        <w:t xml:space="preserve"> back through the remitted income rules.  However, shareholders of LAQCs could avoid this remission income.</w:t>
      </w:r>
    </w:p>
    <w:p w:rsidR="00D20A9A" w:rsidRPr="00CA1467" w:rsidRDefault="00D20A9A" w:rsidP="00D20A9A">
      <w:pPr>
        <w:pStyle w:val="Chapter8"/>
        <w:numPr>
          <w:ilvl w:val="0"/>
          <w:numId w:val="0"/>
        </w:numPr>
        <w:ind w:left="851"/>
      </w:pPr>
    </w:p>
    <w:p w:rsidR="00D20A9A" w:rsidRPr="00CA1467" w:rsidRDefault="00D20A9A" w:rsidP="00D20A9A">
      <w:pPr>
        <w:pStyle w:val="Chapter8"/>
      </w:pPr>
      <w:r w:rsidRPr="00CA1467">
        <w:t xml:space="preserve">Remission income arises in the year of remission, rather than in the year in which the deduction </w:t>
      </w:r>
      <w:proofErr w:type="gramStart"/>
      <w:r w:rsidRPr="00CA1467">
        <w:t>was originally claimed</w:t>
      </w:r>
      <w:proofErr w:type="gramEnd"/>
      <w:r w:rsidRPr="00CA1467">
        <w:t>.</w:t>
      </w:r>
      <w:r w:rsidR="00B275DE" w:rsidRPr="00A16039">
        <w:rPr>
          <w:rStyle w:val="FootnoteReference"/>
          <w:sz w:val="22"/>
          <w:szCs w:val="22"/>
        </w:rPr>
        <w:footnoteReference w:id="34"/>
      </w:r>
      <w:r w:rsidRPr="00CA1467">
        <w:t xml:space="preserve">  If remission income arose in an income year after the company had revoked its LAQC status, the directors and shareholders were not personally liable for the tax liability of the company, as that liability only applied in respect of an income year during which the company was an LAQC.  As a result, shareholders could claim LAQC losses and then eliminate personal liability for the tax on the remitted income simply by revoking LAQC status before remission income </w:t>
      </w:r>
      <w:proofErr w:type="gramStart"/>
      <w:r w:rsidRPr="00CA1467">
        <w:t>was derived</w:t>
      </w:r>
      <w:proofErr w:type="gramEnd"/>
      <w:r w:rsidRPr="00CA1467">
        <w:t xml:space="preserve"> by the LAQC.  The intention was that this outcome </w:t>
      </w:r>
      <w:proofErr w:type="gramStart"/>
      <w:r w:rsidRPr="00CA1467">
        <w:t>could not be achieved</w:t>
      </w:r>
      <w:proofErr w:type="gramEnd"/>
      <w:r w:rsidRPr="00CA1467">
        <w:t xml:space="preserve"> through a LTC.</w:t>
      </w:r>
    </w:p>
    <w:p w:rsidR="00D20A9A" w:rsidRPr="00CA1467" w:rsidRDefault="00D20A9A" w:rsidP="00D20A9A">
      <w:pPr>
        <w:pStyle w:val="Chapter8"/>
        <w:numPr>
          <w:ilvl w:val="0"/>
          <w:numId w:val="0"/>
        </w:numPr>
        <w:ind w:left="851"/>
      </w:pPr>
    </w:p>
    <w:p w:rsidR="00D20A9A" w:rsidRPr="00CA1467" w:rsidRDefault="00D20A9A" w:rsidP="00D20A9A">
      <w:pPr>
        <w:pStyle w:val="Chapter8"/>
      </w:pPr>
      <w:r w:rsidRPr="00CA1467">
        <w:t xml:space="preserve">The Income Tax Act makes it clear that remission income is intended to arise for LTC owners when </w:t>
      </w:r>
      <w:proofErr w:type="gramStart"/>
      <w:r w:rsidRPr="00CA1467">
        <w:t>they either</w:t>
      </w:r>
      <w:proofErr w:type="gramEnd"/>
      <w:r w:rsidRPr="00CA1467">
        <w:t xml:space="preserve"> elect to take their company out of the LTC rules or the LTC is liquidated, through their deeming to have disposed of their interests at market value.  There has been some debate over whether this is the outcome in practice, although the intention is clear.</w:t>
      </w:r>
    </w:p>
    <w:p w:rsidR="00D20A9A" w:rsidRPr="00CA1467" w:rsidRDefault="00D20A9A" w:rsidP="00D20A9A">
      <w:pPr>
        <w:pStyle w:val="Chapter8"/>
        <w:numPr>
          <w:ilvl w:val="0"/>
          <w:numId w:val="0"/>
        </w:numPr>
        <w:ind w:left="851"/>
      </w:pPr>
    </w:p>
    <w:p w:rsidR="00D20A9A" w:rsidRPr="00CA1467" w:rsidRDefault="00D20A9A" w:rsidP="00D20A9A">
      <w:pPr>
        <w:pStyle w:val="Chapter8"/>
      </w:pPr>
      <w:r w:rsidRPr="00CA1467">
        <w:t xml:space="preserve">The issue is around the market value of any impaired third party loans at the time of disposal, with some practitioners arguing that the market value of a </w:t>
      </w:r>
      <w:proofErr w:type="gramStart"/>
      <w:r w:rsidRPr="00CA1467">
        <w:t>loan,</w:t>
      </w:r>
      <w:proofErr w:type="gramEnd"/>
      <w:r w:rsidRPr="00CA1467">
        <w:t xml:space="preserve"> distressed or not, is the present value of its future cash flows without considering its distressed impairment.  This approach ignores the risk associated with the loan.</w:t>
      </w:r>
      <w:r w:rsidR="00B275DE" w:rsidRPr="00A16039">
        <w:rPr>
          <w:rStyle w:val="FootnoteReference"/>
          <w:sz w:val="22"/>
          <w:szCs w:val="22"/>
        </w:rPr>
        <w:footnoteReference w:id="35"/>
      </w:r>
      <w:r w:rsidRPr="00CA1467">
        <w:t xml:space="preserve">  There are suggestions that this argument </w:t>
      </w:r>
      <w:proofErr w:type="gramStart"/>
      <w:r w:rsidRPr="00CA1467">
        <w:t>is being used</w:t>
      </w:r>
      <w:proofErr w:type="gramEnd"/>
      <w:r w:rsidRPr="00CA1467">
        <w:t xml:space="preserve"> to avoid remission income from distressed debt when a LTC “elects” out of the LTC regime or liquidates.</w:t>
      </w:r>
    </w:p>
    <w:p w:rsidR="00D20A9A" w:rsidRPr="00CA1467" w:rsidRDefault="00D20A9A" w:rsidP="00D20A9A">
      <w:pPr>
        <w:pStyle w:val="Chapter8"/>
        <w:numPr>
          <w:ilvl w:val="0"/>
          <w:numId w:val="0"/>
        </w:numPr>
        <w:ind w:left="851"/>
      </w:pPr>
    </w:p>
    <w:p w:rsidR="00D20A9A" w:rsidRPr="00CA1467" w:rsidRDefault="00D20A9A" w:rsidP="00D20A9A">
      <w:pPr>
        <w:pStyle w:val="Heading2"/>
      </w:pPr>
      <w:r w:rsidRPr="00CA1467">
        <w:t>Proposed solution</w:t>
      </w:r>
    </w:p>
    <w:p w:rsidR="00D20A9A" w:rsidRPr="00CA1467" w:rsidRDefault="00D20A9A" w:rsidP="00D20A9A">
      <w:pPr>
        <w:pStyle w:val="Chapter8"/>
        <w:numPr>
          <w:ilvl w:val="0"/>
          <w:numId w:val="0"/>
        </w:numPr>
        <w:ind w:left="851"/>
      </w:pPr>
    </w:p>
    <w:p w:rsidR="004E6AE5" w:rsidRPr="00CA1467" w:rsidRDefault="00D20A9A" w:rsidP="00D20A9A">
      <w:pPr>
        <w:pStyle w:val="Chapter8"/>
        <w:numPr>
          <w:ilvl w:val="0"/>
          <w:numId w:val="0"/>
        </w:numPr>
        <w:ind w:left="851" w:hanging="851"/>
      </w:pPr>
      <w:r w:rsidRPr="00CA1467">
        <w:t>8.15</w:t>
      </w:r>
      <w:r w:rsidRPr="00CA1467">
        <w:tab/>
        <w:t xml:space="preserve">A retrospective amendment is proposed to put an end to the above debate and to ensure that the debt remission income rules apply as intended – in other </w:t>
      </w:r>
      <w:proofErr w:type="gramStart"/>
      <w:r w:rsidRPr="00CA1467">
        <w:t>words</w:t>
      </w:r>
      <w:proofErr w:type="gramEnd"/>
      <w:r w:rsidRPr="00CA1467">
        <w:t xml:space="preserve"> remission income does arise for LTC owners when they either liquidate or elect to take their company out of the LTC rules.</w:t>
      </w:r>
    </w:p>
    <w:p w:rsidR="00C11581" w:rsidRDefault="00C11581">
      <w:pPr>
        <w:jc w:val="left"/>
        <w:rPr>
          <w:szCs w:val="24"/>
          <w:lang w:val="en-NZ"/>
        </w:rPr>
      </w:pPr>
      <w:r>
        <w:br w:type="page"/>
      </w:r>
    </w:p>
    <w:p w:rsidR="00D20A9A" w:rsidRPr="00CA1467" w:rsidRDefault="00D20A9A" w:rsidP="00D20A9A">
      <w:pPr>
        <w:pStyle w:val="Chapter8"/>
        <w:numPr>
          <w:ilvl w:val="0"/>
          <w:numId w:val="0"/>
        </w:numPr>
        <w:ind w:left="851" w:hanging="851"/>
      </w:pPr>
    </w:p>
    <w:p w:rsidR="00D20A9A" w:rsidRPr="00CA1467" w:rsidRDefault="00D20A9A">
      <w:pPr>
        <w:jc w:val="left"/>
        <w:rPr>
          <w:szCs w:val="24"/>
          <w:lang w:val="en-NZ"/>
        </w:rPr>
      </w:pPr>
      <w:r w:rsidRPr="00CA1467">
        <w:rPr>
          <w:lang w:val="en-NZ"/>
        </w:rPr>
        <w:br w:type="page"/>
      </w:r>
    </w:p>
    <w:p w:rsidR="00D20A9A" w:rsidRPr="00CA1467" w:rsidRDefault="00D20A9A" w:rsidP="00D20A9A">
      <w:pPr>
        <w:pStyle w:val="Chapterheading"/>
      </w:pPr>
      <w:bookmarkStart w:id="121" w:name="_Toc429151527"/>
      <w:bookmarkStart w:id="122" w:name="_Toc429379762"/>
      <w:bookmarkStart w:id="123" w:name="_Toc429400116"/>
      <w:bookmarkStart w:id="124" w:name="_Toc429409204"/>
      <w:bookmarkStart w:id="125" w:name="_Toc429412463"/>
      <w:bookmarkStart w:id="126" w:name="_Toc429417878"/>
      <w:bookmarkStart w:id="127" w:name="_Toc429420003"/>
      <w:bookmarkStart w:id="128" w:name="_Toc429469484"/>
      <w:r w:rsidRPr="00CA1467">
        <w:t>CHAPTER 9</w:t>
      </w:r>
      <w:bookmarkEnd w:id="121"/>
      <w:bookmarkEnd w:id="122"/>
      <w:bookmarkEnd w:id="123"/>
      <w:bookmarkEnd w:id="124"/>
      <w:bookmarkEnd w:id="125"/>
      <w:bookmarkEnd w:id="126"/>
      <w:bookmarkEnd w:id="127"/>
      <w:bookmarkEnd w:id="128"/>
    </w:p>
    <w:p w:rsidR="00D20A9A" w:rsidRPr="00CA1467" w:rsidRDefault="00D20A9A" w:rsidP="00D20A9A">
      <w:pPr>
        <w:pStyle w:val="Chapterheading"/>
      </w:pPr>
    </w:p>
    <w:p w:rsidR="00D20A9A" w:rsidRPr="00CA1467" w:rsidRDefault="00D20A9A" w:rsidP="00D20A9A">
      <w:pPr>
        <w:pStyle w:val="Chapterheading"/>
        <w:rPr>
          <w:caps w:val="0"/>
        </w:rPr>
      </w:pPr>
      <w:bookmarkStart w:id="129" w:name="_Toc429469485"/>
      <w:r w:rsidRPr="00CA1467">
        <w:rPr>
          <w:caps w:val="0"/>
        </w:rPr>
        <w:t>Dividend simpli</w:t>
      </w:r>
      <w:r w:rsidR="000B7EE4" w:rsidRPr="00CA1467">
        <w:rPr>
          <w:caps w:val="0"/>
        </w:rPr>
        <w:t>fi</w:t>
      </w:r>
      <w:r w:rsidRPr="00CA1467">
        <w:rPr>
          <w:caps w:val="0"/>
        </w:rPr>
        <w:t>cation</w:t>
      </w:r>
      <w:bookmarkEnd w:id="129"/>
    </w:p>
    <w:p w:rsidR="00D20A9A" w:rsidRPr="00CA1467" w:rsidRDefault="00D20A9A" w:rsidP="00D03E14">
      <w:pPr>
        <w:pStyle w:val="Chapter9"/>
        <w:numPr>
          <w:ilvl w:val="0"/>
          <w:numId w:val="0"/>
        </w:numPr>
        <w:ind w:left="851" w:hanging="851"/>
      </w:pPr>
    </w:p>
    <w:p w:rsidR="00D20A9A" w:rsidRPr="00CA1467" w:rsidRDefault="00D20A9A" w:rsidP="00D03E14">
      <w:pPr>
        <w:pStyle w:val="Chapter9"/>
        <w:numPr>
          <w:ilvl w:val="0"/>
          <w:numId w:val="0"/>
        </w:numPr>
        <w:ind w:left="851" w:hanging="851"/>
      </w:pPr>
    </w:p>
    <w:p w:rsidR="00D20A9A" w:rsidRPr="00CA1467" w:rsidRDefault="00D20A9A" w:rsidP="00D20A9A">
      <w:pPr>
        <w:pStyle w:val="Heading1"/>
      </w:pPr>
      <w:bookmarkStart w:id="130" w:name="_Toc429469486"/>
      <w:r w:rsidRPr="00CA1467">
        <w:t>Introduction</w:t>
      </w:r>
      <w:bookmarkEnd w:id="130"/>
    </w:p>
    <w:p w:rsidR="00D20A9A" w:rsidRPr="00CA1467" w:rsidRDefault="00D20A9A" w:rsidP="00D03E14">
      <w:pPr>
        <w:pStyle w:val="Chapter9"/>
        <w:numPr>
          <w:ilvl w:val="0"/>
          <w:numId w:val="0"/>
        </w:numPr>
        <w:ind w:left="851" w:hanging="851"/>
      </w:pPr>
    </w:p>
    <w:p w:rsidR="00D20A9A" w:rsidRPr="00CA1467" w:rsidRDefault="00D20A9A" w:rsidP="00D20A9A">
      <w:pPr>
        <w:pStyle w:val="Chapter9"/>
      </w:pPr>
      <w:r w:rsidRPr="00CA1467">
        <w:t xml:space="preserve">In addition to changes to the LTC rules, the review has considered whether changes </w:t>
      </w:r>
      <w:proofErr w:type="gramStart"/>
      <w:r w:rsidRPr="00CA1467">
        <w:t>should be made</w:t>
      </w:r>
      <w:proofErr w:type="gramEnd"/>
      <w:r w:rsidRPr="00CA1467">
        <w:t xml:space="preserve"> to the rules around distributions/dividends made by close companies that are not LTCs, and not in many cases QCs.  The issues that we have been considering in this area are:</w:t>
      </w:r>
    </w:p>
    <w:p w:rsidR="00D20A9A" w:rsidRPr="00CA1467" w:rsidRDefault="00D20A9A" w:rsidP="00D20A9A">
      <w:pPr>
        <w:pStyle w:val="Chapter9"/>
        <w:numPr>
          <w:ilvl w:val="0"/>
          <w:numId w:val="0"/>
        </w:numPr>
        <w:ind w:left="851"/>
      </w:pPr>
    </w:p>
    <w:p w:rsidR="00D20A9A" w:rsidRPr="00CA1467" w:rsidRDefault="00D20A9A" w:rsidP="00D20A9A">
      <w:pPr>
        <w:pStyle w:val="Bullets"/>
      </w:pPr>
      <w:proofErr w:type="gramStart"/>
      <w:r w:rsidRPr="00CA1467">
        <w:t>ways</w:t>
      </w:r>
      <w:proofErr w:type="gramEnd"/>
      <w:r w:rsidRPr="00CA1467">
        <w:t xml:space="preserve"> to ensure that genuine capital gains made by small businesses do not become taxable merely because there is a transaction involving an associated party.  There is scope to liberalise the current restrictions in this area;</w:t>
      </w:r>
    </w:p>
    <w:p w:rsidR="00D20A9A" w:rsidRPr="00CA1467" w:rsidRDefault="00D20A9A" w:rsidP="00D20A9A">
      <w:pPr>
        <w:pStyle w:val="Bullets"/>
      </w:pPr>
      <w:proofErr w:type="gramStart"/>
      <w:r w:rsidRPr="00CA1467">
        <w:t>whether</w:t>
      </w:r>
      <w:proofErr w:type="gramEnd"/>
      <w:r w:rsidRPr="00CA1467">
        <w:t xml:space="preserve"> resident withholding tax (RWT) obligations can optionally be removed from small companies, subject to the company or its directors providing guarantees.  This would be designed to reduce an area of compliance costs;</w:t>
      </w:r>
    </w:p>
    <w:p w:rsidR="00D20A9A" w:rsidRPr="00CA1467" w:rsidRDefault="00D20A9A" w:rsidP="00D20A9A">
      <w:pPr>
        <w:pStyle w:val="Bullets"/>
      </w:pPr>
      <w:r w:rsidRPr="00CA1467">
        <w:t>likewise, whether the requirement to deduct RWT from fully imputed dividends between companies could be optionally removed;</w:t>
      </w:r>
    </w:p>
    <w:p w:rsidR="00D20A9A" w:rsidRPr="00CA1467" w:rsidRDefault="00D20A9A" w:rsidP="00D20A9A">
      <w:pPr>
        <w:pStyle w:val="Bullets"/>
      </w:pPr>
      <w:proofErr w:type="gramStart"/>
      <w:r w:rsidRPr="00CA1467">
        <w:t>ways</w:t>
      </w:r>
      <w:proofErr w:type="gramEnd"/>
      <w:r w:rsidRPr="00CA1467">
        <w:t xml:space="preserve"> of streamlining RWT obligations when cash and non-cash dividends are paid concurrently.  Again this would reduce compliance costs and produce more sensible outcomes;</w:t>
      </w:r>
    </w:p>
    <w:p w:rsidR="00D20A9A" w:rsidRPr="00CA1467" w:rsidRDefault="00D20A9A" w:rsidP="00183C05">
      <w:pPr>
        <w:pStyle w:val="Bullets"/>
        <w:spacing w:after="0"/>
      </w:pPr>
      <w:proofErr w:type="gramStart"/>
      <w:r w:rsidRPr="00CA1467">
        <w:t>whether</w:t>
      </w:r>
      <w:proofErr w:type="gramEnd"/>
      <w:r w:rsidRPr="00CA1467">
        <w:t xml:space="preserve"> small businesses could be given the option of treating shareholder salaries as subject to a combination of PAYE and provisional tax.  This </w:t>
      </w:r>
      <w:proofErr w:type="gramStart"/>
      <w:r w:rsidRPr="00CA1467">
        <w:t>would be aimed</w:t>
      </w:r>
      <w:proofErr w:type="gramEnd"/>
      <w:r w:rsidRPr="00CA1467">
        <w:t xml:space="preserve"> at providing businesses with greater flexibility.</w:t>
      </w:r>
    </w:p>
    <w:p w:rsidR="00D20A9A" w:rsidRPr="00CA1467" w:rsidRDefault="00D20A9A" w:rsidP="00D20A9A">
      <w:pPr>
        <w:pStyle w:val="Chapter9"/>
        <w:numPr>
          <w:ilvl w:val="0"/>
          <w:numId w:val="0"/>
        </w:numPr>
        <w:ind w:left="851"/>
      </w:pPr>
    </w:p>
    <w:p w:rsidR="00D20A9A" w:rsidRPr="00CA1467" w:rsidRDefault="00D20A9A" w:rsidP="00D20A9A">
      <w:pPr>
        <w:pStyle w:val="Chapter9"/>
        <w:numPr>
          <w:ilvl w:val="0"/>
          <w:numId w:val="0"/>
        </w:numPr>
        <w:ind w:left="851"/>
      </w:pPr>
    </w:p>
    <w:p w:rsidR="00D20A9A" w:rsidRPr="00CA1467" w:rsidRDefault="00D20A9A" w:rsidP="00D20A9A">
      <w:pPr>
        <w:pStyle w:val="Heading1"/>
      </w:pPr>
      <w:bookmarkStart w:id="131" w:name="_Toc429469487"/>
      <w:r w:rsidRPr="00CA1467">
        <w:t>Tainted capital gains when capital asset sold to non-corporate associated person</w:t>
      </w:r>
      <w:bookmarkEnd w:id="131"/>
    </w:p>
    <w:p w:rsidR="00D20A9A" w:rsidRPr="00CA1467" w:rsidRDefault="00D20A9A" w:rsidP="00D20A9A">
      <w:pPr>
        <w:pStyle w:val="Chapter9"/>
        <w:numPr>
          <w:ilvl w:val="0"/>
          <w:numId w:val="0"/>
        </w:numPr>
        <w:ind w:left="851"/>
      </w:pPr>
    </w:p>
    <w:p w:rsidR="00D20A9A" w:rsidRPr="00CA1467" w:rsidRDefault="00D20A9A" w:rsidP="00D20A9A">
      <w:pPr>
        <w:pStyle w:val="Chapter9"/>
      </w:pPr>
      <w:r w:rsidRPr="00CA1467">
        <w:t>This issue concerns the distribution of capital gains and the associated party rules, particularly where there is a family business reorganisation.  The basic issue can be illustrated by the following example:</w:t>
      </w:r>
    </w:p>
    <w:p w:rsidR="00D20A9A" w:rsidRPr="00CA1467" w:rsidRDefault="00D20A9A">
      <w:pPr>
        <w:jc w:val="left"/>
        <w:rPr>
          <w:lang w:val="en-NZ"/>
        </w:rPr>
      </w:pPr>
    </w:p>
    <w:p w:rsidR="00183C05" w:rsidRDefault="00183C05">
      <w:pPr>
        <w:jc w:val="left"/>
        <w:rPr>
          <w:b/>
          <w:sz w:val="20"/>
          <w:lang w:val="en-NZ"/>
        </w:rPr>
      </w:pPr>
      <w:r>
        <w:rPr>
          <w:b/>
          <w:sz w:val="20"/>
          <w:lang w:val="en-NZ"/>
        </w:rPr>
        <w:br w:type="page"/>
      </w:r>
    </w:p>
    <w:p w:rsidR="001F34EC" w:rsidRPr="00CA1467" w:rsidRDefault="001F34EC" w:rsidP="001F34EC">
      <w:pPr>
        <w:pBdr>
          <w:top w:val="single" w:sz="4" w:space="10" w:color="auto"/>
          <w:left w:val="single" w:sz="4" w:space="10" w:color="auto"/>
          <w:bottom w:val="single" w:sz="4" w:space="10" w:color="auto"/>
          <w:right w:val="single" w:sz="4" w:space="10" w:color="auto"/>
        </w:pBdr>
        <w:jc w:val="left"/>
        <w:rPr>
          <w:b/>
          <w:sz w:val="20"/>
          <w:lang w:val="en-NZ"/>
        </w:rPr>
      </w:pPr>
      <w:r w:rsidRPr="00CA1467">
        <w:rPr>
          <w:b/>
          <w:sz w:val="20"/>
          <w:lang w:val="en-NZ"/>
        </w:rPr>
        <w:t>Example</w:t>
      </w:r>
    </w:p>
    <w:p w:rsidR="001F34EC" w:rsidRPr="00CA1467" w:rsidRDefault="001F34EC" w:rsidP="00134BF6">
      <w:pPr>
        <w:pBdr>
          <w:top w:val="single" w:sz="4" w:space="10" w:color="auto"/>
          <w:left w:val="single" w:sz="4" w:space="10" w:color="auto"/>
          <w:bottom w:val="single" w:sz="4" w:space="10" w:color="auto"/>
          <w:right w:val="single" w:sz="4" w:space="10" w:color="auto"/>
        </w:pBdr>
        <w:rPr>
          <w:sz w:val="20"/>
          <w:lang w:val="en-NZ"/>
        </w:rPr>
      </w:pPr>
    </w:p>
    <w:p w:rsidR="001F34EC" w:rsidRPr="00CA1467" w:rsidRDefault="001F34EC" w:rsidP="00134BF6">
      <w:pPr>
        <w:pBdr>
          <w:top w:val="single" w:sz="4" w:space="10" w:color="auto"/>
          <w:left w:val="single" w:sz="4" w:space="10" w:color="auto"/>
          <w:bottom w:val="single" w:sz="4" w:space="10" w:color="auto"/>
          <w:right w:val="single" w:sz="4" w:space="10" w:color="auto"/>
        </w:pBdr>
        <w:rPr>
          <w:sz w:val="20"/>
          <w:lang w:val="en-NZ"/>
        </w:rPr>
      </w:pPr>
      <w:r w:rsidRPr="00CA1467">
        <w:rPr>
          <w:sz w:val="20"/>
          <w:lang w:val="en-NZ"/>
        </w:rPr>
        <w:t xml:space="preserve">Mark is the sole shareholder of C Ltd, which purchases two farms for $100,000 each.  Mark has two sons, Henry and James, who each live on one of the farms.  When Mark retires, his shares in C Ltd </w:t>
      </w:r>
      <w:proofErr w:type="gramStart"/>
      <w:r w:rsidRPr="00CA1467">
        <w:rPr>
          <w:sz w:val="20"/>
          <w:lang w:val="en-NZ"/>
        </w:rPr>
        <w:t>are transferred</w:t>
      </w:r>
      <w:proofErr w:type="gramEnd"/>
      <w:r w:rsidRPr="00CA1467">
        <w:rPr>
          <w:sz w:val="20"/>
          <w:lang w:val="en-NZ"/>
        </w:rPr>
        <w:t xml:space="preserve"> to his sons equally.</w:t>
      </w:r>
    </w:p>
    <w:p w:rsidR="001F34EC" w:rsidRPr="00CA1467" w:rsidRDefault="001F34EC" w:rsidP="00134BF6">
      <w:pPr>
        <w:pBdr>
          <w:top w:val="single" w:sz="4" w:space="10" w:color="auto"/>
          <w:left w:val="single" w:sz="4" w:space="10" w:color="auto"/>
          <w:bottom w:val="single" w:sz="4" w:space="10" w:color="auto"/>
          <w:right w:val="single" w:sz="4" w:space="10" w:color="auto"/>
        </w:pBdr>
        <w:rPr>
          <w:sz w:val="20"/>
          <w:lang w:val="en-NZ"/>
        </w:rPr>
      </w:pPr>
    </w:p>
    <w:p w:rsidR="001F34EC" w:rsidRPr="00CA1467" w:rsidRDefault="001F34EC" w:rsidP="00134BF6">
      <w:pPr>
        <w:pBdr>
          <w:top w:val="single" w:sz="4" w:space="10" w:color="auto"/>
          <w:left w:val="single" w:sz="4" w:space="10" w:color="auto"/>
          <w:bottom w:val="single" w:sz="4" w:space="10" w:color="auto"/>
          <w:right w:val="single" w:sz="4" w:space="10" w:color="auto"/>
        </w:pBdr>
        <w:rPr>
          <w:sz w:val="20"/>
          <w:lang w:val="en-NZ"/>
        </w:rPr>
      </w:pPr>
      <w:r w:rsidRPr="00CA1467">
        <w:rPr>
          <w:sz w:val="20"/>
          <w:lang w:val="en-NZ"/>
        </w:rPr>
        <w:t xml:space="preserve">Soon after, Henry’s farm </w:t>
      </w:r>
      <w:proofErr w:type="gramStart"/>
      <w:r w:rsidRPr="00CA1467">
        <w:rPr>
          <w:sz w:val="20"/>
          <w:lang w:val="en-NZ"/>
        </w:rPr>
        <w:t>is transferred</w:t>
      </w:r>
      <w:proofErr w:type="gramEnd"/>
      <w:r w:rsidRPr="00CA1467">
        <w:rPr>
          <w:sz w:val="20"/>
          <w:lang w:val="en-NZ"/>
        </w:rPr>
        <w:t xml:space="preserve"> from C Ltd to himself.  The transaction is concluded by Henry selling his shares to James for $150,000 (actual market value) and using the proceeds to buy the farm on which he resides also at the market value of $150,000; there is, prima facie, a $50,000 capital gain for C Ltd.</w:t>
      </w:r>
    </w:p>
    <w:p w:rsidR="001F34EC" w:rsidRPr="00CA1467" w:rsidRDefault="001F34EC" w:rsidP="00134BF6">
      <w:pPr>
        <w:pBdr>
          <w:top w:val="single" w:sz="4" w:space="10" w:color="auto"/>
          <w:left w:val="single" w:sz="4" w:space="10" w:color="auto"/>
          <w:bottom w:val="single" w:sz="4" w:space="10" w:color="auto"/>
          <w:right w:val="single" w:sz="4" w:space="10" w:color="auto"/>
        </w:pBdr>
        <w:rPr>
          <w:sz w:val="20"/>
          <w:lang w:val="en-NZ"/>
        </w:rPr>
      </w:pPr>
    </w:p>
    <w:p w:rsidR="001F34EC" w:rsidRPr="00CA1467" w:rsidRDefault="001F34EC" w:rsidP="00134BF6">
      <w:pPr>
        <w:pBdr>
          <w:top w:val="single" w:sz="4" w:space="10" w:color="auto"/>
          <w:left w:val="single" w:sz="4" w:space="10" w:color="auto"/>
          <w:bottom w:val="single" w:sz="4" w:space="10" w:color="auto"/>
          <w:right w:val="single" w:sz="4" w:space="10" w:color="auto"/>
        </w:pBdr>
        <w:rPr>
          <w:sz w:val="20"/>
          <w:lang w:val="en-NZ"/>
        </w:rPr>
      </w:pPr>
      <w:r w:rsidRPr="00CA1467">
        <w:rPr>
          <w:sz w:val="20"/>
          <w:lang w:val="en-NZ"/>
        </w:rPr>
        <w:t xml:space="preserve">When C Ltd eventually liquidates, a $50,000 taxable dividend arises on the distribution of the gain from the sale of Henry’s farm, because it </w:t>
      </w:r>
      <w:proofErr w:type="gramStart"/>
      <w:r w:rsidRPr="00CA1467">
        <w:rPr>
          <w:sz w:val="20"/>
          <w:lang w:val="en-NZ"/>
        </w:rPr>
        <w:t>was transferred</w:t>
      </w:r>
      <w:proofErr w:type="gramEnd"/>
      <w:r w:rsidRPr="00CA1467">
        <w:rPr>
          <w:sz w:val="20"/>
          <w:lang w:val="en-NZ"/>
        </w:rPr>
        <w:t xml:space="preserve"> to an associated person.</w:t>
      </w:r>
    </w:p>
    <w:p w:rsidR="001F34EC" w:rsidRPr="00CA1467" w:rsidRDefault="001F34EC" w:rsidP="00134BF6">
      <w:pPr>
        <w:pBdr>
          <w:top w:val="single" w:sz="4" w:space="10" w:color="auto"/>
          <w:left w:val="single" w:sz="4" w:space="10" w:color="auto"/>
          <w:bottom w:val="single" w:sz="4" w:space="10" w:color="auto"/>
          <w:right w:val="single" w:sz="4" w:space="10" w:color="auto"/>
        </w:pBdr>
        <w:rPr>
          <w:sz w:val="20"/>
          <w:lang w:val="en-NZ"/>
        </w:rPr>
      </w:pPr>
    </w:p>
    <w:p w:rsidR="001F34EC" w:rsidRPr="00CA1467" w:rsidRDefault="001F34EC" w:rsidP="00134BF6">
      <w:pPr>
        <w:pBdr>
          <w:top w:val="single" w:sz="4" w:space="10" w:color="auto"/>
          <w:left w:val="single" w:sz="4" w:space="10" w:color="auto"/>
          <w:bottom w:val="single" w:sz="4" w:space="10" w:color="auto"/>
          <w:right w:val="single" w:sz="4" w:space="10" w:color="auto"/>
        </w:pBdr>
        <w:rPr>
          <w:sz w:val="20"/>
          <w:lang w:val="en-NZ"/>
        </w:rPr>
      </w:pPr>
      <w:r w:rsidRPr="00CA1467">
        <w:rPr>
          <w:sz w:val="20"/>
          <w:lang w:val="en-NZ"/>
        </w:rPr>
        <w:t xml:space="preserve">The $50,000 gain does not qualify as a capital gain of the type that </w:t>
      </w:r>
      <w:proofErr w:type="gramStart"/>
      <w:r w:rsidRPr="00CA1467">
        <w:rPr>
          <w:sz w:val="20"/>
          <w:lang w:val="en-NZ"/>
        </w:rPr>
        <w:t>can be distributed</w:t>
      </w:r>
      <w:proofErr w:type="gramEnd"/>
      <w:r w:rsidRPr="00CA1467">
        <w:rPr>
          <w:sz w:val="20"/>
          <w:lang w:val="en-NZ"/>
        </w:rPr>
        <w:t xml:space="preserve"> tax-free under the company liquidation rules, because of the sale from C Ltd to Henry was to an associated person.  Consequently, the gain </w:t>
      </w:r>
      <w:proofErr w:type="gramStart"/>
      <w:r w:rsidRPr="00CA1467">
        <w:rPr>
          <w:sz w:val="20"/>
          <w:lang w:val="en-NZ"/>
        </w:rPr>
        <w:t>is referred</w:t>
      </w:r>
      <w:proofErr w:type="gramEnd"/>
      <w:r w:rsidRPr="00CA1467">
        <w:rPr>
          <w:sz w:val="20"/>
          <w:lang w:val="en-NZ"/>
        </w:rPr>
        <w:t xml:space="preserve"> to as being ‘tainted’.</w:t>
      </w:r>
    </w:p>
    <w:p w:rsidR="00183C05" w:rsidRPr="00CA1467" w:rsidRDefault="00183C05" w:rsidP="00D03E14">
      <w:pPr>
        <w:pStyle w:val="Chapter9"/>
        <w:numPr>
          <w:ilvl w:val="0"/>
          <w:numId w:val="0"/>
        </w:numPr>
        <w:ind w:left="851"/>
      </w:pPr>
    </w:p>
    <w:p w:rsidR="00D20A9A" w:rsidRPr="00CA1467" w:rsidRDefault="00D20A9A" w:rsidP="00D20A9A">
      <w:pPr>
        <w:pStyle w:val="Chapter9"/>
      </w:pPr>
      <w:r w:rsidRPr="00CA1467">
        <w:t xml:space="preserve">The policy rationale for treating a gain from the sale of an asset to an associated person as tainted is to prevent an asset </w:t>
      </w:r>
      <w:proofErr w:type="gramStart"/>
      <w:r w:rsidRPr="00CA1467">
        <w:t>being transferred</w:t>
      </w:r>
      <w:proofErr w:type="gramEnd"/>
      <w:r w:rsidRPr="00CA1467">
        <w:t xml:space="preserve"> around a group of companies for the purposes of creating additional amounts of capital reserves that may be distributed tax-free.  The restriction dates back to the 1980s.</w:t>
      </w:r>
    </w:p>
    <w:p w:rsidR="00D20A9A" w:rsidRPr="00CA1467" w:rsidRDefault="00D20A9A" w:rsidP="00D20A9A">
      <w:pPr>
        <w:pStyle w:val="Chapter9"/>
        <w:numPr>
          <w:ilvl w:val="0"/>
          <w:numId w:val="0"/>
        </w:numPr>
        <w:ind w:left="851"/>
      </w:pPr>
    </w:p>
    <w:p w:rsidR="00D20A9A" w:rsidRPr="00CA1467" w:rsidRDefault="00D20A9A" w:rsidP="00D20A9A">
      <w:pPr>
        <w:pStyle w:val="Chapter9"/>
      </w:pPr>
      <w:r w:rsidRPr="00CA1467">
        <w:t xml:space="preserve">The original rationale only holds if the sale is to a company, but in </w:t>
      </w:r>
      <w:proofErr w:type="gramStart"/>
      <w:r w:rsidRPr="00CA1467">
        <w:t>practice</w:t>
      </w:r>
      <w:proofErr w:type="gramEnd"/>
      <w:r w:rsidRPr="00CA1467">
        <w:t xml:space="preserve"> the restriction also encompasses genuine transactions where the sale is not to a company.  In other words, the restriction seems to extend beyond its intended ambit.  Companies </w:t>
      </w:r>
      <w:proofErr w:type="gramStart"/>
      <w:r w:rsidRPr="00CA1467">
        <w:t>can be inadvertently caught</w:t>
      </w:r>
      <w:proofErr w:type="gramEnd"/>
      <w:r w:rsidRPr="00CA1467">
        <w:t xml:space="preserve"> by the rule, resulting in their being unable to be </w:t>
      </w:r>
      <w:r w:rsidR="005C29C2">
        <w:t xml:space="preserve">subsequently </w:t>
      </w:r>
      <w:r w:rsidRPr="00CA1467">
        <w:t>liquidated without a tax impost.</w:t>
      </w:r>
    </w:p>
    <w:p w:rsidR="00D20A9A" w:rsidRPr="00CA1467" w:rsidRDefault="00D20A9A" w:rsidP="00D20A9A">
      <w:pPr>
        <w:pStyle w:val="Chapter9"/>
        <w:numPr>
          <w:ilvl w:val="0"/>
          <w:numId w:val="0"/>
        </w:numPr>
        <w:ind w:left="851"/>
      </w:pPr>
    </w:p>
    <w:p w:rsidR="00D20A9A" w:rsidRPr="00CA1467" w:rsidRDefault="00D20A9A" w:rsidP="00D20A9A">
      <w:pPr>
        <w:pStyle w:val="Heading2"/>
      </w:pPr>
      <w:r w:rsidRPr="00CA1467">
        <w:t>Proposed solution</w:t>
      </w:r>
    </w:p>
    <w:p w:rsidR="00D20A9A" w:rsidRPr="00CA1467" w:rsidRDefault="00D20A9A" w:rsidP="00D20A9A">
      <w:pPr>
        <w:pStyle w:val="Chapter9"/>
        <w:numPr>
          <w:ilvl w:val="0"/>
          <w:numId w:val="0"/>
        </w:numPr>
        <w:ind w:left="851"/>
      </w:pPr>
    </w:p>
    <w:p w:rsidR="00D20A9A" w:rsidRPr="00CA1467" w:rsidRDefault="00D20A9A" w:rsidP="00D20A9A">
      <w:pPr>
        <w:pStyle w:val="Chapter9"/>
      </w:pPr>
      <w:r w:rsidRPr="00CA1467">
        <w:t xml:space="preserve">To reduce the ambit of the restriction, we propose that the tainting rules should not apply when the associated person purchaser is not a corporate.  This </w:t>
      </w:r>
      <w:r w:rsidR="002573D7" w:rsidRPr="00CA1467">
        <w:t xml:space="preserve">amendment </w:t>
      </w:r>
      <w:r w:rsidRPr="00CA1467">
        <w:t>would be restricted to companies meeting the current definition of “close company”, that is, a company that has five or fewer natural persons the total of whose voting interests in the company is more than 50</w:t>
      </w:r>
      <w:r w:rsidR="00BA0441">
        <w:t xml:space="preserve"> percent</w:t>
      </w:r>
      <w:r w:rsidR="00BA0441" w:rsidRPr="00CA1467">
        <w:t xml:space="preserve"> </w:t>
      </w:r>
      <w:r w:rsidRPr="00CA1467">
        <w:t>(treating all natural persons associated at the time as one natural person).</w:t>
      </w:r>
    </w:p>
    <w:p w:rsidR="00D20A9A" w:rsidRPr="00CA1467" w:rsidRDefault="00D20A9A" w:rsidP="00D20A9A">
      <w:pPr>
        <w:pStyle w:val="Chapter9"/>
        <w:numPr>
          <w:ilvl w:val="0"/>
          <w:numId w:val="0"/>
        </w:numPr>
        <w:ind w:left="851"/>
      </w:pPr>
    </w:p>
    <w:p w:rsidR="00D20A9A" w:rsidRPr="00CA1467" w:rsidRDefault="00D20A9A" w:rsidP="00D20A9A">
      <w:pPr>
        <w:pStyle w:val="Heading2"/>
      </w:pPr>
      <w:r w:rsidRPr="00CA1467">
        <w:t>Potential related issue</w:t>
      </w:r>
    </w:p>
    <w:p w:rsidR="00D20A9A" w:rsidRPr="00CA1467" w:rsidRDefault="00D20A9A" w:rsidP="00D20A9A">
      <w:pPr>
        <w:pStyle w:val="Chapter9"/>
        <w:numPr>
          <w:ilvl w:val="0"/>
          <w:numId w:val="0"/>
        </w:numPr>
        <w:ind w:left="851"/>
      </w:pPr>
    </w:p>
    <w:p w:rsidR="00D20A9A" w:rsidRPr="00CA1467" w:rsidRDefault="00D20A9A" w:rsidP="00D20A9A">
      <w:pPr>
        <w:pStyle w:val="Chapter9"/>
      </w:pPr>
      <w:r w:rsidRPr="00CA1467">
        <w:t xml:space="preserve">It is </w:t>
      </w:r>
      <w:proofErr w:type="gramStart"/>
      <w:r w:rsidRPr="00CA1467">
        <w:t>not uncommon</w:t>
      </w:r>
      <w:proofErr w:type="gramEnd"/>
      <w:r w:rsidRPr="00CA1467">
        <w:t xml:space="preserve"> for a family</w:t>
      </w:r>
      <w:r w:rsidR="002573D7" w:rsidRPr="00CA1467">
        <w:t>-</w:t>
      </w:r>
      <w:r w:rsidRPr="00CA1467">
        <w:t xml:space="preserve">type company to go through a development phase and then either its shares or its assets are sold to a different organisation.  When the former owners of the company have no interests in the new </w:t>
      </w:r>
      <w:proofErr w:type="gramStart"/>
      <w:r w:rsidRPr="00CA1467">
        <w:t>organisation</w:t>
      </w:r>
      <w:proofErr w:type="gramEnd"/>
      <w:r w:rsidRPr="00CA1467">
        <w:t xml:space="preserve"> this yields a non-tainted result.</w:t>
      </w:r>
    </w:p>
    <w:p w:rsidR="00D20A9A" w:rsidRPr="00CA1467" w:rsidRDefault="00D20A9A" w:rsidP="00D20A9A">
      <w:pPr>
        <w:pStyle w:val="Chapter9"/>
        <w:numPr>
          <w:ilvl w:val="0"/>
          <w:numId w:val="0"/>
        </w:numPr>
        <w:ind w:left="851"/>
      </w:pPr>
    </w:p>
    <w:p w:rsidR="00D20A9A" w:rsidRPr="00CA1467" w:rsidRDefault="00D20A9A" w:rsidP="00D20A9A">
      <w:pPr>
        <w:pStyle w:val="Chapter9"/>
      </w:pPr>
      <w:r w:rsidRPr="00CA1467">
        <w:t xml:space="preserve">However, when the acquiring organisation is a company in which the former owners end up owning shares </w:t>
      </w:r>
      <w:proofErr w:type="gramStart"/>
      <w:r w:rsidRPr="00CA1467">
        <w:t>as a result</w:t>
      </w:r>
      <w:proofErr w:type="gramEnd"/>
      <w:r w:rsidRPr="00CA1467">
        <w:t xml:space="preserve"> of the transaction, they might end up being associated persons.  This would result in a tainted capital gain.  We are hesitant to make changes in this area given the scope for inflating gains, the rationale behind the limitation.  However, we will continue to analyse the issue and invite submissions on it.</w:t>
      </w:r>
    </w:p>
    <w:p w:rsidR="00D20A9A" w:rsidRPr="00CA1467" w:rsidRDefault="00D20A9A" w:rsidP="00183C05">
      <w:pPr>
        <w:pStyle w:val="Chapter9"/>
        <w:numPr>
          <w:ilvl w:val="0"/>
          <w:numId w:val="0"/>
        </w:numPr>
        <w:ind w:left="851"/>
      </w:pPr>
    </w:p>
    <w:p w:rsidR="00D20A9A" w:rsidRPr="00CA1467" w:rsidRDefault="00D20A9A" w:rsidP="00183C05">
      <w:pPr>
        <w:pStyle w:val="Chapter9"/>
        <w:numPr>
          <w:ilvl w:val="0"/>
          <w:numId w:val="0"/>
        </w:numPr>
        <w:ind w:left="851"/>
      </w:pPr>
    </w:p>
    <w:p w:rsidR="00D20A9A" w:rsidRPr="00CA1467" w:rsidRDefault="00D20A9A" w:rsidP="00D20A9A">
      <w:pPr>
        <w:pStyle w:val="Heading1"/>
      </w:pPr>
      <w:bookmarkStart w:id="132" w:name="_Toc429469488"/>
      <w:r w:rsidRPr="00CA1467">
        <w:t>Tainted capital gains when capital asset owned by more than one company in a group of companies</w:t>
      </w:r>
      <w:bookmarkEnd w:id="132"/>
    </w:p>
    <w:p w:rsidR="00D20A9A" w:rsidRPr="00CA1467" w:rsidRDefault="00D20A9A" w:rsidP="00D20A9A">
      <w:pPr>
        <w:pStyle w:val="Chapter9"/>
        <w:numPr>
          <w:ilvl w:val="0"/>
          <w:numId w:val="0"/>
        </w:numPr>
        <w:ind w:left="851"/>
      </w:pPr>
    </w:p>
    <w:p w:rsidR="00D20A9A" w:rsidRPr="00CA1467" w:rsidRDefault="00D20A9A" w:rsidP="00D20A9A">
      <w:pPr>
        <w:pStyle w:val="Chapter9"/>
      </w:pPr>
      <w:r w:rsidRPr="00CA1467">
        <w:t>A similar concern about a possible over-valuation arises when a capital asset moves around a group of companies.  This can be illustrated in the following example:</w:t>
      </w:r>
    </w:p>
    <w:p w:rsidR="00183C05" w:rsidRPr="00CA1467" w:rsidRDefault="00183C05" w:rsidP="00D20A9A">
      <w:pPr>
        <w:pStyle w:val="Chapter9"/>
        <w:numPr>
          <w:ilvl w:val="0"/>
          <w:numId w:val="0"/>
        </w:numPr>
        <w:ind w:left="851"/>
      </w:pPr>
    </w:p>
    <w:p w:rsidR="001F34EC" w:rsidRPr="00CA1467" w:rsidRDefault="001F34EC" w:rsidP="001F34EC">
      <w:pPr>
        <w:pBdr>
          <w:top w:val="single" w:sz="4" w:space="10" w:color="auto"/>
          <w:left w:val="single" w:sz="4" w:space="10" w:color="auto"/>
          <w:bottom w:val="single" w:sz="4" w:space="10" w:color="auto"/>
          <w:right w:val="single" w:sz="4" w:space="10" w:color="auto"/>
        </w:pBdr>
        <w:jc w:val="left"/>
        <w:rPr>
          <w:b/>
          <w:sz w:val="20"/>
          <w:lang w:val="en-NZ"/>
        </w:rPr>
      </w:pPr>
      <w:r w:rsidRPr="00CA1467">
        <w:rPr>
          <w:b/>
          <w:sz w:val="20"/>
          <w:lang w:val="en-NZ"/>
        </w:rPr>
        <w:t>Example</w:t>
      </w:r>
    </w:p>
    <w:p w:rsidR="001F34EC" w:rsidRPr="00CA1467" w:rsidRDefault="001F34EC" w:rsidP="001F34EC">
      <w:pPr>
        <w:pBdr>
          <w:top w:val="single" w:sz="4" w:space="10" w:color="auto"/>
          <w:left w:val="single" w:sz="4" w:space="10" w:color="auto"/>
          <w:bottom w:val="single" w:sz="4" w:space="10" w:color="auto"/>
          <w:right w:val="single" w:sz="4" w:space="10" w:color="auto"/>
        </w:pBdr>
        <w:jc w:val="left"/>
        <w:rPr>
          <w:sz w:val="20"/>
          <w:lang w:val="en-NZ"/>
        </w:rPr>
      </w:pPr>
    </w:p>
    <w:p w:rsidR="001F34EC" w:rsidRPr="00CA1467" w:rsidRDefault="001F34EC" w:rsidP="00134BF6">
      <w:pPr>
        <w:pBdr>
          <w:top w:val="single" w:sz="4" w:space="10" w:color="auto"/>
          <w:left w:val="single" w:sz="4" w:space="10" w:color="auto"/>
          <w:bottom w:val="single" w:sz="4" w:space="10" w:color="auto"/>
          <w:right w:val="single" w:sz="4" w:space="10" w:color="auto"/>
        </w:pBdr>
        <w:rPr>
          <w:sz w:val="20"/>
          <w:lang w:val="en-NZ"/>
        </w:rPr>
      </w:pPr>
      <w:proofErr w:type="gramStart"/>
      <w:r w:rsidRPr="00CA1467">
        <w:rPr>
          <w:sz w:val="20"/>
          <w:lang w:val="en-NZ"/>
        </w:rPr>
        <w:t>A</w:t>
      </w:r>
      <w:proofErr w:type="gramEnd"/>
      <w:r w:rsidRPr="00CA1467">
        <w:rPr>
          <w:sz w:val="20"/>
          <w:lang w:val="en-NZ"/>
        </w:rPr>
        <w:t xml:space="preserve"> Ltd and B Ltd are 100</w:t>
      </w:r>
      <w:r w:rsidR="00BA0441">
        <w:rPr>
          <w:sz w:val="20"/>
          <w:lang w:val="en-NZ"/>
        </w:rPr>
        <w:t xml:space="preserve"> percent</w:t>
      </w:r>
      <w:r w:rsidR="00BA0441" w:rsidRPr="00CA1467">
        <w:rPr>
          <w:sz w:val="20"/>
          <w:lang w:val="en-NZ"/>
        </w:rPr>
        <w:t xml:space="preserve"> </w:t>
      </w:r>
      <w:r w:rsidRPr="00CA1467">
        <w:rPr>
          <w:sz w:val="20"/>
          <w:lang w:val="en-NZ"/>
        </w:rPr>
        <w:t xml:space="preserve">commonly owned group companies.  </w:t>
      </w:r>
      <w:proofErr w:type="gramStart"/>
      <w:r w:rsidRPr="00CA1467">
        <w:rPr>
          <w:sz w:val="20"/>
          <w:lang w:val="en-NZ"/>
        </w:rPr>
        <w:t>A</w:t>
      </w:r>
      <w:proofErr w:type="gramEnd"/>
      <w:r w:rsidRPr="00CA1467">
        <w:rPr>
          <w:sz w:val="20"/>
          <w:lang w:val="en-NZ"/>
        </w:rPr>
        <w:t xml:space="preserve"> Ltd purchases a property for $100.  Several years later A Ltd sells the property to B Ltd for $1,000.  </w:t>
      </w:r>
      <w:proofErr w:type="gramStart"/>
      <w:r w:rsidRPr="00CA1467">
        <w:rPr>
          <w:sz w:val="20"/>
          <w:lang w:val="en-NZ"/>
        </w:rPr>
        <w:t>A</w:t>
      </w:r>
      <w:proofErr w:type="gramEnd"/>
      <w:r w:rsidRPr="00CA1467">
        <w:rPr>
          <w:sz w:val="20"/>
          <w:lang w:val="en-NZ"/>
        </w:rPr>
        <w:t xml:space="preserve"> Ltd records a gain on sale of $900.</w:t>
      </w:r>
    </w:p>
    <w:p w:rsidR="001F34EC" w:rsidRPr="00CA1467" w:rsidRDefault="001F34EC" w:rsidP="00134BF6">
      <w:pPr>
        <w:pBdr>
          <w:top w:val="single" w:sz="4" w:space="10" w:color="auto"/>
          <w:left w:val="single" w:sz="4" w:space="10" w:color="auto"/>
          <w:bottom w:val="single" w:sz="4" w:space="10" w:color="auto"/>
          <w:right w:val="single" w:sz="4" w:space="10" w:color="auto"/>
        </w:pBdr>
        <w:rPr>
          <w:sz w:val="20"/>
          <w:lang w:val="en-NZ"/>
        </w:rPr>
      </w:pPr>
    </w:p>
    <w:p w:rsidR="001F34EC" w:rsidRPr="00CA1467" w:rsidRDefault="001F34EC" w:rsidP="00134BF6">
      <w:pPr>
        <w:pBdr>
          <w:top w:val="single" w:sz="4" w:space="10" w:color="auto"/>
          <w:left w:val="single" w:sz="4" w:space="10" w:color="auto"/>
          <w:bottom w:val="single" w:sz="4" w:space="10" w:color="auto"/>
          <w:right w:val="single" w:sz="4" w:space="10" w:color="auto"/>
        </w:pBdr>
        <w:rPr>
          <w:sz w:val="20"/>
          <w:lang w:val="en-NZ"/>
        </w:rPr>
      </w:pPr>
      <w:r w:rsidRPr="00CA1467">
        <w:rPr>
          <w:sz w:val="20"/>
          <w:lang w:val="en-NZ"/>
        </w:rPr>
        <w:t xml:space="preserve">Several years later, Person Z, who is not associated with A Ltd and B Ltd, purchases the property from B Ltd for $1,200 and A Ltd and B Ltd </w:t>
      </w:r>
      <w:proofErr w:type="gramStart"/>
      <w:r w:rsidRPr="00CA1467">
        <w:rPr>
          <w:sz w:val="20"/>
          <w:lang w:val="en-NZ"/>
        </w:rPr>
        <w:t>are then liquidated</w:t>
      </w:r>
      <w:proofErr w:type="gramEnd"/>
      <w:r w:rsidRPr="00CA1467">
        <w:rPr>
          <w:sz w:val="20"/>
          <w:lang w:val="en-NZ"/>
        </w:rPr>
        <w:t>.</w:t>
      </w:r>
    </w:p>
    <w:p w:rsidR="001F34EC" w:rsidRPr="00CA1467" w:rsidRDefault="001F34EC" w:rsidP="00134BF6">
      <w:pPr>
        <w:pBdr>
          <w:top w:val="single" w:sz="4" w:space="10" w:color="auto"/>
          <w:left w:val="single" w:sz="4" w:space="10" w:color="auto"/>
          <w:bottom w:val="single" w:sz="4" w:space="10" w:color="auto"/>
          <w:right w:val="single" w:sz="4" w:space="10" w:color="auto"/>
        </w:pBdr>
        <w:rPr>
          <w:sz w:val="20"/>
          <w:lang w:val="en-NZ"/>
        </w:rPr>
      </w:pPr>
    </w:p>
    <w:p w:rsidR="001F34EC" w:rsidRPr="00CA1467" w:rsidRDefault="001F34EC" w:rsidP="00134BF6">
      <w:pPr>
        <w:pBdr>
          <w:top w:val="single" w:sz="4" w:space="10" w:color="auto"/>
          <w:left w:val="single" w:sz="4" w:space="10" w:color="auto"/>
          <w:bottom w:val="single" w:sz="4" w:space="10" w:color="auto"/>
          <w:right w:val="single" w:sz="4" w:space="10" w:color="auto"/>
        </w:pBdr>
        <w:rPr>
          <w:sz w:val="20"/>
          <w:lang w:val="en-NZ"/>
        </w:rPr>
      </w:pPr>
      <w:r w:rsidRPr="00CA1467">
        <w:rPr>
          <w:sz w:val="20"/>
          <w:lang w:val="en-NZ"/>
        </w:rPr>
        <w:t xml:space="preserve">Under current law, a taxable dividend of $900 arises from A Ltd on liquidation because the property </w:t>
      </w:r>
      <w:proofErr w:type="gramStart"/>
      <w:r w:rsidRPr="00CA1467">
        <w:rPr>
          <w:sz w:val="20"/>
          <w:lang w:val="en-NZ"/>
        </w:rPr>
        <w:t>was sold</w:t>
      </w:r>
      <w:proofErr w:type="gramEnd"/>
      <w:r w:rsidRPr="00CA1467">
        <w:rPr>
          <w:sz w:val="20"/>
          <w:lang w:val="en-NZ"/>
        </w:rPr>
        <w:t xml:space="preserve"> to an associated person (B Ltd) and therefore the gain is not recognised as a capital profit.  B Ltd can distribute $200 tax-free to its shareholders (being $1,200 less $1,000).</w:t>
      </w:r>
    </w:p>
    <w:p w:rsidR="001F34EC" w:rsidRPr="00CA1467" w:rsidRDefault="001F34EC" w:rsidP="00134BF6">
      <w:pPr>
        <w:pBdr>
          <w:top w:val="single" w:sz="4" w:space="10" w:color="auto"/>
          <w:left w:val="single" w:sz="4" w:space="10" w:color="auto"/>
          <w:bottom w:val="single" w:sz="4" w:space="10" w:color="auto"/>
          <w:right w:val="single" w:sz="4" w:space="10" w:color="auto"/>
        </w:pBdr>
        <w:rPr>
          <w:sz w:val="20"/>
          <w:lang w:val="en-NZ"/>
        </w:rPr>
      </w:pPr>
    </w:p>
    <w:p w:rsidR="001F34EC" w:rsidRPr="00CA1467" w:rsidRDefault="001F34EC" w:rsidP="00134BF6">
      <w:pPr>
        <w:pBdr>
          <w:top w:val="single" w:sz="4" w:space="10" w:color="auto"/>
          <w:left w:val="single" w:sz="4" w:space="10" w:color="auto"/>
          <w:bottom w:val="single" w:sz="4" w:space="10" w:color="auto"/>
          <w:right w:val="single" w:sz="4" w:space="10" w:color="auto"/>
        </w:pBdr>
        <w:rPr>
          <w:sz w:val="20"/>
          <w:lang w:val="en-NZ"/>
        </w:rPr>
      </w:pPr>
      <w:r w:rsidRPr="00CA1467">
        <w:rPr>
          <w:sz w:val="20"/>
          <w:lang w:val="en-NZ"/>
        </w:rPr>
        <w:t xml:space="preserve">Had the property </w:t>
      </w:r>
      <w:proofErr w:type="gramStart"/>
      <w:r w:rsidRPr="00CA1467">
        <w:rPr>
          <w:sz w:val="20"/>
          <w:lang w:val="en-NZ"/>
        </w:rPr>
        <w:t>not been transferred between A Ltd and B Ltd, but instead brought by a non-associated person/company for $1,200 shortly before A Ltd’s liquidation,</w:t>
      </w:r>
      <w:proofErr w:type="gramEnd"/>
      <w:r w:rsidRPr="00CA1467">
        <w:rPr>
          <w:sz w:val="20"/>
          <w:lang w:val="en-NZ"/>
        </w:rPr>
        <w:t xml:space="preserve"> the full $1,100 gain ($1,200-$100) could have been distributed tax-free.</w:t>
      </w:r>
    </w:p>
    <w:p w:rsidR="00C31451" w:rsidRPr="00CA1467" w:rsidRDefault="00C31451" w:rsidP="00D20A9A">
      <w:pPr>
        <w:pStyle w:val="Chapter9"/>
        <w:numPr>
          <w:ilvl w:val="0"/>
          <w:numId w:val="0"/>
        </w:numPr>
        <w:ind w:left="851"/>
      </w:pPr>
    </w:p>
    <w:p w:rsidR="00D20A9A" w:rsidRPr="00CA1467" w:rsidRDefault="00D20A9A" w:rsidP="00D20A9A">
      <w:pPr>
        <w:pStyle w:val="Heading2"/>
      </w:pPr>
      <w:r w:rsidRPr="00CA1467">
        <w:t>Proposed solution</w:t>
      </w:r>
    </w:p>
    <w:p w:rsidR="00D20A9A" w:rsidRPr="00CA1467" w:rsidRDefault="00D20A9A" w:rsidP="00D20A9A">
      <w:pPr>
        <w:pStyle w:val="Chapter9"/>
        <w:numPr>
          <w:ilvl w:val="0"/>
          <w:numId w:val="0"/>
        </w:numPr>
        <w:ind w:left="851"/>
      </w:pPr>
    </w:p>
    <w:p w:rsidR="00D20A9A" w:rsidRPr="00CA1467" w:rsidRDefault="00D20A9A" w:rsidP="00D20A9A">
      <w:pPr>
        <w:pStyle w:val="Chapter9"/>
      </w:pPr>
      <w:proofErr w:type="gramStart"/>
      <w:r w:rsidRPr="00CA1467">
        <w:t xml:space="preserve">When there is a group of companies and one of the companies sells an asset to an unrelated third party, the extent to which the capital profit on the sale would qualify for a tax-free distribution </w:t>
      </w:r>
      <w:r w:rsidR="002573D7" w:rsidRPr="00CA1467">
        <w:t xml:space="preserve">on liquidation </w:t>
      </w:r>
      <w:r w:rsidRPr="00CA1467">
        <w:t>would be determined with reference to the original cost of the asset, ignoring any tainted gains arising from previous intra-group sales of the asset.</w:t>
      </w:r>
      <w:proofErr w:type="gramEnd"/>
    </w:p>
    <w:p w:rsidR="00D20A9A" w:rsidRPr="00CA1467" w:rsidRDefault="00D20A9A" w:rsidP="00D20A9A">
      <w:pPr>
        <w:pStyle w:val="Chapter9"/>
        <w:numPr>
          <w:ilvl w:val="0"/>
          <w:numId w:val="0"/>
        </w:numPr>
        <w:ind w:left="851"/>
      </w:pPr>
    </w:p>
    <w:p w:rsidR="00D20A9A" w:rsidRPr="00CA1467" w:rsidRDefault="00D20A9A" w:rsidP="00D20A9A">
      <w:pPr>
        <w:pStyle w:val="Chapter9"/>
      </w:pPr>
      <w:proofErr w:type="gramStart"/>
      <w:r w:rsidRPr="00CA1467">
        <w:t>There would be no limit on the type of companies to which this could apply.</w:t>
      </w:r>
      <w:proofErr w:type="gramEnd"/>
    </w:p>
    <w:p w:rsidR="00D20A9A" w:rsidRPr="00CA1467" w:rsidRDefault="00D20A9A" w:rsidP="00D20A9A">
      <w:pPr>
        <w:pStyle w:val="Chapter9"/>
        <w:numPr>
          <w:ilvl w:val="0"/>
          <w:numId w:val="0"/>
        </w:numPr>
        <w:ind w:left="851"/>
      </w:pPr>
    </w:p>
    <w:p w:rsidR="00D20A9A" w:rsidRPr="00CA1467" w:rsidRDefault="00D20A9A" w:rsidP="00D20A9A">
      <w:pPr>
        <w:pStyle w:val="Chapter9"/>
        <w:numPr>
          <w:ilvl w:val="0"/>
          <w:numId w:val="0"/>
        </w:numPr>
        <w:ind w:left="851"/>
      </w:pPr>
    </w:p>
    <w:p w:rsidR="00D20A9A" w:rsidRPr="00CA1467" w:rsidRDefault="00D20A9A" w:rsidP="00D20A9A">
      <w:pPr>
        <w:pStyle w:val="Heading1"/>
      </w:pPr>
      <w:bookmarkStart w:id="133" w:name="_Toc429469489"/>
      <w:r w:rsidRPr="00CA1467">
        <w:t>RWT compliance issues</w:t>
      </w:r>
      <w:bookmarkEnd w:id="133"/>
    </w:p>
    <w:p w:rsidR="00D20A9A" w:rsidRPr="00CA1467" w:rsidRDefault="00D20A9A" w:rsidP="00D20A9A">
      <w:pPr>
        <w:pStyle w:val="Chapter9"/>
        <w:numPr>
          <w:ilvl w:val="0"/>
          <w:numId w:val="0"/>
        </w:numPr>
        <w:ind w:left="851"/>
      </w:pPr>
    </w:p>
    <w:p w:rsidR="00D20A9A" w:rsidRPr="00CA1467" w:rsidRDefault="00D20A9A" w:rsidP="00D20A9A">
      <w:pPr>
        <w:pStyle w:val="Chapter9"/>
      </w:pPr>
      <w:r w:rsidRPr="00CA1467">
        <w:t>There are several issues with the application of RWT to dividend and interest payments made by closely held companies to their shareholders.</w:t>
      </w:r>
    </w:p>
    <w:p w:rsidR="00D20A9A" w:rsidRPr="00CA1467" w:rsidRDefault="00D20A9A" w:rsidP="00D20A9A">
      <w:pPr>
        <w:pStyle w:val="Chapter9"/>
        <w:numPr>
          <w:ilvl w:val="0"/>
          <w:numId w:val="0"/>
        </w:numPr>
        <w:ind w:left="851"/>
      </w:pPr>
    </w:p>
    <w:p w:rsidR="00D20A9A" w:rsidRPr="00CA1467" w:rsidRDefault="00D20A9A" w:rsidP="00D20A9A">
      <w:pPr>
        <w:pStyle w:val="Heading2"/>
      </w:pPr>
      <w:r w:rsidRPr="00CA1467">
        <w:t>Dividends</w:t>
      </w:r>
    </w:p>
    <w:p w:rsidR="00D20A9A" w:rsidRPr="00CA1467" w:rsidRDefault="00D20A9A" w:rsidP="00D20A9A">
      <w:pPr>
        <w:pStyle w:val="Chapter9"/>
        <w:numPr>
          <w:ilvl w:val="0"/>
          <w:numId w:val="0"/>
        </w:numPr>
        <w:ind w:left="851"/>
      </w:pPr>
    </w:p>
    <w:p w:rsidR="00D20A9A" w:rsidRPr="00CA1467" w:rsidRDefault="00D20A9A" w:rsidP="00D20A9A">
      <w:pPr>
        <w:pStyle w:val="Chapter9"/>
      </w:pPr>
      <w:r w:rsidRPr="00CA1467">
        <w:t xml:space="preserve">Subject to the attachment of imputation credits, the RWT rate on dividends is a flat 33%.  The lowering of the company tax rate to 28% means that even fully imputed dividends must have RWT deducted.  This creates a compliance burden on companies, and in </w:t>
      </w:r>
      <w:proofErr w:type="gramStart"/>
      <w:r w:rsidRPr="00CA1467">
        <w:t>particular</w:t>
      </w:r>
      <w:proofErr w:type="gramEnd"/>
      <w:r w:rsidRPr="00CA1467">
        <w:t xml:space="preserve"> SME companies that pay fully imputed dividends.  It also creates over-taxation for corporate shareholders who suffer RWT deductions from fully imputed dividends and for individual shareholders who are not on the top personal tax rate.  Any excess RWT then needs to be claimed as a refund when the tax return for the relevant income year is filed, which not only means refund delays but also a compliance burden on those individuals who may not otherwise have had to file a return.</w:t>
      </w:r>
    </w:p>
    <w:p w:rsidR="00D20A9A" w:rsidRPr="00CA1467" w:rsidRDefault="00D20A9A" w:rsidP="00D20A9A">
      <w:pPr>
        <w:pStyle w:val="Chapter9"/>
        <w:numPr>
          <w:ilvl w:val="0"/>
          <w:numId w:val="0"/>
        </w:numPr>
        <w:ind w:left="851"/>
      </w:pPr>
    </w:p>
    <w:p w:rsidR="00D20A9A" w:rsidRPr="00CA1467" w:rsidRDefault="00D20A9A" w:rsidP="00D20A9A">
      <w:pPr>
        <w:pStyle w:val="Chapter9"/>
      </w:pPr>
      <w:r w:rsidRPr="00CA1467">
        <w:t>Two specific compliance issues that have been raised with us in relation to the timing of dividend payments and associated RWT deductions are:</w:t>
      </w:r>
    </w:p>
    <w:p w:rsidR="00D20A9A" w:rsidRPr="00CA1467" w:rsidRDefault="00D20A9A" w:rsidP="00D20A9A">
      <w:pPr>
        <w:pStyle w:val="Chapter9"/>
        <w:numPr>
          <w:ilvl w:val="0"/>
          <w:numId w:val="0"/>
        </w:numPr>
        <w:ind w:left="851"/>
      </w:pPr>
    </w:p>
    <w:p w:rsidR="00D20A9A" w:rsidRPr="00CA1467" w:rsidRDefault="00D20A9A" w:rsidP="00D20A9A">
      <w:pPr>
        <w:pStyle w:val="Bullets"/>
      </w:pPr>
      <w:r w:rsidRPr="00CA1467">
        <w:t xml:space="preserve">RWT is due the month after the dividend is “paid”, but </w:t>
      </w:r>
      <w:r w:rsidR="002573D7" w:rsidRPr="00CA1467">
        <w:t>for</w:t>
      </w:r>
      <w:r w:rsidRPr="00CA1467">
        <w:t xml:space="preserve"> many companies the dividend’s quantum is sometimes not determined until after this time.</w:t>
      </w:r>
    </w:p>
    <w:p w:rsidR="00D20A9A" w:rsidRPr="00CA1467" w:rsidRDefault="00D20A9A" w:rsidP="00183C05">
      <w:pPr>
        <w:pStyle w:val="Bullets"/>
        <w:spacing w:after="0"/>
      </w:pPr>
      <w:r w:rsidRPr="00CA1467">
        <w:t xml:space="preserve">It is common practice </w:t>
      </w:r>
      <w:proofErr w:type="gramStart"/>
      <w:r w:rsidRPr="00CA1467">
        <w:t>to retrospectively clear</w:t>
      </w:r>
      <w:proofErr w:type="gramEnd"/>
      <w:r w:rsidRPr="00CA1467">
        <w:t xml:space="preserve"> a shareholder’s overdrawn account by a year-end credit for dividends.  This credit </w:t>
      </w:r>
      <w:proofErr w:type="gramStart"/>
      <w:r w:rsidRPr="00CA1467">
        <w:t>is deemed</w:t>
      </w:r>
      <w:proofErr w:type="gramEnd"/>
      <w:r w:rsidRPr="00CA1467">
        <w:t xml:space="preserve"> to arise on the later of the first day of the relevant income year or the date the “loan” (by way of overdrawn account) was made; so that no tax or FBT arises on the “loan”.  </w:t>
      </w:r>
      <w:proofErr w:type="gramStart"/>
      <w:r w:rsidRPr="00CA1467">
        <w:t>However</w:t>
      </w:r>
      <w:proofErr w:type="gramEnd"/>
      <w:r w:rsidRPr="00CA1467">
        <w:t xml:space="preserve"> this treatment does not apply if tax is deducted from the dividend.  Because the company tax rate change means that RWT </w:t>
      </w:r>
      <w:proofErr w:type="gramStart"/>
      <w:r w:rsidRPr="00CA1467">
        <w:t>is now required to be deducted</w:t>
      </w:r>
      <w:proofErr w:type="gramEnd"/>
      <w:r w:rsidRPr="00CA1467">
        <w:t xml:space="preserve"> from all dividends, whether fully imputed or not, the ability to backdate a dividend to clear an overdrawn account no longer exists.</w:t>
      </w:r>
    </w:p>
    <w:p w:rsidR="00D20A9A" w:rsidRPr="00CA1467" w:rsidRDefault="00D20A9A" w:rsidP="00D20A9A">
      <w:pPr>
        <w:pStyle w:val="Chapter9"/>
        <w:numPr>
          <w:ilvl w:val="0"/>
          <w:numId w:val="0"/>
        </w:numPr>
        <w:ind w:left="851"/>
      </w:pPr>
    </w:p>
    <w:p w:rsidR="00D20A9A" w:rsidRPr="00CA1467" w:rsidRDefault="00D20A9A" w:rsidP="00D20A9A">
      <w:pPr>
        <w:pStyle w:val="Heading2"/>
      </w:pPr>
      <w:r w:rsidRPr="00CA1467">
        <w:t>Interest</w:t>
      </w:r>
    </w:p>
    <w:p w:rsidR="00D20A9A" w:rsidRPr="00CA1467" w:rsidRDefault="00D20A9A" w:rsidP="00D20A9A">
      <w:pPr>
        <w:pStyle w:val="Chapter9"/>
        <w:numPr>
          <w:ilvl w:val="0"/>
          <w:numId w:val="0"/>
        </w:numPr>
        <w:ind w:left="851"/>
      </w:pPr>
    </w:p>
    <w:p w:rsidR="00D20A9A" w:rsidRPr="00CA1467" w:rsidRDefault="00D20A9A" w:rsidP="00D20A9A">
      <w:pPr>
        <w:pStyle w:val="Chapter9"/>
      </w:pPr>
      <w:r w:rsidRPr="00CA1467">
        <w:t xml:space="preserve">On interest, the RWT varies according to the shareholder’s marginal tax rate.  It is common for companies to pay interest to associated persons.  Again, if RWT on this interest did not need to </w:t>
      </w:r>
      <w:proofErr w:type="gramStart"/>
      <w:r w:rsidRPr="00CA1467">
        <w:t>be accounted for</w:t>
      </w:r>
      <w:proofErr w:type="gramEnd"/>
      <w:r w:rsidRPr="00CA1467">
        <w:t xml:space="preserve"> there would seemingly be compliance savings for the payer.</w:t>
      </w:r>
    </w:p>
    <w:p w:rsidR="00D20A9A" w:rsidRPr="00CA1467" w:rsidRDefault="00D20A9A" w:rsidP="00D20A9A">
      <w:pPr>
        <w:pStyle w:val="Chapter9"/>
        <w:numPr>
          <w:ilvl w:val="0"/>
          <w:numId w:val="0"/>
        </w:numPr>
        <w:ind w:left="851"/>
      </w:pPr>
    </w:p>
    <w:p w:rsidR="00D20A9A" w:rsidRPr="00CA1467" w:rsidRDefault="00D20A9A" w:rsidP="00D20A9A">
      <w:pPr>
        <w:pStyle w:val="Chapter9"/>
      </w:pPr>
      <w:r w:rsidRPr="00CA1467">
        <w:t xml:space="preserve">These matters </w:t>
      </w:r>
      <w:proofErr w:type="gramStart"/>
      <w:r w:rsidRPr="00CA1467">
        <w:t>were considered</w:t>
      </w:r>
      <w:proofErr w:type="gramEnd"/>
      <w:r w:rsidRPr="00CA1467">
        <w:t xml:space="preserve"> in the review.</w:t>
      </w:r>
    </w:p>
    <w:p w:rsidR="00D20A9A" w:rsidRPr="00CA1467" w:rsidRDefault="00D20A9A" w:rsidP="00D20A9A">
      <w:pPr>
        <w:pStyle w:val="Chapter9"/>
        <w:numPr>
          <w:ilvl w:val="0"/>
          <w:numId w:val="0"/>
        </w:numPr>
        <w:ind w:left="851"/>
      </w:pPr>
    </w:p>
    <w:p w:rsidR="00D20A9A" w:rsidRPr="00CA1467" w:rsidRDefault="00D20A9A" w:rsidP="00D20A9A">
      <w:pPr>
        <w:pStyle w:val="Heading2"/>
      </w:pPr>
      <w:r w:rsidRPr="00CA1467">
        <w:t>Possible solution</w:t>
      </w:r>
    </w:p>
    <w:p w:rsidR="00D20A9A" w:rsidRPr="00CA1467" w:rsidRDefault="00D20A9A" w:rsidP="00D20A9A">
      <w:pPr>
        <w:pStyle w:val="Chapter9"/>
        <w:numPr>
          <w:ilvl w:val="0"/>
          <w:numId w:val="0"/>
        </w:numPr>
        <w:ind w:left="851"/>
      </w:pPr>
    </w:p>
    <w:p w:rsidR="00D20A9A" w:rsidRPr="00CA1467" w:rsidRDefault="00D20A9A" w:rsidP="00D20A9A">
      <w:pPr>
        <w:pStyle w:val="Chapter9"/>
      </w:pPr>
      <w:proofErr w:type="gramStart"/>
      <w:r w:rsidRPr="00CA1467">
        <w:t>One possible solution would be to allow a close company to elect to remove RWT on its dividends, and possibly interest payments, to shareholders (and persons associated with shareholders), subject to the directors of the company providing a guarantee that they will pay the tax on any untaxed part of the imputed dividend or interest payment should the shareholders fail to do so.</w:t>
      </w:r>
      <w:proofErr w:type="gramEnd"/>
      <w:r w:rsidRPr="00CA1467">
        <w:t xml:space="preserve">  A directors’ guarantee </w:t>
      </w:r>
      <w:proofErr w:type="gramStart"/>
      <w:r w:rsidRPr="00CA1467">
        <w:t>would be considered</w:t>
      </w:r>
      <w:proofErr w:type="gramEnd"/>
      <w:r w:rsidRPr="00CA1467">
        <w:t xml:space="preserve"> a necessary backstop even though the shareholders and the company would be likely to be closely linked.</w:t>
      </w:r>
    </w:p>
    <w:p w:rsidR="00D20A9A" w:rsidRPr="00CA1467" w:rsidRDefault="00D20A9A" w:rsidP="00D20A9A">
      <w:pPr>
        <w:pStyle w:val="Chapter9"/>
        <w:numPr>
          <w:ilvl w:val="0"/>
          <w:numId w:val="0"/>
        </w:numPr>
        <w:ind w:left="851"/>
      </w:pPr>
    </w:p>
    <w:p w:rsidR="00D20A9A" w:rsidRPr="00CA1467" w:rsidRDefault="00D20A9A" w:rsidP="00D20A9A">
      <w:pPr>
        <w:pStyle w:val="Chapter9"/>
      </w:pPr>
      <w:r w:rsidRPr="00CA1467">
        <w:t xml:space="preserve">There would be both compliance cost savings for the paying company and very likely administration cost savings with this approach, especially when returns are manually prepared.  However, some of the compliance costs </w:t>
      </w:r>
      <w:proofErr w:type="gramStart"/>
      <w:r w:rsidRPr="00CA1467">
        <w:t>would be switched</w:t>
      </w:r>
      <w:proofErr w:type="gramEnd"/>
      <w:r w:rsidRPr="00CA1467">
        <w:t xml:space="preserve"> from the payer to the recipient.  Some recipients of the dividends or interest may face increased compliance costs through having to file a tax return when they would not otherwise have to do so and/or through having to pay provisional tax when they are currently under the provisional tax threshold.</w:t>
      </w:r>
    </w:p>
    <w:p w:rsidR="00D20A9A" w:rsidRPr="00CA1467" w:rsidRDefault="00D20A9A" w:rsidP="00D20A9A">
      <w:pPr>
        <w:pStyle w:val="Chapter9"/>
        <w:numPr>
          <w:ilvl w:val="0"/>
          <w:numId w:val="0"/>
        </w:numPr>
        <w:ind w:left="851"/>
      </w:pPr>
    </w:p>
    <w:p w:rsidR="00D20A9A" w:rsidRPr="00CA1467" w:rsidRDefault="00D20A9A" w:rsidP="00D20A9A">
      <w:pPr>
        <w:pStyle w:val="Chapter9"/>
      </w:pPr>
      <w:r w:rsidRPr="00CA1467">
        <w:t xml:space="preserve">The optional removal of RWT would also give rise to fiscal costs from the deferral of tax.  Some of this deferral is transitional, involving the deferral of tax that </w:t>
      </w:r>
      <w:proofErr w:type="gramStart"/>
      <w:r w:rsidRPr="00CA1467">
        <w:t>would have been paid</w:t>
      </w:r>
      <w:proofErr w:type="gramEnd"/>
      <w:r w:rsidRPr="00CA1467">
        <w:t xml:space="preserve"> in the first year of the change as RWT to its being paid as a combination of terminal tax and higher provisional tax payments in the following year.  This one-off retiming of payments accounts for much of the deferral.  However, there is also a permanent deferral for those who would have had RWT deducted in the current year but who instead for all future years pay the tax by way of terminal tax in the following year.  Added to this is a higher potential for non-compliance in the absence of a withholding tax.  Our best estimates of these various elements in combination is as follows:</w:t>
      </w:r>
    </w:p>
    <w:p w:rsidR="00D20A9A" w:rsidRPr="00CA1467" w:rsidRDefault="00D20A9A" w:rsidP="008540C0">
      <w:pPr>
        <w:pStyle w:val="Chapter9"/>
        <w:numPr>
          <w:ilvl w:val="0"/>
          <w:numId w:val="0"/>
        </w:numPr>
        <w:ind w:left="851"/>
      </w:pPr>
    </w:p>
    <w:p w:rsidR="008540C0" w:rsidRPr="00CA1467" w:rsidRDefault="008540C0" w:rsidP="008540C0">
      <w:pPr>
        <w:pStyle w:val="Chapter9"/>
        <w:numPr>
          <w:ilvl w:val="0"/>
          <w:numId w:val="0"/>
        </w:numPr>
        <w:ind w:left="851"/>
      </w:pPr>
    </w:p>
    <w:p w:rsidR="00D20A9A" w:rsidRPr="00CA1467" w:rsidRDefault="008540C0">
      <w:pPr>
        <w:pStyle w:val="Chapter9"/>
        <w:numPr>
          <w:ilvl w:val="0"/>
          <w:numId w:val="0"/>
        </w:numPr>
        <w:spacing w:after="200"/>
        <w:jc w:val="left"/>
        <w:rPr>
          <w:b/>
        </w:rPr>
      </w:pPr>
      <w:r w:rsidRPr="00CA1467">
        <w:rPr>
          <w:b/>
        </w:rPr>
        <w:t xml:space="preserve">Table </w:t>
      </w:r>
      <w:r w:rsidR="005C29C2">
        <w:rPr>
          <w:b/>
        </w:rPr>
        <w:t>7</w:t>
      </w:r>
      <w:r w:rsidRPr="00CA1467">
        <w:rPr>
          <w:b/>
        </w:rPr>
        <w:t>: Fiscal costs of possible RWT solutions</w:t>
      </w:r>
    </w:p>
    <w:tbl>
      <w:tblPr>
        <w:tblStyle w:val="TableGrid"/>
        <w:tblW w:w="0" w:type="auto"/>
        <w:tblInd w:w="108" w:type="dxa"/>
        <w:tblLayout w:type="fixed"/>
        <w:tblLook w:val="04A0" w:firstRow="1" w:lastRow="0" w:firstColumn="1" w:lastColumn="0" w:noHBand="0" w:noVBand="1"/>
      </w:tblPr>
      <w:tblGrid>
        <w:gridCol w:w="2410"/>
        <w:gridCol w:w="1202"/>
        <w:gridCol w:w="1202"/>
        <w:gridCol w:w="1202"/>
        <w:gridCol w:w="1202"/>
        <w:gridCol w:w="1202"/>
      </w:tblGrid>
      <w:tr w:rsidR="008540C0" w:rsidRPr="00CA1467" w:rsidTr="00750878">
        <w:tc>
          <w:tcPr>
            <w:tcW w:w="2410" w:type="dxa"/>
          </w:tcPr>
          <w:p w:rsidR="008540C0" w:rsidRPr="00CA1467" w:rsidRDefault="008540C0" w:rsidP="008540C0">
            <w:pPr>
              <w:pStyle w:val="Chapter9"/>
              <w:numPr>
                <w:ilvl w:val="0"/>
                <w:numId w:val="0"/>
              </w:numPr>
              <w:spacing w:before="120" w:after="120"/>
              <w:jc w:val="left"/>
              <w:rPr>
                <w:b/>
                <w:sz w:val="20"/>
                <w:szCs w:val="20"/>
              </w:rPr>
            </w:pPr>
            <w:r w:rsidRPr="00CA1467">
              <w:rPr>
                <w:b/>
                <w:sz w:val="20"/>
                <w:szCs w:val="20"/>
              </w:rPr>
              <w:t>Optional removal of:</w:t>
            </w:r>
          </w:p>
        </w:tc>
        <w:tc>
          <w:tcPr>
            <w:tcW w:w="1202" w:type="dxa"/>
          </w:tcPr>
          <w:p w:rsidR="008540C0" w:rsidRPr="00CA1467" w:rsidRDefault="008540C0" w:rsidP="008540C0">
            <w:pPr>
              <w:pStyle w:val="Chapter9"/>
              <w:numPr>
                <w:ilvl w:val="0"/>
                <w:numId w:val="0"/>
              </w:numPr>
              <w:spacing w:before="120" w:after="120"/>
              <w:jc w:val="center"/>
              <w:rPr>
                <w:b/>
                <w:sz w:val="20"/>
                <w:szCs w:val="20"/>
              </w:rPr>
            </w:pPr>
            <w:r w:rsidRPr="00CA1467">
              <w:rPr>
                <w:b/>
                <w:sz w:val="20"/>
                <w:szCs w:val="20"/>
              </w:rPr>
              <w:t>Year 1</w:t>
            </w:r>
            <w:r w:rsidRPr="00CA1467">
              <w:rPr>
                <w:b/>
                <w:sz w:val="20"/>
                <w:szCs w:val="20"/>
              </w:rPr>
              <w:br/>
              <w:t>($m)</w:t>
            </w:r>
          </w:p>
        </w:tc>
        <w:tc>
          <w:tcPr>
            <w:tcW w:w="1202" w:type="dxa"/>
          </w:tcPr>
          <w:p w:rsidR="008540C0" w:rsidRPr="00CA1467" w:rsidRDefault="008540C0" w:rsidP="008540C0">
            <w:pPr>
              <w:pStyle w:val="Chapter9"/>
              <w:numPr>
                <w:ilvl w:val="0"/>
                <w:numId w:val="0"/>
              </w:numPr>
              <w:spacing w:before="120" w:after="120"/>
              <w:jc w:val="center"/>
              <w:rPr>
                <w:b/>
                <w:sz w:val="20"/>
                <w:szCs w:val="20"/>
              </w:rPr>
            </w:pPr>
            <w:r w:rsidRPr="00CA1467">
              <w:rPr>
                <w:b/>
                <w:sz w:val="20"/>
                <w:szCs w:val="20"/>
              </w:rPr>
              <w:t>Year 2</w:t>
            </w:r>
            <w:r w:rsidRPr="00CA1467">
              <w:rPr>
                <w:b/>
                <w:sz w:val="20"/>
                <w:szCs w:val="20"/>
              </w:rPr>
              <w:br/>
              <w:t>($m)</w:t>
            </w:r>
          </w:p>
        </w:tc>
        <w:tc>
          <w:tcPr>
            <w:tcW w:w="1202" w:type="dxa"/>
          </w:tcPr>
          <w:p w:rsidR="008540C0" w:rsidRPr="00CA1467" w:rsidRDefault="008540C0" w:rsidP="008540C0">
            <w:pPr>
              <w:pStyle w:val="Chapter9"/>
              <w:numPr>
                <w:ilvl w:val="0"/>
                <w:numId w:val="0"/>
              </w:numPr>
              <w:spacing w:before="120" w:after="120"/>
              <w:jc w:val="center"/>
              <w:rPr>
                <w:b/>
                <w:sz w:val="20"/>
                <w:szCs w:val="20"/>
              </w:rPr>
            </w:pPr>
            <w:r w:rsidRPr="00CA1467">
              <w:rPr>
                <w:b/>
                <w:sz w:val="20"/>
                <w:szCs w:val="20"/>
              </w:rPr>
              <w:t>Year 3</w:t>
            </w:r>
            <w:r w:rsidRPr="00CA1467">
              <w:rPr>
                <w:b/>
                <w:sz w:val="20"/>
                <w:szCs w:val="20"/>
              </w:rPr>
              <w:br/>
              <w:t>($m)</w:t>
            </w:r>
          </w:p>
        </w:tc>
        <w:tc>
          <w:tcPr>
            <w:tcW w:w="1202" w:type="dxa"/>
          </w:tcPr>
          <w:p w:rsidR="008540C0" w:rsidRPr="00CA1467" w:rsidRDefault="008540C0" w:rsidP="008540C0">
            <w:pPr>
              <w:pStyle w:val="Chapter9"/>
              <w:numPr>
                <w:ilvl w:val="0"/>
                <w:numId w:val="0"/>
              </w:numPr>
              <w:spacing w:before="120" w:after="120"/>
              <w:jc w:val="center"/>
              <w:rPr>
                <w:b/>
                <w:sz w:val="20"/>
                <w:szCs w:val="20"/>
              </w:rPr>
            </w:pPr>
            <w:r w:rsidRPr="00CA1467">
              <w:rPr>
                <w:b/>
                <w:sz w:val="20"/>
                <w:szCs w:val="20"/>
              </w:rPr>
              <w:t>Year 4</w:t>
            </w:r>
            <w:r w:rsidRPr="00CA1467">
              <w:rPr>
                <w:b/>
                <w:sz w:val="20"/>
                <w:szCs w:val="20"/>
              </w:rPr>
              <w:br/>
              <w:t>($m)</w:t>
            </w:r>
          </w:p>
        </w:tc>
        <w:tc>
          <w:tcPr>
            <w:tcW w:w="1202" w:type="dxa"/>
          </w:tcPr>
          <w:p w:rsidR="008540C0" w:rsidRPr="00CA1467" w:rsidRDefault="008540C0" w:rsidP="008540C0">
            <w:pPr>
              <w:pStyle w:val="Chapter9"/>
              <w:numPr>
                <w:ilvl w:val="0"/>
                <w:numId w:val="0"/>
              </w:numPr>
              <w:spacing w:before="120" w:after="120"/>
              <w:jc w:val="center"/>
              <w:rPr>
                <w:b/>
                <w:sz w:val="20"/>
                <w:szCs w:val="20"/>
              </w:rPr>
            </w:pPr>
            <w:r w:rsidRPr="00CA1467">
              <w:rPr>
                <w:b/>
                <w:sz w:val="20"/>
                <w:szCs w:val="20"/>
              </w:rPr>
              <w:t>Year 5</w:t>
            </w:r>
            <w:r w:rsidRPr="00CA1467">
              <w:rPr>
                <w:b/>
                <w:sz w:val="20"/>
                <w:szCs w:val="20"/>
              </w:rPr>
              <w:br/>
              <w:t>($m)</w:t>
            </w:r>
          </w:p>
        </w:tc>
      </w:tr>
      <w:tr w:rsidR="008540C0" w:rsidRPr="00CA1467" w:rsidTr="00750878">
        <w:tc>
          <w:tcPr>
            <w:tcW w:w="2410" w:type="dxa"/>
          </w:tcPr>
          <w:p w:rsidR="008540C0" w:rsidRPr="00CA1467" w:rsidRDefault="008540C0" w:rsidP="008540C0">
            <w:pPr>
              <w:pStyle w:val="Chapter9"/>
              <w:numPr>
                <w:ilvl w:val="0"/>
                <w:numId w:val="0"/>
              </w:numPr>
              <w:spacing w:before="80" w:after="80"/>
              <w:jc w:val="left"/>
              <w:rPr>
                <w:sz w:val="20"/>
                <w:szCs w:val="20"/>
              </w:rPr>
            </w:pPr>
            <w:r w:rsidRPr="00CA1467">
              <w:rPr>
                <w:sz w:val="20"/>
                <w:szCs w:val="20"/>
              </w:rPr>
              <w:t xml:space="preserve">RWT on dividends </w:t>
            </w:r>
          </w:p>
        </w:tc>
        <w:tc>
          <w:tcPr>
            <w:tcW w:w="1202" w:type="dxa"/>
          </w:tcPr>
          <w:p w:rsidR="008540C0" w:rsidRPr="00CA1467" w:rsidRDefault="008540C0" w:rsidP="008540C0">
            <w:pPr>
              <w:pStyle w:val="Chapter9"/>
              <w:numPr>
                <w:ilvl w:val="0"/>
                <w:numId w:val="0"/>
              </w:numPr>
              <w:spacing w:before="80" w:after="80"/>
              <w:jc w:val="center"/>
              <w:rPr>
                <w:sz w:val="20"/>
                <w:szCs w:val="20"/>
              </w:rPr>
            </w:pPr>
            <w:r w:rsidRPr="00CA1467">
              <w:rPr>
                <w:sz w:val="20"/>
                <w:szCs w:val="20"/>
              </w:rPr>
              <w:t>-145</w:t>
            </w:r>
          </w:p>
        </w:tc>
        <w:tc>
          <w:tcPr>
            <w:tcW w:w="1202" w:type="dxa"/>
          </w:tcPr>
          <w:p w:rsidR="008540C0" w:rsidRPr="00CA1467" w:rsidRDefault="008540C0" w:rsidP="008540C0">
            <w:pPr>
              <w:pStyle w:val="Chapter9"/>
              <w:numPr>
                <w:ilvl w:val="0"/>
                <w:numId w:val="0"/>
              </w:numPr>
              <w:spacing w:before="80" w:after="80"/>
              <w:jc w:val="center"/>
              <w:rPr>
                <w:sz w:val="20"/>
                <w:szCs w:val="20"/>
              </w:rPr>
            </w:pPr>
            <w:r w:rsidRPr="00CA1467">
              <w:rPr>
                <w:sz w:val="20"/>
                <w:szCs w:val="20"/>
              </w:rPr>
              <w:t>+102</w:t>
            </w:r>
          </w:p>
        </w:tc>
        <w:tc>
          <w:tcPr>
            <w:tcW w:w="1202" w:type="dxa"/>
          </w:tcPr>
          <w:p w:rsidR="008540C0" w:rsidRPr="00CA1467" w:rsidRDefault="008540C0" w:rsidP="008540C0">
            <w:pPr>
              <w:pStyle w:val="Chapter9"/>
              <w:numPr>
                <w:ilvl w:val="0"/>
                <w:numId w:val="0"/>
              </w:numPr>
              <w:spacing w:before="80" w:after="80"/>
              <w:jc w:val="center"/>
              <w:rPr>
                <w:sz w:val="20"/>
                <w:szCs w:val="20"/>
              </w:rPr>
            </w:pPr>
            <w:r w:rsidRPr="00CA1467">
              <w:rPr>
                <w:sz w:val="20"/>
                <w:szCs w:val="20"/>
              </w:rPr>
              <w:t>-4</w:t>
            </w:r>
          </w:p>
        </w:tc>
        <w:tc>
          <w:tcPr>
            <w:tcW w:w="1202" w:type="dxa"/>
          </w:tcPr>
          <w:p w:rsidR="008540C0" w:rsidRPr="00CA1467" w:rsidRDefault="008540C0" w:rsidP="008540C0">
            <w:pPr>
              <w:pStyle w:val="Chapter9"/>
              <w:numPr>
                <w:ilvl w:val="0"/>
                <w:numId w:val="0"/>
              </w:numPr>
              <w:spacing w:before="80" w:after="80"/>
              <w:jc w:val="center"/>
              <w:rPr>
                <w:sz w:val="20"/>
                <w:szCs w:val="20"/>
              </w:rPr>
            </w:pPr>
            <w:r w:rsidRPr="00CA1467">
              <w:rPr>
                <w:sz w:val="20"/>
                <w:szCs w:val="20"/>
              </w:rPr>
              <w:t>-4</w:t>
            </w:r>
          </w:p>
        </w:tc>
        <w:tc>
          <w:tcPr>
            <w:tcW w:w="1202" w:type="dxa"/>
          </w:tcPr>
          <w:p w:rsidR="008540C0" w:rsidRPr="00CA1467" w:rsidRDefault="008540C0" w:rsidP="008540C0">
            <w:pPr>
              <w:pStyle w:val="Chapter9"/>
              <w:numPr>
                <w:ilvl w:val="0"/>
                <w:numId w:val="0"/>
              </w:numPr>
              <w:spacing w:before="80" w:after="80"/>
              <w:jc w:val="center"/>
              <w:rPr>
                <w:sz w:val="20"/>
                <w:szCs w:val="20"/>
              </w:rPr>
            </w:pPr>
            <w:r w:rsidRPr="00CA1467">
              <w:rPr>
                <w:sz w:val="20"/>
                <w:szCs w:val="20"/>
              </w:rPr>
              <w:t>-4</w:t>
            </w:r>
          </w:p>
        </w:tc>
      </w:tr>
      <w:tr w:rsidR="008540C0" w:rsidRPr="00CA1467" w:rsidTr="00750878">
        <w:tc>
          <w:tcPr>
            <w:tcW w:w="2410" w:type="dxa"/>
          </w:tcPr>
          <w:p w:rsidR="008540C0" w:rsidRPr="00CA1467" w:rsidRDefault="008540C0" w:rsidP="008540C0">
            <w:pPr>
              <w:pStyle w:val="Chapter9"/>
              <w:numPr>
                <w:ilvl w:val="0"/>
                <w:numId w:val="0"/>
              </w:numPr>
              <w:spacing w:before="80" w:after="80"/>
              <w:jc w:val="left"/>
              <w:rPr>
                <w:sz w:val="20"/>
                <w:szCs w:val="20"/>
              </w:rPr>
            </w:pPr>
            <w:r w:rsidRPr="00CA1467">
              <w:rPr>
                <w:sz w:val="20"/>
                <w:szCs w:val="20"/>
              </w:rPr>
              <w:t>RWT on interest</w:t>
            </w:r>
          </w:p>
        </w:tc>
        <w:tc>
          <w:tcPr>
            <w:tcW w:w="1202" w:type="dxa"/>
          </w:tcPr>
          <w:p w:rsidR="008540C0" w:rsidRPr="00CA1467" w:rsidRDefault="008540C0" w:rsidP="008540C0">
            <w:pPr>
              <w:pStyle w:val="Chapter9"/>
              <w:numPr>
                <w:ilvl w:val="0"/>
                <w:numId w:val="0"/>
              </w:numPr>
              <w:spacing w:before="80" w:after="80"/>
              <w:jc w:val="center"/>
              <w:rPr>
                <w:sz w:val="20"/>
                <w:szCs w:val="20"/>
              </w:rPr>
            </w:pPr>
            <w:r w:rsidRPr="00CA1467">
              <w:rPr>
                <w:sz w:val="20"/>
                <w:szCs w:val="20"/>
              </w:rPr>
              <w:t>-161</w:t>
            </w:r>
          </w:p>
        </w:tc>
        <w:tc>
          <w:tcPr>
            <w:tcW w:w="1202" w:type="dxa"/>
          </w:tcPr>
          <w:p w:rsidR="008540C0" w:rsidRPr="00CA1467" w:rsidRDefault="008540C0" w:rsidP="008540C0">
            <w:pPr>
              <w:pStyle w:val="Chapter9"/>
              <w:numPr>
                <w:ilvl w:val="0"/>
                <w:numId w:val="0"/>
              </w:numPr>
              <w:spacing w:before="80" w:after="80"/>
              <w:jc w:val="center"/>
              <w:rPr>
                <w:sz w:val="20"/>
                <w:szCs w:val="20"/>
              </w:rPr>
            </w:pPr>
            <w:r w:rsidRPr="00CA1467">
              <w:rPr>
                <w:sz w:val="20"/>
                <w:szCs w:val="20"/>
              </w:rPr>
              <w:t>+117</w:t>
            </w:r>
          </w:p>
        </w:tc>
        <w:tc>
          <w:tcPr>
            <w:tcW w:w="1202" w:type="dxa"/>
          </w:tcPr>
          <w:p w:rsidR="008540C0" w:rsidRPr="00CA1467" w:rsidRDefault="008540C0" w:rsidP="008540C0">
            <w:pPr>
              <w:pStyle w:val="Chapter9"/>
              <w:numPr>
                <w:ilvl w:val="0"/>
                <w:numId w:val="0"/>
              </w:numPr>
              <w:spacing w:before="80" w:after="80"/>
              <w:jc w:val="center"/>
              <w:rPr>
                <w:sz w:val="20"/>
                <w:szCs w:val="20"/>
              </w:rPr>
            </w:pPr>
            <w:r w:rsidRPr="00CA1467">
              <w:rPr>
                <w:sz w:val="20"/>
                <w:szCs w:val="20"/>
              </w:rPr>
              <w:t>-2</w:t>
            </w:r>
          </w:p>
        </w:tc>
        <w:tc>
          <w:tcPr>
            <w:tcW w:w="1202" w:type="dxa"/>
          </w:tcPr>
          <w:p w:rsidR="008540C0" w:rsidRPr="00CA1467" w:rsidRDefault="008540C0" w:rsidP="008540C0">
            <w:pPr>
              <w:pStyle w:val="Chapter9"/>
              <w:numPr>
                <w:ilvl w:val="0"/>
                <w:numId w:val="0"/>
              </w:numPr>
              <w:spacing w:before="80" w:after="80"/>
              <w:jc w:val="center"/>
              <w:rPr>
                <w:sz w:val="20"/>
                <w:szCs w:val="20"/>
              </w:rPr>
            </w:pPr>
            <w:r w:rsidRPr="00CA1467">
              <w:rPr>
                <w:sz w:val="20"/>
                <w:szCs w:val="20"/>
              </w:rPr>
              <w:t>-2</w:t>
            </w:r>
          </w:p>
        </w:tc>
        <w:tc>
          <w:tcPr>
            <w:tcW w:w="1202" w:type="dxa"/>
          </w:tcPr>
          <w:p w:rsidR="008540C0" w:rsidRPr="00CA1467" w:rsidRDefault="008540C0" w:rsidP="008540C0">
            <w:pPr>
              <w:pStyle w:val="Chapter9"/>
              <w:numPr>
                <w:ilvl w:val="0"/>
                <w:numId w:val="0"/>
              </w:numPr>
              <w:spacing w:before="80" w:after="80"/>
              <w:jc w:val="center"/>
              <w:rPr>
                <w:sz w:val="20"/>
                <w:szCs w:val="20"/>
              </w:rPr>
            </w:pPr>
            <w:r w:rsidRPr="00CA1467">
              <w:rPr>
                <w:sz w:val="20"/>
                <w:szCs w:val="20"/>
              </w:rPr>
              <w:t>-2</w:t>
            </w:r>
          </w:p>
        </w:tc>
      </w:tr>
    </w:tbl>
    <w:p w:rsidR="008540C0" w:rsidRPr="00CA1467" w:rsidRDefault="008540C0" w:rsidP="008540C0">
      <w:pPr>
        <w:pStyle w:val="Chapter9"/>
        <w:numPr>
          <w:ilvl w:val="0"/>
          <w:numId w:val="0"/>
        </w:numPr>
        <w:ind w:left="851"/>
      </w:pPr>
    </w:p>
    <w:p w:rsidR="008540C0" w:rsidRPr="00CA1467" w:rsidRDefault="008540C0" w:rsidP="008540C0">
      <w:pPr>
        <w:pStyle w:val="Chapter9"/>
        <w:numPr>
          <w:ilvl w:val="0"/>
          <w:numId w:val="0"/>
        </w:numPr>
        <w:ind w:left="851"/>
      </w:pPr>
    </w:p>
    <w:p w:rsidR="00D20A9A" w:rsidRPr="00CA1467" w:rsidRDefault="00D20A9A" w:rsidP="00D20A9A">
      <w:pPr>
        <w:pStyle w:val="Chapter9"/>
      </w:pPr>
      <w:r w:rsidRPr="00CA1467">
        <w:t xml:space="preserve">It is not clear that the possible compliance savings warrant incurring such fiscal costs.  In these circumstances, these matters would best be considered in the wider context of the work being undertaken to streamline business tax processes, as discussed in the Government green paper </w:t>
      </w:r>
      <w:r w:rsidRPr="00183C05">
        <w:rPr>
          <w:i/>
        </w:rPr>
        <w:t>Making Tax Simpler</w:t>
      </w:r>
      <w:r w:rsidRPr="00CA1467">
        <w:t xml:space="preserve"> (March 2015).  Part of this work involves looking at ways to streamline the methods for paying tax more generally.</w:t>
      </w:r>
    </w:p>
    <w:p w:rsidR="00D20A9A" w:rsidRPr="00CA1467" w:rsidRDefault="00D20A9A" w:rsidP="00D20A9A">
      <w:pPr>
        <w:pStyle w:val="Chapter9"/>
        <w:numPr>
          <w:ilvl w:val="0"/>
          <w:numId w:val="0"/>
        </w:numPr>
        <w:ind w:left="851"/>
      </w:pPr>
    </w:p>
    <w:p w:rsidR="00D20A9A" w:rsidRPr="00CA1467" w:rsidRDefault="00D20A9A" w:rsidP="00D20A9A">
      <w:pPr>
        <w:pStyle w:val="Chapter9"/>
      </w:pPr>
      <w:r w:rsidRPr="00CA1467">
        <w:t xml:space="preserve">In deriving these estimates, it is assumed that the dividend RWT is received in the fiscal year before </w:t>
      </w:r>
      <w:proofErr w:type="gramStart"/>
      <w:r w:rsidRPr="00CA1467">
        <w:t>it is claimed by the receiving shareholders</w:t>
      </w:r>
      <w:proofErr w:type="gramEnd"/>
      <w:r w:rsidRPr="00CA1467">
        <w:t xml:space="preserve">.  However, it </w:t>
      </w:r>
      <w:proofErr w:type="gramStart"/>
      <w:r w:rsidRPr="00CA1467">
        <w:t>has been suggested</w:t>
      </w:r>
      <w:proofErr w:type="gramEnd"/>
      <w:r w:rsidRPr="00CA1467">
        <w:t xml:space="preserve"> to us that the recognition of some dividend RWT payments may in fact arise later.  We are interested in feedback on what is the current practice in terms of paying the RWT, including in relation to clearing a shareholder’s overdrawn current account.</w:t>
      </w:r>
    </w:p>
    <w:p w:rsidR="00D20A9A" w:rsidRPr="00CA1467" w:rsidRDefault="00D20A9A" w:rsidP="00D20A9A">
      <w:pPr>
        <w:pStyle w:val="Chapter9"/>
        <w:numPr>
          <w:ilvl w:val="0"/>
          <w:numId w:val="0"/>
        </w:numPr>
        <w:ind w:left="851"/>
      </w:pPr>
    </w:p>
    <w:p w:rsidR="00D20A9A" w:rsidRPr="00CA1467" w:rsidRDefault="00D20A9A" w:rsidP="00D20A9A">
      <w:pPr>
        <w:pStyle w:val="Heading2"/>
      </w:pPr>
      <w:r w:rsidRPr="00CA1467">
        <w:t>Associated issue – RWT on dividends between companies</w:t>
      </w:r>
    </w:p>
    <w:p w:rsidR="00D20A9A" w:rsidRPr="00CA1467" w:rsidRDefault="00D20A9A" w:rsidP="00D20A9A">
      <w:pPr>
        <w:pStyle w:val="Chapter9"/>
        <w:numPr>
          <w:ilvl w:val="0"/>
          <w:numId w:val="0"/>
        </w:numPr>
        <w:ind w:left="851"/>
      </w:pPr>
    </w:p>
    <w:p w:rsidR="00D20A9A" w:rsidRPr="00CA1467" w:rsidRDefault="00D20A9A" w:rsidP="00D20A9A">
      <w:pPr>
        <w:pStyle w:val="Chapter9"/>
      </w:pPr>
      <w:r w:rsidRPr="00CA1467">
        <w:t>The lowering of the company tax rate to 28% has also meant that even fully imputed dividends between companies are subject to RWT unless they are part of the same wholly</w:t>
      </w:r>
      <w:r w:rsidR="00A93861">
        <w:t xml:space="preserve"> </w:t>
      </w:r>
      <w:r w:rsidRPr="00CA1467">
        <w:t xml:space="preserve">owned group or the recipient holds a certificate of exemption.  Giving the paying company the option of not withholding RWT in such cases would lower compliance and administration costs in relation to those companies who are able </w:t>
      </w:r>
      <w:proofErr w:type="gramStart"/>
      <w:r w:rsidRPr="00CA1467">
        <w:t>to readily identify</w:t>
      </w:r>
      <w:proofErr w:type="gramEnd"/>
      <w:r w:rsidRPr="00CA1467">
        <w:t xml:space="preserve"> their corporate shareholders.  This should be of benefit to a wide range of companies.  It </w:t>
      </w:r>
      <w:proofErr w:type="gramStart"/>
      <w:r w:rsidRPr="00CA1467">
        <w:t>is expected</w:t>
      </w:r>
      <w:proofErr w:type="gramEnd"/>
      <w:r w:rsidRPr="00CA1467">
        <w:t xml:space="preserve"> to have only a transitional fiscal cost ($9m, in the first year of application).</w:t>
      </w:r>
    </w:p>
    <w:p w:rsidR="00D20A9A" w:rsidRPr="00CA1467" w:rsidRDefault="00D20A9A" w:rsidP="00D20A9A">
      <w:pPr>
        <w:pStyle w:val="Chapter9"/>
        <w:numPr>
          <w:ilvl w:val="0"/>
          <w:numId w:val="0"/>
        </w:numPr>
        <w:ind w:left="851"/>
      </w:pPr>
    </w:p>
    <w:p w:rsidR="00D20A9A" w:rsidRPr="00CA1467" w:rsidRDefault="00D20A9A" w:rsidP="00D20A9A">
      <w:pPr>
        <w:pStyle w:val="Heading3"/>
      </w:pPr>
      <w:r w:rsidRPr="00CA1467">
        <w:t>Proposed solution</w:t>
      </w:r>
    </w:p>
    <w:p w:rsidR="00D20A9A" w:rsidRPr="00CA1467" w:rsidRDefault="00D20A9A" w:rsidP="00D20A9A">
      <w:pPr>
        <w:pStyle w:val="Chapter9"/>
        <w:numPr>
          <w:ilvl w:val="0"/>
          <w:numId w:val="0"/>
        </w:numPr>
        <w:ind w:left="851"/>
      </w:pPr>
    </w:p>
    <w:p w:rsidR="00D20A9A" w:rsidRPr="00CA1467" w:rsidRDefault="00D20A9A" w:rsidP="00D20A9A">
      <w:pPr>
        <w:pStyle w:val="Chapter9"/>
      </w:pPr>
      <w:r w:rsidRPr="00CA1467">
        <w:t xml:space="preserve">When a fully imputed dividend </w:t>
      </w:r>
      <w:proofErr w:type="gramStart"/>
      <w:r w:rsidRPr="00CA1467">
        <w:t>is paid</w:t>
      </w:r>
      <w:proofErr w:type="gramEnd"/>
      <w:r w:rsidRPr="00CA1467">
        <w:t xml:space="preserve"> to another company, applying RWT to that dividend would be optional.</w:t>
      </w:r>
    </w:p>
    <w:p w:rsidR="00D20A9A" w:rsidRPr="00CA1467" w:rsidRDefault="00D20A9A" w:rsidP="00D20A9A">
      <w:pPr>
        <w:pStyle w:val="Chapter9"/>
        <w:numPr>
          <w:ilvl w:val="0"/>
          <w:numId w:val="0"/>
        </w:numPr>
        <w:ind w:left="851"/>
      </w:pPr>
    </w:p>
    <w:p w:rsidR="003D28D3" w:rsidRDefault="003D28D3">
      <w:pPr>
        <w:jc w:val="left"/>
        <w:rPr>
          <w:b/>
          <w:szCs w:val="24"/>
          <w:lang w:val="en-NZ"/>
        </w:rPr>
      </w:pPr>
      <w:r>
        <w:br w:type="page"/>
      </w:r>
    </w:p>
    <w:p w:rsidR="00D20A9A" w:rsidRPr="00CA1467" w:rsidRDefault="00D20A9A" w:rsidP="00D20A9A">
      <w:pPr>
        <w:pStyle w:val="Heading1"/>
      </w:pPr>
      <w:bookmarkStart w:id="134" w:name="_Toc429469490"/>
      <w:r w:rsidRPr="00CA1467">
        <w:t>Cash and non-cash (taxable bonus) dividends</w:t>
      </w:r>
      <w:bookmarkEnd w:id="134"/>
    </w:p>
    <w:p w:rsidR="00D20A9A" w:rsidRPr="00CA1467" w:rsidRDefault="00D20A9A" w:rsidP="00D20A9A">
      <w:pPr>
        <w:pStyle w:val="Chapter9"/>
        <w:numPr>
          <w:ilvl w:val="0"/>
          <w:numId w:val="0"/>
        </w:numPr>
        <w:ind w:left="851"/>
      </w:pPr>
    </w:p>
    <w:p w:rsidR="00D20A9A" w:rsidRPr="00CA1467" w:rsidRDefault="00D20A9A" w:rsidP="00D20A9A">
      <w:pPr>
        <w:pStyle w:val="Chapter9"/>
      </w:pPr>
      <w:r w:rsidRPr="00CA1467">
        <w:t xml:space="preserve">The contemporaneous payment of a cash and non-cash dividend (such as a taxable bonus issue) </w:t>
      </w:r>
      <w:proofErr w:type="gramStart"/>
      <w:r w:rsidRPr="00CA1467">
        <w:t>is regarded</w:t>
      </w:r>
      <w:proofErr w:type="gramEnd"/>
      <w:r w:rsidRPr="00CA1467">
        <w:t xml:space="preserve"> as being two separate dividends.  Consequentially, the RWT can be higher than it should.</w:t>
      </w:r>
    </w:p>
    <w:p w:rsidR="00D20A9A" w:rsidRPr="00CA1467" w:rsidRDefault="00D20A9A" w:rsidP="00D20A9A">
      <w:pPr>
        <w:pStyle w:val="Chapter9"/>
        <w:numPr>
          <w:ilvl w:val="0"/>
          <w:numId w:val="0"/>
        </w:numPr>
        <w:ind w:left="851"/>
      </w:pPr>
    </w:p>
    <w:p w:rsidR="00D20A9A" w:rsidRPr="00CA1467" w:rsidRDefault="00D20A9A" w:rsidP="00D20A9A">
      <w:pPr>
        <w:pStyle w:val="Chapter9"/>
      </w:pPr>
      <w:r w:rsidRPr="00CA1467">
        <w:t>Sections RE 13 and RE 14 of the Income Tax Act, respectively, deal with the amount of RWT necessary for cash and non-cash (other than taxable bonus issues) dividends, as follows:</w:t>
      </w:r>
    </w:p>
    <w:p w:rsidR="00D20A9A" w:rsidRPr="00CA1467" w:rsidRDefault="00D20A9A" w:rsidP="00D20A9A">
      <w:pPr>
        <w:pStyle w:val="Chapter9"/>
        <w:numPr>
          <w:ilvl w:val="0"/>
          <w:numId w:val="0"/>
        </w:numPr>
        <w:ind w:left="851"/>
      </w:pPr>
    </w:p>
    <w:p w:rsidR="00D20A9A" w:rsidRPr="00CA1467" w:rsidRDefault="00D20A9A" w:rsidP="00D20A9A">
      <w:pPr>
        <w:pStyle w:val="Heading2"/>
      </w:pPr>
      <w:r w:rsidRPr="00CA1467">
        <w:t>Cash dividends</w:t>
      </w:r>
    </w:p>
    <w:p w:rsidR="00D20A9A" w:rsidRPr="00CA1467" w:rsidRDefault="00D20A9A" w:rsidP="00D20A9A">
      <w:pPr>
        <w:pStyle w:val="Chapter9"/>
        <w:numPr>
          <w:ilvl w:val="0"/>
          <w:numId w:val="0"/>
        </w:numPr>
        <w:ind w:left="851"/>
      </w:pPr>
    </w:p>
    <w:p w:rsidR="00D20A9A" w:rsidRPr="00CA1467" w:rsidRDefault="00D20A9A" w:rsidP="00D20A9A">
      <w:pPr>
        <w:pStyle w:val="Chapter9"/>
      </w:pPr>
      <w:r w:rsidRPr="00CA1467">
        <w:t>The section RE 13 formula is:</w:t>
      </w:r>
    </w:p>
    <w:p w:rsidR="00D20A9A" w:rsidRPr="00CA1467" w:rsidRDefault="00D20A9A" w:rsidP="00D20A9A">
      <w:pPr>
        <w:pStyle w:val="Chapter9"/>
        <w:numPr>
          <w:ilvl w:val="0"/>
          <w:numId w:val="0"/>
        </w:numPr>
        <w:ind w:left="851"/>
      </w:pPr>
    </w:p>
    <w:p w:rsidR="00D20A9A" w:rsidRPr="00183C05" w:rsidRDefault="00D20A9A" w:rsidP="00750878">
      <w:pPr>
        <w:ind w:left="1276"/>
        <w:jc w:val="left"/>
        <w:rPr>
          <w:i/>
          <w:lang w:val="en-NZ"/>
        </w:rPr>
      </w:pPr>
      <w:r w:rsidRPr="00183C05">
        <w:rPr>
          <w:i/>
          <w:lang w:val="en-NZ"/>
        </w:rPr>
        <w:t>RWT =</w:t>
      </w:r>
      <w:r w:rsidR="00183C05" w:rsidRPr="00183C05">
        <w:rPr>
          <w:i/>
          <w:lang w:val="en-NZ"/>
        </w:rPr>
        <w:t xml:space="preserve"> </w:t>
      </w:r>
      <w:r w:rsidRPr="00183C05">
        <w:rPr>
          <w:i/>
          <w:lang w:val="en-NZ"/>
        </w:rPr>
        <w:t xml:space="preserve">(tax rate </w:t>
      </w:r>
      <w:r w:rsidR="009603DA">
        <w:rPr>
          <w:i/>
          <w:lang w:val="en-NZ"/>
        </w:rPr>
        <w:t>×</w:t>
      </w:r>
      <w:r w:rsidRPr="00183C05">
        <w:rPr>
          <w:i/>
          <w:lang w:val="en-NZ"/>
        </w:rPr>
        <w:t xml:space="preserve"> (dividend paid + tax paid or credit attached)</w:t>
      </w:r>
      <w:r w:rsidR="00183C05" w:rsidRPr="00183C05">
        <w:rPr>
          <w:i/>
          <w:lang w:val="en-NZ"/>
        </w:rPr>
        <w:t>) – tax paid or credit attached</w:t>
      </w:r>
    </w:p>
    <w:p w:rsidR="00D20A9A" w:rsidRDefault="00D20A9A" w:rsidP="000B1F5C">
      <w:pPr>
        <w:ind w:left="1276"/>
        <w:rPr>
          <w:lang w:val="en-NZ"/>
        </w:rPr>
      </w:pPr>
    </w:p>
    <w:p w:rsidR="000B1F5C" w:rsidRDefault="000B1F5C" w:rsidP="000B1F5C">
      <w:pPr>
        <w:ind w:left="1276"/>
        <w:rPr>
          <w:lang w:val="en-NZ"/>
        </w:rPr>
      </w:pPr>
      <w:proofErr w:type="gramStart"/>
      <w:r>
        <w:rPr>
          <w:lang w:val="en-NZ"/>
        </w:rPr>
        <w:t>where</w:t>
      </w:r>
      <w:proofErr w:type="gramEnd"/>
      <w:r>
        <w:rPr>
          <w:lang w:val="en-NZ"/>
        </w:rPr>
        <w:t>:</w:t>
      </w:r>
    </w:p>
    <w:p w:rsidR="000B1F5C" w:rsidRPr="00CA1467" w:rsidRDefault="000B1F5C" w:rsidP="000B1F5C">
      <w:pPr>
        <w:ind w:left="1276"/>
        <w:rPr>
          <w:lang w:val="en-NZ"/>
        </w:rPr>
      </w:pPr>
    </w:p>
    <w:p w:rsidR="00D20A9A" w:rsidRDefault="000B1F5C" w:rsidP="000B1F5C">
      <w:pPr>
        <w:ind w:left="1276"/>
        <w:rPr>
          <w:lang w:val="en-NZ"/>
        </w:rPr>
      </w:pPr>
      <w:proofErr w:type="gramStart"/>
      <w:r>
        <w:rPr>
          <w:i/>
          <w:lang w:val="en-NZ"/>
        </w:rPr>
        <w:t>t</w:t>
      </w:r>
      <w:r w:rsidRPr="00CA1467">
        <w:rPr>
          <w:i/>
          <w:lang w:val="en-NZ"/>
        </w:rPr>
        <w:t>ax</w:t>
      </w:r>
      <w:proofErr w:type="gramEnd"/>
      <w:r w:rsidRPr="00CA1467">
        <w:rPr>
          <w:i/>
          <w:lang w:val="en-NZ"/>
        </w:rPr>
        <w:t xml:space="preserve"> </w:t>
      </w:r>
      <w:r w:rsidR="00D20A9A" w:rsidRPr="00CA1467">
        <w:rPr>
          <w:i/>
          <w:lang w:val="en-NZ"/>
        </w:rPr>
        <w:t>rate</w:t>
      </w:r>
      <w:r w:rsidR="00D20A9A" w:rsidRPr="00CA1467">
        <w:rPr>
          <w:lang w:val="en-NZ"/>
        </w:rPr>
        <w:t xml:space="preserve"> is the basic tax rate app</w:t>
      </w:r>
      <w:r w:rsidR="00183C05">
        <w:rPr>
          <w:lang w:val="en-NZ"/>
        </w:rPr>
        <w:t>lying to dividends, that is 33%</w:t>
      </w:r>
      <w:r>
        <w:rPr>
          <w:lang w:val="en-NZ"/>
        </w:rPr>
        <w:t>;</w:t>
      </w:r>
    </w:p>
    <w:p w:rsidR="00183C05" w:rsidRPr="00183C05" w:rsidRDefault="00183C05" w:rsidP="000B1F5C">
      <w:pPr>
        <w:ind w:left="1276"/>
        <w:rPr>
          <w:lang w:val="en-NZ"/>
        </w:rPr>
      </w:pPr>
    </w:p>
    <w:p w:rsidR="00D20A9A" w:rsidRDefault="000B1F5C" w:rsidP="000B1F5C">
      <w:pPr>
        <w:ind w:left="1276"/>
        <w:rPr>
          <w:lang w:val="en-NZ"/>
        </w:rPr>
      </w:pPr>
      <w:proofErr w:type="gramStart"/>
      <w:r>
        <w:rPr>
          <w:i/>
          <w:lang w:val="en-NZ"/>
        </w:rPr>
        <w:t>d</w:t>
      </w:r>
      <w:r w:rsidRPr="00183C05">
        <w:rPr>
          <w:i/>
          <w:lang w:val="en-NZ"/>
        </w:rPr>
        <w:t>ividend</w:t>
      </w:r>
      <w:proofErr w:type="gramEnd"/>
      <w:r w:rsidRPr="00183C05">
        <w:rPr>
          <w:i/>
          <w:lang w:val="en-NZ"/>
        </w:rPr>
        <w:t xml:space="preserve"> </w:t>
      </w:r>
      <w:r w:rsidR="00D20A9A" w:rsidRPr="00183C05">
        <w:rPr>
          <w:i/>
          <w:lang w:val="en-NZ"/>
        </w:rPr>
        <w:t>paid</w:t>
      </w:r>
      <w:r w:rsidR="00D20A9A" w:rsidRPr="00CA1467">
        <w:rPr>
          <w:lang w:val="en-NZ"/>
        </w:rPr>
        <w:t xml:space="preserve"> is the net amount of the dividend</w:t>
      </w:r>
      <w:r w:rsidR="00183C05">
        <w:rPr>
          <w:lang w:val="en-NZ"/>
        </w:rPr>
        <w:t xml:space="preserve"> before the addition of credits</w:t>
      </w:r>
      <w:r>
        <w:rPr>
          <w:lang w:val="en-NZ"/>
        </w:rPr>
        <w:t>;</w:t>
      </w:r>
    </w:p>
    <w:p w:rsidR="00183C05" w:rsidRPr="00183C05" w:rsidRDefault="00183C05" w:rsidP="000B1F5C">
      <w:pPr>
        <w:ind w:left="1276"/>
        <w:rPr>
          <w:lang w:val="en-NZ"/>
        </w:rPr>
      </w:pPr>
    </w:p>
    <w:p w:rsidR="00D20A9A" w:rsidRPr="00CA1467" w:rsidRDefault="000B1F5C" w:rsidP="000B1F5C">
      <w:pPr>
        <w:ind w:left="1276"/>
        <w:rPr>
          <w:lang w:val="en-NZ"/>
        </w:rPr>
      </w:pPr>
      <w:proofErr w:type="gramStart"/>
      <w:r>
        <w:rPr>
          <w:i/>
          <w:lang w:val="en-NZ"/>
        </w:rPr>
        <w:t>t</w:t>
      </w:r>
      <w:r w:rsidRPr="00CA1467">
        <w:rPr>
          <w:i/>
          <w:lang w:val="en-NZ"/>
        </w:rPr>
        <w:t>ax</w:t>
      </w:r>
      <w:proofErr w:type="gramEnd"/>
      <w:r w:rsidRPr="00CA1467">
        <w:rPr>
          <w:i/>
          <w:lang w:val="en-NZ"/>
        </w:rPr>
        <w:t xml:space="preserve"> </w:t>
      </w:r>
      <w:r w:rsidR="00D20A9A" w:rsidRPr="00CA1467">
        <w:rPr>
          <w:i/>
          <w:lang w:val="en-NZ"/>
        </w:rPr>
        <w:t>paid or credit attached</w:t>
      </w:r>
      <w:r w:rsidR="00D20A9A" w:rsidRPr="00CA1467">
        <w:rPr>
          <w:lang w:val="en-NZ"/>
        </w:rPr>
        <w:t xml:space="preserve"> is imputation credits and FDP credits (or foreign withholding tax paid or payable on the dividend where the company is not resident in New Zealand).</w:t>
      </w:r>
    </w:p>
    <w:p w:rsidR="0013541C" w:rsidRPr="00CA1467" w:rsidRDefault="0013541C" w:rsidP="00D20A9A">
      <w:pPr>
        <w:ind w:left="851"/>
        <w:rPr>
          <w:lang w:val="en-NZ"/>
        </w:rPr>
      </w:pPr>
    </w:p>
    <w:p w:rsidR="002007CD" w:rsidRPr="002007CD" w:rsidRDefault="002007CD" w:rsidP="002007CD">
      <w:pPr>
        <w:pBdr>
          <w:top w:val="single" w:sz="4" w:space="10" w:color="auto"/>
          <w:left w:val="single" w:sz="4" w:space="10" w:color="auto"/>
          <w:bottom w:val="single" w:sz="4" w:space="10" w:color="auto"/>
          <w:right w:val="single" w:sz="4" w:space="10" w:color="auto"/>
        </w:pBdr>
        <w:rPr>
          <w:b/>
          <w:sz w:val="20"/>
          <w:lang w:val="en-NZ"/>
        </w:rPr>
      </w:pPr>
      <w:r w:rsidRPr="002007CD">
        <w:rPr>
          <w:b/>
          <w:sz w:val="20"/>
          <w:lang w:val="en-NZ"/>
        </w:rPr>
        <w:t>Example</w:t>
      </w:r>
    </w:p>
    <w:p w:rsidR="002007CD" w:rsidRPr="002007CD" w:rsidRDefault="002007CD" w:rsidP="002007CD">
      <w:pPr>
        <w:pBdr>
          <w:top w:val="single" w:sz="4" w:space="10" w:color="auto"/>
          <w:left w:val="single" w:sz="4" w:space="10" w:color="auto"/>
          <w:bottom w:val="single" w:sz="4" w:space="10" w:color="auto"/>
          <w:right w:val="single" w:sz="4" w:space="10" w:color="auto"/>
        </w:pBdr>
        <w:rPr>
          <w:sz w:val="20"/>
          <w:lang w:val="en-NZ"/>
        </w:rPr>
      </w:pPr>
    </w:p>
    <w:p w:rsidR="002007CD" w:rsidRPr="002007CD" w:rsidRDefault="002007CD" w:rsidP="002007CD">
      <w:pPr>
        <w:pBdr>
          <w:top w:val="single" w:sz="4" w:space="10" w:color="auto"/>
          <w:left w:val="single" w:sz="4" w:space="10" w:color="auto"/>
          <w:bottom w:val="single" w:sz="4" w:space="10" w:color="auto"/>
          <w:right w:val="single" w:sz="4" w:space="10" w:color="auto"/>
        </w:pBdr>
        <w:rPr>
          <w:sz w:val="20"/>
          <w:lang w:val="en-NZ"/>
        </w:rPr>
      </w:pPr>
      <w:r w:rsidRPr="002007CD">
        <w:rPr>
          <w:sz w:val="20"/>
          <w:lang w:val="en-NZ"/>
        </w:rPr>
        <w:t>A cash dividend of $72 with imputation credits of $</w:t>
      </w:r>
      <w:proofErr w:type="gramStart"/>
      <w:r w:rsidRPr="002007CD">
        <w:rPr>
          <w:sz w:val="20"/>
          <w:lang w:val="en-NZ"/>
        </w:rPr>
        <w:t>28,</w:t>
      </w:r>
      <w:proofErr w:type="gramEnd"/>
      <w:r w:rsidRPr="002007CD">
        <w:rPr>
          <w:sz w:val="20"/>
          <w:lang w:val="en-NZ"/>
        </w:rPr>
        <w:t xml:space="preserve"> and no FDP credits:</w:t>
      </w:r>
    </w:p>
    <w:p w:rsidR="002007CD" w:rsidRPr="002007CD" w:rsidRDefault="002007CD" w:rsidP="002007CD">
      <w:pPr>
        <w:pBdr>
          <w:top w:val="single" w:sz="4" w:space="10" w:color="auto"/>
          <w:left w:val="single" w:sz="4" w:space="10" w:color="auto"/>
          <w:bottom w:val="single" w:sz="4" w:space="10" w:color="auto"/>
          <w:right w:val="single" w:sz="4" w:space="10" w:color="auto"/>
        </w:pBdr>
        <w:rPr>
          <w:sz w:val="20"/>
          <w:lang w:val="en-NZ"/>
        </w:rPr>
      </w:pPr>
    </w:p>
    <w:p w:rsidR="0013541C" w:rsidRPr="002007CD" w:rsidRDefault="002007CD" w:rsidP="002007CD">
      <w:pPr>
        <w:pBdr>
          <w:top w:val="single" w:sz="4" w:space="10" w:color="auto"/>
          <w:left w:val="single" w:sz="4" w:space="10" w:color="auto"/>
          <w:bottom w:val="single" w:sz="4" w:space="10" w:color="auto"/>
          <w:right w:val="single" w:sz="4" w:space="10" w:color="auto"/>
        </w:pBdr>
        <w:jc w:val="center"/>
        <w:rPr>
          <w:sz w:val="20"/>
          <w:lang w:val="en-NZ"/>
        </w:rPr>
      </w:pPr>
      <w:r w:rsidRPr="002007CD">
        <w:rPr>
          <w:sz w:val="20"/>
          <w:lang w:val="en-NZ"/>
        </w:rPr>
        <w:t xml:space="preserve">RWT = (0.33 </w:t>
      </w:r>
      <w:r w:rsidR="009603DA" w:rsidRPr="009603DA">
        <w:rPr>
          <w:i/>
          <w:sz w:val="20"/>
          <w:lang w:val="en-NZ"/>
        </w:rPr>
        <w:t>×</w:t>
      </w:r>
      <w:r w:rsidRPr="002007CD">
        <w:rPr>
          <w:sz w:val="20"/>
          <w:lang w:val="en-NZ"/>
        </w:rPr>
        <w:t xml:space="preserve"> ($72 + $28)) – $28 = $5</w:t>
      </w:r>
    </w:p>
    <w:p w:rsidR="0013541C" w:rsidRPr="00CA1467" w:rsidRDefault="0013541C" w:rsidP="002007CD">
      <w:pPr>
        <w:pStyle w:val="Chapter9"/>
        <w:numPr>
          <w:ilvl w:val="0"/>
          <w:numId w:val="0"/>
        </w:numPr>
        <w:ind w:left="851" w:hanging="851"/>
      </w:pPr>
    </w:p>
    <w:p w:rsidR="0013541C" w:rsidRPr="00CA1467" w:rsidRDefault="0013541C" w:rsidP="0013541C">
      <w:pPr>
        <w:pStyle w:val="Heading2"/>
      </w:pPr>
      <w:r w:rsidRPr="00CA1467">
        <w:t>Non-cash dividends other than bonus issues in lieu</w:t>
      </w:r>
    </w:p>
    <w:p w:rsidR="0013541C" w:rsidRPr="00CA1467" w:rsidRDefault="0013541C" w:rsidP="0013541C">
      <w:pPr>
        <w:pStyle w:val="Chapter9"/>
        <w:numPr>
          <w:ilvl w:val="0"/>
          <w:numId w:val="0"/>
        </w:numPr>
        <w:ind w:left="851"/>
      </w:pPr>
    </w:p>
    <w:p w:rsidR="0013541C" w:rsidRPr="00CA1467" w:rsidRDefault="0013541C" w:rsidP="0013541C">
      <w:pPr>
        <w:pStyle w:val="Chapter9"/>
      </w:pPr>
      <w:r w:rsidRPr="00CA1467">
        <w:t>The section RE 14 formula is:</w:t>
      </w:r>
    </w:p>
    <w:p w:rsidR="0013541C" w:rsidRPr="00CA1467" w:rsidRDefault="0013541C" w:rsidP="0013541C">
      <w:pPr>
        <w:pStyle w:val="Chapter9"/>
        <w:numPr>
          <w:ilvl w:val="0"/>
          <w:numId w:val="0"/>
        </w:numPr>
        <w:ind w:left="851"/>
      </w:pPr>
    </w:p>
    <w:p w:rsidR="0013541C" w:rsidRPr="002007CD" w:rsidRDefault="0013541C" w:rsidP="00750878">
      <w:pPr>
        <w:ind w:left="1276"/>
        <w:jc w:val="left"/>
        <w:rPr>
          <w:i/>
          <w:lang w:val="en-NZ"/>
        </w:rPr>
      </w:pPr>
      <w:r w:rsidRPr="002007CD">
        <w:rPr>
          <w:i/>
          <w:lang w:val="en-NZ"/>
        </w:rPr>
        <w:t xml:space="preserve">RWT = (tax rate </w:t>
      </w:r>
      <w:r w:rsidR="009603DA">
        <w:rPr>
          <w:i/>
          <w:lang w:val="en-NZ"/>
        </w:rPr>
        <w:t>×</w:t>
      </w:r>
      <w:r w:rsidRPr="002007CD">
        <w:rPr>
          <w:i/>
          <w:lang w:val="en-NZ"/>
        </w:rPr>
        <w:t xml:space="preserve"> dividend paid / (1 – tax rate)) – tax paid or dividend attached</w:t>
      </w:r>
    </w:p>
    <w:p w:rsidR="0013541C" w:rsidRPr="00CA1467" w:rsidRDefault="0013541C" w:rsidP="0013541C">
      <w:pPr>
        <w:pStyle w:val="Chapter9"/>
        <w:numPr>
          <w:ilvl w:val="0"/>
          <w:numId w:val="0"/>
        </w:numPr>
        <w:ind w:left="851"/>
      </w:pPr>
    </w:p>
    <w:p w:rsidR="0013541C" w:rsidRPr="00CA1467" w:rsidRDefault="0013541C" w:rsidP="0013541C">
      <w:pPr>
        <w:pStyle w:val="Chapter9"/>
      </w:pPr>
      <w:r w:rsidRPr="00CA1467">
        <w:t>The key point is that “dividend paid / (1 – tax rate)” is a gross</w:t>
      </w:r>
      <w:r w:rsidR="00785952">
        <w:t>-</w:t>
      </w:r>
      <w:r w:rsidRPr="00CA1467">
        <w:t>up calculation to allow the gross dividend including both imputation credits and RWT to be calculated.</w:t>
      </w:r>
    </w:p>
    <w:p w:rsidR="0013541C" w:rsidRDefault="0013541C" w:rsidP="0013541C">
      <w:pPr>
        <w:pStyle w:val="Chapter9"/>
        <w:numPr>
          <w:ilvl w:val="0"/>
          <w:numId w:val="0"/>
        </w:numPr>
        <w:ind w:left="851" w:hanging="851"/>
      </w:pPr>
    </w:p>
    <w:p w:rsidR="002007CD" w:rsidRDefault="002007CD">
      <w:pPr>
        <w:jc w:val="left"/>
        <w:rPr>
          <w:b/>
          <w:sz w:val="20"/>
          <w:lang w:val="en-NZ"/>
        </w:rPr>
      </w:pPr>
      <w:r>
        <w:rPr>
          <w:b/>
          <w:sz w:val="20"/>
        </w:rPr>
        <w:br w:type="page"/>
      </w:r>
    </w:p>
    <w:p w:rsidR="002007CD" w:rsidRPr="002007CD" w:rsidRDefault="002007CD" w:rsidP="002007CD">
      <w:pPr>
        <w:pStyle w:val="Chapter9"/>
        <w:numPr>
          <w:ilvl w:val="0"/>
          <w:numId w:val="0"/>
        </w:numPr>
        <w:pBdr>
          <w:top w:val="single" w:sz="4" w:space="10" w:color="auto"/>
          <w:left w:val="single" w:sz="4" w:space="10" w:color="auto"/>
          <w:bottom w:val="single" w:sz="4" w:space="10" w:color="auto"/>
          <w:right w:val="single" w:sz="4" w:space="10" w:color="auto"/>
        </w:pBdr>
        <w:rPr>
          <w:b/>
          <w:sz w:val="20"/>
          <w:szCs w:val="20"/>
        </w:rPr>
      </w:pPr>
      <w:r w:rsidRPr="002007CD">
        <w:rPr>
          <w:b/>
          <w:sz w:val="20"/>
          <w:szCs w:val="20"/>
        </w:rPr>
        <w:t>Example</w:t>
      </w:r>
    </w:p>
    <w:p w:rsidR="002007CD" w:rsidRPr="002007CD" w:rsidRDefault="002007CD" w:rsidP="002007CD">
      <w:pPr>
        <w:pStyle w:val="Chapter9"/>
        <w:numPr>
          <w:ilvl w:val="0"/>
          <w:numId w:val="0"/>
        </w:numPr>
        <w:pBdr>
          <w:top w:val="single" w:sz="4" w:space="10" w:color="auto"/>
          <w:left w:val="single" w:sz="4" w:space="10" w:color="auto"/>
          <w:bottom w:val="single" w:sz="4" w:space="10" w:color="auto"/>
          <w:right w:val="single" w:sz="4" w:space="10" w:color="auto"/>
        </w:pBdr>
        <w:rPr>
          <w:sz w:val="20"/>
          <w:szCs w:val="20"/>
        </w:rPr>
      </w:pPr>
    </w:p>
    <w:p w:rsidR="002007CD" w:rsidRPr="002007CD" w:rsidRDefault="002007CD" w:rsidP="002007CD">
      <w:pPr>
        <w:pStyle w:val="Chapter9"/>
        <w:numPr>
          <w:ilvl w:val="0"/>
          <w:numId w:val="0"/>
        </w:numPr>
        <w:pBdr>
          <w:top w:val="single" w:sz="4" w:space="10" w:color="auto"/>
          <w:left w:val="single" w:sz="4" w:space="10" w:color="auto"/>
          <w:bottom w:val="single" w:sz="4" w:space="10" w:color="auto"/>
          <w:right w:val="single" w:sz="4" w:space="10" w:color="auto"/>
        </w:pBdr>
        <w:rPr>
          <w:sz w:val="20"/>
          <w:szCs w:val="20"/>
        </w:rPr>
      </w:pPr>
      <w:r w:rsidRPr="002007CD">
        <w:rPr>
          <w:sz w:val="20"/>
          <w:szCs w:val="20"/>
        </w:rPr>
        <w:t>A non-cash dividend of $72 with imputation credits of $</w:t>
      </w:r>
      <w:proofErr w:type="gramStart"/>
      <w:r w:rsidRPr="002007CD">
        <w:rPr>
          <w:sz w:val="20"/>
          <w:szCs w:val="20"/>
        </w:rPr>
        <w:t>28,</w:t>
      </w:r>
      <w:proofErr w:type="gramEnd"/>
      <w:r w:rsidRPr="002007CD">
        <w:rPr>
          <w:sz w:val="20"/>
          <w:szCs w:val="20"/>
        </w:rPr>
        <w:t xml:space="preserve"> and no FDP credits:</w:t>
      </w:r>
    </w:p>
    <w:p w:rsidR="002007CD" w:rsidRPr="002007CD" w:rsidRDefault="002007CD" w:rsidP="002007CD">
      <w:pPr>
        <w:pStyle w:val="Chapter9"/>
        <w:numPr>
          <w:ilvl w:val="0"/>
          <w:numId w:val="0"/>
        </w:numPr>
        <w:pBdr>
          <w:top w:val="single" w:sz="4" w:space="10" w:color="auto"/>
          <w:left w:val="single" w:sz="4" w:space="10" w:color="auto"/>
          <w:bottom w:val="single" w:sz="4" w:space="10" w:color="auto"/>
          <w:right w:val="single" w:sz="4" w:space="10" w:color="auto"/>
        </w:pBdr>
        <w:rPr>
          <w:sz w:val="20"/>
          <w:szCs w:val="20"/>
        </w:rPr>
      </w:pPr>
    </w:p>
    <w:p w:rsidR="002007CD" w:rsidRPr="002007CD" w:rsidRDefault="002007CD" w:rsidP="002007CD">
      <w:pPr>
        <w:pStyle w:val="Chapter9"/>
        <w:numPr>
          <w:ilvl w:val="0"/>
          <w:numId w:val="0"/>
        </w:numPr>
        <w:pBdr>
          <w:top w:val="single" w:sz="4" w:space="10" w:color="auto"/>
          <w:left w:val="single" w:sz="4" w:space="10" w:color="auto"/>
          <w:bottom w:val="single" w:sz="4" w:space="10" w:color="auto"/>
          <w:right w:val="single" w:sz="4" w:space="10" w:color="auto"/>
        </w:pBdr>
        <w:jc w:val="center"/>
        <w:rPr>
          <w:sz w:val="20"/>
          <w:szCs w:val="20"/>
        </w:rPr>
      </w:pPr>
      <w:r w:rsidRPr="002007CD">
        <w:rPr>
          <w:sz w:val="20"/>
          <w:szCs w:val="20"/>
        </w:rPr>
        <w:t xml:space="preserve">RWT = (0.33 </w:t>
      </w:r>
      <w:r w:rsidR="009603DA" w:rsidRPr="009603DA">
        <w:rPr>
          <w:i/>
          <w:sz w:val="20"/>
          <w:szCs w:val="20"/>
        </w:rPr>
        <w:t>×</w:t>
      </w:r>
      <w:r w:rsidRPr="002007CD">
        <w:rPr>
          <w:sz w:val="20"/>
          <w:szCs w:val="20"/>
        </w:rPr>
        <w:t xml:space="preserve"> $72 </w:t>
      </w:r>
      <w:proofErr w:type="gramStart"/>
      <w:r w:rsidRPr="002007CD">
        <w:rPr>
          <w:sz w:val="20"/>
          <w:szCs w:val="20"/>
        </w:rPr>
        <w:t>/(</w:t>
      </w:r>
      <w:proofErr w:type="gramEnd"/>
      <w:r w:rsidRPr="002007CD">
        <w:rPr>
          <w:sz w:val="20"/>
          <w:szCs w:val="20"/>
        </w:rPr>
        <w:t>1 - .33)) - $28 = $7.46</w:t>
      </w:r>
    </w:p>
    <w:p w:rsidR="002007CD" w:rsidRDefault="002007CD" w:rsidP="002007CD">
      <w:pPr>
        <w:pStyle w:val="Chapter9"/>
        <w:numPr>
          <w:ilvl w:val="0"/>
          <w:numId w:val="0"/>
        </w:numPr>
        <w:pBdr>
          <w:top w:val="single" w:sz="4" w:space="10" w:color="auto"/>
          <w:left w:val="single" w:sz="4" w:space="10" w:color="auto"/>
          <w:bottom w:val="single" w:sz="4" w:space="10" w:color="auto"/>
          <w:right w:val="single" w:sz="4" w:space="10" w:color="auto"/>
        </w:pBdr>
        <w:rPr>
          <w:sz w:val="20"/>
          <w:szCs w:val="20"/>
        </w:rPr>
      </w:pPr>
    </w:p>
    <w:p w:rsidR="002007CD" w:rsidRPr="002007CD" w:rsidRDefault="002007CD" w:rsidP="002007CD">
      <w:pPr>
        <w:pStyle w:val="Chapter9"/>
        <w:numPr>
          <w:ilvl w:val="0"/>
          <w:numId w:val="0"/>
        </w:numPr>
        <w:pBdr>
          <w:top w:val="single" w:sz="4" w:space="10" w:color="auto"/>
          <w:left w:val="single" w:sz="4" w:space="10" w:color="auto"/>
          <w:bottom w:val="single" w:sz="4" w:space="10" w:color="auto"/>
          <w:right w:val="single" w:sz="4" w:space="10" w:color="auto"/>
        </w:pBdr>
        <w:rPr>
          <w:sz w:val="20"/>
          <w:szCs w:val="20"/>
        </w:rPr>
      </w:pPr>
      <w:r w:rsidRPr="002007CD">
        <w:rPr>
          <w:sz w:val="20"/>
          <w:szCs w:val="20"/>
        </w:rPr>
        <w:t>The gross dividend in this case is, therefore, $72 + $28 + $7.46 = $107.46,</w:t>
      </w:r>
      <w:r w:rsidRPr="003D28D3">
        <w:rPr>
          <w:rStyle w:val="FootnoteReference"/>
          <w:sz w:val="22"/>
          <w:szCs w:val="22"/>
        </w:rPr>
        <w:footnoteReference w:id="36"/>
      </w:r>
      <w:r w:rsidRPr="002007CD">
        <w:rPr>
          <w:sz w:val="20"/>
          <w:szCs w:val="20"/>
        </w:rPr>
        <w:t xml:space="preserve"> in other words the dividend has been grossed-up for the RWT amount.  This is because RWT </w:t>
      </w:r>
      <w:proofErr w:type="gramStart"/>
      <w:r w:rsidRPr="002007CD">
        <w:rPr>
          <w:sz w:val="20"/>
          <w:szCs w:val="20"/>
        </w:rPr>
        <w:t>cannot be deducted</w:t>
      </w:r>
      <w:proofErr w:type="gramEnd"/>
      <w:r w:rsidRPr="002007CD">
        <w:rPr>
          <w:sz w:val="20"/>
          <w:szCs w:val="20"/>
        </w:rPr>
        <w:t xml:space="preserve"> out of a non-cash amount.</w:t>
      </w:r>
    </w:p>
    <w:p w:rsidR="0013541C" w:rsidRPr="00CA1467" w:rsidRDefault="0013541C" w:rsidP="0013541C">
      <w:pPr>
        <w:pStyle w:val="Chapter9"/>
        <w:numPr>
          <w:ilvl w:val="0"/>
          <w:numId w:val="0"/>
        </w:numPr>
        <w:ind w:left="851"/>
      </w:pPr>
    </w:p>
    <w:p w:rsidR="0013541C" w:rsidRPr="00CA1467" w:rsidRDefault="0013541C" w:rsidP="0013541C">
      <w:pPr>
        <w:pStyle w:val="Chapter9"/>
      </w:pPr>
      <w:r w:rsidRPr="00CA1467">
        <w:t xml:space="preserve">Now take the situation where both a cash dividend and a non-cash dividend </w:t>
      </w:r>
      <w:proofErr w:type="gramStart"/>
      <w:r w:rsidRPr="00CA1467">
        <w:t>are paid out</w:t>
      </w:r>
      <w:proofErr w:type="gramEnd"/>
      <w:r w:rsidRPr="00CA1467">
        <w:t xml:space="preserve"> contemporaneously with the objective of using the cash dividend to pay the RWT on both the cash dividend and the non-cash dividend.  In such a </w:t>
      </w:r>
      <w:proofErr w:type="gramStart"/>
      <w:r w:rsidRPr="00CA1467">
        <w:t>situation</w:t>
      </w:r>
      <w:proofErr w:type="gramEnd"/>
      <w:r w:rsidRPr="00CA1467">
        <w:t xml:space="preserve"> gross-up should be unnecessary.</w:t>
      </w:r>
    </w:p>
    <w:p w:rsidR="0013541C" w:rsidRPr="00CA1467" w:rsidRDefault="0013541C" w:rsidP="0013541C">
      <w:pPr>
        <w:pStyle w:val="Chapter9"/>
        <w:numPr>
          <w:ilvl w:val="0"/>
          <w:numId w:val="0"/>
        </w:numPr>
        <w:ind w:left="851"/>
      </w:pPr>
    </w:p>
    <w:p w:rsidR="002007CD" w:rsidRPr="002007CD" w:rsidRDefault="002007CD" w:rsidP="002007CD">
      <w:pPr>
        <w:pStyle w:val="Chapter9"/>
        <w:numPr>
          <w:ilvl w:val="0"/>
          <w:numId w:val="0"/>
        </w:numPr>
        <w:pBdr>
          <w:top w:val="single" w:sz="4" w:space="10" w:color="auto"/>
          <w:left w:val="single" w:sz="4" w:space="10" w:color="auto"/>
          <w:bottom w:val="single" w:sz="4" w:space="10" w:color="auto"/>
          <w:right w:val="single" w:sz="4" w:space="10" w:color="auto"/>
        </w:pBdr>
        <w:rPr>
          <w:b/>
          <w:sz w:val="20"/>
          <w:szCs w:val="20"/>
        </w:rPr>
      </w:pPr>
      <w:r w:rsidRPr="002007CD">
        <w:rPr>
          <w:b/>
          <w:sz w:val="20"/>
          <w:szCs w:val="20"/>
        </w:rPr>
        <w:t>Example</w:t>
      </w:r>
    </w:p>
    <w:p w:rsidR="002007CD" w:rsidRPr="002007CD" w:rsidRDefault="002007CD" w:rsidP="002007CD">
      <w:pPr>
        <w:pStyle w:val="Chapter9"/>
        <w:numPr>
          <w:ilvl w:val="0"/>
          <w:numId w:val="0"/>
        </w:numPr>
        <w:pBdr>
          <w:top w:val="single" w:sz="4" w:space="10" w:color="auto"/>
          <w:left w:val="single" w:sz="4" w:space="10" w:color="auto"/>
          <w:bottom w:val="single" w:sz="4" w:space="10" w:color="auto"/>
          <w:right w:val="single" w:sz="4" w:space="10" w:color="auto"/>
        </w:pBdr>
        <w:rPr>
          <w:sz w:val="20"/>
          <w:szCs w:val="20"/>
        </w:rPr>
      </w:pPr>
    </w:p>
    <w:p w:rsidR="002007CD" w:rsidRPr="002007CD" w:rsidRDefault="002007CD" w:rsidP="002007CD">
      <w:pPr>
        <w:pStyle w:val="Chapter9"/>
        <w:numPr>
          <w:ilvl w:val="0"/>
          <w:numId w:val="0"/>
        </w:numPr>
        <w:pBdr>
          <w:top w:val="single" w:sz="4" w:space="10" w:color="auto"/>
          <w:left w:val="single" w:sz="4" w:space="10" w:color="auto"/>
          <w:bottom w:val="single" w:sz="4" w:space="10" w:color="auto"/>
          <w:right w:val="single" w:sz="4" w:space="10" w:color="auto"/>
        </w:pBdr>
        <w:rPr>
          <w:sz w:val="20"/>
          <w:szCs w:val="20"/>
        </w:rPr>
      </w:pPr>
      <w:r w:rsidRPr="002007CD">
        <w:rPr>
          <w:sz w:val="20"/>
          <w:szCs w:val="20"/>
        </w:rPr>
        <w:t>A cash dividend of $5 and non-cash dividend of $67, with imputation credits over both dividends of $28.</w:t>
      </w:r>
    </w:p>
    <w:p w:rsidR="002007CD" w:rsidRPr="002007CD" w:rsidRDefault="002007CD" w:rsidP="002007CD">
      <w:pPr>
        <w:pStyle w:val="Chapter9"/>
        <w:numPr>
          <w:ilvl w:val="0"/>
          <w:numId w:val="0"/>
        </w:numPr>
        <w:pBdr>
          <w:top w:val="single" w:sz="4" w:space="10" w:color="auto"/>
          <w:left w:val="single" w:sz="4" w:space="10" w:color="auto"/>
          <w:bottom w:val="single" w:sz="4" w:space="10" w:color="auto"/>
          <w:right w:val="single" w:sz="4" w:space="10" w:color="auto"/>
        </w:pBdr>
        <w:rPr>
          <w:sz w:val="20"/>
          <w:szCs w:val="20"/>
        </w:rPr>
      </w:pPr>
    </w:p>
    <w:p w:rsidR="0013541C" w:rsidRPr="002007CD" w:rsidRDefault="002007CD" w:rsidP="002007CD">
      <w:pPr>
        <w:pStyle w:val="Chapter9"/>
        <w:numPr>
          <w:ilvl w:val="0"/>
          <w:numId w:val="0"/>
        </w:numPr>
        <w:pBdr>
          <w:top w:val="single" w:sz="4" w:space="10" w:color="auto"/>
          <w:left w:val="single" w:sz="4" w:space="10" w:color="auto"/>
          <w:bottom w:val="single" w:sz="4" w:space="10" w:color="auto"/>
          <w:right w:val="single" w:sz="4" w:space="10" w:color="auto"/>
        </w:pBdr>
        <w:rPr>
          <w:sz w:val="20"/>
          <w:szCs w:val="20"/>
        </w:rPr>
      </w:pPr>
      <w:r w:rsidRPr="002007CD">
        <w:rPr>
          <w:sz w:val="20"/>
          <w:szCs w:val="20"/>
        </w:rPr>
        <w:t>Intuitively, this is equivalent to a gross dividend of $100 with imputation credits of $28, on which RWT would be $5, with no gross-up necessary.  However, under the current legislation, a gross-up is required on the non–cash dividend.</w:t>
      </w:r>
    </w:p>
    <w:p w:rsidR="0013541C" w:rsidRPr="00CA1467" w:rsidRDefault="0013541C" w:rsidP="0013541C">
      <w:pPr>
        <w:pStyle w:val="Chapter9"/>
        <w:numPr>
          <w:ilvl w:val="0"/>
          <w:numId w:val="0"/>
        </w:numPr>
        <w:ind w:left="851"/>
      </w:pPr>
    </w:p>
    <w:p w:rsidR="0013541C" w:rsidRPr="00CA1467" w:rsidRDefault="0013541C" w:rsidP="0013541C">
      <w:pPr>
        <w:pStyle w:val="Heading2"/>
      </w:pPr>
      <w:r w:rsidRPr="00CA1467">
        <w:t>Proposal</w:t>
      </w:r>
    </w:p>
    <w:p w:rsidR="0013541C" w:rsidRPr="00CA1467" w:rsidRDefault="0013541C" w:rsidP="0013541C">
      <w:pPr>
        <w:pStyle w:val="Chapter9"/>
        <w:numPr>
          <w:ilvl w:val="0"/>
          <w:numId w:val="0"/>
        </w:numPr>
        <w:ind w:left="851"/>
      </w:pPr>
    </w:p>
    <w:p w:rsidR="0013541C" w:rsidRPr="00CA1467" w:rsidRDefault="0013541C" w:rsidP="0013541C">
      <w:pPr>
        <w:pStyle w:val="Chapter9"/>
      </w:pPr>
      <w:r w:rsidRPr="00CA1467">
        <w:t>The proposal is to provide the option of combining cash and non-cash dividend payments as a single cash payment, where the cash dividend alone is sufficient to cover the total RWT.</w:t>
      </w:r>
    </w:p>
    <w:p w:rsidR="0013541C" w:rsidRPr="00CA1467" w:rsidRDefault="0013541C" w:rsidP="0013541C">
      <w:pPr>
        <w:pStyle w:val="Chapter9"/>
        <w:numPr>
          <w:ilvl w:val="0"/>
          <w:numId w:val="0"/>
        </w:numPr>
        <w:ind w:left="851"/>
      </w:pPr>
    </w:p>
    <w:p w:rsidR="0013541C" w:rsidRPr="00CA1467" w:rsidRDefault="0013541C" w:rsidP="0013541C">
      <w:pPr>
        <w:pStyle w:val="Chapter9"/>
      </w:pPr>
      <w:r w:rsidRPr="00CA1467">
        <w:t xml:space="preserve">A legislative amendment would be required to enable the two dividends to </w:t>
      </w:r>
      <w:proofErr w:type="gramStart"/>
      <w:r w:rsidRPr="00CA1467">
        <w:t>be treated</w:t>
      </w:r>
      <w:proofErr w:type="gramEnd"/>
      <w:r w:rsidRPr="00CA1467">
        <w:t xml:space="preserve"> as a single dividend.  It would only apply when the cash dividend was sufficient to cover the RWT for both dividends (so RWT </w:t>
      </w:r>
      <w:proofErr w:type="gramStart"/>
      <w:r w:rsidRPr="00CA1467">
        <w:t>would be paid</w:t>
      </w:r>
      <w:proofErr w:type="gramEnd"/>
      <w:r w:rsidRPr="00CA1467">
        <w:t xml:space="preserve"> by deduction, rather than gross-up).  In such cases, the term “dividends paid” in section RE 13 would include both the cash and non-cash dividends, that is, the formula for determining the amount of RWT would be:</w:t>
      </w:r>
    </w:p>
    <w:p w:rsidR="0013541C" w:rsidRPr="00CA1467" w:rsidRDefault="0013541C" w:rsidP="0013541C">
      <w:pPr>
        <w:pStyle w:val="Chapter9"/>
        <w:numPr>
          <w:ilvl w:val="0"/>
          <w:numId w:val="0"/>
        </w:numPr>
        <w:ind w:left="851"/>
      </w:pPr>
    </w:p>
    <w:p w:rsidR="0013541C" w:rsidRPr="002007CD" w:rsidRDefault="0013541C" w:rsidP="001154E2">
      <w:pPr>
        <w:ind w:left="1440"/>
        <w:rPr>
          <w:i/>
          <w:lang w:val="en-NZ"/>
        </w:rPr>
      </w:pPr>
      <w:proofErr w:type="gramStart"/>
      <w:r w:rsidRPr="002007CD">
        <w:rPr>
          <w:i/>
          <w:lang w:val="en-NZ"/>
        </w:rPr>
        <w:t>tax</w:t>
      </w:r>
      <w:proofErr w:type="gramEnd"/>
      <w:r w:rsidRPr="002007CD">
        <w:rPr>
          <w:i/>
          <w:lang w:val="en-NZ"/>
        </w:rPr>
        <w:t xml:space="preserve"> rate </w:t>
      </w:r>
      <w:r w:rsidR="00785952">
        <w:rPr>
          <w:i/>
          <w:lang w:val="en-NZ"/>
        </w:rPr>
        <w:t>×</w:t>
      </w:r>
      <w:r w:rsidRPr="002007CD">
        <w:rPr>
          <w:i/>
          <w:lang w:val="en-NZ"/>
        </w:rPr>
        <w:t xml:space="preserve"> (cash dividend + non-cash dividend + tax paid or credit attached) – tax paid or credit attached</w:t>
      </w:r>
    </w:p>
    <w:p w:rsidR="0013541C" w:rsidRPr="00CA1467" w:rsidRDefault="0013541C" w:rsidP="0013541C">
      <w:pPr>
        <w:pStyle w:val="Chapter9"/>
        <w:numPr>
          <w:ilvl w:val="0"/>
          <w:numId w:val="0"/>
        </w:numPr>
        <w:ind w:left="851"/>
      </w:pPr>
    </w:p>
    <w:p w:rsidR="0013541C" w:rsidRPr="00CA1467" w:rsidRDefault="0013541C" w:rsidP="0013541C">
      <w:pPr>
        <w:pStyle w:val="Chapter9"/>
      </w:pPr>
      <w:r w:rsidRPr="00CA1467">
        <w:t xml:space="preserve">There would be no limit on the type of companies to which this could apply, although it is likely to be particularly relevant for </w:t>
      </w:r>
      <w:proofErr w:type="gramStart"/>
      <w:r w:rsidRPr="00CA1467">
        <w:t>closely-held</w:t>
      </w:r>
      <w:proofErr w:type="gramEnd"/>
      <w:r w:rsidRPr="00CA1467">
        <w:t xml:space="preserve"> companies that are not LTCs.</w:t>
      </w:r>
    </w:p>
    <w:p w:rsidR="0013541C" w:rsidRPr="00CA1467" w:rsidRDefault="0013541C" w:rsidP="0013541C">
      <w:pPr>
        <w:pStyle w:val="Chapter9"/>
        <w:numPr>
          <w:ilvl w:val="0"/>
          <w:numId w:val="0"/>
        </w:numPr>
        <w:ind w:left="851"/>
      </w:pPr>
    </w:p>
    <w:p w:rsidR="0013541C" w:rsidRPr="00CA1467" w:rsidRDefault="0013541C" w:rsidP="0013541C">
      <w:pPr>
        <w:pStyle w:val="Chapter9"/>
        <w:numPr>
          <w:ilvl w:val="0"/>
          <w:numId w:val="0"/>
        </w:numPr>
        <w:ind w:left="851"/>
      </w:pPr>
    </w:p>
    <w:p w:rsidR="002007CD" w:rsidRDefault="002007CD">
      <w:pPr>
        <w:jc w:val="left"/>
        <w:rPr>
          <w:b/>
          <w:szCs w:val="24"/>
          <w:lang w:val="en-NZ"/>
        </w:rPr>
      </w:pPr>
      <w:r>
        <w:br w:type="page"/>
      </w:r>
    </w:p>
    <w:p w:rsidR="0013541C" w:rsidRPr="00CA1467" w:rsidRDefault="0013541C" w:rsidP="001154E2">
      <w:pPr>
        <w:pStyle w:val="Heading1"/>
      </w:pPr>
      <w:bookmarkStart w:id="135" w:name="_Toc429469491"/>
      <w:r w:rsidRPr="00CA1467">
        <w:t>Shareholder salaries</w:t>
      </w:r>
      <w:bookmarkEnd w:id="135"/>
    </w:p>
    <w:p w:rsidR="0013541C" w:rsidRPr="00CA1467" w:rsidRDefault="0013541C" w:rsidP="0013541C">
      <w:pPr>
        <w:pStyle w:val="Chapter9"/>
        <w:numPr>
          <w:ilvl w:val="0"/>
          <w:numId w:val="0"/>
        </w:numPr>
        <w:ind w:left="851"/>
      </w:pPr>
    </w:p>
    <w:p w:rsidR="0013541C" w:rsidRPr="00CA1467" w:rsidRDefault="0013541C" w:rsidP="0013541C">
      <w:pPr>
        <w:pStyle w:val="Chapter9"/>
      </w:pPr>
      <w:r w:rsidRPr="00CA1467">
        <w:t xml:space="preserve">Shareholder salaries are theoretically </w:t>
      </w:r>
      <w:proofErr w:type="gramStart"/>
      <w:r w:rsidRPr="00CA1467">
        <w:t>either totally</w:t>
      </w:r>
      <w:proofErr w:type="gramEnd"/>
      <w:r w:rsidRPr="00CA1467">
        <w:t xml:space="preserve"> subject to PAYE or not subject to PAYE at all.  There have been suggestions that allowing a combination of PAYE and provisional tax would be helpful, in particular when the base amount is subject to PAYE.</w:t>
      </w:r>
    </w:p>
    <w:p w:rsidR="0013541C" w:rsidRPr="00CA1467" w:rsidRDefault="0013541C" w:rsidP="0013541C">
      <w:pPr>
        <w:pStyle w:val="Chapter9"/>
        <w:numPr>
          <w:ilvl w:val="0"/>
          <w:numId w:val="0"/>
        </w:numPr>
        <w:ind w:left="851"/>
      </w:pPr>
    </w:p>
    <w:p w:rsidR="0013541C" w:rsidRPr="00CA1467" w:rsidRDefault="0013541C" w:rsidP="0013541C">
      <w:pPr>
        <w:pStyle w:val="Chapter9"/>
      </w:pPr>
      <w:r w:rsidRPr="00CA1467">
        <w:t>Under section RD 3, a shareholder-employee in a “close company” who either:</w:t>
      </w:r>
    </w:p>
    <w:p w:rsidR="0013541C" w:rsidRPr="00CA1467" w:rsidRDefault="0013541C" w:rsidP="0013541C">
      <w:pPr>
        <w:pStyle w:val="Chapter9"/>
        <w:numPr>
          <w:ilvl w:val="0"/>
          <w:numId w:val="0"/>
        </w:numPr>
        <w:ind w:left="851"/>
      </w:pPr>
    </w:p>
    <w:p w:rsidR="0013541C" w:rsidRPr="00CA1467" w:rsidRDefault="0013541C" w:rsidP="001154E2">
      <w:pPr>
        <w:pStyle w:val="Bullets"/>
      </w:pPr>
      <w:r w:rsidRPr="00CA1467">
        <w:t>does not derive as an employee salary or wages of a regular amount for regular periods of one month or less throughout the income year or that total 66</w:t>
      </w:r>
      <w:r w:rsidR="00BA0441">
        <w:t xml:space="preserve"> percent</w:t>
      </w:r>
      <w:r w:rsidR="00BA0441" w:rsidRPr="00CA1467">
        <w:t xml:space="preserve"> </w:t>
      </w:r>
      <w:r w:rsidRPr="00CA1467">
        <w:t>or more of their annual gross income in the corresponding tax year as an employee, or</w:t>
      </w:r>
    </w:p>
    <w:p w:rsidR="0013541C" w:rsidRPr="00CA1467" w:rsidRDefault="0013541C" w:rsidP="002007CD">
      <w:pPr>
        <w:pStyle w:val="Bullets"/>
        <w:spacing w:after="0"/>
      </w:pPr>
      <w:r w:rsidRPr="00CA1467">
        <w:t>is not paid an amount as income that may later be allocated to them as an employee for the income year,</w:t>
      </w:r>
    </w:p>
    <w:p w:rsidR="002007CD" w:rsidRDefault="002007CD" w:rsidP="00D03E14">
      <w:pPr>
        <w:pStyle w:val="Chapter9"/>
        <w:numPr>
          <w:ilvl w:val="0"/>
          <w:numId w:val="0"/>
        </w:numPr>
        <w:ind w:left="851"/>
      </w:pPr>
    </w:p>
    <w:p w:rsidR="0013541C" w:rsidRPr="00CA1467" w:rsidRDefault="0013541C" w:rsidP="00D03E14">
      <w:pPr>
        <w:pStyle w:val="Chapter9"/>
        <w:numPr>
          <w:ilvl w:val="0"/>
          <w:numId w:val="0"/>
        </w:numPr>
        <w:ind w:left="851"/>
      </w:pPr>
      <w:proofErr w:type="gramStart"/>
      <w:r w:rsidRPr="00CA1467">
        <w:t>can</w:t>
      </w:r>
      <w:proofErr w:type="gramEnd"/>
      <w:r w:rsidRPr="00CA1467">
        <w:t xml:space="preserve"> choose to treat all amounts paid to them in the income year in their capacity as an employee as not subject to PAYE.  This “no PAYE” option </w:t>
      </w:r>
      <w:proofErr w:type="gramStart"/>
      <w:r w:rsidRPr="00CA1467">
        <w:t>is designed</w:t>
      </w:r>
      <w:proofErr w:type="gramEnd"/>
      <w:r w:rsidRPr="00CA1467">
        <w:t xml:space="preserve"> to deal with situations where the annual “salary” is not known until after year</w:t>
      </w:r>
      <w:r w:rsidR="009613DF">
        <w:t>-</w:t>
      </w:r>
      <w:r w:rsidRPr="00CA1467">
        <w:t>end – that is, it is dependent on the year</w:t>
      </w:r>
      <w:r w:rsidR="009613DF">
        <w:t>-</w:t>
      </w:r>
      <w:r w:rsidRPr="00CA1467">
        <w:t>end results.  The employee then includes the income in their tax return and there may be provisional tax implications.</w:t>
      </w:r>
    </w:p>
    <w:p w:rsidR="0013541C" w:rsidRPr="00CA1467" w:rsidRDefault="0013541C" w:rsidP="0013541C">
      <w:pPr>
        <w:pStyle w:val="Chapter9"/>
        <w:numPr>
          <w:ilvl w:val="0"/>
          <w:numId w:val="0"/>
        </w:numPr>
        <w:ind w:left="851"/>
      </w:pPr>
    </w:p>
    <w:p w:rsidR="0013541C" w:rsidRPr="00CA1467" w:rsidRDefault="0013541C" w:rsidP="0013541C">
      <w:pPr>
        <w:pStyle w:val="Chapter9"/>
      </w:pPr>
      <w:r w:rsidRPr="00CA1467">
        <w:t xml:space="preserve">The provision predates imputation and, therefore, focuses on preventing double taxation of “family” type companies by allowing pre-tax profits to </w:t>
      </w:r>
      <w:proofErr w:type="gramStart"/>
      <w:r w:rsidRPr="00CA1467">
        <w:t>be designated</w:t>
      </w:r>
      <w:proofErr w:type="gramEnd"/>
      <w:r w:rsidRPr="00CA1467">
        <w:t xml:space="preserve"> as shareholder’s salary in qualifying circumstances.  This payment mechanism is still widely accepted and used today.</w:t>
      </w:r>
    </w:p>
    <w:p w:rsidR="0013541C" w:rsidRPr="00CA1467" w:rsidRDefault="0013541C" w:rsidP="0013541C">
      <w:pPr>
        <w:pStyle w:val="Chapter9"/>
        <w:numPr>
          <w:ilvl w:val="0"/>
          <w:numId w:val="0"/>
        </w:numPr>
        <w:ind w:left="851"/>
      </w:pPr>
    </w:p>
    <w:p w:rsidR="0013541C" w:rsidRPr="00CA1467" w:rsidRDefault="0013541C" w:rsidP="001154E2">
      <w:pPr>
        <w:pStyle w:val="Heading2"/>
      </w:pPr>
      <w:r w:rsidRPr="00CA1467">
        <w:t>Proposal</w:t>
      </w:r>
    </w:p>
    <w:p w:rsidR="0013541C" w:rsidRPr="00CA1467" w:rsidRDefault="0013541C" w:rsidP="0013541C">
      <w:pPr>
        <w:pStyle w:val="Chapter9"/>
        <w:numPr>
          <w:ilvl w:val="0"/>
          <w:numId w:val="0"/>
        </w:numPr>
        <w:ind w:left="851"/>
      </w:pPr>
    </w:p>
    <w:p w:rsidR="0013541C" w:rsidRPr="00CA1467" w:rsidRDefault="0013541C" w:rsidP="0013541C">
      <w:pPr>
        <w:pStyle w:val="Chapter9"/>
      </w:pPr>
      <w:r w:rsidRPr="00CA1467">
        <w:t xml:space="preserve">A combination of PAYE on some payments and no PAYE on others should be an option available to shareholder-employees of close companies.  This would be available when a base salary </w:t>
      </w:r>
      <w:proofErr w:type="gramStart"/>
      <w:r w:rsidRPr="00CA1467">
        <w:t>is provided</w:t>
      </w:r>
      <w:proofErr w:type="gramEnd"/>
      <w:r w:rsidRPr="00CA1467">
        <w:t xml:space="preserve"> to the employee (which would be subject to PAYE) but the overall salary payments would not be known until after year-end because it is dependent on the year-end results.  Such an approach, if adopted, </w:t>
      </w:r>
      <w:proofErr w:type="gramStart"/>
      <w:r w:rsidRPr="00CA1467">
        <w:t>should be applied</w:t>
      </w:r>
      <w:proofErr w:type="gramEnd"/>
      <w:r w:rsidRPr="00CA1467">
        <w:t xml:space="preserve"> consistently from year to year so that a shareholder-employee should not be allowed to swap in and out of the provisional tax regime.</w:t>
      </w:r>
    </w:p>
    <w:p w:rsidR="0013541C" w:rsidRPr="00CA1467" w:rsidRDefault="0013541C" w:rsidP="0013541C">
      <w:pPr>
        <w:pStyle w:val="Chapter9"/>
        <w:numPr>
          <w:ilvl w:val="0"/>
          <w:numId w:val="0"/>
        </w:numPr>
        <w:ind w:left="851"/>
      </w:pPr>
    </w:p>
    <w:p w:rsidR="0013541C" w:rsidRPr="00CA1467" w:rsidRDefault="0013541C" w:rsidP="0013541C">
      <w:pPr>
        <w:pStyle w:val="Chapter9"/>
      </w:pPr>
      <w:r w:rsidRPr="00CA1467">
        <w:t>This change would also impact on QCs as well as other closely</w:t>
      </w:r>
      <w:r w:rsidR="00134BF6">
        <w:t xml:space="preserve"> </w:t>
      </w:r>
      <w:r w:rsidRPr="00CA1467">
        <w:t>controlled companies given the current definition of “close company” in the Income Tax Act.</w:t>
      </w:r>
    </w:p>
    <w:p w:rsidR="00C31451" w:rsidRPr="00CA1467" w:rsidRDefault="00C31451" w:rsidP="00C31451">
      <w:pPr>
        <w:pStyle w:val="Chapter9"/>
        <w:numPr>
          <w:ilvl w:val="0"/>
          <w:numId w:val="0"/>
        </w:numPr>
        <w:ind w:left="851" w:hanging="851"/>
      </w:pPr>
    </w:p>
    <w:p w:rsidR="00C31451" w:rsidRPr="00CA1467" w:rsidRDefault="00C31451">
      <w:pPr>
        <w:jc w:val="left"/>
        <w:rPr>
          <w:rFonts w:ascii="Times New Roman Bold" w:hAnsi="Times New Roman Bold"/>
          <w:b/>
          <w:bCs/>
          <w:caps/>
          <w:sz w:val="28"/>
          <w:szCs w:val="28"/>
          <w:lang w:val="en-NZ"/>
        </w:rPr>
      </w:pPr>
      <w:bookmarkStart w:id="136" w:name="_Toc429151546"/>
      <w:bookmarkStart w:id="137" w:name="_Toc429379770"/>
      <w:r w:rsidRPr="00CA1467">
        <w:rPr>
          <w:lang w:val="en-NZ"/>
        </w:rPr>
        <w:br w:type="page"/>
      </w:r>
    </w:p>
    <w:p w:rsidR="0013541C" w:rsidRPr="00CA1467" w:rsidRDefault="001154E2" w:rsidP="001154E2">
      <w:pPr>
        <w:pStyle w:val="Chapterheading"/>
      </w:pPr>
      <w:bookmarkStart w:id="138" w:name="_Toc429400124"/>
      <w:bookmarkStart w:id="139" w:name="_Toc429409212"/>
      <w:bookmarkStart w:id="140" w:name="_Toc429412471"/>
      <w:bookmarkStart w:id="141" w:name="_Toc429417886"/>
      <w:bookmarkStart w:id="142" w:name="_Toc429420011"/>
      <w:bookmarkStart w:id="143" w:name="_Toc429469492"/>
      <w:r w:rsidRPr="00CA1467">
        <w:t>APPENDIX 1</w:t>
      </w:r>
      <w:bookmarkEnd w:id="136"/>
      <w:bookmarkEnd w:id="137"/>
      <w:bookmarkEnd w:id="138"/>
      <w:bookmarkEnd w:id="139"/>
      <w:bookmarkEnd w:id="140"/>
      <w:bookmarkEnd w:id="141"/>
      <w:bookmarkEnd w:id="142"/>
      <w:bookmarkEnd w:id="143"/>
    </w:p>
    <w:p w:rsidR="001154E2" w:rsidRPr="00CA1467" w:rsidRDefault="001154E2" w:rsidP="001154E2">
      <w:pPr>
        <w:pStyle w:val="Chapterheading"/>
      </w:pPr>
    </w:p>
    <w:p w:rsidR="001154E2" w:rsidRPr="00CA1467" w:rsidRDefault="001154E2" w:rsidP="001154E2">
      <w:pPr>
        <w:pStyle w:val="Chapterheading"/>
        <w:rPr>
          <w:caps w:val="0"/>
        </w:rPr>
      </w:pPr>
      <w:bookmarkStart w:id="144" w:name="_Toc429469493"/>
      <w:r w:rsidRPr="00CA1467">
        <w:rPr>
          <w:caps w:val="0"/>
        </w:rPr>
        <w:t>Statistics</w:t>
      </w:r>
      <w:bookmarkEnd w:id="144"/>
    </w:p>
    <w:p w:rsidR="001154E2" w:rsidRPr="00CA1467" w:rsidRDefault="001154E2" w:rsidP="001154E2">
      <w:pPr>
        <w:rPr>
          <w:lang w:val="en-NZ"/>
        </w:rPr>
      </w:pPr>
    </w:p>
    <w:p w:rsidR="00AF753F" w:rsidRPr="00CA1467" w:rsidRDefault="00AF753F" w:rsidP="00AF753F">
      <w:pPr>
        <w:rPr>
          <w:lang w:val="en-NZ"/>
        </w:rPr>
      </w:pPr>
    </w:p>
    <w:p w:rsidR="00AF753F" w:rsidRPr="00CA1467" w:rsidRDefault="00AF753F" w:rsidP="00AF753F">
      <w:pPr>
        <w:pStyle w:val="Heading1"/>
      </w:pPr>
      <w:bookmarkStart w:id="145" w:name="_Toc429400126"/>
      <w:bookmarkStart w:id="146" w:name="_Toc429409214"/>
      <w:bookmarkStart w:id="147" w:name="_Toc429412473"/>
      <w:bookmarkStart w:id="148" w:name="_Toc429417888"/>
      <w:bookmarkStart w:id="149" w:name="_Toc429420013"/>
      <w:bookmarkStart w:id="150" w:name="_Toc429469494"/>
      <w:r w:rsidRPr="00CA1467">
        <w:t>Profile of QCs, LAQCs and LTCs</w:t>
      </w:r>
      <w:bookmarkEnd w:id="145"/>
      <w:bookmarkEnd w:id="146"/>
      <w:bookmarkEnd w:id="147"/>
      <w:bookmarkEnd w:id="148"/>
      <w:bookmarkEnd w:id="149"/>
      <w:bookmarkEnd w:id="150"/>
    </w:p>
    <w:p w:rsidR="00AF753F" w:rsidRPr="00CA1467" w:rsidRDefault="00AF753F" w:rsidP="00AF753F">
      <w:pPr>
        <w:rPr>
          <w:lang w:val="en-NZ"/>
        </w:rPr>
      </w:pPr>
    </w:p>
    <w:p w:rsidR="00FB707D" w:rsidRPr="00CA1467" w:rsidRDefault="00FB707D" w:rsidP="00FB707D">
      <w:pPr>
        <w:rPr>
          <w:lang w:val="en-NZ"/>
        </w:rPr>
      </w:pPr>
      <w:r w:rsidRPr="00CA1467">
        <w:rPr>
          <w:lang w:val="en-NZ"/>
        </w:rPr>
        <w:t xml:space="preserve">Table </w:t>
      </w:r>
      <w:proofErr w:type="gramStart"/>
      <w:r w:rsidR="005C29C2">
        <w:rPr>
          <w:lang w:val="en-NZ"/>
        </w:rPr>
        <w:t>8</w:t>
      </w:r>
      <w:proofErr w:type="gramEnd"/>
      <w:r w:rsidRPr="00CA1467">
        <w:rPr>
          <w:lang w:val="en-NZ"/>
        </w:rPr>
        <w:t xml:space="preserve"> shows that there were a large number of LAQCs and QCs before the 2010 Budget.  The vast majority (95 percent) were LAQCs, suggesting that access to losses at the personal level was a major attraction in the formation of QCs.  Most LAQCs with activity (about 80 percent) attributed losses.</w:t>
      </w:r>
    </w:p>
    <w:p w:rsidR="00FB707D" w:rsidRPr="00CA1467" w:rsidRDefault="00FB707D" w:rsidP="00FB707D">
      <w:pPr>
        <w:rPr>
          <w:lang w:val="en-NZ"/>
        </w:rPr>
      </w:pPr>
    </w:p>
    <w:p w:rsidR="00FB707D" w:rsidRPr="00CA1467" w:rsidRDefault="00FB707D" w:rsidP="00FB707D">
      <w:pPr>
        <w:rPr>
          <w:lang w:val="en-NZ"/>
        </w:rPr>
      </w:pPr>
      <w:r w:rsidRPr="00CA1467">
        <w:rPr>
          <w:lang w:val="en-NZ"/>
        </w:rPr>
        <w:t xml:space="preserve">However, around 20 percent of LAQCs were </w:t>
      </w:r>
      <w:proofErr w:type="gramStart"/>
      <w:r w:rsidRPr="00CA1467">
        <w:rPr>
          <w:lang w:val="en-NZ"/>
        </w:rPr>
        <w:t>tax-paying</w:t>
      </w:r>
      <w:proofErr w:type="gramEnd"/>
      <w:r w:rsidRPr="00CA1467">
        <w:rPr>
          <w:lang w:val="en-NZ"/>
        </w:rPr>
        <w:t>.  These could have been companies in cyclical industries, or they could have represented companies that had start-up losses after they were established, but had now matured and become profitable; or profitable firms that might eventually have losses to attribute.</w:t>
      </w:r>
    </w:p>
    <w:p w:rsidR="00FB707D" w:rsidRPr="00CA1467" w:rsidRDefault="00FB707D" w:rsidP="00AF753F">
      <w:pPr>
        <w:rPr>
          <w:lang w:val="en-NZ"/>
        </w:rPr>
      </w:pPr>
    </w:p>
    <w:p w:rsidR="00FB707D" w:rsidRPr="00CA1467" w:rsidRDefault="00FB707D" w:rsidP="00AF753F">
      <w:pPr>
        <w:rPr>
          <w:lang w:val="en-NZ"/>
        </w:rPr>
      </w:pPr>
    </w:p>
    <w:p w:rsidR="00AF753F" w:rsidRPr="00CA1467" w:rsidRDefault="00AF753F" w:rsidP="003643FA">
      <w:pPr>
        <w:spacing w:after="200"/>
        <w:jc w:val="left"/>
        <w:rPr>
          <w:b/>
          <w:lang w:val="en-NZ"/>
        </w:rPr>
      </w:pPr>
      <w:r w:rsidRPr="00CA1467">
        <w:rPr>
          <w:b/>
          <w:lang w:val="en-NZ"/>
        </w:rPr>
        <w:t xml:space="preserve">Table </w:t>
      </w:r>
      <w:r w:rsidR="005C29C2">
        <w:rPr>
          <w:b/>
          <w:lang w:val="en-NZ"/>
        </w:rPr>
        <w:t>8</w:t>
      </w:r>
      <w:r w:rsidRPr="00CA1467">
        <w:rPr>
          <w:b/>
          <w:lang w:val="en-NZ"/>
        </w:rPr>
        <w:t>: Number of QCs and LAQCs in 2009 tax year</w:t>
      </w:r>
    </w:p>
    <w:tbl>
      <w:tblPr>
        <w:tblStyle w:val="TableGrid"/>
        <w:tblW w:w="0" w:type="auto"/>
        <w:tblLook w:val="04A0" w:firstRow="1" w:lastRow="0" w:firstColumn="1" w:lastColumn="0" w:noHBand="0" w:noVBand="1"/>
      </w:tblPr>
      <w:tblGrid>
        <w:gridCol w:w="3936"/>
        <w:gridCol w:w="2126"/>
      </w:tblGrid>
      <w:tr w:rsidR="00AF753F" w:rsidRPr="00CA1467" w:rsidTr="001B541F">
        <w:tc>
          <w:tcPr>
            <w:tcW w:w="3936" w:type="dxa"/>
          </w:tcPr>
          <w:p w:rsidR="00AF753F" w:rsidRPr="00CA1467" w:rsidRDefault="00AF753F" w:rsidP="00443952">
            <w:pPr>
              <w:spacing w:before="120" w:after="120"/>
              <w:rPr>
                <w:b/>
                <w:sz w:val="20"/>
                <w:lang w:val="en-NZ"/>
              </w:rPr>
            </w:pPr>
            <w:r w:rsidRPr="00CA1467">
              <w:rPr>
                <w:b/>
                <w:sz w:val="20"/>
                <w:lang w:val="en-NZ"/>
              </w:rPr>
              <w:t>QCs</w:t>
            </w:r>
          </w:p>
        </w:tc>
        <w:tc>
          <w:tcPr>
            <w:tcW w:w="2126" w:type="dxa"/>
          </w:tcPr>
          <w:p w:rsidR="00AF753F" w:rsidRPr="00CA1467" w:rsidRDefault="00443952" w:rsidP="00443952">
            <w:pPr>
              <w:spacing w:before="120" w:after="120"/>
              <w:jc w:val="center"/>
              <w:rPr>
                <w:b/>
                <w:sz w:val="20"/>
                <w:lang w:val="en-NZ"/>
              </w:rPr>
            </w:pPr>
            <w:r w:rsidRPr="00CA1467">
              <w:rPr>
                <w:b/>
                <w:sz w:val="20"/>
                <w:lang w:val="en-NZ"/>
              </w:rPr>
              <w:t>Number</w:t>
            </w:r>
          </w:p>
        </w:tc>
      </w:tr>
      <w:tr w:rsidR="00AF753F" w:rsidRPr="00CA1467" w:rsidTr="001B541F">
        <w:tc>
          <w:tcPr>
            <w:tcW w:w="3936" w:type="dxa"/>
          </w:tcPr>
          <w:p w:rsidR="00AF753F" w:rsidRPr="00CA1467" w:rsidRDefault="00AF753F" w:rsidP="001B541F">
            <w:pPr>
              <w:spacing w:before="80" w:after="80"/>
              <w:ind w:left="709"/>
              <w:rPr>
                <w:sz w:val="20"/>
                <w:lang w:val="en-NZ"/>
              </w:rPr>
            </w:pPr>
            <w:r w:rsidRPr="00CA1467">
              <w:rPr>
                <w:sz w:val="20"/>
                <w:lang w:val="en-NZ"/>
              </w:rPr>
              <w:t>Profit making</w:t>
            </w:r>
          </w:p>
        </w:tc>
        <w:tc>
          <w:tcPr>
            <w:tcW w:w="2126" w:type="dxa"/>
          </w:tcPr>
          <w:p w:rsidR="00AF753F" w:rsidRPr="00CA1467" w:rsidRDefault="00AF753F" w:rsidP="00443952">
            <w:pPr>
              <w:spacing w:before="80" w:after="80"/>
              <w:ind w:right="515"/>
              <w:jc w:val="right"/>
              <w:rPr>
                <w:sz w:val="20"/>
                <w:lang w:val="en-NZ"/>
              </w:rPr>
            </w:pPr>
            <w:r w:rsidRPr="00CA1467">
              <w:rPr>
                <w:sz w:val="20"/>
                <w:lang w:val="en-NZ"/>
              </w:rPr>
              <w:t>4,257</w:t>
            </w:r>
          </w:p>
        </w:tc>
      </w:tr>
      <w:tr w:rsidR="00AF753F" w:rsidRPr="00CA1467" w:rsidTr="001B541F">
        <w:tc>
          <w:tcPr>
            <w:tcW w:w="3936" w:type="dxa"/>
          </w:tcPr>
          <w:p w:rsidR="00AF753F" w:rsidRPr="00CA1467" w:rsidRDefault="00AF753F" w:rsidP="001B541F">
            <w:pPr>
              <w:spacing w:before="80" w:after="80"/>
              <w:ind w:left="709"/>
              <w:rPr>
                <w:sz w:val="20"/>
                <w:lang w:val="en-NZ"/>
              </w:rPr>
            </w:pPr>
            <w:r w:rsidRPr="00CA1467">
              <w:rPr>
                <w:sz w:val="20"/>
                <w:lang w:val="en-NZ"/>
              </w:rPr>
              <w:t>Loss making</w:t>
            </w:r>
          </w:p>
        </w:tc>
        <w:tc>
          <w:tcPr>
            <w:tcW w:w="2126" w:type="dxa"/>
          </w:tcPr>
          <w:p w:rsidR="00AF753F" w:rsidRPr="00CA1467" w:rsidRDefault="00AF753F" w:rsidP="00443952">
            <w:pPr>
              <w:spacing w:before="80" w:after="80"/>
              <w:ind w:right="515"/>
              <w:jc w:val="right"/>
              <w:rPr>
                <w:sz w:val="20"/>
                <w:lang w:val="en-NZ"/>
              </w:rPr>
            </w:pPr>
            <w:r w:rsidRPr="00CA1467">
              <w:rPr>
                <w:sz w:val="20"/>
                <w:lang w:val="en-NZ"/>
              </w:rPr>
              <w:t>1,902</w:t>
            </w:r>
          </w:p>
        </w:tc>
      </w:tr>
      <w:tr w:rsidR="00AF753F" w:rsidRPr="00CA1467" w:rsidTr="001B541F">
        <w:tc>
          <w:tcPr>
            <w:tcW w:w="3936" w:type="dxa"/>
          </w:tcPr>
          <w:p w:rsidR="00AF753F" w:rsidRPr="00CA1467" w:rsidRDefault="00AF753F" w:rsidP="001B541F">
            <w:pPr>
              <w:spacing w:before="80" w:after="80"/>
              <w:ind w:left="709"/>
              <w:rPr>
                <w:sz w:val="20"/>
                <w:lang w:val="en-NZ"/>
              </w:rPr>
            </w:pPr>
            <w:r w:rsidRPr="00CA1467">
              <w:rPr>
                <w:sz w:val="20"/>
                <w:lang w:val="en-NZ"/>
              </w:rPr>
              <w:t>Nil returns</w:t>
            </w:r>
          </w:p>
        </w:tc>
        <w:tc>
          <w:tcPr>
            <w:tcW w:w="2126" w:type="dxa"/>
          </w:tcPr>
          <w:p w:rsidR="00AF753F" w:rsidRPr="00CA1467" w:rsidRDefault="00AF753F" w:rsidP="00443952">
            <w:pPr>
              <w:spacing w:before="80" w:after="80"/>
              <w:ind w:right="515"/>
              <w:jc w:val="right"/>
              <w:rPr>
                <w:sz w:val="20"/>
                <w:lang w:val="en-NZ"/>
              </w:rPr>
            </w:pPr>
            <w:r w:rsidRPr="00CA1467">
              <w:rPr>
                <w:sz w:val="20"/>
                <w:lang w:val="en-NZ"/>
              </w:rPr>
              <w:t>1,457</w:t>
            </w:r>
          </w:p>
        </w:tc>
      </w:tr>
      <w:tr w:rsidR="00AF753F" w:rsidRPr="00CA1467" w:rsidTr="001B541F">
        <w:tc>
          <w:tcPr>
            <w:tcW w:w="3936" w:type="dxa"/>
          </w:tcPr>
          <w:p w:rsidR="00AF753F" w:rsidRPr="00CA1467" w:rsidRDefault="00AF753F" w:rsidP="001B541F">
            <w:pPr>
              <w:spacing w:before="80" w:after="80"/>
              <w:ind w:left="709"/>
              <w:rPr>
                <w:b/>
                <w:sz w:val="20"/>
                <w:lang w:val="en-NZ"/>
              </w:rPr>
            </w:pPr>
            <w:r w:rsidRPr="00CA1467">
              <w:rPr>
                <w:b/>
                <w:sz w:val="20"/>
                <w:lang w:val="en-NZ"/>
              </w:rPr>
              <w:t>Total</w:t>
            </w:r>
          </w:p>
        </w:tc>
        <w:tc>
          <w:tcPr>
            <w:tcW w:w="2126" w:type="dxa"/>
          </w:tcPr>
          <w:p w:rsidR="00AF753F" w:rsidRPr="00CA1467" w:rsidRDefault="00AF753F" w:rsidP="00443952">
            <w:pPr>
              <w:spacing w:before="80" w:after="80"/>
              <w:ind w:right="515"/>
              <w:jc w:val="right"/>
              <w:rPr>
                <w:b/>
                <w:sz w:val="20"/>
                <w:lang w:val="en-NZ"/>
              </w:rPr>
            </w:pPr>
            <w:r w:rsidRPr="00CA1467">
              <w:rPr>
                <w:b/>
                <w:sz w:val="20"/>
                <w:lang w:val="en-NZ"/>
              </w:rPr>
              <w:t>7,616</w:t>
            </w:r>
          </w:p>
        </w:tc>
      </w:tr>
      <w:tr w:rsidR="00AF753F" w:rsidRPr="00CA1467" w:rsidTr="001B541F">
        <w:tc>
          <w:tcPr>
            <w:tcW w:w="3936" w:type="dxa"/>
          </w:tcPr>
          <w:p w:rsidR="00AF753F" w:rsidRPr="00CA1467" w:rsidRDefault="00AF753F" w:rsidP="00443952">
            <w:pPr>
              <w:spacing w:before="80" w:after="80"/>
              <w:rPr>
                <w:b/>
                <w:sz w:val="20"/>
                <w:lang w:val="en-NZ"/>
              </w:rPr>
            </w:pPr>
            <w:r w:rsidRPr="00CA1467">
              <w:rPr>
                <w:b/>
                <w:sz w:val="20"/>
                <w:lang w:val="en-NZ"/>
              </w:rPr>
              <w:t>LAQCs</w:t>
            </w:r>
          </w:p>
        </w:tc>
        <w:tc>
          <w:tcPr>
            <w:tcW w:w="2126" w:type="dxa"/>
          </w:tcPr>
          <w:p w:rsidR="00AF753F" w:rsidRPr="00CA1467" w:rsidRDefault="00AF753F" w:rsidP="00443952">
            <w:pPr>
              <w:spacing w:before="80" w:after="80"/>
              <w:ind w:right="515"/>
              <w:jc w:val="right"/>
              <w:rPr>
                <w:sz w:val="20"/>
                <w:lang w:val="en-NZ"/>
              </w:rPr>
            </w:pPr>
          </w:p>
        </w:tc>
      </w:tr>
      <w:tr w:rsidR="00AF753F" w:rsidRPr="00CA1467" w:rsidTr="001B541F">
        <w:tc>
          <w:tcPr>
            <w:tcW w:w="3936" w:type="dxa"/>
          </w:tcPr>
          <w:p w:rsidR="00AF753F" w:rsidRPr="00CA1467" w:rsidRDefault="00AF753F" w:rsidP="001B541F">
            <w:pPr>
              <w:spacing w:before="80" w:after="80"/>
              <w:ind w:left="709"/>
              <w:rPr>
                <w:sz w:val="20"/>
                <w:lang w:val="en-NZ"/>
              </w:rPr>
            </w:pPr>
            <w:r w:rsidRPr="00CA1467">
              <w:rPr>
                <w:sz w:val="20"/>
                <w:lang w:val="en-NZ"/>
              </w:rPr>
              <w:t>Profit making</w:t>
            </w:r>
          </w:p>
        </w:tc>
        <w:tc>
          <w:tcPr>
            <w:tcW w:w="2126" w:type="dxa"/>
          </w:tcPr>
          <w:p w:rsidR="00AF753F" w:rsidRPr="00CA1467" w:rsidRDefault="00AF753F" w:rsidP="00443952">
            <w:pPr>
              <w:spacing w:before="80" w:after="80"/>
              <w:ind w:right="515"/>
              <w:jc w:val="right"/>
              <w:rPr>
                <w:sz w:val="20"/>
                <w:lang w:val="en-NZ"/>
              </w:rPr>
            </w:pPr>
            <w:r w:rsidRPr="00CA1467">
              <w:rPr>
                <w:sz w:val="20"/>
                <w:lang w:val="en-NZ"/>
              </w:rPr>
              <w:t>24,377</w:t>
            </w:r>
          </w:p>
        </w:tc>
      </w:tr>
      <w:tr w:rsidR="00AF753F" w:rsidRPr="00CA1467" w:rsidTr="001B541F">
        <w:tc>
          <w:tcPr>
            <w:tcW w:w="3936" w:type="dxa"/>
          </w:tcPr>
          <w:p w:rsidR="00AF753F" w:rsidRPr="00CA1467" w:rsidRDefault="00AF753F" w:rsidP="001B541F">
            <w:pPr>
              <w:spacing w:before="80" w:after="80"/>
              <w:ind w:left="709"/>
              <w:rPr>
                <w:sz w:val="20"/>
                <w:lang w:val="en-NZ"/>
              </w:rPr>
            </w:pPr>
            <w:r w:rsidRPr="00CA1467">
              <w:rPr>
                <w:sz w:val="20"/>
                <w:lang w:val="en-NZ"/>
              </w:rPr>
              <w:t>Loss making</w:t>
            </w:r>
          </w:p>
        </w:tc>
        <w:tc>
          <w:tcPr>
            <w:tcW w:w="2126" w:type="dxa"/>
          </w:tcPr>
          <w:p w:rsidR="00AF753F" w:rsidRPr="00CA1467" w:rsidRDefault="00AF753F" w:rsidP="00443952">
            <w:pPr>
              <w:spacing w:before="80" w:after="80"/>
              <w:ind w:right="515"/>
              <w:jc w:val="right"/>
              <w:rPr>
                <w:sz w:val="20"/>
                <w:lang w:val="en-NZ"/>
              </w:rPr>
            </w:pPr>
            <w:r w:rsidRPr="00CA1467">
              <w:rPr>
                <w:sz w:val="20"/>
                <w:lang w:val="en-NZ"/>
              </w:rPr>
              <w:t>84,624</w:t>
            </w:r>
          </w:p>
        </w:tc>
      </w:tr>
      <w:tr w:rsidR="00AF753F" w:rsidRPr="00CA1467" w:rsidTr="001B541F">
        <w:tc>
          <w:tcPr>
            <w:tcW w:w="3936" w:type="dxa"/>
          </w:tcPr>
          <w:p w:rsidR="00AF753F" w:rsidRPr="00CA1467" w:rsidRDefault="00AF753F" w:rsidP="001B541F">
            <w:pPr>
              <w:spacing w:before="80" w:after="80"/>
              <w:ind w:left="709"/>
              <w:rPr>
                <w:sz w:val="20"/>
                <w:lang w:val="en-NZ"/>
              </w:rPr>
            </w:pPr>
            <w:r w:rsidRPr="00CA1467">
              <w:rPr>
                <w:sz w:val="20"/>
                <w:lang w:val="en-NZ"/>
              </w:rPr>
              <w:t>Nil returns</w:t>
            </w:r>
          </w:p>
        </w:tc>
        <w:tc>
          <w:tcPr>
            <w:tcW w:w="2126" w:type="dxa"/>
          </w:tcPr>
          <w:p w:rsidR="00AF753F" w:rsidRPr="00CA1467" w:rsidRDefault="00AF753F" w:rsidP="00443952">
            <w:pPr>
              <w:spacing w:before="80" w:after="80"/>
              <w:ind w:right="515"/>
              <w:jc w:val="right"/>
              <w:rPr>
                <w:sz w:val="20"/>
                <w:lang w:val="en-NZ"/>
              </w:rPr>
            </w:pPr>
            <w:r w:rsidRPr="00CA1467">
              <w:rPr>
                <w:sz w:val="20"/>
                <w:lang w:val="en-NZ"/>
              </w:rPr>
              <w:t>27,041</w:t>
            </w:r>
          </w:p>
        </w:tc>
      </w:tr>
      <w:tr w:rsidR="00AF753F" w:rsidRPr="00CA1467" w:rsidTr="001B541F">
        <w:tc>
          <w:tcPr>
            <w:tcW w:w="3936" w:type="dxa"/>
          </w:tcPr>
          <w:p w:rsidR="00AF753F" w:rsidRPr="00CA1467" w:rsidRDefault="00AF753F" w:rsidP="001B541F">
            <w:pPr>
              <w:spacing w:before="80" w:after="80"/>
              <w:ind w:left="709"/>
              <w:rPr>
                <w:b/>
                <w:sz w:val="20"/>
                <w:lang w:val="en-NZ"/>
              </w:rPr>
            </w:pPr>
            <w:r w:rsidRPr="00CA1467">
              <w:rPr>
                <w:b/>
                <w:sz w:val="20"/>
                <w:lang w:val="en-NZ"/>
              </w:rPr>
              <w:t>Total</w:t>
            </w:r>
          </w:p>
        </w:tc>
        <w:tc>
          <w:tcPr>
            <w:tcW w:w="2126" w:type="dxa"/>
          </w:tcPr>
          <w:p w:rsidR="00AF753F" w:rsidRPr="00CA1467" w:rsidRDefault="00AF753F" w:rsidP="00443952">
            <w:pPr>
              <w:spacing w:before="80" w:after="80"/>
              <w:ind w:right="515"/>
              <w:jc w:val="right"/>
              <w:rPr>
                <w:b/>
                <w:sz w:val="20"/>
                <w:lang w:val="en-NZ"/>
              </w:rPr>
            </w:pPr>
            <w:r w:rsidRPr="00CA1467">
              <w:rPr>
                <w:b/>
                <w:sz w:val="20"/>
                <w:lang w:val="en-NZ"/>
              </w:rPr>
              <w:t>136,042</w:t>
            </w:r>
          </w:p>
        </w:tc>
      </w:tr>
      <w:tr w:rsidR="00AF753F" w:rsidRPr="00CA1467" w:rsidTr="001B541F">
        <w:tc>
          <w:tcPr>
            <w:tcW w:w="3936" w:type="dxa"/>
          </w:tcPr>
          <w:p w:rsidR="00AF753F" w:rsidRPr="00CA1467" w:rsidRDefault="00443952" w:rsidP="00443952">
            <w:pPr>
              <w:spacing w:before="80" w:after="80"/>
              <w:rPr>
                <w:b/>
                <w:sz w:val="20"/>
                <w:lang w:val="en-NZ"/>
              </w:rPr>
            </w:pPr>
            <w:r w:rsidRPr="00CA1467">
              <w:rPr>
                <w:b/>
                <w:sz w:val="20"/>
                <w:lang w:val="en-NZ"/>
              </w:rPr>
              <w:t>Total (QCs + LAQCs)</w:t>
            </w:r>
          </w:p>
        </w:tc>
        <w:tc>
          <w:tcPr>
            <w:tcW w:w="2126" w:type="dxa"/>
          </w:tcPr>
          <w:p w:rsidR="00AF753F" w:rsidRPr="00CA1467" w:rsidRDefault="00AF753F" w:rsidP="00443952">
            <w:pPr>
              <w:spacing w:before="80" w:after="80"/>
              <w:ind w:right="515"/>
              <w:jc w:val="right"/>
              <w:rPr>
                <w:b/>
                <w:sz w:val="20"/>
                <w:lang w:val="en-NZ"/>
              </w:rPr>
            </w:pPr>
            <w:r w:rsidRPr="00CA1467">
              <w:rPr>
                <w:b/>
                <w:sz w:val="20"/>
                <w:lang w:val="en-NZ"/>
              </w:rPr>
              <w:t>143,658</w:t>
            </w:r>
          </w:p>
        </w:tc>
      </w:tr>
      <w:tr w:rsidR="00AF753F" w:rsidRPr="00CA1467" w:rsidTr="001B541F">
        <w:tc>
          <w:tcPr>
            <w:tcW w:w="3936" w:type="dxa"/>
          </w:tcPr>
          <w:p w:rsidR="00AF753F" w:rsidRPr="00CA1467" w:rsidRDefault="00AF753F" w:rsidP="00443952">
            <w:pPr>
              <w:spacing w:before="80" w:after="80"/>
              <w:rPr>
                <w:b/>
                <w:sz w:val="20"/>
                <w:lang w:val="en-NZ"/>
              </w:rPr>
            </w:pPr>
            <w:r w:rsidRPr="00CA1467">
              <w:rPr>
                <w:b/>
                <w:sz w:val="20"/>
                <w:lang w:val="en-NZ"/>
              </w:rPr>
              <w:t>LAQC as % of total</w:t>
            </w:r>
          </w:p>
        </w:tc>
        <w:tc>
          <w:tcPr>
            <w:tcW w:w="2126" w:type="dxa"/>
          </w:tcPr>
          <w:p w:rsidR="00AF753F" w:rsidRPr="00CA1467" w:rsidRDefault="00AF753F" w:rsidP="00443952">
            <w:pPr>
              <w:spacing w:before="80" w:after="80"/>
              <w:ind w:right="515"/>
              <w:jc w:val="right"/>
              <w:rPr>
                <w:b/>
                <w:sz w:val="20"/>
                <w:lang w:val="en-NZ"/>
              </w:rPr>
            </w:pPr>
            <w:r w:rsidRPr="00CA1467">
              <w:rPr>
                <w:b/>
                <w:sz w:val="20"/>
                <w:lang w:val="en-NZ"/>
              </w:rPr>
              <w:t>94.7%</w:t>
            </w:r>
          </w:p>
        </w:tc>
      </w:tr>
    </w:tbl>
    <w:p w:rsidR="00AF753F" w:rsidRPr="00CA1467" w:rsidRDefault="00AF753F" w:rsidP="00AF753F">
      <w:pPr>
        <w:rPr>
          <w:lang w:val="en-NZ"/>
        </w:rPr>
      </w:pPr>
    </w:p>
    <w:p w:rsidR="001154E2" w:rsidRPr="00CA1467" w:rsidRDefault="001154E2" w:rsidP="001154E2">
      <w:pPr>
        <w:rPr>
          <w:lang w:val="en-NZ"/>
        </w:rPr>
      </w:pPr>
    </w:p>
    <w:p w:rsidR="00FB707D" w:rsidRPr="00CA1467" w:rsidRDefault="00FB707D" w:rsidP="00FB707D">
      <w:pPr>
        <w:rPr>
          <w:lang w:val="en-NZ"/>
        </w:rPr>
      </w:pPr>
      <w:r w:rsidRPr="00CA1467">
        <w:rPr>
          <w:lang w:val="en-NZ"/>
        </w:rPr>
        <w:t xml:space="preserve">Since the 2010 reforms, the composition has changed significantly.  Companies that were LAQCs have become either QCs or LTCs.  However, Table </w:t>
      </w:r>
      <w:r w:rsidR="005C29C2">
        <w:rPr>
          <w:lang w:val="en-NZ"/>
        </w:rPr>
        <w:t>9</w:t>
      </w:r>
      <w:r w:rsidRPr="00CA1467">
        <w:rPr>
          <w:lang w:val="en-NZ"/>
        </w:rPr>
        <w:t xml:space="preserve"> indicates that there are fewer entities overall in these categories, suggesting that some have chosen to wind up or carry out business under another form.</w:t>
      </w:r>
    </w:p>
    <w:p w:rsidR="00FB707D" w:rsidRPr="00CA1467" w:rsidRDefault="00FB707D" w:rsidP="001154E2">
      <w:pPr>
        <w:rPr>
          <w:lang w:val="en-NZ"/>
        </w:rPr>
      </w:pPr>
    </w:p>
    <w:p w:rsidR="00FB707D" w:rsidRPr="00CA1467" w:rsidRDefault="00FB707D" w:rsidP="00FB707D">
      <w:pPr>
        <w:rPr>
          <w:lang w:val="en-NZ"/>
        </w:rPr>
      </w:pPr>
      <w:r w:rsidRPr="00CA1467">
        <w:rPr>
          <w:lang w:val="en-NZ"/>
        </w:rPr>
        <w:t xml:space="preserve">Many of these new LTCs are involved in real property.  </w:t>
      </w:r>
      <w:proofErr w:type="gramStart"/>
      <w:r w:rsidRPr="00CA1467">
        <w:rPr>
          <w:lang w:val="en-NZ"/>
        </w:rPr>
        <w:t>This tallies</w:t>
      </w:r>
      <w:proofErr w:type="gramEnd"/>
      <w:r w:rsidRPr="00CA1467">
        <w:rPr>
          <w:lang w:val="en-NZ"/>
        </w:rPr>
        <w:t xml:space="preserve"> with earlier data on the distribution of QC/LAQC losses by industry</w:t>
      </w:r>
      <w:r w:rsidR="001B541F" w:rsidRPr="00CA1467">
        <w:rPr>
          <w:lang w:val="en-NZ"/>
        </w:rPr>
        <w:t xml:space="preserve">, as shown in Table </w:t>
      </w:r>
      <w:r w:rsidR="005C29C2">
        <w:rPr>
          <w:lang w:val="en-NZ"/>
        </w:rPr>
        <w:t>10</w:t>
      </w:r>
      <w:r w:rsidR="001B541F" w:rsidRPr="00CA1467">
        <w:rPr>
          <w:lang w:val="en-NZ"/>
        </w:rPr>
        <w:t>.</w:t>
      </w:r>
    </w:p>
    <w:p w:rsidR="00FB707D" w:rsidRPr="00CA1467" w:rsidRDefault="00FB707D" w:rsidP="001154E2">
      <w:pPr>
        <w:rPr>
          <w:lang w:val="en-NZ"/>
        </w:rPr>
      </w:pPr>
    </w:p>
    <w:p w:rsidR="00FB707D" w:rsidRPr="00CA1467" w:rsidRDefault="00FB707D" w:rsidP="001154E2">
      <w:pPr>
        <w:rPr>
          <w:lang w:val="en-NZ"/>
        </w:rPr>
      </w:pPr>
    </w:p>
    <w:p w:rsidR="001B541F" w:rsidRPr="00CA1467" w:rsidRDefault="001B541F">
      <w:pPr>
        <w:jc w:val="left"/>
        <w:rPr>
          <w:b/>
          <w:lang w:val="en-NZ"/>
        </w:rPr>
      </w:pPr>
      <w:r w:rsidRPr="00CA1467">
        <w:rPr>
          <w:b/>
          <w:lang w:val="en-NZ"/>
        </w:rPr>
        <w:br w:type="page"/>
      </w:r>
    </w:p>
    <w:p w:rsidR="00443952" w:rsidRPr="00CA1467" w:rsidRDefault="00443952" w:rsidP="003643FA">
      <w:pPr>
        <w:spacing w:after="200"/>
        <w:jc w:val="left"/>
        <w:rPr>
          <w:b/>
          <w:lang w:val="en-NZ"/>
        </w:rPr>
      </w:pPr>
      <w:r w:rsidRPr="00CA1467">
        <w:rPr>
          <w:b/>
          <w:lang w:val="en-NZ"/>
        </w:rPr>
        <w:t xml:space="preserve">Table </w:t>
      </w:r>
      <w:r w:rsidR="005C29C2">
        <w:rPr>
          <w:b/>
          <w:lang w:val="en-NZ"/>
        </w:rPr>
        <w:t>9</w:t>
      </w:r>
      <w:r w:rsidRPr="00CA1467">
        <w:rPr>
          <w:b/>
          <w:lang w:val="en-NZ"/>
        </w:rPr>
        <w:t>: Total numbers of LAQCs, QCs and LTCs since 2010 reforms</w:t>
      </w:r>
    </w:p>
    <w:tbl>
      <w:tblPr>
        <w:tblStyle w:val="TableGrid"/>
        <w:tblW w:w="0" w:type="auto"/>
        <w:tblLook w:val="04A0" w:firstRow="1" w:lastRow="0" w:firstColumn="1" w:lastColumn="0" w:noHBand="0" w:noVBand="1"/>
      </w:tblPr>
      <w:tblGrid>
        <w:gridCol w:w="2132"/>
        <w:gridCol w:w="2132"/>
        <w:gridCol w:w="2132"/>
        <w:gridCol w:w="2132"/>
      </w:tblGrid>
      <w:tr w:rsidR="00443952" w:rsidRPr="00CA1467" w:rsidTr="00443952">
        <w:tc>
          <w:tcPr>
            <w:tcW w:w="2132" w:type="dxa"/>
            <w:tcBorders>
              <w:top w:val="nil"/>
              <w:left w:val="nil"/>
            </w:tcBorders>
          </w:tcPr>
          <w:p w:rsidR="00443952" w:rsidRPr="00CA1467" w:rsidRDefault="00443952" w:rsidP="00443952">
            <w:pPr>
              <w:spacing w:before="80" w:after="80"/>
              <w:rPr>
                <w:sz w:val="20"/>
                <w:lang w:val="en-NZ"/>
              </w:rPr>
            </w:pPr>
          </w:p>
        </w:tc>
        <w:tc>
          <w:tcPr>
            <w:tcW w:w="6396" w:type="dxa"/>
            <w:gridSpan w:val="3"/>
          </w:tcPr>
          <w:p w:rsidR="00443952" w:rsidRPr="00CA1467" w:rsidRDefault="00443952" w:rsidP="00443952">
            <w:pPr>
              <w:spacing w:before="80" w:after="80"/>
              <w:jc w:val="center"/>
              <w:rPr>
                <w:b/>
                <w:sz w:val="20"/>
                <w:lang w:val="en-NZ"/>
              </w:rPr>
            </w:pPr>
            <w:r w:rsidRPr="00CA1467">
              <w:rPr>
                <w:b/>
                <w:sz w:val="20"/>
                <w:lang w:val="en-NZ"/>
              </w:rPr>
              <w:t>Tax year</w:t>
            </w:r>
          </w:p>
        </w:tc>
      </w:tr>
      <w:tr w:rsidR="00443952" w:rsidRPr="00CA1467" w:rsidTr="00443952">
        <w:tc>
          <w:tcPr>
            <w:tcW w:w="2132" w:type="dxa"/>
          </w:tcPr>
          <w:p w:rsidR="00443952" w:rsidRPr="00CA1467" w:rsidRDefault="00443952" w:rsidP="00443952">
            <w:pPr>
              <w:spacing w:before="80" w:after="80"/>
              <w:rPr>
                <w:sz w:val="20"/>
                <w:lang w:val="en-NZ"/>
              </w:rPr>
            </w:pPr>
          </w:p>
        </w:tc>
        <w:tc>
          <w:tcPr>
            <w:tcW w:w="2132" w:type="dxa"/>
          </w:tcPr>
          <w:p w:rsidR="00443952" w:rsidRPr="00CA1467" w:rsidRDefault="00443952" w:rsidP="00443952">
            <w:pPr>
              <w:spacing w:before="80" w:after="80"/>
              <w:jc w:val="center"/>
              <w:rPr>
                <w:b/>
                <w:sz w:val="20"/>
                <w:lang w:val="en-NZ"/>
              </w:rPr>
            </w:pPr>
            <w:r w:rsidRPr="00CA1467">
              <w:rPr>
                <w:b/>
                <w:sz w:val="20"/>
                <w:lang w:val="en-NZ"/>
              </w:rPr>
              <w:t>2011</w:t>
            </w:r>
          </w:p>
        </w:tc>
        <w:tc>
          <w:tcPr>
            <w:tcW w:w="2132" w:type="dxa"/>
          </w:tcPr>
          <w:p w:rsidR="00443952" w:rsidRPr="00CA1467" w:rsidRDefault="00443952" w:rsidP="00443952">
            <w:pPr>
              <w:spacing w:before="80" w:after="80"/>
              <w:jc w:val="center"/>
              <w:rPr>
                <w:b/>
                <w:sz w:val="20"/>
                <w:lang w:val="en-NZ"/>
              </w:rPr>
            </w:pPr>
            <w:r w:rsidRPr="00CA1467">
              <w:rPr>
                <w:b/>
                <w:sz w:val="20"/>
                <w:lang w:val="en-NZ"/>
              </w:rPr>
              <w:t>2012</w:t>
            </w:r>
          </w:p>
        </w:tc>
        <w:tc>
          <w:tcPr>
            <w:tcW w:w="2132" w:type="dxa"/>
          </w:tcPr>
          <w:p w:rsidR="00443952" w:rsidRPr="00CA1467" w:rsidRDefault="00443952" w:rsidP="00443952">
            <w:pPr>
              <w:spacing w:before="80" w:after="80"/>
              <w:jc w:val="center"/>
              <w:rPr>
                <w:b/>
                <w:sz w:val="20"/>
                <w:lang w:val="en-NZ"/>
              </w:rPr>
            </w:pPr>
            <w:r w:rsidRPr="00CA1467">
              <w:rPr>
                <w:b/>
                <w:sz w:val="20"/>
                <w:lang w:val="en-NZ"/>
              </w:rPr>
              <w:t>2013</w:t>
            </w:r>
          </w:p>
        </w:tc>
      </w:tr>
      <w:tr w:rsidR="00443952" w:rsidRPr="00CA1467" w:rsidTr="00443952">
        <w:tc>
          <w:tcPr>
            <w:tcW w:w="2132" w:type="dxa"/>
          </w:tcPr>
          <w:p w:rsidR="00443952" w:rsidRPr="00CA1467" w:rsidRDefault="00443952" w:rsidP="00443952">
            <w:pPr>
              <w:spacing w:before="80" w:after="80"/>
              <w:rPr>
                <w:b/>
                <w:sz w:val="20"/>
                <w:lang w:val="en-NZ"/>
              </w:rPr>
            </w:pPr>
            <w:r w:rsidRPr="00CA1467">
              <w:rPr>
                <w:b/>
                <w:sz w:val="20"/>
                <w:lang w:val="en-NZ"/>
              </w:rPr>
              <w:t>LAQCs</w:t>
            </w:r>
          </w:p>
        </w:tc>
        <w:tc>
          <w:tcPr>
            <w:tcW w:w="2132" w:type="dxa"/>
          </w:tcPr>
          <w:p w:rsidR="00443952" w:rsidRPr="00CA1467" w:rsidRDefault="00443952" w:rsidP="00443952">
            <w:pPr>
              <w:spacing w:before="80" w:after="80"/>
              <w:ind w:right="646"/>
              <w:jc w:val="right"/>
              <w:rPr>
                <w:sz w:val="20"/>
                <w:lang w:val="en-NZ"/>
              </w:rPr>
            </w:pPr>
            <w:r w:rsidRPr="00CA1467">
              <w:rPr>
                <w:sz w:val="20"/>
                <w:lang w:val="en-NZ"/>
              </w:rPr>
              <w:t>133,617</w:t>
            </w:r>
          </w:p>
        </w:tc>
        <w:tc>
          <w:tcPr>
            <w:tcW w:w="2132" w:type="dxa"/>
          </w:tcPr>
          <w:p w:rsidR="00443952" w:rsidRPr="00CA1467" w:rsidRDefault="00443952" w:rsidP="00443952">
            <w:pPr>
              <w:spacing w:before="80" w:after="80"/>
              <w:ind w:right="651"/>
              <w:jc w:val="right"/>
              <w:rPr>
                <w:sz w:val="20"/>
                <w:lang w:val="en-NZ"/>
              </w:rPr>
            </w:pPr>
            <w:r w:rsidRPr="00CA1467">
              <w:rPr>
                <w:sz w:val="20"/>
                <w:lang w:val="en-NZ"/>
              </w:rPr>
              <w:t>1,310</w:t>
            </w:r>
          </w:p>
        </w:tc>
        <w:tc>
          <w:tcPr>
            <w:tcW w:w="2132" w:type="dxa"/>
          </w:tcPr>
          <w:p w:rsidR="00443952" w:rsidRPr="00CA1467" w:rsidRDefault="00442276" w:rsidP="00443952">
            <w:pPr>
              <w:spacing w:before="80" w:after="80"/>
              <w:ind w:right="657"/>
              <w:jc w:val="right"/>
              <w:rPr>
                <w:sz w:val="20"/>
                <w:lang w:val="en-NZ"/>
              </w:rPr>
            </w:pPr>
            <w:r w:rsidRPr="00CA1467">
              <w:rPr>
                <w:sz w:val="20"/>
                <w:lang w:val="en-NZ"/>
              </w:rPr>
              <w:t>0</w:t>
            </w:r>
          </w:p>
        </w:tc>
      </w:tr>
      <w:tr w:rsidR="00443952" w:rsidRPr="00CA1467" w:rsidTr="00443952">
        <w:tc>
          <w:tcPr>
            <w:tcW w:w="2132" w:type="dxa"/>
          </w:tcPr>
          <w:p w:rsidR="00443952" w:rsidRPr="00CA1467" w:rsidRDefault="00443952" w:rsidP="00443952">
            <w:pPr>
              <w:spacing w:before="80" w:after="80"/>
              <w:rPr>
                <w:b/>
                <w:sz w:val="20"/>
                <w:lang w:val="en-NZ"/>
              </w:rPr>
            </w:pPr>
            <w:r w:rsidRPr="00CA1467">
              <w:rPr>
                <w:b/>
                <w:sz w:val="20"/>
                <w:lang w:val="en-NZ"/>
              </w:rPr>
              <w:t>QCs</w:t>
            </w:r>
          </w:p>
        </w:tc>
        <w:tc>
          <w:tcPr>
            <w:tcW w:w="2132" w:type="dxa"/>
          </w:tcPr>
          <w:p w:rsidR="00443952" w:rsidRPr="00CA1467" w:rsidRDefault="00443952" w:rsidP="00443952">
            <w:pPr>
              <w:spacing w:before="80" w:after="80"/>
              <w:ind w:right="646"/>
              <w:jc w:val="right"/>
              <w:rPr>
                <w:sz w:val="20"/>
                <w:lang w:val="en-NZ"/>
              </w:rPr>
            </w:pPr>
            <w:r w:rsidRPr="00CA1467">
              <w:rPr>
                <w:sz w:val="20"/>
                <w:lang w:val="en-NZ"/>
              </w:rPr>
              <w:t>6,282</w:t>
            </w:r>
          </w:p>
        </w:tc>
        <w:tc>
          <w:tcPr>
            <w:tcW w:w="2132" w:type="dxa"/>
          </w:tcPr>
          <w:p w:rsidR="00443952" w:rsidRPr="00CA1467" w:rsidRDefault="00443952" w:rsidP="00443952">
            <w:pPr>
              <w:spacing w:before="80" w:after="80"/>
              <w:ind w:right="651"/>
              <w:jc w:val="right"/>
              <w:rPr>
                <w:sz w:val="20"/>
                <w:lang w:val="en-NZ"/>
              </w:rPr>
            </w:pPr>
            <w:r w:rsidRPr="00CA1467">
              <w:rPr>
                <w:sz w:val="20"/>
                <w:lang w:val="en-NZ"/>
              </w:rPr>
              <w:t>80,346</w:t>
            </w:r>
          </w:p>
        </w:tc>
        <w:tc>
          <w:tcPr>
            <w:tcW w:w="2132" w:type="dxa"/>
          </w:tcPr>
          <w:p w:rsidR="00443952" w:rsidRPr="00CA1467" w:rsidRDefault="00443952" w:rsidP="00443952">
            <w:pPr>
              <w:spacing w:before="80" w:after="80"/>
              <w:ind w:right="657"/>
              <w:jc w:val="right"/>
              <w:rPr>
                <w:sz w:val="20"/>
                <w:lang w:val="en-NZ"/>
              </w:rPr>
            </w:pPr>
            <w:r w:rsidRPr="00CA1467">
              <w:rPr>
                <w:sz w:val="20"/>
                <w:lang w:val="en-NZ"/>
              </w:rPr>
              <w:t>68,844</w:t>
            </w:r>
          </w:p>
        </w:tc>
      </w:tr>
      <w:tr w:rsidR="00443952" w:rsidRPr="00CA1467" w:rsidTr="00443952">
        <w:tc>
          <w:tcPr>
            <w:tcW w:w="2132" w:type="dxa"/>
          </w:tcPr>
          <w:p w:rsidR="00443952" w:rsidRPr="00CA1467" w:rsidRDefault="00443952" w:rsidP="00443952">
            <w:pPr>
              <w:spacing w:before="80" w:after="80"/>
              <w:rPr>
                <w:b/>
                <w:sz w:val="20"/>
                <w:lang w:val="en-NZ"/>
              </w:rPr>
            </w:pPr>
            <w:r w:rsidRPr="00CA1467">
              <w:rPr>
                <w:b/>
                <w:sz w:val="20"/>
                <w:lang w:val="en-NZ"/>
              </w:rPr>
              <w:t>LTCs</w:t>
            </w:r>
          </w:p>
        </w:tc>
        <w:tc>
          <w:tcPr>
            <w:tcW w:w="2132" w:type="dxa"/>
          </w:tcPr>
          <w:p w:rsidR="00443952" w:rsidRPr="00CA1467" w:rsidRDefault="00443952" w:rsidP="00443952">
            <w:pPr>
              <w:spacing w:before="80" w:after="80"/>
              <w:ind w:right="646"/>
              <w:jc w:val="right"/>
              <w:rPr>
                <w:sz w:val="20"/>
                <w:lang w:val="en-NZ"/>
              </w:rPr>
            </w:pPr>
            <w:r w:rsidRPr="00CA1467">
              <w:rPr>
                <w:sz w:val="20"/>
                <w:lang w:val="en-NZ"/>
              </w:rPr>
              <w:t>0</w:t>
            </w:r>
          </w:p>
        </w:tc>
        <w:tc>
          <w:tcPr>
            <w:tcW w:w="2132" w:type="dxa"/>
          </w:tcPr>
          <w:p w:rsidR="00443952" w:rsidRPr="00CA1467" w:rsidRDefault="00443952" w:rsidP="00443952">
            <w:pPr>
              <w:spacing w:before="80" w:after="80"/>
              <w:ind w:right="651"/>
              <w:jc w:val="right"/>
              <w:rPr>
                <w:sz w:val="20"/>
                <w:lang w:val="en-NZ"/>
              </w:rPr>
            </w:pPr>
            <w:r w:rsidRPr="00CA1467">
              <w:rPr>
                <w:sz w:val="20"/>
                <w:lang w:val="en-NZ"/>
              </w:rPr>
              <w:t>43,826</w:t>
            </w:r>
          </w:p>
        </w:tc>
        <w:tc>
          <w:tcPr>
            <w:tcW w:w="2132" w:type="dxa"/>
          </w:tcPr>
          <w:p w:rsidR="00443952" w:rsidRPr="00CA1467" w:rsidRDefault="00443952" w:rsidP="00443952">
            <w:pPr>
              <w:spacing w:before="80" w:after="80"/>
              <w:ind w:right="657"/>
              <w:jc w:val="right"/>
              <w:rPr>
                <w:sz w:val="20"/>
                <w:lang w:val="en-NZ"/>
              </w:rPr>
            </w:pPr>
            <w:r w:rsidRPr="00CA1467">
              <w:rPr>
                <w:sz w:val="20"/>
                <w:lang w:val="en-NZ"/>
              </w:rPr>
              <w:t>46,182</w:t>
            </w:r>
          </w:p>
        </w:tc>
      </w:tr>
    </w:tbl>
    <w:p w:rsidR="00443952" w:rsidRPr="00CA1467" w:rsidRDefault="00443952" w:rsidP="00443952">
      <w:pPr>
        <w:rPr>
          <w:lang w:val="en-NZ"/>
        </w:rPr>
      </w:pPr>
    </w:p>
    <w:p w:rsidR="001154E2" w:rsidRPr="00CA1467" w:rsidRDefault="00FB707D" w:rsidP="001154E2">
      <w:pPr>
        <w:rPr>
          <w:lang w:val="en-NZ"/>
        </w:rPr>
      </w:pPr>
      <w:r w:rsidRPr="00CA1467">
        <w:rPr>
          <w:lang w:val="en-NZ"/>
        </w:rPr>
        <w:t xml:space="preserve">Before Budget 2010, half the companies passing through losses were in the property industry.  </w:t>
      </w:r>
      <w:proofErr w:type="gramStart"/>
      <w:r w:rsidRPr="00CA1467">
        <w:rPr>
          <w:lang w:val="en-NZ"/>
        </w:rPr>
        <w:t>But</w:t>
      </w:r>
      <w:proofErr w:type="gramEnd"/>
      <w:r w:rsidRPr="00CA1467">
        <w:rPr>
          <w:lang w:val="en-NZ"/>
        </w:rPr>
        <w:t xml:space="preserve"> loss pass-throughs were widely distributed across the other industries.  For most industries, around half the firms were passing through losses.</w:t>
      </w:r>
    </w:p>
    <w:p w:rsidR="00FB707D" w:rsidRPr="00CA1467" w:rsidRDefault="00FB707D" w:rsidP="001154E2">
      <w:pPr>
        <w:rPr>
          <w:lang w:val="en-NZ"/>
        </w:rPr>
      </w:pPr>
    </w:p>
    <w:p w:rsidR="00443952" w:rsidRPr="00CA1467" w:rsidRDefault="00443952" w:rsidP="003643FA">
      <w:pPr>
        <w:spacing w:after="200"/>
        <w:jc w:val="left"/>
        <w:rPr>
          <w:b/>
          <w:lang w:val="en-NZ"/>
        </w:rPr>
      </w:pPr>
      <w:r w:rsidRPr="00CA1467">
        <w:rPr>
          <w:b/>
          <w:lang w:val="en-NZ"/>
        </w:rPr>
        <w:t xml:space="preserve">Table </w:t>
      </w:r>
      <w:r w:rsidR="005C29C2">
        <w:rPr>
          <w:b/>
          <w:lang w:val="en-NZ"/>
        </w:rPr>
        <w:t>10</w:t>
      </w:r>
      <w:r w:rsidRPr="00CA1467">
        <w:rPr>
          <w:b/>
          <w:lang w:val="en-NZ"/>
        </w:rPr>
        <w:t>: Distribution of loss pass-throughs by industry for 2011</w:t>
      </w:r>
    </w:p>
    <w:tbl>
      <w:tblPr>
        <w:tblStyle w:val="TableGrid"/>
        <w:tblW w:w="0" w:type="auto"/>
        <w:jc w:val="right"/>
        <w:tblLook w:val="04A0" w:firstRow="1" w:lastRow="0" w:firstColumn="1" w:lastColumn="0" w:noHBand="0" w:noVBand="1"/>
      </w:tblPr>
      <w:tblGrid>
        <w:gridCol w:w="2235"/>
        <w:gridCol w:w="1559"/>
        <w:gridCol w:w="1658"/>
        <w:gridCol w:w="1886"/>
        <w:gridCol w:w="1190"/>
      </w:tblGrid>
      <w:tr w:rsidR="00443952" w:rsidRPr="00CA1467" w:rsidTr="001B541F">
        <w:trPr>
          <w:jc w:val="right"/>
        </w:trPr>
        <w:tc>
          <w:tcPr>
            <w:tcW w:w="2235" w:type="dxa"/>
            <w:tcBorders>
              <w:top w:val="nil"/>
              <w:left w:val="nil"/>
              <w:bottom w:val="nil"/>
            </w:tcBorders>
          </w:tcPr>
          <w:p w:rsidR="00443952" w:rsidRPr="00CA1467" w:rsidRDefault="00443952" w:rsidP="00443952">
            <w:pPr>
              <w:jc w:val="left"/>
              <w:rPr>
                <w:sz w:val="20"/>
                <w:lang w:val="en-NZ"/>
              </w:rPr>
            </w:pPr>
          </w:p>
        </w:tc>
        <w:tc>
          <w:tcPr>
            <w:tcW w:w="1559" w:type="dxa"/>
          </w:tcPr>
          <w:p w:rsidR="00443952" w:rsidRPr="00CA1467" w:rsidRDefault="00443952">
            <w:pPr>
              <w:spacing w:before="120" w:after="120"/>
              <w:jc w:val="center"/>
              <w:rPr>
                <w:b/>
                <w:sz w:val="20"/>
                <w:lang w:val="en-NZ"/>
              </w:rPr>
            </w:pPr>
            <w:r w:rsidRPr="00CA1467">
              <w:rPr>
                <w:b/>
                <w:sz w:val="20"/>
                <w:lang w:val="en-NZ"/>
              </w:rPr>
              <w:t>Percent of total losses passed through</w:t>
            </w:r>
          </w:p>
        </w:tc>
        <w:tc>
          <w:tcPr>
            <w:tcW w:w="1658" w:type="dxa"/>
          </w:tcPr>
          <w:p w:rsidR="00443952" w:rsidRPr="00CA1467" w:rsidRDefault="00443952" w:rsidP="007B67BA">
            <w:pPr>
              <w:spacing w:before="120" w:after="120"/>
              <w:jc w:val="center"/>
              <w:rPr>
                <w:b/>
                <w:sz w:val="20"/>
                <w:lang w:val="en-NZ"/>
              </w:rPr>
            </w:pPr>
            <w:r w:rsidRPr="00CA1467">
              <w:rPr>
                <w:b/>
                <w:sz w:val="20"/>
                <w:lang w:val="en-NZ"/>
              </w:rPr>
              <w:t>Number pass through</w:t>
            </w:r>
          </w:p>
        </w:tc>
        <w:tc>
          <w:tcPr>
            <w:tcW w:w="1886" w:type="dxa"/>
          </w:tcPr>
          <w:p w:rsidR="00443952" w:rsidRPr="00CA1467" w:rsidRDefault="00443952" w:rsidP="007B67BA">
            <w:pPr>
              <w:spacing w:before="120" w:after="120"/>
              <w:jc w:val="center"/>
              <w:rPr>
                <w:b/>
                <w:sz w:val="20"/>
                <w:lang w:val="en-NZ"/>
              </w:rPr>
            </w:pPr>
            <w:r w:rsidRPr="00CA1467">
              <w:rPr>
                <w:b/>
                <w:sz w:val="20"/>
                <w:lang w:val="en-NZ"/>
              </w:rPr>
              <w:t>Percent of firms in industry passing losses through</w:t>
            </w:r>
          </w:p>
        </w:tc>
        <w:tc>
          <w:tcPr>
            <w:tcW w:w="1190" w:type="dxa"/>
          </w:tcPr>
          <w:p w:rsidR="00443952" w:rsidRPr="00CA1467" w:rsidRDefault="00443952" w:rsidP="007B67BA">
            <w:pPr>
              <w:spacing w:before="120" w:after="120"/>
              <w:jc w:val="center"/>
              <w:rPr>
                <w:b/>
                <w:sz w:val="20"/>
                <w:lang w:val="en-NZ"/>
              </w:rPr>
            </w:pPr>
            <w:r w:rsidRPr="00CA1467">
              <w:rPr>
                <w:b/>
                <w:sz w:val="20"/>
                <w:lang w:val="en-NZ"/>
              </w:rPr>
              <w:t>Average loss</w:t>
            </w:r>
          </w:p>
        </w:tc>
      </w:tr>
      <w:tr w:rsidR="00443952" w:rsidRPr="00CA1467" w:rsidTr="001B541F">
        <w:trPr>
          <w:jc w:val="right"/>
        </w:trPr>
        <w:tc>
          <w:tcPr>
            <w:tcW w:w="2235" w:type="dxa"/>
            <w:tcBorders>
              <w:top w:val="nil"/>
              <w:left w:val="nil"/>
              <w:bottom w:val="single" w:sz="12" w:space="0" w:color="auto"/>
            </w:tcBorders>
          </w:tcPr>
          <w:p w:rsidR="00443952" w:rsidRPr="00CA1467" w:rsidRDefault="00443952" w:rsidP="007B67BA">
            <w:pPr>
              <w:spacing w:before="80" w:after="80"/>
              <w:jc w:val="left"/>
              <w:rPr>
                <w:sz w:val="20"/>
                <w:lang w:val="en-NZ"/>
              </w:rPr>
            </w:pPr>
          </w:p>
        </w:tc>
        <w:tc>
          <w:tcPr>
            <w:tcW w:w="1559" w:type="dxa"/>
            <w:tcBorders>
              <w:bottom w:val="single" w:sz="12" w:space="0" w:color="auto"/>
            </w:tcBorders>
          </w:tcPr>
          <w:p w:rsidR="00443952" w:rsidRPr="00CA1467" w:rsidRDefault="00443952" w:rsidP="007B67BA">
            <w:pPr>
              <w:spacing w:before="80" w:after="80"/>
              <w:jc w:val="center"/>
              <w:rPr>
                <w:b/>
                <w:sz w:val="20"/>
                <w:lang w:val="en-NZ"/>
              </w:rPr>
            </w:pPr>
            <w:r w:rsidRPr="00CA1467">
              <w:rPr>
                <w:b/>
                <w:sz w:val="20"/>
                <w:lang w:val="en-NZ"/>
              </w:rPr>
              <w:t>%</w:t>
            </w:r>
          </w:p>
        </w:tc>
        <w:tc>
          <w:tcPr>
            <w:tcW w:w="1658" w:type="dxa"/>
            <w:tcBorders>
              <w:bottom w:val="single" w:sz="12" w:space="0" w:color="auto"/>
            </w:tcBorders>
          </w:tcPr>
          <w:p w:rsidR="00443952" w:rsidRPr="00CA1467" w:rsidRDefault="001B541F" w:rsidP="007B67BA">
            <w:pPr>
              <w:spacing w:before="80" w:after="80"/>
              <w:jc w:val="center"/>
              <w:rPr>
                <w:b/>
                <w:sz w:val="20"/>
                <w:lang w:val="en-NZ"/>
              </w:rPr>
            </w:pPr>
            <w:r w:rsidRPr="00CA1467">
              <w:rPr>
                <w:b/>
                <w:sz w:val="20"/>
                <w:lang w:val="en-NZ"/>
              </w:rPr>
              <w:t>N</w:t>
            </w:r>
            <w:r w:rsidR="00443952" w:rsidRPr="00CA1467">
              <w:rPr>
                <w:b/>
                <w:sz w:val="20"/>
                <w:lang w:val="en-NZ"/>
              </w:rPr>
              <w:t>umber</w:t>
            </w:r>
          </w:p>
        </w:tc>
        <w:tc>
          <w:tcPr>
            <w:tcW w:w="1886" w:type="dxa"/>
            <w:tcBorders>
              <w:bottom w:val="single" w:sz="12" w:space="0" w:color="auto"/>
            </w:tcBorders>
          </w:tcPr>
          <w:p w:rsidR="00443952" w:rsidRPr="00CA1467" w:rsidRDefault="00443952" w:rsidP="001B541F">
            <w:pPr>
              <w:spacing w:before="80" w:after="80"/>
              <w:jc w:val="center"/>
              <w:rPr>
                <w:b/>
                <w:sz w:val="20"/>
                <w:lang w:val="en-NZ"/>
              </w:rPr>
            </w:pPr>
            <w:r w:rsidRPr="00CA1467">
              <w:rPr>
                <w:b/>
                <w:sz w:val="20"/>
                <w:lang w:val="en-NZ"/>
              </w:rPr>
              <w:t>%</w:t>
            </w:r>
          </w:p>
        </w:tc>
        <w:tc>
          <w:tcPr>
            <w:tcW w:w="1190" w:type="dxa"/>
            <w:tcBorders>
              <w:bottom w:val="single" w:sz="12" w:space="0" w:color="auto"/>
            </w:tcBorders>
          </w:tcPr>
          <w:p w:rsidR="00443952" w:rsidRPr="00CA1467" w:rsidRDefault="00443952" w:rsidP="007B67BA">
            <w:pPr>
              <w:spacing w:before="80" w:after="80"/>
              <w:jc w:val="center"/>
              <w:rPr>
                <w:b/>
                <w:sz w:val="20"/>
                <w:lang w:val="en-NZ"/>
              </w:rPr>
            </w:pPr>
            <w:r w:rsidRPr="00CA1467">
              <w:rPr>
                <w:b/>
                <w:sz w:val="20"/>
                <w:lang w:val="en-NZ"/>
              </w:rPr>
              <w:t>$</w:t>
            </w:r>
          </w:p>
        </w:tc>
      </w:tr>
      <w:tr w:rsidR="00443952" w:rsidRPr="00CA1467" w:rsidTr="001B541F">
        <w:trPr>
          <w:jc w:val="right"/>
        </w:trPr>
        <w:tc>
          <w:tcPr>
            <w:tcW w:w="2235" w:type="dxa"/>
            <w:tcBorders>
              <w:top w:val="single" w:sz="12" w:space="0" w:color="auto"/>
            </w:tcBorders>
          </w:tcPr>
          <w:p w:rsidR="00443952" w:rsidRPr="00CA1467" w:rsidRDefault="00443952" w:rsidP="007B67BA">
            <w:pPr>
              <w:spacing w:before="80" w:after="80"/>
              <w:jc w:val="left"/>
              <w:rPr>
                <w:b/>
                <w:sz w:val="20"/>
                <w:lang w:val="en-NZ"/>
              </w:rPr>
            </w:pPr>
            <w:r w:rsidRPr="00CA1467">
              <w:rPr>
                <w:b/>
                <w:sz w:val="20"/>
                <w:lang w:val="en-NZ"/>
              </w:rPr>
              <w:t>Agriculture</w:t>
            </w:r>
          </w:p>
        </w:tc>
        <w:tc>
          <w:tcPr>
            <w:tcW w:w="1559" w:type="dxa"/>
            <w:tcBorders>
              <w:top w:val="single" w:sz="12" w:space="0" w:color="auto"/>
            </w:tcBorders>
          </w:tcPr>
          <w:p w:rsidR="00443952" w:rsidRPr="00CA1467" w:rsidRDefault="00443952" w:rsidP="003E473F">
            <w:pPr>
              <w:spacing w:before="80" w:after="80"/>
              <w:ind w:right="437"/>
              <w:jc w:val="right"/>
              <w:rPr>
                <w:sz w:val="20"/>
                <w:lang w:val="en-NZ"/>
              </w:rPr>
            </w:pPr>
            <w:r w:rsidRPr="00CA1467">
              <w:rPr>
                <w:sz w:val="20"/>
                <w:lang w:val="en-NZ"/>
              </w:rPr>
              <w:t>16</w:t>
            </w:r>
          </w:p>
        </w:tc>
        <w:tc>
          <w:tcPr>
            <w:tcW w:w="1658" w:type="dxa"/>
            <w:tcBorders>
              <w:top w:val="single" w:sz="12" w:space="0" w:color="auto"/>
            </w:tcBorders>
          </w:tcPr>
          <w:p w:rsidR="00443952" w:rsidRPr="00CA1467" w:rsidRDefault="00443952" w:rsidP="003E473F">
            <w:pPr>
              <w:spacing w:before="80" w:after="80"/>
              <w:ind w:right="416"/>
              <w:jc w:val="right"/>
              <w:rPr>
                <w:sz w:val="20"/>
                <w:lang w:val="en-NZ"/>
              </w:rPr>
            </w:pPr>
            <w:r w:rsidRPr="00CA1467">
              <w:rPr>
                <w:sz w:val="20"/>
                <w:lang w:val="en-NZ"/>
              </w:rPr>
              <w:t>5,289</w:t>
            </w:r>
          </w:p>
        </w:tc>
        <w:tc>
          <w:tcPr>
            <w:tcW w:w="1886" w:type="dxa"/>
            <w:tcBorders>
              <w:top w:val="single" w:sz="12" w:space="0" w:color="auto"/>
            </w:tcBorders>
          </w:tcPr>
          <w:p w:rsidR="00443952" w:rsidRPr="00CA1467" w:rsidRDefault="00443952" w:rsidP="001B541F">
            <w:pPr>
              <w:spacing w:before="80" w:after="80"/>
              <w:ind w:right="34"/>
              <w:jc w:val="center"/>
              <w:rPr>
                <w:sz w:val="20"/>
                <w:lang w:val="en-NZ"/>
              </w:rPr>
            </w:pPr>
            <w:r w:rsidRPr="00CA1467">
              <w:rPr>
                <w:sz w:val="20"/>
                <w:lang w:val="en-NZ"/>
              </w:rPr>
              <w:t>49</w:t>
            </w:r>
          </w:p>
        </w:tc>
        <w:tc>
          <w:tcPr>
            <w:tcW w:w="1190" w:type="dxa"/>
            <w:tcBorders>
              <w:top w:val="single" w:sz="12" w:space="0" w:color="auto"/>
            </w:tcBorders>
          </w:tcPr>
          <w:p w:rsidR="00443952" w:rsidRPr="00CA1467" w:rsidRDefault="00443952" w:rsidP="003E473F">
            <w:pPr>
              <w:spacing w:before="80" w:after="80"/>
              <w:ind w:right="232"/>
              <w:jc w:val="right"/>
              <w:rPr>
                <w:sz w:val="20"/>
                <w:lang w:val="en-NZ"/>
              </w:rPr>
            </w:pPr>
            <w:r w:rsidRPr="00CA1467">
              <w:rPr>
                <w:sz w:val="20"/>
                <w:lang w:val="en-NZ"/>
              </w:rPr>
              <w:t>$61,000</w:t>
            </w:r>
          </w:p>
        </w:tc>
      </w:tr>
      <w:tr w:rsidR="00443952" w:rsidRPr="00CA1467" w:rsidTr="001B541F">
        <w:trPr>
          <w:jc w:val="right"/>
        </w:trPr>
        <w:tc>
          <w:tcPr>
            <w:tcW w:w="2235" w:type="dxa"/>
          </w:tcPr>
          <w:p w:rsidR="00443952" w:rsidRPr="00CA1467" w:rsidRDefault="00443952" w:rsidP="007B67BA">
            <w:pPr>
              <w:spacing w:before="80" w:after="80"/>
              <w:jc w:val="left"/>
              <w:rPr>
                <w:b/>
                <w:sz w:val="20"/>
                <w:lang w:val="en-NZ"/>
              </w:rPr>
            </w:pPr>
            <w:r w:rsidRPr="00CA1467">
              <w:rPr>
                <w:b/>
                <w:sz w:val="20"/>
                <w:lang w:val="en-NZ"/>
              </w:rPr>
              <w:t>Mining</w:t>
            </w:r>
          </w:p>
        </w:tc>
        <w:tc>
          <w:tcPr>
            <w:tcW w:w="1559" w:type="dxa"/>
          </w:tcPr>
          <w:p w:rsidR="00443952" w:rsidRPr="00CA1467" w:rsidRDefault="00443952" w:rsidP="003E473F">
            <w:pPr>
              <w:spacing w:before="80" w:after="80"/>
              <w:ind w:right="437"/>
              <w:jc w:val="right"/>
              <w:rPr>
                <w:sz w:val="20"/>
                <w:lang w:val="en-NZ"/>
              </w:rPr>
            </w:pPr>
            <w:r w:rsidRPr="00CA1467">
              <w:rPr>
                <w:sz w:val="20"/>
                <w:lang w:val="en-NZ"/>
              </w:rPr>
              <w:t>0</w:t>
            </w:r>
          </w:p>
        </w:tc>
        <w:tc>
          <w:tcPr>
            <w:tcW w:w="1658" w:type="dxa"/>
          </w:tcPr>
          <w:p w:rsidR="00443952" w:rsidRPr="00CA1467" w:rsidRDefault="00443952" w:rsidP="003E473F">
            <w:pPr>
              <w:spacing w:before="80" w:after="80"/>
              <w:ind w:right="416"/>
              <w:jc w:val="right"/>
              <w:rPr>
                <w:sz w:val="20"/>
                <w:lang w:val="en-NZ"/>
              </w:rPr>
            </w:pPr>
            <w:r w:rsidRPr="00CA1467">
              <w:rPr>
                <w:sz w:val="20"/>
                <w:lang w:val="en-NZ"/>
              </w:rPr>
              <w:t>43</w:t>
            </w:r>
          </w:p>
        </w:tc>
        <w:tc>
          <w:tcPr>
            <w:tcW w:w="1886" w:type="dxa"/>
          </w:tcPr>
          <w:p w:rsidR="00443952" w:rsidRPr="00CA1467" w:rsidRDefault="00443952" w:rsidP="001B541F">
            <w:pPr>
              <w:spacing w:before="80" w:after="80"/>
              <w:ind w:right="34"/>
              <w:jc w:val="center"/>
              <w:rPr>
                <w:sz w:val="20"/>
                <w:lang w:val="en-NZ"/>
              </w:rPr>
            </w:pPr>
            <w:r w:rsidRPr="00CA1467">
              <w:rPr>
                <w:sz w:val="20"/>
                <w:lang w:val="en-NZ"/>
              </w:rPr>
              <w:t>43</w:t>
            </w:r>
          </w:p>
        </w:tc>
        <w:tc>
          <w:tcPr>
            <w:tcW w:w="1190" w:type="dxa"/>
          </w:tcPr>
          <w:p w:rsidR="00443952" w:rsidRPr="00CA1467" w:rsidRDefault="00443952" w:rsidP="003E473F">
            <w:pPr>
              <w:spacing w:before="80" w:after="80"/>
              <w:ind w:right="232"/>
              <w:jc w:val="right"/>
              <w:rPr>
                <w:sz w:val="20"/>
                <w:lang w:val="en-NZ"/>
              </w:rPr>
            </w:pPr>
            <w:r w:rsidRPr="00CA1467">
              <w:rPr>
                <w:sz w:val="20"/>
                <w:lang w:val="en-NZ"/>
              </w:rPr>
              <w:t>$70,000</w:t>
            </w:r>
          </w:p>
        </w:tc>
      </w:tr>
      <w:tr w:rsidR="00443952" w:rsidRPr="00CA1467" w:rsidTr="001B541F">
        <w:trPr>
          <w:jc w:val="right"/>
        </w:trPr>
        <w:tc>
          <w:tcPr>
            <w:tcW w:w="2235" w:type="dxa"/>
          </w:tcPr>
          <w:p w:rsidR="00443952" w:rsidRPr="00CA1467" w:rsidRDefault="00443952" w:rsidP="007B67BA">
            <w:pPr>
              <w:spacing w:before="80" w:after="80"/>
              <w:jc w:val="left"/>
              <w:rPr>
                <w:b/>
                <w:sz w:val="20"/>
                <w:lang w:val="en-NZ"/>
              </w:rPr>
            </w:pPr>
            <w:r w:rsidRPr="00CA1467">
              <w:rPr>
                <w:b/>
                <w:sz w:val="20"/>
                <w:lang w:val="en-NZ"/>
              </w:rPr>
              <w:t>Manufacturing</w:t>
            </w:r>
          </w:p>
        </w:tc>
        <w:tc>
          <w:tcPr>
            <w:tcW w:w="1559" w:type="dxa"/>
          </w:tcPr>
          <w:p w:rsidR="00443952" w:rsidRPr="00CA1467" w:rsidRDefault="00443952" w:rsidP="003E473F">
            <w:pPr>
              <w:spacing w:before="80" w:after="80"/>
              <w:ind w:right="437"/>
              <w:jc w:val="right"/>
              <w:rPr>
                <w:sz w:val="20"/>
                <w:lang w:val="en-NZ"/>
              </w:rPr>
            </w:pPr>
            <w:r w:rsidRPr="00CA1467">
              <w:rPr>
                <w:sz w:val="20"/>
                <w:lang w:val="en-NZ"/>
              </w:rPr>
              <w:t>3</w:t>
            </w:r>
          </w:p>
        </w:tc>
        <w:tc>
          <w:tcPr>
            <w:tcW w:w="1658" w:type="dxa"/>
          </w:tcPr>
          <w:p w:rsidR="00443952" w:rsidRPr="00CA1467" w:rsidRDefault="00443952" w:rsidP="003E473F">
            <w:pPr>
              <w:spacing w:before="80" w:after="80"/>
              <w:ind w:right="416"/>
              <w:jc w:val="right"/>
              <w:rPr>
                <w:sz w:val="20"/>
                <w:lang w:val="en-NZ"/>
              </w:rPr>
            </w:pPr>
            <w:r w:rsidRPr="00CA1467">
              <w:rPr>
                <w:sz w:val="20"/>
                <w:lang w:val="en-NZ"/>
              </w:rPr>
              <w:t>1,668</w:t>
            </w:r>
          </w:p>
        </w:tc>
        <w:tc>
          <w:tcPr>
            <w:tcW w:w="1886" w:type="dxa"/>
          </w:tcPr>
          <w:p w:rsidR="00443952" w:rsidRPr="00CA1467" w:rsidRDefault="00443952" w:rsidP="001B541F">
            <w:pPr>
              <w:spacing w:before="80" w:after="80"/>
              <w:ind w:right="34"/>
              <w:jc w:val="center"/>
              <w:rPr>
                <w:sz w:val="20"/>
                <w:lang w:val="en-NZ"/>
              </w:rPr>
            </w:pPr>
            <w:r w:rsidRPr="00CA1467">
              <w:rPr>
                <w:sz w:val="20"/>
                <w:lang w:val="en-NZ"/>
              </w:rPr>
              <w:t>46</w:t>
            </w:r>
          </w:p>
        </w:tc>
        <w:tc>
          <w:tcPr>
            <w:tcW w:w="1190" w:type="dxa"/>
          </w:tcPr>
          <w:p w:rsidR="00443952" w:rsidRPr="00CA1467" w:rsidRDefault="00443952" w:rsidP="003E473F">
            <w:pPr>
              <w:spacing w:before="80" w:after="80"/>
              <w:ind w:right="232"/>
              <w:jc w:val="right"/>
              <w:rPr>
                <w:sz w:val="20"/>
                <w:lang w:val="en-NZ"/>
              </w:rPr>
            </w:pPr>
            <w:r w:rsidRPr="00CA1467">
              <w:rPr>
                <w:sz w:val="20"/>
                <w:lang w:val="en-NZ"/>
              </w:rPr>
              <w:t>$38,000</w:t>
            </w:r>
          </w:p>
        </w:tc>
      </w:tr>
      <w:tr w:rsidR="00443952" w:rsidRPr="00CA1467" w:rsidTr="001B541F">
        <w:trPr>
          <w:jc w:val="right"/>
        </w:trPr>
        <w:tc>
          <w:tcPr>
            <w:tcW w:w="2235" w:type="dxa"/>
          </w:tcPr>
          <w:p w:rsidR="00443952" w:rsidRPr="00CA1467" w:rsidRDefault="00443952" w:rsidP="007B67BA">
            <w:pPr>
              <w:spacing w:before="80" w:after="80"/>
              <w:jc w:val="left"/>
              <w:rPr>
                <w:b/>
                <w:sz w:val="20"/>
                <w:lang w:val="en-NZ"/>
              </w:rPr>
            </w:pPr>
            <w:r w:rsidRPr="00CA1467">
              <w:rPr>
                <w:b/>
                <w:sz w:val="20"/>
                <w:lang w:val="en-NZ"/>
              </w:rPr>
              <w:t>Utility &amp; waste</w:t>
            </w:r>
          </w:p>
        </w:tc>
        <w:tc>
          <w:tcPr>
            <w:tcW w:w="1559" w:type="dxa"/>
          </w:tcPr>
          <w:p w:rsidR="00443952" w:rsidRPr="00CA1467" w:rsidRDefault="00443952" w:rsidP="003E473F">
            <w:pPr>
              <w:spacing w:before="80" w:after="80"/>
              <w:ind w:right="437"/>
              <w:jc w:val="right"/>
              <w:rPr>
                <w:sz w:val="20"/>
                <w:lang w:val="en-NZ"/>
              </w:rPr>
            </w:pPr>
            <w:r w:rsidRPr="00CA1467">
              <w:rPr>
                <w:sz w:val="20"/>
                <w:lang w:val="en-NZ"/>
              </w:rPr>
              <w:t>0</w:t>
            </w:r>
          </w:p>
        </w:tc>
        <w:tc>
          <w:tcPr>
            <w:tcW w:w="1658" w:type="dxa"/>
          </w:tcPr>
          <w:p w:rsidR="00443952" w:rsidRPr="00CA1467" w:rsidRDefault="00443952" w:rsidP="003E473F">
            <w:pPr>
              <w:spacing w:before="80" w:after="80"/>
              <w:ind w:right="416"/>
              <w:jc w:val="right"/>
              <w:rPr>
                <w:sz w:val="20"/>
                <w:lang w:val="en-NZ"/>
              </w:rPr>
            </w:pPr>
            <w:r w:rsidRPr="00CA1467">
              <w:rPr>
                <w:sz w:val="20"/>
                <w:lang w:val="en-NZ"/>
              </w:rPr>
              <w:t>62</w:t>
            </w:r>
          </w:p>
        </w:tc>
        <w:tc>
          <w:tcPr>
            <w:tcW w:w="1886" w:type="dxa"/>
          </w:tcPr>
          <w:p w:rsidR="00443952" w:rsidRPr="00CA1467" w:rsidRDefault="00443952" w:rsidP="001B541F">
            <w:pPr>
              <w:spacing w:before="80" w:after="80"/>
              <w:ind w:right="34"/>
              <w:jc w:val="center"/>
              <w:rPr>
                <w:sz w:val="20"/>
                <w:lang w:val="en-NZ"/>
              </w:rPr>
            </w:pPr>
            <w:r w:rsidRPr="00CA1467">
              <w:rPr>
                <w:sz w:val="20"/>
                <w:lang w:val="en-NZ"/>
              </w:rPr>
              <w:t>45</w:t>
            </w:r>
          </w:p>
        </w:tc>
        <w:tc>
          <w:tcPr>
            <w:tcW w:w="1190" w:type="dxa"/>
          </w:tcPr>
          <w:p w:rsidR="00443952" w:rsidRPr="00CA1467" w:rsidRDefault="00443952" w:rsidP="003E473F">
            <w:pPr>
              <w:spacing w:before="80" w:after="80"/>
              <w:ind w:right="232"/>
              <w:jc w:val="right"/>
              <w:rPr>
                <w:sz w:val="20"/>
                <w:lang w:val="en-NZ"/>
              </w:rPr>
            </w:pPr>
            <w:r w:rsidRPr="00CA1467">
              <w:rPr>
                <w:sz w:val="20"/>
                <w:lang w:val="en-NZ"/>
              </w:rPr>
              <w:t>$16,000</w:t>
            </w:r>
          </w:p>
        </w:tc>
      </w:tr>
      <w:tr w:rsidR="00443952" w:rsidRPr="00CA1467" w:rsidTr="001B541F">
        <w:trPr>
          <w:jc w:val="right"/>
        </w:trPr>
        <w:tc>
          <w:tcPr>
            <w:tcW w:w="2235" w:type="dxa"/>
          </w:tcPr>
          <w:p w:rsidR="00443952" w:rsidRPr="00CA1467" w:rsidRDefault="00443952" w:rsidP="007B67BA">
            <w:pPr>
              <w:spacing w:before="80" w:after="80"/>
              <w:jc w:val="left"/>
              <w:rPr>
                <w:b/>
                <w:sz w:val="20"/>
                <w:lang w:val="en-NZ"/>
              </w:rPr>
            </w:pPr>
            <w:r w:rsidRPr="00CA1467">
              <w:rPr>
                <w:b/>
                <w:sz w:val="20"/>
                <w:lang w:val="en-NZ"/>
              </w:rPr>
              <w:t>Construction</w:t>
            </w:r>
          </w:p>
        </w:tc>
        <w:tc>
          <w:tcPr>
            <w:tcW w:w="1559" w:type="dxa"/>
          </w:tcPr>
          <w:p w:rsidR="00443952" w:rsidRPr="00CA1467" w:rsidRDefault="00443952" w:rsidP="003E473F">
            <w:pPr>
              <w:spacing w:before="80" w:after="80"/>
              <w:ind w:right="437"/>
              <w:jc w:val="right"/>
              <w:rPr>
                <w:sz w:val="20"/>
                <w:lang w:val="en-NZ"/>
              </w:rPr>
            </w:pPr>
            <w:r w:rsidRPr="00CA1467">
              <w:rPr>
                <w:sz w:val="20"/>
                <w:lang w:val="en-NZ"/>
              </w:rPr>
              <w:t>3</w:t>
            </w:r>
          </w:p>
        </w:tc>
        <w:tc>
          <w:tcPr>
            <w:tcW w:w="1658" w:type="dxa"/>
          </w:tcPr>
          <w:p w:rsidR="00443952" w:rsidRPr="00CA1467" w:rsidRDefault="00443952" w:rsidP="003E473F">
            <w:pPr>
              <w:spacing w:before="80" w:after="80"/>
              <w:ind w:right="416"/>
              <w:jc w:val="right"/>
              <w:rPr>
                <w:sz w:val="20"/>
                <w:lang w:val="en-NZ"/>
              </w:rPr>
            </w:pPr>
            <w:r w:rsidRPr="00CA1467">
              <w:rPr>
                <w:sz w:val="20"/>
                <w:lang w:val="en-NZ"/>
              </w:rPr>
              <w:t>2,277</w:t>
            </w:r>
          </w:p>
        </w:tc>
        <w:tc>
          <w:tcPr>
            <w:tcW w:w="1886" w:type="dxa"/>
          </w:tcPr>
          <w:p w:rsidR="00443952" w:rsidRPr="00CA1467" w:rsidRDefault="00443952" w:rsidP="001B541F">
            <w:pPr>
              <w:spacing w:before="80" w:after="80"/>
              <w:ind w:right="34"/>
              <w:jc w:val="center"/>
              <w:rPr>
                <w:sz w:val="20"/>
                <w:lang w:val="en-NZ"/>
              </w:rPr>
            </w:pPr>
            <w:r w:rsidRPr="00CA1467">
              <w:rPr>
                <w:sz w:val="20"/>
                <w:lang w:val="en-NZ"/>
              </w:rPr>
              <w:t>36</w:t>
            </w:r>
          </w:p>
        </w:tc>
        <w:tc>
          <w:tcPr>
            <w:tcW w:w="1190" w:type="dxa"/>
          </w:tcPr>
          <w:p w:rsidR="00443952" w:rsidRPr="00CA1467" w:rsidRDefault="00443952" w:rsidP="003E473F">
            <w:pPr>
              <w:spacing w:before="80" w:after="80"/>
              <w:ind w:right="232"/>
              <w:jc w:val="right"/>
              <w:rPr>
                <w:sz w:val="20"/>
                <w:lang w:val="en-NZ"/>
              </w:rPr>
            </w:pPr>
            <w:r w:rsidRPr="00CA1467">
              <w:rPr>
                <w:sz w:val="20"/>
                <w:lang w:val="en-NZ"/>
              </w:rPr>
              <w:t>$29,000</w:t>
            </w:r>
          </w:p>
        </w:tc>
      </w:tr>
      <w:tr w:rsidR="00443952" w:rsidRPr="00CA1467" w:rsidTr="001B541F">
        <w:trPr>
          <w:jc w:val="right"/>
        </w:trPr>
        <w:tc>
          <w:tcPr>
            <w:tcW w:w="2235" w:type="dxa"/>
          </w:tcPr>
          <w:p w:rsidR="00443952" w:rsidRPr="00CA1467" w:rsidRDefault="00443952" w:rsidP="007B67BA">
            <w:pPr>
              <w:spacing w:before="80" w:after="80"/>
              <w:jc w:val="left"/>
              <w:rPr>
                <w:b/>
                <w:sz w:val="20"/>
                <w:lang w:val="en-NZ"/>
              </w:rPr>
            </w:pPr>
            <w:r w:rsidRPr="00CA1467">
              <w:rPr>
                <w:b/>
                <w:sz w:val="20"/>
                <w:lang w:val="en-NZ"/>
              </w:rPr>
              <w:t>Wholesale trade</w:t>
            </w:r>
          </w:p>
        </w:tc>
        <w:tc>
          <w:tcPr>
            <w:tcW w:w="1559" w:type="dxa"/>
          </w:tcPr>
          <w:p w:rsidR="00443952" w:rsidRPr="00CA1467" w:rsidRDefault="00443952" w:rsidP="003E473F">
            <w:pPr>
              <w:spacing w:before="80" w:after="80"/>
              <w:ind w:right="437"/>
              <w:jc w:val="right"/>
              <w:rPr>
                <w:sz w:val="20"/>
                <w:lang w:val="en-NZ"/>
              </w:rPr>
            </w:pPr>
            <w:r w:rsidRPr="00CA1467">
              <w:rPr>
                <w:sz w:val="20"/>
                <w:lang w:val="en-NZ"/>
              </w:rPr>
              <w:t>2</w:t>
            </w:r>
          </w:p>
        </w:tc>
        <w:tc>
          <w:tcPr>
            <w:tcW w:w="1658" w:type="dxa"/>
          </w:tcPr>
          <w:p w:rsidR="00443952" w:rsidRPr="00CA1467" w:rsidRDefault="00443952" w:rsidP="003E473F">
            <w:pPr>
              <w:spacing w:before="80" w:after="80"/>
              <w:ind w:right="416"/>
              <w:jc w:val="right"/>
              <w:rPr>
                <w:sz w:val="20"/>
                <w:lang w:val="en-NZ"/>
              </w:rPr>
            </w:pPr>
            <w:r w:rsidRPr="00CA1467">
              <w:rPr>
                <w:sz w:val="20"/>
                <w:lang w:val="en-NZ"/>
              </w:rPr>
              <w:t>1,136</w:t>
            </w:r>
          </w:p>
        </w:tc>
        <w:tc>
          <w:tcPr>
            <w:tcW w:w="1886" w:type="dxa"/>
          </w:tcPr>
          <w:p w:rsidR="00443952" w:rsidRPr="00CA1467" w:rsidRDefault="00443952" w:rsidP="001B541F">
            <w:pPr>
              <w:spacing w:before="80" w:after="80"/>
              <w:ind w:right="34"/>
              <w:jc w:val="center"/>
              <w:rPr>
                <w:sz w:val="20"/>
                <w:lang w:val="en-NZ"/>
              </w:rPr>
            </w:pPr>
            <w:r w:rsidRPr="00CA1467">
              <w:rPr>
                <w:sz w:val="20"/>
                <w:lang w:val="en-NZ"/>
              </w:rPr>
              <w:t>47</w:t>
            </w:r>
          </w:p>
        </w:tc>
        <w:tc>
          <w:tcPr>
            <w:tcW w:w="1190" w:type="dxa"/>
          </w:tcPr>
          <w:p w:rsidR="00443952" w:rsidRPr="00CA1467" w:rsidRDefault="00443952" w:rsidP="003E473F">
            <w:pPr>
              <w:spacing w:before="80" w:after="80"/>
              <w:ind w:right="232"/>
              <w:jc w:val="right"/>
              <w:rPr>
                <w:sz w:val="20"/>
                <w:lang w:val="en-NZ"/>
              </w:rPr>
            </w:pPr>
            <w:r w:rsidRPr="00CA1467">
              <w:rPr>
                <w:sz w:val="20"/>
                <w:lang w:val="en-NZ"/>
              </w:rPr>
              <w:t>$28,000</w:t>
            </w:r>
          </w:p>
        </w:tc>
      </w:tr>
      <w:tr w:rsidR="00443952" w:rsidRPr="00CA1467" w:rsidTr="001B541F">
        <w:trPr>
          <w:jc w:val="right"/>
        </w:trPr>
        <w:tc>
          <w:tcPr>
            <w:tcW w:w="2235" w:type="dxa"/>
          </w:tcPr>
          <w:p w:rsidR="00443952" w:rsidRPr="00CA1467" w:rsidRDefault="00443952" w:rsidP="007B67BA">
            <w:pPr>
              <w:spacing w:before="80" w:after="80"/>
              <w:jc w:val="left"/>
              <w:rPr>
                <w:b/>
                <w:sz w:val="20"/>
                <w:lang w:val="en-NZ"/>
              </w:rPr>
            </w:pPr>
            <w:r w:rsidRPr="00CA1467">
              <w:rPr>
                <w:b/>
                <w:sz w:val="20"/>
                <w:lang w:val="en-NZ"/>
              </w:rPr>
              <w:t>Retail trade</w:t>
            </w:r>
          </w:p>
        </w:tc>
        <w:tc>
          <w:tcPr>
            <w:tcW w:w="1559" w:type="dxa"/>
          </w:tcPr>
          <w:p w:rsidR="00443952" w:rsidRPr="00CA1467" w:rsidRDefault="00443952" w:rsidP="003E473F">
            <w:pPr>
              <w:spacing w:before="80" w:after="80"/>
              <w:ind w:right="437"/>
              <w:jc w:val="right"/>
              <w:rPr>
                <w:sz w:val="20"/>
                <w:lang w:val="en-NZ"/>
              </w:rPr>
            </w:pPr>
            <w:r w:rsidRPr="00CA1467">
              <w:rPr>
                <w:sz w:val="20"/>
                <w:lang w:val="en-NZ"/>
              </w:rPr>
              <w:t>5</w:t>
            </w:r>
          </w:p>
        </w:tc>
        <w:tc>
          <w:tcPr>
            <w:tcW w:w="1658" w:type="dxa"/>
          </w:tcPr>
          <w:p w:rsidR="00443952" w:rsidRPr="00CA1467" w:rsidRDefault="00443952" w:rsidP="003E473F">
            <w:pPr>
              <w:spacing w:before="80" w:after="80"/>
              <w:ind w:right="416"/>
              <w:jc w:val="right"/>
              <w:rPr>
                <w:sz w:val="20"/>
                <w:lang w:val="en-NZ"/>
              </w:rPr>
            </w:pPr>
            <w:r w:rsidRPr="00CA1467">
              <w:rPr>
                <w:sz w:val="20"/>
                <w:lang w:val="en-NZ"/>
              </w:rPr>
              <w:t>3,384</w:t>
            </w:r>
          </w:p>
        </w:tc>
        <w:tc>
          <w:tcPr>
            <w:tcW w:w="1886" w:type="dxa"/>
          </w:tcPr>
          <w:p w:rsidR="00443952" w:rsidRPr="00CA1467" w:rsidRDefault="00443952" w:rsidP="001B541F">
            <w:pPr>
              <w:spacing w:before="80" w:after="80"/>
              <w:ind w:right="34"/>
              <w:jc w:val="center"/>
              <w:rPr>
                <w:sz w:val="20"/>
                <w:lang w:val="en-NZ"/>
              </w:rPr>
            </w:pPr>
            <w:r w:rsidRPr="00CA1467">
              <w:rPr>
                <w:sz w:val="20"/>
                <w:lang w:val="en-NZ"/>
              </w:rPr>
              <w:t>50</w:t>
            </w:r>
          </w:p>
        </w:tc>
        <w:tc>
          <w:tcPr>
            <w:tcW w:w="1190" w:type="dxa"/>
          </w:tcPr>
          <w:p w:rsidR="00443952" w:rsidRPr="00CA1467" w:rsidRDefault="00443952" w:rsidP="003E473F">
            <w:pPr>
              <w:spacing w:before="80" w:after="80"/>
              <w:ind w:right="232"/>
              <w:jc w:val="right"/>
              <w:rPr>
                <w:sz w:val="20"/>
                <w:lang w:val="en-NZ"/>
              </w:rPr>
            </w:pPr>
            <w:r w:rsidRPr="00CA1467">
              <w:rPr>
                <w:sz w:val="20"/>
                <w:lang w:val="en-NZ"/>
              </w:rPr>
              <w:t>$30,000</w:t>
            </w:r>
          </w:p>
        </w:tc>
      </w:tr>
      <w:tr w:rsidR="00443952" w:rsidRPr="00CA1467" w:rsidTr="001B541F">
        <w:trPr>
          <w:jc w:val="right"/>
        </w:trPr>
        <w:tc>
          <w:tcPr>
            <w:tcW w:w="2235" w:type="dxa"/>
          </w:tcPr>
          <w:p w:rsidR="00443952" w:rsidRPr="00CA1467" w:rsidRDefault="00443952" w:rsidP="007B67BA">
            <w:pPr>
              <w:spacing w:before="80" w:after="80"/>
              <w:jc w:val="left"/>
              <w:rPr>
                <w:b/>
                <w:sz w:val="20"/>
                <w:lang w:val="en-NZ"/>
              </w:rPr>
            </w:pPr>
            <w:r w:rsidRPr="00CA1467">
              <w:rPr>
                <w:b/>
                <w:sz w:val="20"/>
                <w:lang w:val="en-NZ"/>
              </w:rPr>
              <w:t>Food/accommodation</w:t>
            </w:r>
          </w:p>
        </w:tc>
        <w:tc>
          <w:tcPr>
            <w:tcW w:w="1559" w:type="dxa"/>
          </w:tcPr>
          <w:p w:rsidR="00443952" w:rsidRPr="00CA1467" w:rsidRDefault="00443952" w:rsidP="003E473F">
            <w:pPr>
              <w:spacing w:before="80" w:after="80"/>
              <w:ind w:right="437"/>
              <w:jc w:val="right"/>
              <w:rPr>
                <w:sz w:val="20"/>
                <w:lang w:val="en-NZ"/>
              </w:rPr>
            </w:pPr>
            <w:r w:rsidRPr="00CA1467">
              <w:rPr>
                <w:sz w:val="20"/>
                <w:lang w:val="en-NZ"/>
              </w:rPr>
              <w:t>5</w:t>
            </w:r>
          </w:p>
        </w:tc>
        <w:tc>
          <w:tcPr>
            <w:tcW w:w="1658" w:type="dxa"/>
          </w:tcPr>
          <w:p w:rsidR="00443952" w:rsidRPr="00CA1467" w:rsidRDefault="00443952" w:rsidP="003E473F">
            <w:pPr>
              <w:spacing w:before="80" w:after="80"/>
              <w:ind w:right="416"/>
              <w:jc w:val="right"/>
              <w:rPr>
                <w:sz w:val="20"/>
                <w:lang w:val="en-NZ"/>
              </w:rPr>
            </w:pPr>
            <w:r w:rsidRPr="00CA1467">
              <w:rPr>
                <w:sz w:val="20"/>
                <w:lang w:val="en-NZ"/>
              </w:rPr>
              <w:t>2,497</w:t>
            </w:r>
          </w:p>
        </w:tc>
        <w:tc>
          <w:tcPr>
            <w:tcW w:w="1886" w:type="dxa"/>
          </w:tcPr>
          <w:p w:rsidR="00443952" w:rsidRPr="00CA1467" w:rsidRDefault="00443952" w:rsidP="001B541F">
            <w:pPr>
              <w:spacing w:before="80" w:after="80"/>
              <w:ind w:right="34"/>
              <w:jc w:val="center"/>
              <w:rPr>
                <w:sz w:val="20"/>
                <w:lang w:val="en-NZ"/>
              </w:rPr>
            </w:pPr>
            <w:r w:rsidRPr="00CA1467">
              <w:rPr>
                <w:sz w:val="20"/>
                <w:lang w:val="en-NZ"/>
              </w:rPr>
              <w:t>65</w:t>
            </w:r>
          </w:p>
        </w:tc>
        <w:tc>
          <w:tcPr>
            <w:tcW w:w="1190" w:type="dxa"/>
          </w:tcPr>
          <w:p w:rsidR="00443952" w:rsidRPr="00CA1467" w:rsidRDefault="00443952" w:rsidP="003E473F">
            <w:pPr>
              <w:spacing w:before="80" w:after="80"/>
              <w:ind w:right="232"/>
              <w:jc w:val="right"/>
              <w:rPr>
                <w:sz w:val="20"/>
                <w:lang w:val="en-NZ"/>
              </w:rPr>
            </w:pPr>
            <w:r w:rsidRPr="00CA1467">
              <w:rPr>
                <w:sz w:val="20"/>
                <w:lang w:val="en-NZ"/>
              </w:rPr>
              <w:t>$39,000</w:t>
            </w:r>
          </w:p>
        </w:tc>
      </w:tr>
      <w:tr w:rsidR="00443952" w:rsidRPr="00CA1467" w:rsidTr="001B541F">
        <w:trPr>
          <w:jc w:val="right"/>
        </w:trPr>
        <w:tc>
          <w:tcPr>
            <w:tcW w:w="2235" w:type="dxa"/>
          </w:tcPr>
          <w:p w:rsidR="00443952" w:rsidRPr="00CA1467" w:rsidRDefault="00443952" w:rsidP="007B67BA">
            <w:pPr>
              <w:spacing w:before="80" w:after="80"/>
              <w:jc w:val="left"/>
              <w:rPr>
                <w:b/>
                <w:sz w:val="20"/>
                <w:lang w:val="en-NZ"/>
              </w:rPr>
            </w:pPr>
            <w:r w:rsidRPr="00CA1467">
              <w:rPr>
                <w:b/>
                <w:sz w:val="20"/>
                <w:lang w:val="en-NZ"/>
              </w:rPr>
              <w:t>Transport</w:t>
            </w:r>
          </w:p>
        </w:tc>
        <w:tc>
          <w:tcPr>
            <w:tcW w:w="1559" w:type="dxa"/>
          </w:tcPr>
          <w:p w:rsidR="00443952" w:rsidRPr="00CA1467" w:rsidRDefault="00443952" w:rsidP="003E473F">
            <w:pPr>
              <w:spacing w:before="80" w:after="80"/>
              <w:ind w:right="437"/>
              <w:jc w:val="right"/>
              <w:rPr>
                <w:sz w:val="20"/>
                <w:lang w:val="en-NZ"/>
              </w:rPr>
            </w:pPr>
            <w:r w:rsidRPr="00CA1467">
              <w:rPr>
                <w:sz w:val="20"/>
                <w:lang w:val="en-NZ"/>
              </w:rPr>
              <w:t>2</w:t>
            </w:r>
          </w:p>
        </w:tc>
        <w:tc>
          <w:tcPr>
            <w:tcW w:w="1658" w:type="dxa"/>
          </w:tcPr>
          <w:p w:rsidR="00443952" w:rsidRPr="00CA1467" w:rsidRDefault="00443952" w:rsidP="003E473F">
            <w:pPr>
              <w:spacing w:before="80" w:after="80"/>
              <w:ind w:right="416"/>
              <w:jc w:val="right"/>
              <w:rPr>
                <w:sz w:val="20"/>
                <w:lang w:val="en-NZ"/>
              </w:rPr>
            </w:pPr>
            <w:r w:rsidRPr="00CA1467">
              <w:rPr>
                <w:sz w:val="20"/>
                <w:lang w:val="en-NZ"/>
              </w:rPr>
              <w:t>1,045</w:t>
            </w:r>
          </w:p>
        </w:tc>
        <w:tc>
          <w:tcPr>
            <w:tcW w:w="1886" w:type="dxa"/>
          </w:tcPr>
          <w:p w:rsidR="00443952" w:rsidRPr="00CA1467" w:rsidRDefault="00443952" w:rsidP="001B541F">
            <w:pPr>
              <w:spacing w:before="80" w:after="80"/>
              <w:ind w:right="34"/>
              <w:jc w:val="center"/>
              <w:rPr>
                <w:sz w:val="20"/>
                <w:lang w:val="en-NZ"/>
              </w:rPr>
            </w:pPr>
            <w:r w:rsidRPr="00CA1467">
              <w:rPr>
                <w:sz w:val="20"/>
                <w:lang w:val="en-NZ"/>
              </w:rPr>
              <w:t>48</w:t>
            </w:r>
          </w:p>
        </w:tc>
        <w:tc>
          <w:tcPr>
            <w:tcW w:w="1190" w:type="dxa"/>
          </w:tcPr>
          <w:p w:rsidR="00443952" w:rsidRPr="00CA1467" w:rsidRDefault="00443952" w:rsidP="003E473F">
            <w:pPr>
              <w:spacing w:before="80" w:after="80"/>
              <w:ind w:right="232"/>
              <w:jc w:val="right"/>
              <w:rPr>
                <w:sz w:val="20"/>
                <w:lang w:val="en-NZ"/>
              </w:rPr>
            </w:pPr>
            <w:r w:rsidRPr="00CA1467">
              <w:rPr>
                <w:sz w:val="20"/>
                <w:lang w:val="en-NZ"/>
              </w:rPr>
              <w:t>$33,000</w:t>
            </w:r>
          </w:p>
        </w:tc>
      </w:tr>
      <w:tr w:rsidR="00443952" w:rsidRPr="00CA1467" w:rsidTr="001B541F">
        <w:trPr>
          <w:jc w:val="right"/>
        </w:trPr>
        <w:tc>
          <w:tcPr>
            <w:tcW w:w="2235" w:type="dxa"/>
          </w:tcPr>
          <w:p w:rsidR="00443952" w:rsidRPr="00CA1467" w:rsidRDefault="00443952" w:rsidP="007B67BA">
            <w:pPr>
              <w:spacing w:before="80" w:after="80"/>
              <w:jc w:val="left"/>
              <w:rPr>
                <w:b/>
                <w:sz w:val="20"/>
                <w:lang w:val="en-NZ"/>
              </w:rPr>
            </w:pPr>
            <w:r w:rsidRPr="00CA1467">
              <w:rPr>
                <w:b/>
                <w:sz w:val="20"/>
                <w:lang w:val="en-NZ"/>
              </w:rPr>
              <w:t>Information/telecom</w:t>
            </w:r>
          </w:p>
        </w:tc>
        <w:tc>
          <w:tcPr>
            <w:tcW w:w="1559" w:type="dxa"/>
          </w:tcPr>
          <w:p w:rsidR="00443952" w:rsidRPr="00CA1467" w:rsidRDefault="00443952" w:rsidP="003E473F">
            <w:pPr>
              <w:spacing w:before="80" w:after="80"/>
              <w:ind w:right="437"/>
              <w:jc w:val="right"/>
              <w:rPr>
                <w:sz w:val="20"/>
                <w:lang w:val="en-NZ"/>
              </w:rPr>
            </w:pPr>
            <w:r w:rsidRPr="00CA1467">
              <w:rPr>
                <w:sz w:val="20"/>
                <w:lang w:val="en-NZ"/>
              </w:rPr>
              <w:t>0</w:t>
            </w:r>
          </w:p>
        </w:tc>
        <w:tc>
          <w:tcPr>
            <w:tcW w:w="1658" w:type="dxa"/>
          </w:tcPr>
          <w:p w:rsidR="00443952" w:rsidRPr="00CA1467" w:rsidRDefault="00443952" w:rsidP="003E473F">
            <w:pPr>
              <w:spacing w:before="80" w:after="80"/>
              <w:ind w:right="416"/>
              <w:jc w:val="right"/>
              <w:rPr>
                <w:sz w:val="20"/>
                <w:lang w:val="en-NZ"/>
              </w:rPr>
            </w:pPr>
            <w:r w:rsidRPr="00CA1467">
              <w:rPr>
                <w:sz w:val="20"/>
                <w:lang w:val="en-NZ"/>
              </w:rPr>
              <w:t>470</w:t>
            </w:r>
          </w:p>
        </w:tc>
        <w:tc>
          <w:tcPr>
            <w:tcW w:w="1886" w:type="dxa"/>
          </w:tcPr>
          <w:p w:rsidR="00443952" w:rsidRPr="00CA1467" w:rsidRDefault="00443952" w:rsidP="001B541F">
            <w:pPr>
              <w:spacing w:before="80" w:after="80"/>
              <w:ind w:right="34"/>
              <w:jc w:val="center"/>
              <w:rPr>
                <w:sz w:val="20"/>
                <w:lang w:val="en-NZ"/>
              </w:rPr>
            </w:pPr>
            <w:r w:rsidRPr="00CA1467">
              <w:rPr>
                <w:sz w:val="20"/>
                <w:lang w:val="en-NZ"/>
              </w:rPr>
              <w:t>58</w:t>
            </w:r>
          </w:p>
        </w:tc>
        <w:tc>
          <w:tcPr>
            <w:tcW w:w="1190" w:type="dxa"/>
          </w:tcPr>
          <w:p w:rsidR="00443952" w:rsidRPr="00CA1467" w:rsidRDefault="00443952" w:rsidP="003E473F">
            <w:pPr>
              <w:spacing w:before="80" w:after="80"/>
              <w:ind w:right="232"/>
              <w:jc w:val="right"/>
              <w:rPr>
                <w:sz w:val="20"/>
                <w:lang w:val="en-NZ"/>
              </w:rPr>
            </w:pPr>
            <w:r w:rsidRPr="00CA1467">
              <w:rPr>
                <w:sz w:val="20"/>
                <w:lang w:val="en-NZ"/>
              </w:rPr>
              <w:t>$19,000</w:t>
            </w:r>
          </w:p>
        </w:tc>
      </w:tr>
      <w:tr w:rsidR="00443952" w:rsidRPr="00CA1467" w:rsidTr="001B541F">
        <w:trPr>
          <w:jc w:val="right"/>
        </w:trPr>
        <w:tc>
          <w:tcPr>
            <w:tcW w:w="2235" w:type="dxa"/>
          </w:tcPr>
          <w:p w:rsidR="00443952" w:rsidRPr="00CA1467" w:rsidRDefault="00443952" w:rsidP="007B67BA">
            <w:pPr>
              <w:spacing w:before="80" w:after="80"/>
              <w:jc w:val="left"/>
              <w:rPr>
                <w:b/>
                <w:sz w:val="20"/>
                <w:lang w:val="en-NZ"/>
              </w:rPr>
            </w:pPr>
            <w:r w:rsidRPr="00CA1467">
              <w:rPr>
                <w:b/>
                <w:sz w:val="20"/>
                <w:lang w:val="en-NZ"/>
              </w:rPr>
              <w:t>Finance/insurance</w:t>
            </w:r>
          </w:p>
        </w:tc>
        <w:tc>
          <w:tcPr>
            <w:tcW w:w="1559" w:type="dxa"/>
          </w:tcPr>
          <w:p w:rsidR="00443952" w:rsidRPr="00CA1467" w:rsidRDefault="00443952" w:rsidP="003E473F">
            <w:pPr>
              <w:spacing w:before="80" w:after="80"/>
              <w:ind w:right="437"/>
              <w:jc w:val="right"/>
              <w:rPr>
                <w:sz w:val="20"/>
                <w:lang w:val="en-NZ"/>
              </w:rPr>
            </w:pPr>
            <w:r w:rsidRPr="00CA1467">
              <w:rPr>
                <w:sz w:val="20"/>
                <w:lang w:val="en-NZ"/>
              </w:rPr>
              <w:t>3</w:t>
            </w:r>
          </w:p>
        </w:tc>
        <w:tc>
          <w:tcPr>
            <w:tcW w:w="1658" w:type="dxa"/>
          </w:tcPr>
          <w:p w:rsidR="00443952" w:rsidRPr="00CA1467" w:rsidRDefault="00443952" w:rsidP="003E473F">
            <w:pPr>
              <w:spacing w:before="80" w:after="80"/>
              <w:ind w:right="416"/>
              <w:jc w:val="right"/>
              <w:rPr>
                <w:sz w:val="20"/>
                <w:lang w:val="en-NZ"/>
              </w:rPr>
            </w:pPr>
            <w:r w:rsidRPr="00CA1467">
              <w:rPr>
                <w:sz w:val="20"/>
                <w:lang w:val="en-NZ"/>
              </w:rPr>
              <w:t>1,948</w:t>
            </w:r>
          </w:p>
        </w:tc>
        <w:tc>
          <w:tcPr>
            <w:tcW w:w="1886" w:type="dxa"/>
          </w:tcPr>
          <w:p w:rsidR="00443952" w:rsidRPr="00CA1467" w:rsidRDefault="00443952" w:rsidP="001B541F">
            <w:pPr>
              <w:spacing w:before="80" w:after="80"/>
              <w:ind w:right="34"/>
              <w:jc w:val="center"/>
              <w:rPr>
                <w:sz w:val="20"/>
                <w:lang w:val="en-NZ"/>
              </w:rPr>
            </w:pPr>
            <w:r w:rsidRPr="00CA1467">
              <w:rPr>
                <w:sz w:val="20"/>
                <w:lang w:val="en-NZ"/>
              </w:rPr>
              <w:t>62</w:t>
            </w:r>
          </w:p>
        </w:tc>
        <w:tc>
          <w:tcPr>
            <w:tcW w:w="1190" w:type="dxa"/>
          </w:tcPr>
          <w:p w:rsidR="00443952" w:rsidRPr="00CA1467" w:rsidRDefault="00443952" w:rsidP="003E473F">
            <w:pPr>
              <w:spacing w:before="80" w:after="80"/>
              <w:ind w:right="232"/>
              <w:jc w:val="right"/>
              <w:rPr>
                <w:sz w:val="20"/>
                <w:lang w:val="en-NZ"/>
              </w:rPr>
            </w:pPr>
            <w:r w:rsidRPr="00CA1467">
              <w:rPr>
                <w:sz w:val="20"/>
                <w:lang w:val="en-NZ"/>
              </w:rPr>
              <w:t>$27,000</w:t>
            </w:r>
          </w:p>
        </w:tc>
      </w:tr>
      <w:tr w:rsidR="00443952" w:rsidRPr="00CA1467" w:rsidTr="001B541F">
        <w:trPr>
          <w:jc w:val="right"/>
        </w:trPr>
        <w:tc>
          <w:tcPr>
            <w:tcW w:w="2235" w:type="dxa"/>
          </w:tcPr>
          <w:p w:rsidR="00443952" w:rsidRPr="00CA1467" w:rsidRDefault="00443952" w:rsidP="007B67BA">
            <w:pPr>
              <w:spacing w:before="80" w:after="80"/>
              <w:jc w:val="left"/>
              <w:rPr>
                <w:b/>
                <w:sz w:val="20"/>
                <w:lang w:val="en-NZ"/>
              </w:rPr>
            </w:pPr>
            <w:r w:rsidRPr="00CA1467">
              <w:rPr>
                <w:b/>
                <w:sz w:val="20"/>
                <w:lang w:val="en-NZ"/>
              </w:rPr>
              <w:t>Property</w:t>
            </w:r>
          </w:p>
        </w:tc>
        <w:tc>
          <w:tcPr>
            <w:tcW w:w="1559" w:type="dxa"/>
          </w:tcPr>
          <w:p w:rsidR="00443952" w:rsidRPr="00CA1467" w:rsidRDefault="00443952" w:rsidP="003E473F">
            <w:pPr>
              <w:spacing w:before="80" w:after="80"/>
              <w:ind w:right="437"/>
              <w:jc w:val="right"/>
              <w:rPr>
                <w:sz w:val="20"/>
                <w:lang w:val="en-NZ"/>
              </w:rPr>
            </w:pPr>
            <w:r w:rsidRPr="00CA1467">
              <w:rPr>
                <w:sz w:val="20"/>
                <w:lang w:val="en-NZ"/>
              </w:rPr>
              <w:t>47</w:t>
            </w:r>
          </w:p>
        </w:tc>
        <w:tc>
          <w:tcPr>
            <w:tcW w:w="1658" w:type="dxa"/>
          </w:tcPr>
          <w:p w:rsidR="00443952" w:rsidRPr="00CA1467" w:rsidRDefault="00443952" w:rsidP="003E473F">
            <w:pPr>
              <w:spacing w:before="80" w:after="80"/>
              <w:ind w:right="416"/>
              <w:jc w:val="right"/>
              <w:rPr>
                <w:sz w:val="20"/>
                <w:lang w:val="en-NZ"/>
              </w:rPr>
            </w:pPr>
            <w:r w:rsidRPr="00CA1467">
              <w:rPr>
                <w:sz w:val="20"/>
                <w:lang w:val="en-NZ"/>
              </w:rPr>
              <w:t>41,862</w:t>
            </w:r>
          </w:p>
        </w:tc>
        <w:tc>
          <w:tcPr>
            <w:tcW w:w="1886" w:type="dxa"/>
          </w:tcPr>
          <w:p w:rsidR="00443952" w:rsidRPr="00CA1467" w:rsidRDefault="00443952" w:rsidP="001B541F">
            <w:pPr>
              <w:spacing w:before="80" w:after="80"/>
              <w:ind w:right="34"/>
              <w:jc w:val="center"/>
              <w:rPr>
                <w:sz w:val="20"/>
                <w:lang w:val="en-NZ"/>
              </w:rPr>
            </w:pPr>
            <w:r w:rsidRPr="00CA1467">
              <w:rPr>
                <w:sz w:val="20"/>
                <w:lang w:val="en-NZ"/>
              </w:rPr>
              <w:t>83</w:t>
            </w:r>
          </w:p>
        </w:tc>
        <w:tc>
          <w:tcPr>
            <w:tcW w:w="1190" w:type="dxa"/>
          </w:tcPr>
          <w:p w:rsidR="00443952" w:rsidRPr="00CA1467" w:rsidRDefault="00443952" w:rsidP="003E473F">
            <w:pPr>
              <w:spacing w:before="80" w:after="80"/>
              <w:ind w:right="232"/>
              <w:jc w:val="right"/>
              <w:rPr>
                <w:sz w:val="20"/>
                <w:lang w:val="en-NZ"/>
              </w:rPr>
            </w:pPr>
            <w:r w:rsidRPr="00CA1467">
              <w:rPr>
                <w:sz w:val="20"/>
                <w:lang w:val="en-NZ"/>
              </w:rPr>
              <w:t>$22,000</w:t>
            </w:r>
          </w:p>
        </w:tc>
      </w:tr>
      <w:tr w:rsidR="00443952" w:rsidRPr="00CA1467" w:rsidTr="001B541F">
        <w:trPr>
          <w:jc w:val="right"/>
        </w:trPr>
        <w:tc>
          <w:tcPr>
            <w:tcW w:w="2235" w:type="dxa"/>
          </w:tcPr>
          <w:p w:rsidR="00443952" w:rsidRPr="00CA1467" w:rsidRDefault="00443952" w:rsidP="007B67BA">
            <w:pPr>
              <w:spacing w:before="80" w:after="80"/>
              <w:jc w:val="left"/>
              <w:rPr>
                <w:b/>
                <w:sz w:val="20"/>
                <w:lang w:val="en-NZ"/>
              </w:rPr>
            </w:pPr>
            <w:r w:rsidRPr="00CA1467">
              <w:rPr>
                <w:b/>
                <w:sz w:val="20"/>
                <w:lang w:val="en-NZ"/>
              </w:rPr>
              <w:t>Professional service</w:t>
            </w:r>
          </w:p>
        </w:tc>
        <w:tc>
          <w:tcPr>
            <w:tcW w:w="1559" w:type="dxa"/>
          </w:tcPr>
          <w:p w:rsidR="00443952" w:rsidRPr="00CA1467" w:rsidRDefault="00443952" w:rsidP="003E473F">
            <w:pPr>
              <w:spacing w:before="80" w:after="80"/>
              <w:ind w:right="437"/>
              <w:jc w:val="right"/>
              <w:rPr>
                <w:sz w:val="20"/>
                <w:lang w:val="en-NZ"/>
              </w:rPr>
            </w:pPr>
            <w:r w:rsidRPr="00CA1467">
              <w:rPr>
                <w:sz w:val="20"/>
                <w:lang w:val="en-NZ"/>
              </w:rPr>
              <w:t>3</w:t>
            </w:r>
          </w:p>
        </w:tc>
        <w:tc>
          <w:tcPr>
            <w:tcW w:w="1658" w:type="dxa"/>
          </w:tcPr>
          <w:p w:rsidR="00443952" w:rsidRPr="00CA1467" w:rsidRDefault="00443952" w:rsidP="003E473F">
            <w:pPr>
              <w:spacing w:before="80" w:after="80"/>
              <w:ind w:right="416"/>
              <w:jc w:val="right"/>
              <w:rPr>
                <w:sz w:val="20"/>
                <w:lang w:val="en-NZ"/>
              </w:rPr>
            </w:pPr>
            <w:r w:rsidRPr="00CA1467">
              <w:rPr>
                <w:sz w:val="20"/>
                <w:lang w:val="en-NZ"/>
              </w:rPr>
              <w:t>3,237</w:t>
            </w:r>
          </w:p>
        </w:tc>
        <w:tc>
          <w:tcPr>
            <w:tcW w:w="1886" w:type="dxa"/>
          </w:tcPr>
          <w:p w:rsidR="00443952" w:rsidRPr="00CA1467" w:rsidRDefault="00443952" w:rsidP="001B541F">
            <w:pPr>
              <w:spacing w:before="80" w:after="80"/>
              <w:ind w:right="34"/>
              <w:jc w:val="center"/>
              <w:rPr>
                <w:sz w:val="20"/>
                <w:lang w:val="en-NZ"/>
              </w:rPr>
            </w:pPr>
            <w:r w:rsidRPr="00CA1467">
              <w:rPr>
                <w:sz w:val="20"/>
                <w:lang w:val="en-NZ"/>
              </w:rPr>
              <w:t>42</w:t>
            </w:r>
          </w:p>
        </w:tc>
        <w:tc>
          <w:tcPr>
            <w:tcW w:w="1190" w:type="dxa"/>
          </w:tcPr>
          <w:p w:rsidR="00443952" w:rsidRPr="00CA1467" w:rsidRDefault="00443952" w:rsidP="003E473F">
            <w:pPr>
              <w:spacing w:before="80" w:after="80"/>
              <w:ind w:right="232"/>
              <w:jc w:val="right"/>
              <w:rPr>
                <w:sz w:val="20"/>
                <w:lang w:val="en-NZ"/>
              </w:rPr>
            </w:pPr>
            <w:r w:rsidRPr="00CA1467">
              <w:rPr>
                <w:sz w:val="20"/>
                <w:lang w:val="en-NZ"/>
              </w:rPr>
              <w:t>$19,000</w:t>
            </w:r>
          </w:p>
        </w:tc>
      </w:tr>
      <w:tr w:rsidR="00443952" w:rsidRPr="00CA1467" w:rsidTr="001B541F">
        <w:trPr>
          <w:jc w:val="right"/>
        </w:trPr>
        <w:tc>
          <w:tcPr>
            <w:tcW w:w="2235" w:type="dxa"/>
          </w:tcPr>
          <w:p w:rsidR="00443952" w:rsidRPr="00CA1467" w:rsidRDefault="00443952" w:rsidP="007B67BA">
            <w:pPr>
              <w:spacing w:before="80" w:after="80"/>
              <w:jc w:val="left"/>
              <w:rPr>
                <w:b/>
                <w:sz w:val="20"/>
                <w:lang w:val="en-NZ"/>
              </w:rPr>
            </w:pPr>
            <w:r w:rsidRPr="00CA1467">
              <w:rPr>
                <w:b/>
                <w:sz w:val="20"/>
                <w:lang w:val="en-NZ"/>
              </w:rPr>
              <w:t>Admin service</w:t>
            </w:r>
          </w:p>
        </w:tc>
        <w:tc>
          <w:tcPr>
            <w:tcW w:w="1559" w:type="dxa"/>
          </w:tcPr>
          <w:p w:rsidR="00443952" w:rsidRPr="00CA1467" w:rsidRDefault="00443952" w:rsidP="003E473F">
            <w:pPr>
              <w:spacing w:before="80" w:after="80"/>
              <w:ind w:right="437"/>
              <w:jc w:val="right"/>
              <w:rPr>
                <w:sz w:val="20"/>
                <w:lang w:val="en-NZ"/>
              </w:rPr>
            </w:pPr>
            <w:r w:rsidRPr="00CA1467">
              <w:rPr>
                <w:sz w:val="20"/>
                <w:lang w:val="en-NZ"/>
              </w:rPr>
              <w:t>1</w:t>
            </w:r>
          </w:p>
        </w:tc>
        <w:tc>
          <w:tcPr>
            <w:tcW w:w="1658" w:type="dxa"/>
          </w:tcPr>
          <w:p w:rsidR="00443952" w:rsidRPr="00CA1467" w:rsidRDefault="00443952" w:rsidP="003E473F">
            <w:pPr>
              <w:spacing w:before="80" w:after="80"/>
              <w:ind w:right="416"/>
              <w:jc w:val="right"/>
              <w:rPr>
                <w:sz w:val="20"/>
                <w:lang w:val="en-NZ"/>
              </w:rPr>
            </w:pPr>
            <w:r w:rsidRPr="00CA1467">
              <w:rPr>
                <w:sz w:val="20"/>
                <w:lang w:val="en-NZ"/>
              </w:rPr>
              <w:t>506</w:t>
            </w:r>
          </w:p>
        </w:tc>
        <w:tc>
          <w:tcPr>
            <w:tcW w:w="1886" w:type="dxa"/>
          </w:tcPr>
          <w:p w:rsidR="00443952" w:rsidRPr="00CA1467" w:rsidRDefault="00443952" w:rsidP="001B541F">
            <w:pPr>
              <w:spacing w:before="80" w:after="80"/>
              <w:ind w:right="34"/>
              <w:jc w:val="center"/>
              <w:rPr>
                <w:sz w:val="20"/>
                <w:lang w:val="en-NZ"/>
              </w:rPr>
            </w:pPr>
            <w:r w:rsidRPr="00CA1467">
              <w:rPr>
                <w:sz w:val="20"/>
                <w:lang w:val="en-NZ"/>
              </w:rPr>
              <w:t>52</w:t>
            </w:r>
          </w:p>
        </w:tc>
        <w:tc>
          <w:tcPr>
            <w:tcW w:w="1190" w:type="dxa"/>
          </w:tcPr>
          <w:p w:rsidR="00443952" w:rsidRPr="00CA1467" w:rsidRDefault="00443952" w:rsidP="003E473F">
            <w:pPr>
              <w:spacing w:before="80" w:after="80"/>
              <w:ind w:right="232"/>
              <w:jc w:val="right"/>
              <w:rPr>
                <w:sz w:val="20"/>
                <w:lang w:val="en-NZ"/>
              </w:rPr>
            </w:pPr>
            <w:r w:rsidRPr="00CA1467">
              <w:rPr>
                <w:sz w:val="20"/>
                <w:lang w:val="en-NZ"/>
              </w:rPr>
              <w:t>$22,000</w:t>
            </w:r>
          </w:p>
        </w:tc>
      </w:tr>
      <w:tr w:rsidR="00443952" w:rsidRPr="00CA1467" w:rsidTr="001B541F">
        <w:trPr>
          <w:jc w:val="right"/>
        </w:trPr>
        <w:tc>
          <w:tcPr>
            <w:tcW w:w="2235" w:type="dxa"/>
          </w:tcPr>
          <w:p w:rsidR="00443952" w:rsidRPr="00CA1467" w:rsidRDefault="00443952" w:rsidP="007B67BA">
            <w:pPr>
              <w:spacing w:before="80" w:after="80"/>
              <w:jc w:val="left"/>
              <w:rPr>
                <w:b/>
                <w:sz w:val="20"/>
                <w:lang w:val="en-NZ"/>
              </w:rPr>
            </w:pPr>
            <w:r w:rsidRPr="00CA1467">
              <w:rPr>
                <w:b/>
                <w:sz w:val="20"/>
                <w:lang w:val="en-NZ"/>
              </w:rPr>
              <w:t>Public admin</w:t>
            </w:r>
          </w:p>
        </w:tc>
        <w:tc>
          <w:tcPr>
            <w:tcW w:w="1559" w:type="dxa"/>
          </w:tcPr>
          <w:p w:rsidR="00443952" w:rsidRPr="00CA1467" w:rsidRDefault="00443952" w:rsidP="003E473F">
            <w:pPr>
              <w:spacing w:before="80" w:after="80"/>
              <w:ind w:right="437"/>
              <w:jc w:val="right"/>
              <w:rPr>
                <w:sz w:val="20"/>
                <w:lang w:val="en-NZ"/>
              </w:rPr>
            </w:pPr>
            <w:r w:rsidRPr="00CA1467">
              <w:rPr>
                <w:sz w:val="20"/>
                <w:lang w:val="en-NZ"/>
              </w:rPr>
              <w:t>0</w:t>
            </w:r>
          </w:p>
        </w:tc>
        <w:tc>
          <w:tcPr>
            <w:tcW w:w="1658" w:type="dxa"/>
          </w:tcPr>
          <w:p w:rsidR="00443952" w:rsidRPr="00CA1467" w:rsidRDefault="00443952" w:rsidP="003E473F">
            <w:pPr>
              <w:spacing w:before="80" w:after="80"/>
              <w:ind w:right="416"/>
              <w:jc w:val="right"/>
              <w:rPr>
                <w:sz w:val="20"/>
                <w:lang w:val="en-NZ"/>
              </w:rPr>
            </w:pPr>
            <w:r w:rsidRPr="00CA1467">
              <w:rPr>
                <w:sz w:val="20"/>
                <w:lang w:val="en-NZ"/>
              </w:rPr>
              <w:t>27</w:t>
            </w:r>
          </w:p>
        </w:tc>
        <w:tc>
          <w:tcPr>
            <w:tcW w:w="1886" w:type="dxa"/>
          </w:tcPr>
          <w:p w:rsidR="00443952" w:rsidRPr="00CA1467" w:rsidRDefault="00443952" w:rsidP="001B541F">
            <w:pPr>
              <w:spacing w:before="80" w:after="80"/>
              <w:ind w:right="34"/>
              <w:jc w:val="center"/>
              <w:rPr>
                <w:sz w:val="20"/>
                <w:lang w:val="en-NZ"/>
              </w:rPr>
            </w:pPr>
            <w:r w:rsidRPr="00CA1467">
              <w:rPr>
                <w:sz w:val="20"/>
                <w:lang w:val="en-NZ"/>
              </w:rPr>
              <w:t>38</w:t>
            </w:r>
          </w:p>
        </w:tc>
        <w:tc>
          <w:tcPr>
            <w:tcW w:w="1190" w:type="dxa"/>
          </w:tcPr>
          <w:p w:rsidR="00443952" w:rsidRPr="00CA1467" w:rsidRDefault="00443952" w:rsidP="003E473F">
            <w:pPr>
              <w:spacing w:before="80" w:after="80"/>
              <w:ind w:right="232"/>
              <w:jc w:val="right"/>
              <w:rPr>
                <w:sz w:val="20"/>
                <w:lang w:val="en-NZ"/>
              </w:rPr>
            </w:pPr>
            <w:r w:rsidRPr="00CA1467">
              <w:rPr>
                <w:sz w:val="20"/>
                <w:lang w:val="en-NZ"/>
              </w:rPr>
              <w:t>$0</w:t>
            </w:r>
          </w:p>
        </w:tc>
      </w:tr>
      <w:tr w:rsidR="00443952" w:rsidRPr="00CA1467" w:rsidTr="001B541F">
        <w:trPr>
          <w:jc w:val="right"/>
        </w:trPr>
        <w:tc>
          <w:tcPr>
            <w:tcW w:w="2235" w:type="dxa"/>
          </w:tcPr>
          <w:p w:rsidR="00443952" w:rsidRPr="00CA1467" w:rsidRDefault="00443952" w:rsidP="007B67BA">
            <w:pPr>
              <w:spacing w:before="80" w:after="80"/>
              <w:jc w:val="left"/>
              <w:rPr>
                <w:b/>
                <w:sz w:val="20"/>
                <w:lang w:val="en-NZ"/>
              </w:rPr>
            </w:pPr>
            <w:r w:rsidRPr="00CA1467">
              <w:rPr>
                <w:b/>
                <w:sz w:val="20"/>
                <w:lang w:val="en-NZ"/>
              </w:rPr>
              <w:t>Education</w:t>
            </w:r>
          </w:p>
        </w:tc>
        <w:tc>
          <w:tcPr>
            <w:tcW w:w="1559" w:type="dxa"/>
          </w:tcPr>
          <w:p w:rsidR="00443952" w:rsidRPr="00CA1467" w:rsidRDefault="00443952" w:rsidP="003E473F">
            <w:pPr>
              <w:spacing w:before="80" w:after="80"/>
              <w:ind w:right="437"/>
              <w:jc w:val="right"/>
              <w:rPr>
                <w:sz w:val="20"/>
                <w:lang w:val="en-NZ"/>
              </w:rPr>
            </w:pPr>
            <w:r w:rsidRPr="00CA1467">
              <w:rPr>
                <w:sz w:val="20"/>
                <w:lang w:val="en-NZ"/>
              </w:rPr>
              <w:t>0</w:t>
            </w:r>
          </w:p>
        </w:tc>
        <w:tc>
          <w:tcPr>
            <w:tcW w:w="1658" w:type="dxa"/>
          </w:tcPr>
          <w:p w:rsidR="00443952" w:rsidRPr="00CA1467" w:rsidRDefault="00443952" w:rsidP="003E473F">
            <w:pPr>
              <w:spacing w:before="80" w:after="80"/>
              <w:ind w:right="416"/>
              <w:jc w:val="right"/>
              <w:rPr>
                <w:sz w:val="20"/>
                <w:lang w:val="en-NZ"/>
              </w:rPr>
            </w:pPr>
            <w:r w:rsidRPr="00CA1467">
              <w:rPr>
                <w:sz w:val="20"/>
                <w:lang w:val="en-NZ"/>
              </w:rPr>
              <w:t>281</w:t>
            </w:r>
          </w:p>
        </w:tc>
        <w:tc>
          <w:tcPr>
            <w:tcW w:w="1886" w:type="dxa"/>
          </w:tcPr>
          <w:p w:rsidR="00443952" w:rsidRPr="00CA1467" w:rsidRDefault="00443952" w:rsidP="001B541F">
            <w:pPr>
              <w:spacing w:before="80" w:after="80"/>
              <w:ind w:right="34"/>
              <w:jc w:val="center"/>
              <w:rPr>
                <w:sz w:val="20"/>
                <w:lang w:val="en-NZ"/>
              </w:rPr>
            </w:pPr>
            <w:r w:rsidRPr="00CA1467">
              <w:rPr>
                <w:sz w:val="20"/>
                <w:lang w:val="en-NZ"/>
              </w:rPr>
              <w:t>50</w:t>
            </w:r>
          </w:p>
        </w:tc>
        <w:tc>
          <w:tcPr>
            <w:tcW w:w="1190" w:type="dxa"/>
          </w:tcPr>
          <w:p w:rsidR="00443952" w:rsidRPr="00CA1467" w:rsidRDefault="00443952" w:rsidP="003E473F">
            <w:pPr>
              <w:spacing w:before="80" w:after="80"/>
              <w:ind w:right="232"/>
              <w:jc w:val="right"/>
              <w:rPr>
                <w:sz w:val="20"/>
                <w:lang w:val="en-NZ"/>
              </w:rPr>
            </w:pPr>
            <w:r w:rsidRPr="00CA1467">
              <w:rPr>
                <w:sz w:val="20"/>
                <w:lang w:val="en-NZ"/>
              </w:rPr>
              <w:t>$21,000</w:t>
            </w:r>
          </w:p>
        </w:tc>
      </w:tr>
      <w:tr w:rsidR="00443952" w:rsidRPr="00CA1467" w:rsidTr="001B541F">
        <w:trPr>
          <w:jc w:val="right"/>
        </w:trPr>
        <w:tc>
          <w:tcPr>
            <w:tcW w:w="2235" w:type="dxa"/>
          </w:tcPr>
          <w:p w:rsidR="00443952" w:rsidRPr="00CA1467" w:rsidRDefault="00443952" w:rsidP="007B67BA">
            <w:pPr>
              <w:spacing w:before="80" w:after="80"/>
              <w:jc w:val="left"/>
              <w:rPr>
                <w:b/>
                <w:sz w:val="20"/>
                <w:lang w:val="en-NZ"/>
              </w:rPr>
            </w:pPr>
            <w:r w:rsidRPr="00CA1467">
              <w:rPr>
                <w:b/>
                <w:sz w:val="20"/>
                <w:lang w:val="en-NZ"/>
              </w:rPr>
              <w:t>Healthcare/social</w:t>
            </w:r>
          </w:p>
        </w:tc>
        <w:tc>
          <w:tcPr>
            <w:tcW w:w="1559" w:type="dxa"/>
          </w:tcPr>
          <w:p w:rsidR="00443952" w:rsidRPr="00CA1467" w:rsidRDefault="00443952" w:rsidP="003E473F">
            <w:pPr>
              <w:spacing w:before="80" w:after="80"/>
              <w:ind w:right="437"/>
              <w:jc w:val="right"/>
              <w:rPr>
                <w:sz w:val="20"/>
                <w:lang w:val="en-NZ"/>
              </w:rPr>
            </w:pPr>
            <w:r w:rsidRPr="00CA1467">
              <w:rPr>
                <w:sz w:val="20"/>
                <w:lang w:val="en-NZ"/>
              </w:rPr>
              <w:t>1</w:t>
            </w:r>
          </w:p>
        </w:tc>
        <w:tc>
          <w:tcPr>
            <w:tcW w:w="1658" w:type="dxa"/>
          </w:tcPr>
          <w:p w:rsidR="00443952" w:rsidRPr="00CA1467" w:rsidRDefault="00443952" w:rsidP="003E473F">
            <w:pPr>
              <w:spacing w:before="80" w:after="80"/>
              <w:ind w:right="416"/>
              <w:jc w:val="right"/>
              <w:rPr>
                <w:sz w:val="20"/>
                <w:lang w:val="en-NZ"/>
              </w:rPr>
            </w:pPr>
            <w:r w:rsidRPr="00CA1467">
              <w:rPr>
                <w:sz w:val="20"/>
                <w:lang w:val="en-NZ"/>
              </w:rPr>
              <w:t>568</w:t>
            </w:r>
          </w:p>
        </w:tc>
        <w:tc>
          <w:tcPr>
            <w:tcW w:w="1886" w:type="dxa"/>
          </w:tcPr>
          <w:p w:rsidR="00443952" w:rsidRPr="00CA1467" w:rsidRDefault="00443952" w:rsidP="001B541F">
            <w:pPr>
              <w:spacing w:before="80" w:after="80"/>
              <w:ind w:right="34"/>
              <w:jc w:val="center"/>
              <w:rPr>
                <w:sz w:val="20"/>
                <w:lang w:val="en-NZ"/>
              </w:rPr>
            </w:pPr>
            <w:r w:rsidRPr="00CA1467">
              <w:rPr>
                <w:sz w:val="20"/>
                <w:lang w:val="en-NZ"/>
              </w:rPr>
              <w:t>34</w:t>
            </w:r>
          </w:p>
        </w:tc>
        <w:tc>
          <w:tcPr>
            <w:tcW w:w="1190" w:type="dxa"/>
          </w:tcPr>
          <w:p w:rsidR="00443952" w:rsidRPr="00CA1467" w:rsidRDefault="00443952" w:rsidP="003E473F">
            <w:pPr>
              <w:spacing w:before="80" w:after="80"/>
              <w:ind w:right="232"/>
              <w:jc w:val="right"/>
              <w:rPr>
                <w:sz w:val="20"/>
                <w:lang w:val="en-NZ"/>
              </w:rPr>
            </w:pPr>
            <w:r w:rsidRPr="00CA1467">
              <w:rPr>
                <w:sz w:val="20"/>
                <w:lang w:val="en-NZ"/>
              </w:rPr>
              <w:t>$46,000</w:t>
            </w:r>
          </w:p>
        </w:tc>
      </w:tr>
      <w:tr w:rsidR="00443952" w:rsidRPr="00CA1467" w:rsidTr="001B541F">
        <w:trPr>
          <w:jc w:val="right"/>
        </w:trPr>
        <w:tc>
          <w:tcPr>
            <w:tcW w:w="2235" w:type="dxa"/>
          </w:tcPr>
          <w:p w:rsidR="00443952" w:rsidRPr="00CA1467" w:rsidRDefault="00443952" w:rsidP="007B67BA">
            <w:pPr>
              <w:spacing w:before="80" w:after="80"/>
              <w:jc w:val="left"/>
              <w:rPr>
                <w:b/>
                <w:sz w:val="20"/>
                <w:lang w:val="en-NZ"/>
              </w:rPr>
            </w:pPr>
            <w:r w:rsidRPr="00CA1467">
              <w:rPr>
                <w:b/>
                <w:sz w:val="20"/>
                <w:lang w:val="en-NZ"/>
              </w:rPr>
              <w:t>Arts &amp; recreation</w:t>
            </w:r>
          </w:p>
        </w:tc>
        <w:tc>
          <w:tcPr>
            <w:tcW w:w="1559" w:type="dxa"/>
          </w:tcPr>
          <w:p w:rsidR="00443952" w:rsidRPr="00CA1467" w:rsidRDefault="00443952" w:rsidP="003E473F">
            <w:pPr>
              <w:spacing w:before="80" w:after="80"/>
              <w:ind w:right="437"/>
              <w:jc w:val="right"/>
              <w:rPr>
                <w:sz w:val="20"/>
                <w:lang w:val="en-NZ"/>
              </w:rPr>
            </w:pPr>
            <w:r w:rsidRPr="00CA1467">
              <w:rPr>
                <w:sz w:val="20"/>
                <w:lang w:val="en-NZ"/>
              </w:rPr>
              <w:t>1</w:t>
            </w:r>
          </w:p>
        </w:tc>
        <w:tc>
          <w:tcPr>
            <w:tcW w:w="1658" w:type="dxa"/>
          </w:tcPr>
          <w:p w:rsidR="00443952" w:rsidRPr="00CA1467" w:rsidRDefault="00443952" w:rsidP="003E473F">
            <w:pPr>
              <w:spacing w:before="80" w:after="80"/>
              <w:ind w:right="416"/>
              <w:jc w:val="right"/>
              <w:rPr>
                <w:sz w:val="20"/>
                <w:lang w:val="en-NZ"/>
              </w:rPr>
            </w:pPr>
            <w:r w:rsidRPr="00CA1467">
              <w:rPr>
                <w:sz w:val="20"/>
                <w:lang w:val="en-NZ"/>
              </w:rPr>
              <w:t>598</w:t>
            </w:r>
          </w:p>
        </w:tc>
        <w:tc>
          <w:tcPr>
            <w:tcW w:w="1886" w:type="dxa"/>
          </w:tcPr>
          <w:p w:rsidR="00443952" w:rsidRPr="00CA1467" w:rsidRDefault="00443952" w:rsidP="001B541F">
            <w:pPr>
              <w:spacing w:before="80" w:after="80"/>
              <w:ind w:right="34"/>
              <w:jc w:val="center"/>
              <w:rPr>
                <w:sz w:val="20"/>
                <w:lang w:val="en-NZ"/>
              </w:rPr>
            </w:pPr>
            <w:r w:rsidRPr="00CA1467">
              <w:rPr>
                <w:sz w:val="20"/>
                <w:lang w:val="en-NZ"/>
              </w:rPr>
              <w:t>62</w:t>
            </w:r>
          </w:p>
        </w:tc>
        <w:tc>
          <w:tcPr>
            <w:tcW w:w="1190" w:type="dxa"/>
          </w:tcPr>
          <w:p w:rsidR="00443952" w:rsidRPr="00CA1467" w:rsidRDefault="00443952" w:rsidP="003E473F">
            <w:pPr>
              <w:spacing w:before="80" w:after="80"/>
              <w:ind w:right="232"/>
              <w:jc w:val="right"/>
              <w:rPr>
                <w:sz w:val="20"/>
                <w:lang w:val="en-NZ"/>
              </w:rPr>
            </w:pPr>
            <w:r w:rsidRPr="00CA1467">
              <w:rPr>
                <w:sz w:val="20"/>
                <w:lang w:val="en-NZ"/>
              </w:rPr>
              <w:t>$32,000</w:t>
            </w:r>
          </w:p>
        </w:tc>
      </w:tr>
      <w:tr w:rsidR="00443952" w:rsidRPr="00CA1467" w:rsidTr="001B541F">
        <w:trPr>
          <w:jc w:val="right"/>
        </w:trPr>
        <w:tc>
          <w:tcPr>
            <w:tcW w:w="2235" w:type="dxa"/>
          </w:tcPr>
          <w:p w:rsidR="00443952" w:rsidRPr="00CA1467" w:rsidRDefault="00443952" w:rsidP="007B67BA">
            <w:pPr>
              <w:spacing w:before="80" w:after="80"/>
              <w:jc w:val="left"/>
              <w:rPr>
                <w:b/>
                <w:sz w:val="20"/>
                <w:lang w:val="en-NZ"/>
              </w:rPr>
            </w:pPr>
            <w:r w:rsidRPr="00CA1467">
              <w:rPr>
                <w:b/>
                <w:sz w:val="20"/>
                <w:lang w:val="en-NZ"/>
              </w:rPr>
              <w:t>Other services</w:t>
            </w:r>
          </w:p>
        </w:tc>
        <w:tc>
          <w:tcPr>
            <w:tcW w:w="1559" w:type="dxa"/>
          </w:tcPr>
          <w:p w:rsidR="00443952" w:rsidRPr="00CA1467" w:rsidRDefault="00443952" w:rsidP="003E473F">
            <w:pPr>
              <w:spacing w:before="80" w:after="80"/>
              <w:ind w:right="437"/>
              <w:jc w:val="right"/>
              <w:rPr>
                <w:sz w:val="20"/>
                <w:lang w:val="en-NZ"/>
              </w:rPr>
            </w:pPr>
            <w:r w:rsidRPr="00CA1467">
              <w:rPr>
                <w:sz w:val="20"/>
                <w:lang w:val="en-NZ"/>
              </w:rPr>
              <w:t>1</w:t>
            </w:r>
          </w:p>
        </w:tc>
        <w:tc>
          <w:tcPr>
            <w:tcW w:w="1658" w:type="dxa"/>
          </w:tcPr>
          <w:p w:rsidR="00443952" w:rsidRPr="00CA1467" w:rsidRDefault="00443952" w:rsidP="003E473F">
            <w:pPr>
              <w:spacing w:before="80" w:after="80"/>
              <w:ind w:right="416"/>
              <w:jc w:val="right"/>
              <w:rPr>
                <w:sz w:val="20"/>
                <w:lang w:val="en-NZ"/>
              </w:rPr>
            </w:pPr>
            <w:r w:rsidRPr="00CA1467">
              <w:rPr>
                <w:sz w:val="20"/>
                <w:lang w:val="en-NZ"/>
              </w:rPr>
              <w:t>1,060</w:t>
            </w:r>
          </w:p>
        </w:tc>
        <w:tc>
          <w:tcPr>
            <w:tcW w:w="1886" w:type="dxa"/>
          </w:tcPr>
          <w:p w:rsidR="00443952" w:rsidRPr="00CA1467" w:rsidRDefault="00443952" w:rsidP="001B541F">
            <w:pPr>
              <w:spacing w:before="80" w:after="80"/>
              <w:ind w:right="34"/>
              <w:jc w:val="center"/>
              <w:rPr>
                <w:sz w:val="20"/>
                <w:lang w:val="en-NZ"/>
              </w:rPr>
            </w:pPr>
            <w:r w:rsidRPr="00CA1467">
              <w:rPr>
                <w:sz w:val="20"/>
                <w:lang w:val="en-NZ"/>
              </w:rPr>
              <w:t>49</w:t>
            </w:r>
          </w:p>
        </w:tc>
        <w:tc>
          <w:tcPr>
            <w:tcW w:w="1190" w:type="dxa"/>
          </w:tcPr>
          <w:p w:rsidR="00443952" w:rsidRPr="00CA1467" w:rsidRDefault="00443952" w:rsidP="003E473F">
            <w:pPr>
              <w:spacing w:before="80" w:after="80"/>
              <w:ind w:right="232"/>
              <w:jc w:val="right"/>
              <w:rPr>
                <w:sz w:val="20"/>
                <w:lang w:val="en-NZ"/>
              </w:rPr>
            </w:pPr>
            <w:r w:rsidRPr="00CA1467">
              <w:rPr>
                <w:sz w:val="20"/>
                <w:lang w:val="en-NZ"/>
              </w:rPr>
              <w:t>$20,000</w:t>
            </w:r>
          </w:p>
        </w:tc>
      </w:tr>
      <w:tr w:rsidR="00443952" w:rsidRPr="00CA1467" w:rsidTr="001B541F">
        <w:trPr>
          <w:jc w:val="right"/>
        </w:trPr>
        <w:tc>
          <w:tcPr>
            <w:tcW w:w="2235" w:type="dxa"/>
            <w:tcBorders>
              <w:bottom w:val="single" w:sz="4" w:space="0" w:color="auto"/>
            </w:tcBorders>
          </w:tcPr>
          <w:p w:rsidR="00443952" w:rsidRPr="00CA1467" w:rsidRDefault="00443952" w:rsidP="007B67BA">
            <w:pPr>
              <w:spacing w:before="80" w:after="80"/>
              <w:jc w:val="left"/>
              <w:rPr>
                <w:b/>
                <w:sz w:val="20"/>
                <w:lang w:val="en-NZ"/>
              </w:rPr>
            </w:pPr>
            <w:r w:rsidRPr="00CA1467">
              <w:rPr>
                <w:b/>
                <w:sz w:val="20"/>
                <w:lang w:val="en-NZ"/>
              </w:rPr>
              <w:t>Not elsewhere included</w:t>
            </w:r>
          </w:p>
        </w:tc>
        <w:tc>
          <w:tcPr>
            <w:tcW w:w="1559" w:type="dxa"/>
            <w:tcBorders>
              <w:bottom w:val="single" w:sz="4" w:space="0" w:color="auto"/>
            </w:tcBorders>
          </w:tcPr>
          <w:p w:rsidR="00443952" w:rsidRPr="00CA1467" w:rsidRDefault="00443952" w:rsidP="003E473F">
            <w:pPr>
              <w:spacing w:before="80" w:after="80"/>
              <w:ind w:right="437"/>
              <w:jc w:val="right"/>
              <w:rPr>
                <w:sz w:val="20"/>
                <w:lang w:val="en-NZ"/>
              </w:rPr>
            </w:pPr>
            <w:r w:rsidRPr="00CA1467">
              <w:rPr>
                <w:sz w:val="20"/>
                <w:lang w:val="en-NZ"/>
              </w:rPr>
              <w:t>1</w:t>
            </w:r>
          </w:p>
        </w:tc>
        <w:tc>
          <w:tcPr>
            <w:tcW w:w="1658" w:type="dxa"/>
            <w:tcBorders>
              <w:bottom w:val="single" w:sz="4" w:space="0" w:color="auto"/>
            </w:tcBorders>
          </w:tcPr>
          <w:p w:rsidR="00443952" w:rsidRPr="00CA1467" w:rsidRDefault="00443952" w:rsidP="003E473F">
            <w:pPr>
              <w:spacing w:before="80" w:after="80"/>
              <w:ind w:right="416"/>
              <w:jc w:val="right"/>
              <w:rPr>
                <w:sz w:val="20"/>
                <w:lang w:val="en-NZ"/>
              </w:rPr>
            </w:pPr>
            <w:r w:rsidRPr="00CA1467">
              <w:rPr>
                <w:sz w:val="20"/>
                <w:lang w:val="en-NZ"/>
              </w:rPr>
              <w:t>1,263</w:t>
            </w:r>
          </w:p>
        </w:tc>
        <w:tc>
          <w:tcPr>
            <w:tcW w:w="1886" w:type="dxa"/>
            <w:tcBorders>
              <w:bottom w:val="single" w:sz="4" w:space="0" w:color="auto"/>
            </w:tcBorders>
          </w:tcPr>
          <w:p w:rsidR="00443952" w:rsidRPr="00CA1467" w:rsidRDefault="00443952" w:rsidP="001B541F">
            <w:pPr>
              <w:spacing w:before="80" w:after="80"/>
              <w:ind w:right="34"/>
              <w:jc w:val="center"/>
              <w:rPr>
                <w:sz w:val="20"/>
                <w:lang w:val="en-NZ"/>
              </w:rPr>
            </w:pPr>
            <w:r w:rsidRPr="00CA1467">
              <w:rPr>
                <w:sz w:val="20"/>
                <w:lang w:val="en-NZ"/>
              </w:rPr>
              <w:t>75</w:t>
            </w:r>
          </w:p>
        </w:tc>
        <w:tc>
          <w:tcPr>
            <w:tcW w:w="1190" w:type="dxa"/>
            <w:tcBorders>
              <w:bottom w:val="single" w:sz="4" w:space="0" w:color="auto"/>
            </w:tcBorders>
          </w:tcPr>
          <w:p w:rsidR="00443952" w:rsidRPr="00CA1467" w:rsidRDefault="00443952" w:rsidP="003E473F">
            <w:pPr>
              <w:spacing w:before="80" w:after="80"/>
              <w:ind w:right="232"/>
              <w:jc w:val="right"/>
              <w:rPr>
                <w:sz w:val="20"/>
                <w:lang w:val="en-NZ"/>
              </w:rPr>
            </w:pPr>
            <w:r w:rsidRPr="00CA1467">
              <w:rPr>
                <w:sz w:val="20"/>
                <w:lang w:val="en-NZ"/>
              </w:rPr>
              <w:t>$21,000</w:t>
            </w:r>
          </w:p>
        </w:tc>
      </w:tr>
      <w:tr w:rsidR="00443952" w:rsidRPr="00CA1467" w:rsidTr="001B541F">
        <w:trPr>
          <w:jc w:val="right"/>
        </w:trPr>
        <w:tc>
          <w:tcPr>
            <w:tcW w:w="2235" w:type="dxa"/>
            <w:tcBorders>
              <w:bottom w:val="single" w:sz="12" w:space="0" w:color="auto"/>
            </w:tcBorders>
          </w:tcPr>
          <w:p w:rsidR="00443952" w:rsidRPr="00CA1467" w:rsidRDefault="00443952" w:rsidP="007B67BA">
            <w:pPr>
              <w:spacing w:before="80" w:after="80"/>
              <w:jc w:val="left"/>
              <w:rPr>
                <w:b/>
                <w:sz w:val="20"/>
                <w:lang w:val="en-NZ"/>
              </w:rPr>
            </w:pPr>
            <w:r w:rsidRPr="00CA1467">
              <w:rPr>
                <w:b/>
                <w:sz w:val="20"/>
                <w:lang w:val="en-NZ"/>
              </w:rPr>
              <w:t>Unknown industry</w:t>
            </w:r>
          </w:p>
        </w:tc>
        <w:tc>
          <w:tcPr>
            <w:tcW w:w="1559" w:type="dxa"/>
            <w:tcBorders>
              <w:bottom w:val="single" w:sz="12" w:space="0" w:color="auto"/>
            </w:tcBorders>
          </w:tcPr>
          <w:p w:rsidR="00443952" w:rsidRPr="00CA1467" w:rsidRDefault="00443952" w:rsidP="003E473F">
            <w:pPr>
              <w:spacing w:before="80" w:after="80"/>
              <w:ind w:right="437"/>
              <w:jc w:val="right"/>
              <w:rPr>
                <w:sz w:val="20"/>
                <w:lang w:val="en-NZ"/>
              </w:rPr>
            </w:pPr>
            <w:r w:rsidRPr="00CA1467">
              <w:rPr>
                <w:sz w:val="20"/>
                <w:lang w:val="en-NZ"/>
              </w:rPr>
              <w:t>4</w:t>
            </w:r>
          </w:p>
        </w:tc>
        <w:tc>
          <w:tcPr>
            <w:tcW w:w="1658" w:type="dxa"/>
            <w:tcBorders>
              <w:bottom w:val="single" w:sz="12" w:space="0" w:color="auto"/>
            </w:tcBorders>
          </w:tcPr>
          <w:p w:rsidR="00443952" w:rsidRPr="00CA1467" w:rsidRDefault="00443952" w:rsidP="003E473F">
            <w:pPr>
              <w:spacing w:before="80" w:after="80"/>
              <w:ind w:right="416"/>
              <w:jc w:val="right"/>
              <w:rPr>
                <w:sz w:val="20"/>
                <w:lang w:val="en-NZ"/>
              </w:rPr>
            </w:pPr>
            <w:r w:rsidRPr="00CA1467">
              <w:rPr>
                <w:sz w:val="20"/>
                <w:lang w:val="en-NZ"/>
              </w:rPr>
              <w:t>3,880</w:t>
            </w:r>
          </w:p>
        </w:tc>
        <w:tc>
          <w:tcPr>
            <w:tcW w:w="1886" w:type="dxa"/>
            <w:tcBorders>
              <w:bottom w:val="single" w:sz="12" w:space="0" w:color="auto"/>
            </w:tcBorders>
          </w:tcPr>
          <w:p w:rsidR="00443952" w:rsidRPr="00CA1467" w:rsidRDefault="00443952" w:rsidP="001B541F">
            <w:pPr>
              <w:spacing w:before="80" w:after="80"/>
              <w:ind w:right="34"/>
              <w:jc w:val="center"/>
              <w:rPr>
                <w:sz w:val="20"/>
                <w:lang w:val="en-NZ"/>
              </w:rPr>
            </w:pPr>
            <w:r w:rsidRPr="00CA1467">
              <w:rPr>
                <w:sz w:val="20"/>
                <w:lang w:val="en-NZ"/>
              </w:rPr>
              <w:t>70</w:t>
            </w:r>
          </w:p>
        </w:tc>
        <w:tc>
          <w:tcPr>
            <w:tcW w:w="1190" w:type="dxa"/>
            <w:tcBorders>
              <w:bottom w:val="single" w:sz="12" w:space="0" w:color="auto"/>
            </w:tcBorders>
          </w:tcPr>
          <w:p w:rsidR="00443952" w:rsidRPr="00CA1467" w:rsidRDefault="00443952" w:rsidP="003E473F">
            <w:pPr>
              <w:spacing w:before="80" w:after="80"/>
              <w:ind w:right="232"/>
              <w:jc w:val="right"/>
              <w:rPr>
                <w:sz w:val="20"/>
                <w:lang w:val="en-NZ"/>
              </w:rPr>
            </w:pPr>
            <w:r w:rsidRPr="00CA1467">
              <w:rPr>
                <w:sz w:val="20"/>
                <w:lang w:val="en-NZ"/>
              </w:rPr>
              <w:t>$21,000</w:t>
            </w:r>
          </w:p>
        </w:tc>
      </w:tr>
      <w:tr w:rsidR="00443952" w:rsidRPr="00CA1467" w:rsidTr="001B541F">
        <w:trPr>
          <w:jc w:val="right"/>
        </w:trPr>
        <w:tc>
          <w:tcPr>
            <w:tcW w:w="2235" w:type="dxa"/>
            <w:tcBorders>
              <w:top w:val="single" w:sz="12" w:space="0" w:color="auto"/>
            </w:tcBorders>
          </w:tcPr>
          <w:p w:rsidR="00443952" w:rsidRPr="00CA1467" w:rsidRDefault="00443952" w:rsidP="007B67BA">
            <w:pPr>
              <w:spacing w:before="80" w:after="80"/>
              <w:jc w:val="left"/>
              <w:rPr>
                <w:b/>
                <w:sz w:val="20"/>
                <w:lang w:val="en-NZ"/>
              </w:rPr>
            </w:pPr>
            <w:r w:rsidRPr="00CA1467">
              <w:rPr>
                <w:b/>
                <w:sz w:val="20"/>
                <w:lang w:val="en-NZ"/>
              </w:rPr>
              <w:t>Total</w:t>
            </w:r>
          </w:p>
        </w:tc>
        <w:tc>
          <w:tcPr>
            <w:tcW w:w="1559" w:type="dxa"/>
            <w:tcBorders>
              <w:top w:val="single" w:sz="12" w:space="0" w:color="auto"/>
            </w:tcBorders>
          </w:tcPr>
          <w:p w:rsidR="00443952" w:rsidRPr="00CA1467" w:rsidRDefault="00443952" w:rsidP="003E473F">
            <w:pPr>
              <w:spacing w:before="80" w:after="80"/>
              <w:ind w:right="437"/>
              <w:jc w:val="right"/>
              <w:rPr>
                <w:sz w:val="20"/>
                <w:lang w:val="en-NZ"/>
              </w:rPr>
            </w:pPr>
            <w:r w:rsidRPr="00CA1467">
              <w:rPr>
                <w:sz w:val="20"/>
                <w:lang w:val="en-NZ"/>
              </w:rPr>
              <w:t>100</w:t>
            </w:r>
          </w:p>
        </w:tc>
        <w:tc>
          <w:tcPr>
            <w:tcW w:w="1658" w:type="dxa"/>
            <w:tcBorders>
              <w:top w:val="single" w:sz="12" w:space="0" w:color="auto"/>
            </w:tcBorders>
          </w:tcPr>
          <w:p w:rsidR="00443952" w:rsidRPr="00CA1467" w:rsidRDefault="00443952" w:rsidP="003E473F">
            <w:pPr>
              <w:spacing w:before="80" w:after="80"/>
              <w:ind w:right="416"/>
              <w:jc w:val="right"/>
              <w:rPr>
                <w:sz w:val="20"/>
                <w:lang w:val="en-NZ"/>
              </w:rPr>
            </w:pPr>
            <w:r w:rsidRPr="00CA1467">
              <w:rPr>
                <w:sz w:val="20"/>
                <w:lang w:val="en-NZ"/>
              </w:rPr>
              <w:t>73,101</w:t>
            </w:r>
          </w:p>
        </w:tc>
        <w:tc>
          <w:tcPr>
            <w:tcW w:w="1886" w:type="dxa"/>
            <w:tcBorders>
              <w:top w:val="single" w:sz="12" w:space="0" w:color="auto"/>
            </w:tcBorders>
          </w:tcPr>
          <w:p w:rsidR="00443952" w:rsidRPr="00CA1467" w:rsidRDefault="00443952" w:rsidP="001B541F">
            <w:pPr>
              <w:spacing w:before="80" w:after="80"/>
              <w:ind w:right="34"/>
              <w:jc w:val="center"/>
              <w:rPr>
                <w:sz w:val="20"/>
                <w:lang w:val="en-NZ"/>
              </w:rPr>
            </w:pPr>
            <w:r w:rsidRPr="00CA1467">
              <w:rPr>
                <w:sz w:val="20"/>
                <w:lang w:val="en-NZ"/>
              </w:rPr>
              <w:t>65</w:t>
            </w:r>
          </w:p>
        </w:tc>
        <w:tc>
          <w:tcPr>
            <w:tcW w:w="1190" w:type="dxa"/>
            <w:tcBorders>
              <w:top w:val="single" w:sz="12" w:space="0" w:color="auto"/>
            </w:tcBorders>
          </w:tcPr>
          <w:p w:rsidR="00443952" w:rsidRPr="00CA1467" w:rsidRDefault="00443952" w:rsidP="003E473F">
            <w:pPr>
              <w:spacing w:before="80" w:after="80"/>
              <w:ind w:right="232"/>
              <w:jc w:val="right"/>
              <w:rPr>
                <w:sz w:val="20"/>
                <w:lang w:val="en-NZ"/>
              </w:rPr>
            </w:pPr>
            <w:r w:rsidRPr="00CA1467">
              <w:rPr>
                <w:sz w:val="20"/>
                <w:lang w:val="en-NZ"/>
              </w:rPr>
              <w:t>$27,000</w:t>
            </w:r>
          </w:p>
        </w:tc>
      </w:tr>
    </w:tbl>
    <w:p w:rsidR="007B67BA" w:rsidRPr="00CA1467" w:rsidRDefault="007B67BA" w:rsidP="007B67BA">
      <w:pPr>
        <w:pStyle w:val="Heading1"/>
      </w:pPr>
      <w:bookmarkStart w:id="151" w:name="_Toc429400127"/>
      <w:bookmarkStart w:id="152" w:name="_Toc429409215"/>
      <w:bookmarkStart w:id="153" w:name="_Toc429412474"/>
      <w:bookmarkStart w:id="154" w:name="_Toc429417889"/>
      <w:bookmarkStart w:id="155" w:name="_Toc429420014"/>
      <w:bookmarkStart w:id="156" w:name="_Toc429469495"/>
      <w:r w:rsidRPr="00CA1467">
        <w:t>Distributions of LTC and QC income and losses</w:t>
      </w:r>
      <w:bookmarkEnd w:id="151"/>
      <w:bookmarkEnd w:id="152"/>
      <w:bookmarkEnd w:id="153"/>
      <w:bookmarkEnd w:id="154"/>
      <w:bookmarkEnd w:id="155"/>
      <w:bookmarkEnd w:id="156"/>
    </w:p>
    <w:p w:rsidR="007B67BA" w:rsidRPr="00CA1467" w:rsidRDefault="007B67BA" w:rsidP="007B67BA">
      <w:pPr>
        <w:rPr>
          <w:lang w:val="en-NZ"/>
        </w:rPr>
      </w:pPr>
    </w:p>
    <w:p w:rsidR="007B67BA" w:rsidRPr="00CA1467" w:rsidRDefault="007B67BA" w:rsidP="007B67BA">
      <w:pPr>
        <w:rPr>
          <w:lang w:val="en-NZ"/>
        </w:rPr>
      </w:pPr>
      <w:r w:rsidRPr="00CA1467">
        <w:rPr>
          <w:lang w:val="en-NZ"/>
        </w:rPr>
        <w:t xml:space="preserve">Charts </w:t>
      </w:r>
      <w:proofErr w:type="gramStart"/>
      <w:r w:rsidRPr="00CA1467">
        <w:rPr>
          <w:lang w:val="en-NZ"/>
        </w:rPr>
        <w:t>2</w:t>
      </w:r>
      <w:proofErr w:type="gramEnd"/>
      <w:r w:rsidRPr="00CA1467">
        <w:rPr>
          <w:lang w:val="en-NZ"/>
        </w:rPr>
        <w:t xml:space="preserve"> and 3 show the distribution of reported income and losses for LTCs and QCs in 2013.  </w:t>
      </w:r>
      <w:proofErr w:type="gramStart"/>
      <w:r w:rsidRPr="00CA1467">
        <w:rPr>
          <w:lang w:val="en-NZ"/>
        </w:rPr>
        <w:t>80</w:t>
      </w:r>
      <w:r w:rsidR="00BA0441">
        <w:rPr>
          <w:lang w:val="en-NZ"/>
        </w:rPr>
        <w:t xml:space="preserve"> percent</w:t>
      </w:r>
      <w:proofErr w:type="gramEnd"/>
      <w:r w:rsidR="00BA0441" w:rsidRPr="00CA1467">
        <w:rPr>
          <w:lang w:val="en-NZ"/>
        </w:rPr>
        <w:t xml:space="preserve"> </w:t>
      </w:r>
      <w:r w:rsidRPr="00CA1467">
        <w:rPr>
          <w:lang w:val="en-NZ"/>
        </w:rPr>
        <w:t>of LTCs fell into the loss/income range -$30,000 to +$10,000 while 80</w:t>
      </w:r>
      <w:r w:rsidR="00BA0441">
        <w:rPr>
          <w:lang w:val="en-NZ"/>
        </w:rPr>
        <w:t xml:space="preserve"> percent</w:t>
      </w:r>
      <w:r w:rsidR="00BA0441" w:rsidRPr="00CA1467">
        <w:rPr>
          <w:lang w:val="en-NZ"/>
        </w:rPr>
        <w:t xml:space="preserve"> </w:t>
      </w:r>
      <w:r w:rsidRPr="00CA1467">
        <w:rPr>
          <w:lang w:val="en-NZ"/>
        </w:rPr>
        <w:t>of QCs fell within the -$20,000 to +$20,000 range.  Given that LTCs allow loss flow-through, it is not surprising that a higher proportion of LTCs were reporting losses, although the difference is not great.</w:t>
      </w:r>
    </w:p>
    <w:p w:rsidR="007B67BA" w:rsidRPr="00CA1467" w:rsidRDefault="007B67BA" w:rsidP="007B67BA">
      <w:pPr>
        <w:rPr>
          <w:lang w:val="en-NZ"/>
        </w:rPr>
      </w:pPr>
    </w:p>
    <w:p w:rsidR="004F33C2" w:rsidRPr="00CA1467" w:rsidRDefault="004F33C2" w:rsidP="003E473F">
      <w:pPr>
        <w:spacing w:after="200"/>
        <w:jc w:val="center"/>
        <w:rPr>
          <w:b/>
          <w:lang w:val="en-NZ"/>
        </w:rPr>
      </w:pPr>
      <w:r w:rsidRPr="00CA1467">
        <w:rPr>
          <w:b/>
          <w:lang w:val="en-NZ"/>
        </w:rPr>
        <w:t>Chart 2: Distribution of combined LTC and QC income – 2013 tax year</w:t>
      </w:r>
    </w:p>
    <w:p w:rsidR="004F33C2" w:rsidRPr="00CA1467" w:rsidRDefault="004F33C2" w:rsidP="004F33C2">
      <w:pPr>
        <w:rPr>
          <w:lang w:val="en-NZ"/>
        </w:rPr>
      </w:pPr>
      <w:r w:rsidRPr="00CA1467">
        <w:rPr>
          <w:noProof/>
          <w:lang w:val="en-NZ" w:eastAsia="en-NZ"/>
        </w:rPr>
        <w:drawing>
          <wp:inline distT="0" distB="0" distL="0" distR="0" wp14:anchorId="3FCA9A9E" wp14:editId="5A9A6F45">
            <wp:extent cx="5193792" cy="3395615"/>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10145" cy="3406306"/>
                    </a:xfrm>
                    <a:prstGeom prst="rect">
                      <a:avLst/>
                    </a:prstGeom>
                    <a:noFill/>
                  </pic:spPr>
                </pic:pic>
              </a:graphicData>
            </a:graphic>
          </wp:inline>
        </w:drawing>
      </w:r>
    </w:p>
    <w:p w:rsidR="004F33C2" w:rsidRPr="00CA1467" w:rsidRDefault="004F33C2" w:rsidP="004F33C2">
      <w:pPr>
        <w:rPr>
          <w:lang w:val="en-NZ"/>
        </w:rPr>
      </w:pPr>
    </w:p>
    <w:p w:rsidR="004F33C2" w:rsidRPr="00CA1467" w:rsidRDefault="004F33C2" w:rsidP="003E473F">
      <w:pPr>
        <w:spacing w:after="200"/>
        <w:jc w:val="center"/>
        <w:rPr>
          <w:b/>
          <w:lang w:val="en-NZ"/>
        </w:rPr>
      </w:pPr>
      <w:r w:rsidRPr="00CA1467">
        <w:rPr>
          <w:b/>
          <w:lang w:val="en-NZ"/>
        </w:rPr>
        <w:t>Chart 3: Distribution of LTC and QC income – 2013 tax year</w:t>
      </w:r>
    </w:p>
    <w:p w:rsidR="003E473F" w:rsidRPr="00CA1467" w:rsidRDefault="004F33C2" w:rsidP="003E473F">
      <w:pPr>
        <w:rPr>
          <w:lang w:val="en-NZ"/>
        </w:rPr>
      </w:pPr>
      <w:r w:rsidRPr="00CA1467">
        <w:rPr>
          <w:noProof/>
          <w:lang w:val="en-NZ" w:eastAsia="en-NZ"/>
        </w:rPr>
        <w:drawing>
          <wp:inline distT="0" distB="0" distL="0" distR="0" wp14:anchorId="71AB9C08" wp14:editId="5F8DC34F">
            <wp:extent cx="5193792" cy="3395615"/>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10332" cy="3406429"/>
                    </a:xfrm>
                    <a:prstGeom prst="rect">
                      <a:avLst/>
                    </a:prstGeom>
                    <a:noFill/>
                  </pic:spPr>
                </pic:pic>
              </a:graphicData>
            </a:graphic>
          </wp:inline>
        </w:drawing>
      </w:r>
    </w:p>
    <w:p w:rsidR="003E473F" w:rsidRPr="00CA1467" w:rsidRDefault="003E473F" w:rsidP="003E473F">
      <w:pPr>
        <w:rPr>
          <w:lang w:val="en-NZ"/>
        </w:rPr>
      </w:pPr>
    </w:p>
    <w:p w:rsidR="003E473F" w:rsidRPr="00CA1467" w:rsidRDefault="003E473F" w:rsidP="003E473F">
      <w:pPr>
        <w:pStyle w:val="Heading1"/>
      </w:pPr>
      <w:bookmarkStart w:id="157" w:name="_Toc429400128"/>
      <w:bookmarkStart w:id="158" w:name="_Toc429409216"/>
      <w:bookmarkStart w:id="159" w:name="_Toc429412475"/>
      <w:bookmarkStart w:id="160" w:name="_Toc429417890"/>
      <w:bookmarkStart w:id="161" w:name="_Toc429420015"/>
      <w:bookmarkStart w:id="162" w:name="_Toc429469496"/>
      <w:r w:rsidRPr="00CA1467">
        <w:t>Deduction limitation rule</w:t>
      </w:r>
      <w:bookmarkEnd w:id="157"/>
      <w:bookmarkEnd w:id="158"/>
      <w:bookmarkEnd w:id="159"/>
      <w:bookmarkEnd w:id="160"/>
      <w:bookmarkEnd w:id="161"/>
      <w:bookmarkEnd w:id="162"/>
    </w:p>
    <w:p w:rsidR="003E473F" w:rsidRPr="00CA1467" w:rsidRDefault="003E473F" w:rsidP="003E473F">
      <w:pPr>
        <w:rPr>
          <w:lang w:val="en-NZ"/>
        </w:rPr>
      </w:pPr>
    </w:p>
    <w:p w:rsidR="003E473F" w:rsidRPr="00CA1467" w:rsidRDefault="003E473F" w:rsidP="003E473F">
      <w:pPr>
        <w:rPr>
          <w:lang w:val="en-NZ"/>
        </w:rPr>
      </w:pPr>
      <w:r w:rsidRPr="00CA1467">
        <w:rPr>
          <w:lang w:val="en-NZ"/>
        </w:rPr>
        <w:t xml:space="preserve">In terms of non-allowable deductions, the number of LTCs reporting non-allowable deductions carried forward as at the end of the 2013 tax year was 446 (around </w:t>
      </w:r>
      <w:r w:rsidR="00BA0441">
        <w:rPr>
          <w:lang w:val="en-NZ"/>
        </w:rPr>
        <w:t xml:space="preserve">one percent </w:t>
      </w:r>
      <w:r w:rsidRPr="00CA1467">
        <w:rPr>
          <w:lang w:val="en-NZ"/>
        </w:rPr>
        <w:t>of total LTCs).  The number of look-through owners affected was 695.  The average value of non-allowable deductions carried forward per owner was $16,547.</w:t>
      </w:r>
    </w:p>
    <w:p w:rsidR="003E473F" w:rsidRPr="00CA1467" w:rsidRDefault="003E473F" w:rsidP="003E473F">
      <w:pPr>
        <w:rPr>
          <w:lang w:val="en-NZ"/>
        </w:rPr>
      </w:pPr>
    </w:p>
    <w:p w:rsidR="003E473F" w:rsidRPr="00CA1467" w:rsidRDefault="003E473F" w:rsidP="003E473F">
      <w:pPr>
        <w:rPr>
          <w:lang w:val="en-NZ"/>
        </w:rPr>
      </w:pPr>
    </w:p>
    <w:p w:rsidR="003E473F" w:rsidRPr="00CA1467" w:rsidRDefault="003E473F" w:rsidP="003E473F">
      <w:pPr>
        <w:pStyle w:val="Heading1"/>
      </w:pPr>
      <w:bookmarkStart w:id="163" w:name="_Toc429400129"/>
      <w:bookmarkStart w:id="164" w:name="_Toc429409217"/>
      <w:bookmarkStart w:id="165" w:name="_Toc429412476"/>
      <w:bookmarkStart w:id="166" w:name="_Toc429417891"/>
      <w:bookmarkStart w:id="167" w:name="_Toc429420016"/>
      <w:bookmarkStart w:id="168" w:name="_Toc429469497"/>
      <w:r w:rsidRPr="00CA1467">
        <w:t>Overseas income</w:t>
      </w:r>
      <w:bookmarkEnd w:id="163"/>
      <w:bookmarkEnd w:id="164"/>
      <w:bookmarkEnd w:id="165"/>
      <w:bookmarkEnd w:id="166"/>
      <w:bookmarkEnd w:id="167"/>
      <w:bookmarkEnd w:id="168"/>
    </w:p>
    <w:p w:rsidR="003E473F" w:rsidRPr="00CA1467" w:rsidRDefault="003E473F" w:rsidP="003E473F">
      <w:pPr>
        <w:rPr>
          <w:lang w:val="en-NZ"/>
        </w:rPr>
      </w:pPr>
    </w:p>
    <w:p w:rsidR="00F52DEE" w:rsidRPr="00CA1467" w:rsidRDefault="00F52DEE" w:rsidP="003E473F">
      <w:pPr>
        <w:rPr>
          <w:lang w:val="en-NZ"/>
        </w:rPr>
      </w:pPr>
    </w:p>
    <w:p w:rsidR="003E473F" w:rsidRPr="00CA1467" w:rsidRDefault="003E473F" w:rsidP="003643FA">
      <w:pPr>
        <w:spacing w:after="200"/>
        <w:jc w:val="left"/>
        <w:rPr>
          <w:b/>
          <w:lang w:val="en-NZ"/>
        </w:rPr>
      </w:pPr>
      <w:r w:rsidRPr="00CA1467">
        <w:rPr>
          <w:b/>
          <w:lang w:val="en-NZ"/>
        </w:rPr>
        <w:t xml:space="preserve">Table </w:t>
      </w:r>
      <w:r w:rsidR="005C29C2">
        <w:rPr>
          <w:b/>
          <w:lang w:val="en-NZ"/>
        </w:rPr>
        <w:t>11</w:t>
      </w:r>
      <w:r w:rsidRPr="00CA1467">
        <w:rPr>
          <w:b/>
          <w:lang w:val="en-NZ"/>
        </w:rPr>
        <w:t>:</w:t>
      </w:r>
      <w:r w:rsidR="00AC29E7" w:rsidRPr="00CA1467">
        <w:rPr>
          <w:b/>
          <w:lang w:val="en-NZ"/>
        </w:rPr>
        <w:t xml:space="preserve"> LTCs with </w:t>
      </w:r>
      <w:r w:rsidR="001B541F" w:rsidRPr="00CA1467">
        <w:rPr>
          <w:b/>
          <w:lang w:val="en-NZ"/>
        </w:rPr>
        <w:t xml:space="preserve">overseas </w:t>
      </w:r>
      <w:r w:rsidR="00AC29E7" w:rsidRPr="00CA1467">
        <w:rPr>
          <w:b/>
          <w:lang w:val="en-NZ"/>
        </w:rPr>
        <w:t>income</w:t>
      </w:r>
      <w:r w:rsidR="001B541F" w:rsidRPr="00CA1467">
        <w:rPr>
          <w:b/>
          <w:lang w:val="en-NZ"/>
        </w:rPr>
        <w:t>, foreign tax credits</w:t>
      </w:r>
      <w:r w:rsidR="00AC29E7" w:rsidRPr="00CA1467">
        <w:rPr>
          <w:b/>
          <w:lang w:val="en-NZ"/>
        </w:rPr>
        <w:t xml:space="preserve"> and losses</w:t>
      </w:r>
    </w:p>
    <w:tbl>
      <w:tblPr>
        <w:tblStyle w:val="TableGrid"/>
        <w:tblW w:w="0" w:type="auto"/>
        <w:tblLook w:val="04A0" w:firstRow="1" w:lastRow="0" w:firstColumn="1" w:lastColumn="0" w:noHBand="0" w:noVBand="1"/>
      </w:tblPr>
      <w:tblGrid>
        <w:gridCol w:w="1421"/>
        <w:gridCol w:w="1421"/>
        <w:gridCol w:w="1421"/>
        <w:gridCol w:w="1421"/>
        <w:gridCol w:w="1422"/>
        <w:gridCol w:w="1422"/>
      </w:tblGrid>
      <w:tr w:rsidR="003E473F" w:rsidRPr="00CA1467" w:rsidTr="00AC29E7">
        <w:tc>
          <w:tcPr>
            <w:tcW w:w="1421" w:type="dxa"/>
            <w:tcBorders>
              <w:top w:val="nil"/>
              <w:left w:val="nil"/>
            </w:tcBorders>
          </w:tcPr>
          <w:p w:rsidR="003E473F" w:rsidRPr="00CA1467" w:rsidRDefault="003E473F" w:rsidP="00AC29E7">
            <w:pPr>
              <w:spacing w:before="120" w:after="120"/>
              <w:rPr>
                <w:sz w:val="20"/>
                <w:lang w:val="en-NZ"/>
              </w:rPr>
            </w:pPr>
          </w:p>
        </w:tc>
        <w:tc>
          <w:tcPr>
            <w:tcW w:w="1421" w:type="dxa"/>
          </w:tcPr>
          <w:p w:rsidR="003E473F" w:rsidRPr="00CA1467" w:rsidRDefault="003E473F" w:rsidP="00AC29E7">
            <w:pPr>
              <w:spacing w:before="120" w:after="120"/>
              <w:jc w:val="center"/>
              <w:rPr>
                <w:b/>
                <w:sz w:val="20"/>
                <w:lang w:val="en-NZ"/>
              </w:rPr>
            </w:pPr>
            <w:r w:rsidRPr="00CA1467">
              <w:rPr>
                <w:b/>
                <w:sz w:val="20"/>
                <w:lang w:val="en-NZ"/>
              </w:rPr>
              <w:t>Number of LTCs with foreign income</w:t>
            </w:r>
          </w:p>
        </w:tc>
        <w:tc>
          <w:tcPr>
            <w:tcW w:w="1421" w:type="dxa"/>
          </w:tcPr>
          <w:p w:rsidR="003E473F" w:rsidRPr="00CA1467" w:rsidRDefault="003E473F" w:rsidP="00AC29E7">
            <w:pPr>
              <w:spacing w:before="120" w:after="120"/>
              <w:jc w:val="center"/>
              <w:rPr>
                <w:b/>
                <w:sz w:val="20"/>
                <w:lang w:val="en-NZ"/>
              </w:rPr>
            </w:pPr>
            <w:r w:rsidRPr="00CA1467">
              <w:rPr>
                <w:b/>
                <w:sz w:val="20"/>
                <w:lang w:val="en-NZ"/>
              </w:rPr>
              <w:t>Total foreign income</w:t>
            </w:r>
          </w:p>
        </w:tc>
        <w:tc>
          <w:tcPr>
            <w:tcW w:w="1421" w:type="dxa"/>
          </w:tcPr>
          <w:p w:rsidR="003E473F" w:rsidRPr="00CA1467" w:rsidRDefault="003E473F" w:rsidP="00AC29E7">
            <w:pPr>
              <w:spacing w:before="120" w:after="120"/>
              <w:jc w:val="center"/>
              <w:rPr>
                <w:b/>
                <w:sz w:val="20"/>
                <w:lang w:val="en-NZ"/>
              </w:rPr>
            </w:pPr>
            <w:r w:rsidRPr="00CA1467">
              <w:rPr>
                <w:b/>
                <w:sz w:val="20"/>
                <w:lang w:val="en-NZ"/>
              </w:rPr>
              <w:t>Total FTCs</w:t>
            </w:r>
          </w:p>
        </w:tc>
        <w:tc>
          <w:tcPr>
            <w:tcW w:w="1422" w:type="dxa"/>
          </w:tcPr>
          <w:p w:rsidR="003E473F" w:rsidRPr="00CA1467" w:rsidRDefault="003E473F" w:rsidP="00AC29E7">
            <w:pPr>
              <w:spacing w:before="120" w:after="120"/>
              <w:jc w:val="center"/>
              <w:rPr>
                <w:b/>
                <w:sz w:val="20"/>
                <w:lang w:val="en-NZ"/>
              </w:rPr>
            </w:pPr>
            <w:r w:rsidRPr="00CA1467">
              <w:rPr>
                <w:b/>
                <w:sz w:val="20"/>
                <w:lang w:val="en-NZ"/>
              </w:rPr>
              <w:t>Number of LTCs with foreign losses</w:t>
            </w:r>
          </w:p>
        </w:tc>
        <w:tc>
          <w:tcPr>
            <w:tcW w:w="1422" w:type="dxa"/>
          </w:tcPr>
          <w:p w:rsidR="003E473F" w:rsidRPr="00CA1467" w:rsidRDefault="003E473F" w:rsidP="00AC29E7">
            <w:pPr>
              <w:spacing w:before="120" w:after="120"/>
              <w:jc w:val="center"/>
              <w:rPr>
                <w:b/>
                <w:sz w:val="20"/>
                <w:lang w:val="en-NZ"/>
              </w:rPr>
            </w:pPr>
            <w:r w:rsidRPr="00CA1467">
              <w:rPr>
                <w:b/>
                <w:sz w:val="20"/>
                <w:lang w:val="en-NZ"/>
              </w:rPr>
              <w:t>Total foreign losses</w:t>
            </w:r>
          </w:p>
        </w:tc>
      </w:tr>
      <w:tr w:rsidR="003E473F" w:rsidRPr="00CA1467" w:rsidTr="003E473F">
        <w:tc>
          <w:tcPr>
            <w:tcW w:w="1421" w:type="dxa"/>
          </w:tcPr>
          <w:p w:rsidR="003E473F" w:rsidRPr="00CA1467" w:rsidRDefault="003E473F" w:rsidP="00AC29E7">
            <w:pPr>
              <w:spacing w:before="80" w:after="80"/>
              <w:jc w:val="left"/>
              <w:rPr>
                <w:sz w:val="20"/>
                <w:lang w:val="en-NZ"/>
              </w:rPr>
            </w:pPr>
            <w:r w:rsidRPr="00CA1467">
              <w:rPr>
                <w:sz w:val="20"/>
                <w:lang w:val="en-NZ"/>
              </w:rPr>
              <w:t>2012</w:t>
            </w:r>
          </w:p>
        </w:tc>
        <w:tc>
          <w:tcPr>
            <w:tcW w:w="1421" w:type="dxa"/>
          </w:tcPr>
          <w:p w:rsidR="003E473F" w:rsidRPr="00CA1467" w:rsidRDefault="003E473F" w:rsidP="00AC29E7">
            <w:pPr>
              <w:spacing w:before="80" w:after="80"/>
              <w:jc w:val="center"/>
              <w:rPr>
                <w:sz w:val="20"/>
                <w:lang w:val="en-NZ"/>
              </w:rPr>
            </w:pPr>
            <w:r w:rsidRPr="00CA1467">
              <w:rPr>
                <w:sz w:val="20"/>
                <w:lang w:val="en-NZ"/>
              </w:rPr>
              <w:t>184</w:t>
            </w:r>
          </w:p>
        </w:tc>
        <w:tc>
          <w:tcPr>
            <w:tcW w:w="1421" w:type="dxa"/>
          </w:tcPr>
          <w:p w:rsidR="003E473F" w:rsidRPr="00CA1467" w:rsidRDefault="003E473F" w:rsidP="00AC29E7">
            <w:pPr>
              <w:spacing w:before="80" w:after="80"/>
              <w:ind w:right="219"/>
              <w:jc w:val="right"/>
              <w:rPr>
                <w:sz w:val="20"/>
                <w:lang w:val="en-NZ"/>
              </w:rPr>
            </w:pPr>
            <w:r w:rsidRPr="00CA1467">
              <w:rPr>
                <w:sz w:val="20"/>
                <w:lang w:val="en-NZ"/>
              </w:rPr>
              <w:t>$217.1m</w:t>
            </w:r>
          </w:p>
        </w:tc>
        <w:tc>
          <w:tcPr>
            <w:tcW w:w="1421" w:type="dxa"/>
          </w:tcPr>
          <w:p w:rsidR="003E473F" w:rsidRPr="00CA1467" w:rsidRDefault="003E473F" w:rsidP="00AC29E7">
            <w:pPr>
              <w:spacing w:before="80" w:after="80"/>
              <w:jc w:val="center"/>
              <w:rPr>
                <w:sz w:val="20"/>
                <w:lang w:val="en-NZ"/>
              </w:rPr>
            </w:pPr>
            <w:r w:rsidRPr="00CA1467">
              <w:rPr>
                <w:sz w:val="20"/>
                <w:lang w:val="en-NZ"/>
              </w:rPr>
              <w:t>$7.2m</w:t>
            </w:r>
          </w:p>
        </w:tc>
        <w:tc>
          <w:tcPr>
            <w:tcW w:w="1422" w:type="dxa"/>
          </w:tcPr>
          <w:p w:rsidR="003E473F" w:rsidRPr="00CA1467" w:rsidRDefault="003E473F" w:rsidP="00AC29E7">
            <w:pPr>
              <w:spacing w:before="80" w:after="80"/>
              <w:jc w:val="center"/>
              <w:rPr>
                <w:sz w:val="20"/>
                <w:lang w:val="en-NZ"/>
              </w:rPr>
            </w:pPr>
            <w:r w:rsidRPr="00CA1467">
              <w:rPr>
                <w:sz w:val="20"/>
                <w:lang w:val="en-NZ"/>
              </w:rPr>
              <w:t>14</w:t>
            </w:r>
          </w:p>
        </w:tc>
        <w:tc>
          <w:tcPr>
            <w:tcW w:w="1422" w:type="dxa"/>
          </w:tcPr>
          <w:p w:rsidR="003E473F" w:rsidRPr="00CA1467" w:rsidRDefault="003E473F" w:rsidP="00AC29E7">
            <w:pPr>
              <w:spacing w:before="80" w:after="80"/>
              <w:jc w:val="center"/>
              <w:rPr>
                <w:sz w:val="20"/>
                <w:lang w:val="en-NZ"/>
              </w:rPr>
            </w:pPr>
            <w:r w:rsidRPr="00CA1467">
              <w:rPr>
                <w:sz w:val="20"/>
                <w:lang w:val="en-NZ"/>
              </w:rPr>
              <w:t>-$0.2m</w:t>
            </w:r>
          </w:p>
        </w:tc>
      </w:tr>
      <w:tr w:rsidR="003E473F" w:rsidRPr="00CA1467" w:rsidTr="003E473F">
        <w:tc>
          <w:tcPr>
            <w:tcW w:w="1421" w:type="dxa"/>
          </w:tcPr>
          <w:p w:rsidR="003E473F" w:rsidRPr="00CA1467" w:rsidRDefault="003E473F" w:rsidP="00AC29E7">
            <w:pPr>
              <w:spacing w:before="80" w:after="80"/>
              <w:jc w:val="left"/>
              <w:rPr>
                <w:sz w:val="20"/>
                <w:lang w:val="en-NZ"/>
              </w:rPr>
            </w:pPr>
            <w:r w:rsidRPr="00CA1467">
              <w:rPr>
                <w:sz w:val="20"/>
                <w:lang w:val="en-NZ"/>
              </w:rPr>
              <w:t>2013</w:t>
            </w:r>
          </w:p>
        </w:tc>
        <w:tc>
          <w:tcPr>
            <w:tcW w:w="1421" w:type="dxa"/>
          </w:tcPr>
          <w:p w:rsidR="003E473F" w:rsidRPr="00CA1467" w:rsidRDefault="003E473F" w:rsidP="00AC29E7">
            <w:pPr>
              <w:spacing w:before="80" w:after="80"/>
              <w:jc w:val="center"/>
              <w:rPr>
                <w:sz w:val="20"/>
                <w:lang w:val="en-NZ"/>
              </w:rPr>
            </w:pPr>
            <w:r w:rsidRPr="00CA1467">
              <w:rPr>
                <w:sz w:val="20"/>
                <w:lang w:val="en-NZ"/>
              </w:rPr>
              <w:t>239</w:t>
            </w:r>
          </w:p>
        </w:tc>
        <w:tc>
          <w:tcPr>
            <w:tcW w:w="1421" w:type="dxa"/>
          </w:tcPr>
          <w:p w:rsidR="003E473F" w:rsidRPr="00CA1467" w:rsidRDefault="003E473F" w:rsidP="00AC29E7">
            <w:pPr>
              <w:spacing w:before="80" w:after="80"/>
              <w:ind w:right="219"/>
              <w:jc w:val="right"/>
              <w:rPr>
                <w:sz w:val="20"/>
                <w:lang w:val="en-NZ"/>
              </w:rPr>
            </w:pPr>
            <w:r w:rsidRPr="00CA1467">
              <w:rPr>
                <w:sz w:val="20"/>
                <w:lang w:val="en-NZ"/>
              </w:rPr>
              <w:t>$29.8m</w:t>
            </w:r>
          </w:p>
        </w:tc>
        <w:tc>
          <w:tcPr>
            <w:tcW w:w="1421" w:type="dxa"/>
          </w:tcPr>
          <w:p w:rsidR="003E473F" w:rsidRPr="00CA1467" w:rsidRDefault="003E473F" w:rsidP="00AC29E7">
            <w:pPr>
              <w:spacing w:before="80" w:after="80"/>
              <w:jc w:val="center"/>
              <w:rPr>
                <w:sz w:val="20"/>
                <w:lang w:val="en-NZ"/>
              </w:rPr>
            </w:pPr>
            <w:r w:rsidRPr="00CA1467">
              <w:rPr>
                <w:sz w:val="20"/>
                <w:lang w:val="en-NZ"/>
              </w:rPr>
              <w:t>$6.7m</w:t>
            </w:r>
          </w:p>
        </w:tc>
        <w:tc>
          <w:tcPr>
            <w:tcW w:w="1422" w:type="dxa"/>
          </w:tcPr>
          <w:p w:rsidR="003E473F" w:rsidRPr="00CA1467" w:rsidRDefault="003E473F" w:rsidP="00AC29E7">
            <w:pPr>
              <w:spacing w:before="80" w:after="80"/>
              <w:jc w:val="center"/>
              <w:rPr>
                <w:sz w:val="20"/>
                <w:lang w:val="en-NZ"/>
              </w:rPr>
            </w:pPr>
            <w:r w:rsidRPr="00CA1467">
              <w:rPr>
                <w:sz w:val="20"/>
                <w:lang w:val="en-NZ"/>
              </w:rPr>
              <w:t>21</w:t>
            </w:r>
          </w:p>
        </w:tc>
        <w:tc>
          <w:tcPr>
            <w:tcW w:w="1422" w:type="dxa"/>
          </w:tcPr>
          <w:p w:rsidR="003E473F" w:rsidRPr="00CA1467" w:rsidRDefault="003E473F" w:rsidP="00AC29E7">
            <w:pPr>
              <w:spacing w:before="80" w:after="80"/>
              <w:jc w:val="center"/>
              <w:rPr>
                <w:sz w:val="20"/>
                <w:lang w:val="en-NZ"/>
              </w:rPr>
            </w:pPr>
            <w:r w:rsidRPr="00CA1467">
              <w:rPr>
                <w:sz w:val="20"/>
                <w:lang w:val="en-NZ"/>
              </w:rPr>
              <w:t>-$1.4m</w:t>
            </w:r>
          </w:p>
        </w:tc>
      </w:tr>
      <w:tr w:rsidR="003E473F" w:rsidRPr="00CA1467" w:rsidTr="003E473F">
        <w:tc>
          <w:tcPr>
            <w:tcW w:w="1421" w:type="dxa"/>
          </w:tcPr>
          <w:p w:rsidR="003E473F" w:rsidRPr="00CA1467" w:rsidRDefault="003E473F" w:rsidP="00AC29E7">
            <w:pPr>
              <w:spacing w:before="80" w:after="80"/>
              <w:jc w:val="left"/>
              <w:rPr>
                <w:sz w:val="20"/>
                <w:lang w:val="en-NZ"/>
              </w:rPr>
            </w:pPr>
            <w:r w:rsidRPr="00CA1467">
              <w:rPr>
                <w:sz w:val="20"/>
                <w:lang w:val="en-NZ"/>
              </w:rPr>
              <w:t>2014*</w:t>
            </w:r>
          </w:p>
        </w:tc>
        <w:tc>
          <w:tcPr>
            <w:tcW w:w="1421" w:type="dxa"/>
          </w:tcPr>
          <w:p w:rsidR="003E473F" w:rsidRPr="00CA1467" w:rsidRDefault="003E473F" w:rsidP="00AC29E7">
            <w:pPr>
              <w:spacing w:before="80" w:after="80"/>
              <w:jc w:val="center"/>
              <w:rPr>
                <w:sz w:val="20"/>
                <w:lang w:val="en-NZ"/>
              </w:rPr>
            </w:pPr>
            <w:r w:rsidRPr="00CA1467">
              <w:rPr>
                <w:sz w:val="20"/>
                <w:lang w:val="en-NZ"/>
              </w:rPr>
              <w:t>273</w:t>
            </w:r>
          </w:p>
        </w:tc>
        <w:tc>
          <w:tcPr>
            <w:tcW w:w="1421" w:type="dxa"/>
          </w:tcPr>
          <w:p w:rsidR="003E473F" w:rsidRPr="00CA1467" w:rsidRDefault="003E473F" w:rsidP="00AC29E7">
            <w:pPr>
              <w:spacing w:before="80" w:after="80"/>
              <w:ind w:right="219"/>
              <w:jc w:val="right"/>
              <w:rPr>
                <w:sz w:val="20"/>
                <w:lang w:val="en-NZ"/>
              </w:rPr>
            </w:pPr>
            <w:r w:rsidRPr="00CA1467">
              <w:rPr>
                <w:sz w:val="20"/>
                <w:lang w:val="en-NZ"/>
              </w:rPr>
              <w:t>$36.2m</w:t>
            </w:r>
          </w:p>
        </w:tc>
        <w:tc>
          <w:tcPr>
            <w:tcW w:w="1421" w:type="dxa"/>
          </w:tcPr>
          <w:p w:rsidR="003E473F" w:rsidRPr="00CA1467" w:rsidRDefault="003E473F" w:rsidP="00AC29E7">
            <w:pPr>
              <w:spacing w:before="80" w:after="80"/>
              <w:jc w:val="center"/>
              <w:rPr>
                <w:sz w:val="20"/>
                <w:lang w:val="en-NZ"/>
              </w:rPr>
            </w:pPr>
            <w:r w:rsidRPr="00CA1467">
              <w:rPr>
                <w:sz w:val="20"/>
                <w:lang w:val="en-NZ"/>
              </w:rPr>
              <w:t>$6.0m</w:t>
            </w:r>
          </w:p>
        </w:tc>
        <w:tc>
          <w:tcPr>
            <w:tcW w:w="1422" w:type="dxa"/>
          </w:tcPr>
          <w:p w:rsidR="003E473F" w:rsidRPr="00CA1467" w:rsidRDefault="003E473F" w:rsidP="00AC29E7">
            <w:pPr>
              <w:spacing w:before="80" w:after="80"/>
              <w:jc w:val="center"/>
              <w:rPr>
                <w:sz w:val="20"/>
                <w:lang w:val="en-NZ"/>
              </w:rPr>
            </w:pPr>
            <w:r w:rsidRPr="00CA1467">
              <w:rPr>
                <w:sz w:val="20"/>
                <w:lang w:val="en-NZ"/>
              </w:rPr>
              <w:t>24</w:t>
            </w:r>
          </w:p>
        </w:tc>
        <w:tc>
          <w:tcPr>
            <w:tcW w:w="1422" w:type="dxa"/>
          </w:tcPr>
          <w:p w:rsidR="003E473F" w:rsidRPr="00CA1467" w:rsidRDefault="003E473F" w:rsidP="00AC29E7">
            <w:pPr>
              <w:spacing w:before="80" w:after="80"/>
              <w:jc w:val="center"/>
              <w:rPr>
                <w:sz w:val="20"/>
                <w:lang w:val="en-NZ"/>
              </w:rPr>
            </w:pPr>
            <w:r w:rsidRPr="00CA1467">
              <w:rPr>
                <w:sz w:val="20"/>
                <w:lang w:val="en-NZ"/>
              </w:rPr>
              <w:t>-$3.9m</w:t>
            </w:r>
          </w:p>
        </w:tc>
      </w:tr>
    </w:tbl>
    <w:p w:rsidR="003E473F" w:rsidRPr="00CA1467" w:rsidRDefault="003E473F" w:rsidP="003E473F">
      <w:pPr>
        <w:rPr>
          <w:sz w:val="20"/>
          <w:lang w:val="en-NZ"/>
        </w:rPr>
      </w:pPr>
      <w:r w:rsidRPr="00CA1467">
        <w:rPr>
          <w:sz w:val="20"/>
          <w:lang w:val="en-NZ"/>
        </w:rPr>
        <w:t>*almost a complete year</w:t>
      </w:r>
    </w:p>
    <w:p w:rsidR="003E473F" w:rsidRPr="00CA1467" w:rsidRDefault="003E473F" w:rsidP="003E473F">
      <w:pPr>
        <w:rPr>
          <w:lang w:val="en-NZ"/>
        </w:rPr>
      </w:pPr>
    </w:p>
    <w:p w:rsidR="00F52DEE" w:rsidRPr="00CA1467" w:rsidRDefault="00F52DEE" w:rsidP="003E473F">
      <w:pPr>
        <w:rPr>
          <w:lang w:val="en-NZ"/>
        </w:rPr>
      </w:pPr>
    </w:p>
    <w:p w:rsidR="00AC29E7" w:rsidRPr="00CA1467" w:rsidRDefault="00AC29E7" w:rsidP="003643FA">
      <w:pPr>
        <w:spacing w:after="200"/>
        <w:jc w:val="left"/>
        <w:rPr>
          <w:b/>
          <w:lang w:val="en-NZ"/>
        </w:rPr>
      </w:pPr>
      <w:r w:rsidRPr="00CA1467">
        <w:rPr>
          <w:b/>
          <w:lang w:val="en-NZ"/>
        </w:rPr>
        <w:t xml:space="preserve">Table </w:t>
      </w:r>
      <w:r w:rsidR="005C29C2">
        <w:rPr>
          <w:b/>
          <w:lang w:val="en-NZ"/>
        </w:rPr>
        <w:t>12:</w:t>
      </w:r>
      <w:r w:rsidRPr="00CA1467">
        <w:rPr>
          <w:b/>
          <w:lang w:val="en-NZ"/>
        </w:rPr>
        <w:t xml:space="preserve"> </w:t>
      </w:r>
      <w:r w:rsidR="001B541F" w:rsidRPr="00CA1467">
        <w:rPr>
          <w:b/>
          <w:lang w:val="en-NZ"/>
        </w:rPr>
        <w:t xml:space="preserve">Distribution of </w:t>
      </w:r>
      <w:r w:rsidRPr="00CA1467">
        <w:rPr>
          <w:b/>
          <w:lang w:val="en-NZ"/>
        </w:rPr>
        <w:t xml:space="preserve">overseas </w:t>
      </w:r>
      <w:r w:rsidR="001B541F" w:rsidRPr="00CA1467">
        <w:rPr>
          <w:b/>
          <w:lang w:val="en-NZ"/>
        </w:rPr>
        <w:t>income and losses</w:t>
      </w:r>
    </w:p>
    <w:tbl>
      <w:tblPr>
        <w:tblStyle w:val="TableGrid"/>
        <w:tblW w:w="8528" w:type="dxa"/>
        <w:tblLook w:val="04A0" w:firstRow="1" w:lastRow="0" w:firstColumn="1" w:lastColumn="0" w:noHBand="0" w:noVBand="1"/>
      </w:tblPr>
      <w:tblGrid>
        <w:gridCol w:w="1218"/>
        <w:gridCol w:w="1218"/>
        <w:gridCol w:w="1218"/>
        <w:gridCol w:w="1219"/>
        <w:gridCol w:w="1331"/>
        <w:gridCol w:w="1162"/>
        <w:gridCol w:w="1162"/>
      </w:tblGrid>
      <w:tr w:rsidR="001B541F" w:rsidRPr="00CA1467" w:rsidTr="009E4E40">
        <w:tc>
          <w:tcPr>
            <w:tcW w:w="3654" w:type="dxa"/>
            <w:gridSpan w:val="3"/>
            <w:tcBorders>
              <w:left w:val="single" w:sz="4" w:space="0" w:color="auto"/>
              <w:right w:val="single" w:sz="4" w:space="0" w:color="auto"/>
            </w:tcBorders>
          </w:tcPr>
          <w:p w:rsidR="001B541F" w:rsidRPr="00CA1467" w:rsidRDefault="001B541F" w:rsidP="00AC29E7">
            <w:pPr>
              <w:spacing w:before="120" w:after="120"/>
              <w:jc w:val="center"/>
              <w:rPr>
                <w:b/>
                <w:sz w:val="20"/>
                <w:lang w:val="en-NZ"/>
              </w:rPr>
            </w:pPr>
            <w:r w:rsidRPr="00CA1467">
              <w:rPr>
                <w:b/>
                <w:sz w:val="20"/>
                <w:lang w:val="en-NZ"/>
              </w:rPr>
              <w:t>Overseas income</w:t>
            </w:r>
          </w:p>
        </w:tc>
        <w:tc>
          <w:tcPr>
            <w:tcW w:w="1219" w:type="dxa"/>
            <w:tcBorders>
              <w:top w:val="nil"/>
              <w:left w:val="single" w:sz="4" w:space="0" w:color="auto"/>
              <w:bottom w:val="nil"/>
            </w:tcBorders>
          </w:tcPr>
          <w:p w:rsidR="001B541F" w:rsidRPr="00CA1467" w:rsidRDefault="001B541F" w:rsidP="00AC29E7">
            <w:pPr>
              <w:spacing w:before="120" w:after="120"/>
              <w:jc w:val="center"/>
              <w:rPr>
                <w:b/>
                <w:sz w:val="20"/>
                <w:lang w:val="en-NZ"/>
              </w:rPr>
            </w:pPr>
          </w:p>
        </w:tc>
        <w:tc>
          <w:tcPr>
            <w:tcW w:w="3655" w:type="dxa"/>
            <w:gridSpan w:val="3"/>
            <w:tcBorders>
              <w:left w:val="single" w:sz="4" w:space="0" w:color="auto"/>
              <w:right w:val="single" w:sz="4" w:space="0" w:color="auto"/>
            </w:tcBorders>
          </w:tcPr>
          <w:p w:rsidR="001B541F" w:rsidRPr="00CA1467" w:rsidRDefault="001B541F" w:rsidP="001B541F">
            <w:pPr>
              <w:spacing w:before="120" w:after="120"/>
              <w:jc w:val="center"/>
              <w:rPr>
                <w:b/>
                <w:sz w:val="20"/>
                <w:lang w:val="en-NZ"/>
              </w:rPr>
            </w:pPr>
            <w:r w:rsidRPr="00CA1467">
              <w:rPr>
                <w:b/>
                <w:sz w:val="20"/>
                <w:lang w:val="en-NZ"/>
              </w:rPr>
              <w:t>Overseas losses</w:t>
            </w:r>
          </w:p>
        </w:tc>
      </w:tr>
      <w:tr w:rsidR="009E4E40" w:rsidRPr="00CA1467" w:rsidTr="009E4E40">
        <w:tc>
          <w:tcPr>
            <w:tcW w:w="1218" w:type="dxa"/>
            <w:vMerge w:val="restart"/>
            <w:tcBorders>
              <w:left w:val="single" w:sz="4" w:space="0" w:color="auto"/>
            </w:tcBorders>
            <w:vAlign w:val="center"/>
          </w:tcPr>
          <w:p w:rsidR="009E4E40" w:rsidRPr="00CA1467" w:rsidRDefault="009E4E40" w:rsidP="009E4E40">
            <w:pPr>
              <w:spacing w:before="80" w:after="80"/>
              <w:jc w:val="left"/>
              <w:rPr>
                <w:b/>
                <w:sz w:val="20"/>
                <w:lang w:val="en-NZ"/>
              </w:rPr>
            </w:pPr>
            <w:r w:rsidRPr="00CA1467">
              <w:rPr>
                <w:b/>
                <w:sz w:val="20"/>
                <w:lang w:val="en-NZ"/>
              </w:rPr>
              <w:t>$000s</w:t>
            </w:r>
          </w:p>
        </w:tc>
        <w:tc>
          <w:tcPr>
            <w:tcW w:w="2436" w:type="dxa"/>
            <w:gridSpan w:val="2"/>
            <w:tcBorders>
              <w:left w:val="single" w:sz="4" w:space="0" w:color="auto"/>
            </w:tcBorders>
          </w:tcPr>
          <w:p w:rsidR="009E4E40" w:rsidRPr="00CA1467" w:rsidRDefault="009E4E40" w:rsidP="00AC29E7">
            <w:pPr>
              <w:spacing w:before="80" w:after="80"/>
              <w:jc w:val="center"/>
              <w:rPr>
                <w:b/>
                <w:sz w:val="20"/>
                <w:lang w:val="en-NZ"/>
              </w:rPr>
            </w:pPr>
            <w:r w:rsidRPr="00CA1467">
              <w:rPr>
                <w:b/>
                <w:sz w:val="20"/>
                <w:lang w:val="en-NZ"/>
              </w:rPr>
              <w:t>Number of LTCs</w:t>
            </w:r>
          </w:p>
        </w:tc>
        <w:tc>
          <w:tcPr>
            <w:tcW w:w="1219" w:type="dxa"/>
            <w:tcBorders>
              <w:top w:val="nil"/>
              <w:left w:val="single" w:sz="4" w:space="0" w:color="auto"/>
              <w:bottom w:val="nil"/>
              <w:right w:val="single" w:sz="4" w:space="0" w:color="auto"/>
            </w:tcBorders>
          </w:tcPr>
          <w:p w:rsidR="009E4E40" w:rsidRPr="00CA1467" w:rsidRDefault="009E4E40" w:rsidP="00AC29E7">
            <w:pPr>
              <w:spacing w:before="80" w:after="80"/>
              <w:jc w:val="center"/>
              <w:rPr>
                <w:b/>
                <w:sz w:val="20"/>
                <w:lang w:val="en-NZ"/>
              </w:rPr>
            </w:pPr>
          </w:p>
        </w:tc>
        <w:tc>
          <w:tcPr>
            <w:tcW w:w="1331" w:type="dxa"/>
            <w:vMerge w:val="restart"/>
            <w:tcBorders>
              <w:left w:val="single" w:sz="4" w:space="0" w:color="auto"/>
            </w:tcBorders>
            <w:vAlign w:val="center"/>
          </w:tcPr>
          <w:p w:rsidR="009E4E40" w:rsidRPr="00CA1467" w:rsidRDefault="009E4E40" w:rsidP="009E4E40">
            <w:pPr>
              <w:spacing w:before="80" w:after="80"/>
              <w:jc w:val="left"/>
              <w:rPr>
                <w:b/>
                <w:sz w:val="20"/>
                <w:lang w:val="en-NZ"/>
              </w:rPr>
            </w:pPr>
            <w:r w:rsidRPr="00CA1467">
              <w:rPr>
                <w:b/>
                <w:sz w:val="20"/>
                <w:lang w:val="en-NZ"/>
              </w:rPr>
              <w:t>$000s</w:t>
            </w:r>
          </w:p>
        </w:tc>
        <w:tc>
          <w:tcPr>
            <w:tcW w:w="2324" w:type="dxa"/>
            <w:gridSpan w:val="2"/>
            <w:tcBorders>
              <w:left w:val="single" w:sz="4" w:space="0" w:color="auto"/>
            </w:tcBorders>
          </w:tcPr>
          <w:p w:rsidR="009E4E40" w:rsidRPr="00CA1467" w:rsidRDefault="009E4E40" w:rsidP="001B541F">
            <w:pPr>
              <w:spacing w:before="80" w:after="80"/>
              <w:jc w:val="center"/>
              <w:rPr>
                <w:b/>
                <w:sz w:val="20"/>
                <w:lang w:val="en-NZ"/>
              </w:rPr>
            </w:pPr>
            <w:r w:rsidRPr="00CA1467">
              <w:rPr>
                <w:b/>
                <w:sz w:val="20"/>
                <w:lang w:val="en-NZ"/>
              </w:rPr>
              <w:t>Number of LTCs</w:t>
            </w:r>
          </w:p>
        </w:tc>
      </w:tr>
      <w:tr w:rsidR="009E4E40" w:rsidRPr="00CA1467" w:rsidTr="00CD4F05">
        <w:tc>
          <w:tcPr>
            <w:tcW w:w="1218" w:type="dxa"/>
            <w:vMerge/>
            <w:tcBorders>
              <w:left w:val="single" w:sz="4" w:space="0" w:color="auto"/>
            </w:tcBorders>
          </w:tcPr>
          <w:p w:rsidR="009E4E40" w:rsidRPr="00CA1467" w:rsidRDefault="009E4E40" w:rsidP="00AC29E7">
            <w:pPr>
              <w:spacing w:before="80" w:after="80"/>
              <w:rPr>
                <w:b/>
                <w:sz w:val="20"/>
                <w:lang w:val="en-NZ"/>
              </w:rPr>
            </w:pPr>
          </w:p>
        </w:tc>
        <w:tc>
          <w:tcPr>
            <w:tcW w:w="1218" w:type="dxa"/>
          </w:tcPr>
          <w:p w:rsidR="009E4E40" w:rsidRPr="00CA1467" w:rsidRDefault="009E4E40" w:rsidP="00AC29E7">
            <w:pPr>
              <w:spacing w:before="80" w:after="80"/>
              <w:jc w:val="center"/>
              <w:rPr>
                <w:b/>
                <w:sz w:val="20"/>
                <w:lang w:val="en-NZ"/>
              </w:rPr>
            </w:pPr>
            <w:r w:rsidRPr="00CA1467">
              <w:rPr>
                <w:b/>
                <w:sz w:val="20"/>
                <w:lang w:val="en-NZ"/>
              </w:rPr>
              <w:t>2012</w:t>
            </w:r>
          </w:p>
        </w:tc>
        <w:tc>
          <w:tcPr>
            <w:tcW w:w="1218" w:type="dxa"/>
          </w:tcPr>
          <w:p w:rsidR="009E4E40" w:rsidRPr="00CA1467" w:rsidRDefault="009E4E40" w:rsidP="00AC29E7">
            <w:pPr>
              <w:spacing w:before="80" w:after="80"/>
              <w:jc w:val="center"/>
              <w:rPr>
                <w:b/>
                <w:sz w:val="20"/>
                <w:lang w:val="en-NZ"/>
              </w:rPr>
            </w:pPr>
            <w:r w:rsidRPr="00CA1467">
              <w:rPr>
                <w:b/>
                <w:sz w:val="20"/>
                <w:lang w:val="en-NZ"/>
              </w:rPr>
              <w:t>2013</w:t>
            </w:r>
          </w:p>
        </w:tc>
        <w:tc>
          <w:tcPr>
            <w:tcW w:w="1219" w:type="dxa"/>
            <w:tcBorders>
              <w:top w:val="nil"/>
              <w:bottom w:val="nil"/>
              <w:right w:val="single" w:sz="4" w:space="0" w:color="auto"/>
            </w:tcBorders>
          </w:tcPr>
          <w:p w:rsidR="009E4E40" w:rsidRPr="00CA1467" w:rsidRDefault="009E4E40" w:rsidP="001B541F">
            <w:pPr>
              <w:spacing w:before="80" w:after="80"/>
              <w:rPr>
                <w:b/>
                <w:sz w:val="20"/>
                <w:lang w:val="en-NZ"/>
              </w:rPr>
            </w:pPr>
          </w:p>
        </w:tc>
        <w:tc>
          <w:tcPr>
            <w:tcW w:w="1331" w:type="dxa"/>
            <w:vMerge/>
            <w:tcBorders>
              <w:left w:val="single" w:sz="4" w:space="0" w:color="auto"/>
            </w:tcBorders>
          </w:tcPr>
          <w:p w:rsidR="009E4E40" w:rsidRPr="00CA1467" w:rsidRDefault="009E4E40" w:rsidP="001B541F">
            <w:pPr>
              <w:spacing w:before="80" w:after="80"/>
              <w:rPr>
                <w:b/>
                <w:sz w:val="20"/>
                <w:lang w:val="en-NZ"/>
              </w:rPr>
            </w:pPr>
          </w:p>
        </w:tc>
        <w:tc>
          <w:tcPr>
            <w:tcW w:w="1162" w:type="dxa"/>
          </w:tcPr>
          <w:p w:rsidR="009E4E40" w:rsidRPr="00CA1467" w:rsidRDefault="009E4E40" w:rsidP="001B541F">
            <w:pPr>
              <w:spacing w:before="80" w:after="80"/>
              <w:jc w:val="center"/>
              <w:rPr>
                <w:b/>
                <w:sz w:val="20"/>
                <w:lang w:val="en-NZ"/>
              </w:rPr>
            </w:pPr>
            <w:r w:rsidRPr="00CA1467">
              <w:rPr>
                <w:b/>
                <w:sz w:val="20"/>
                <w:lang w:val="en-NZ"/>
              </w:rPr>
              <w:t>2012</w:t>
            </w:r>
          </w:p>
        </w:tc>
        <w:tc>
          <w:tcPr>
            <w:tcW w:w="1162" w:type="dxa"/>
          </w:tcPr>
          <w:p w:rsidR="009E4E40" w:rsidRPr="00CA1467" w:rsidRDefault="009E4E40" w:rsidP="001B541F">
            <w:pPr>
              <w:spacing w:before="80" w:after="80"/>
              <w:jc w:val="center"/>
              <w:rPr>
                <w:b/>
                <w:sz w:val="20"/>
                <w:lang w:val="en-NZ"/>
              </w:rPr>
            </w:pPr>
            <w:r w:rsidRPr="00CA1467">
              <w:rPr>
                <w:b/>
                <w:sz w:val="20"/>
                <w:lang w:val="en-NZ"/>
              </w:rPr>
              <w:t>2013</w:t>
            </w:r>
          </w:p>
        </w:tc>
      </w:tr>
      <w:tr w:rsidR="001B541F" w:rsidRPr="00CA1467" w:rsidTr="009E4E40">
        <w:tc>
          <w:tcPr>
            <w:tcW w:w="1218" w:type="dxa"/>
            <w:tcBorders>
              <w:left w:val="single" w:sz="4" w:space="0" w:color="auto"/>
            </w:tcBorders>
          </w:tcPr>
          <w:p w:rsidR="001B541F" w:rsidRPr="00CA1467" w:rsidRDefault="001B541F" w:rsidP="00AC29E7">
            <w:pPr>
              <w:spacing w:before="80" w:after="80"/>
              <w:rPr>
                <w:sz w:val="20"/>
                <w:lang w:val="en-NZ"/>
              </w:rPr>
            </w:pPr>
            <w:r w:rsidRPr="00CA1467">
              <w:rPr>
                <w:sz w:val="20"/>
                <w:lang w:val="en-NZ"/>
              </w:rPr>
              <w:t>0 to 10</w:t>
            </w:r>
          </w:p>
        </w:tc>
        <w:tc>
          <w:tcPr>
            <w:tcW w:w="1218" w:type="dxa"/>
          </w:tcPr>
          <w:p w:rsidR="001B541F" w:rsidRPr="00CA1467" w:rsidRDefault="001B541F" w:rsidP="00AC29E7">
            <w:pPr>
              <w:spacing w:before="80" w:after="80"/>
              <w:jc w:val="center"/>
              <w:rPr>
                <w:sz w:val="20"/>
                <w:lang w:val="en-NZ"/>
              </w:rPr>
            </w:pPr>
            <w:r w:rsidRPr="00CA1467">
              <w:rPr>
                <w:sz w:val="20"/>
                <w:lang w:val="en-NZ"/>
              </w:rPr>
              <w:t>141</w:t>
            </w:r>
          </w:p>
        </w:tc>
        <w:tc>
          <w:tcPr>
            <w:tcW w:w="1218" w:type="dxa"/>
          </w:tcPr>
          <w:p w:rsidR="001B541F" w:rsidRPr="00CA1467" w:rsidRDefault="001B541F" w:rsidP="00AC29E7">
            <w:pPr>
              <w:spacing w:before="80" w:after="80"/>
              <w:jc w:val="center"/>
              <w:rPr>
                <w:sz w:val="20"/>
                <w:lang w:val="en-NZ"/>
              </w:rPr>
            </w:pPr>
            <w:r w:rsidRPr="00CA1467">
              <w:rPr>
                <w:sz w:val="20"/>
                <w:lang w:val="en-NZ"/>
              </w:rPr>
              <w:t>162</w:t>
            </w:r>
          </w:p>
        </w:tc>
        <w:tc>
          <w:tcPr>
            <w:tcW w:w="1219" w:type="dxa"/>
            <w:tcBorders>
              <w:top w:val="nil"/>
              <w:bottom w:val="nil"/>
            </w:tcBorders>
          </w:tcPr>
          <w:p w:rsidR="001B541F" w:rsidRPr="00CA1467" w:rsidRDefault="001B541F" w:rsidP="001B541F">
            <w:pPr>
              <w:spacing w:before="80" w:after="80"/>
              <w:rPr>
                <w:sz w:val="20"/>
                <w:lang w:val="en-NZ"/>
              </w:rPr>
            </w:pPr>
          </w:p>
        </w:tc>
        <w:tc>
          <w:tcPr>
            <w:tcW w:w="1331" w:type="dxa"/>
          </w:tcPr>
          <w:p w:rsidR="001B541F" w:rsidRPr="00CA1467" w:rsidRDefault="001B541F" w:rsidP="001B541F">
            <w:pPr>
              <w:spacing w:before="80" w:after="80"/>
              <w:rPr>
                <w:sz w:val="20"/>
                <w:lang w:val="en-NZ"/>
              </w:rPr>
            </w:pPr>
            <w:r w:rsidRPr="00CA1467">
              <w:rPr>
                <w:sz w:val="20"/>
                <w:lang w:val="en-NZ"/>
              </w:rPr>
              <w:t>0 to -10</w:t>
            </w:r>
          </w:p>
        </w:tc>
        <w:tc>
          <w:tcPr>
            <w:tcW w:w="1162" w:type="dxa"/>
          </w:tcPr>
          <w:p w:rsidR="001B541F" w:rsidRPr="00CA1467" w:rsidRDefault="001B541F" w:rsidP="001B541F">
            <w:pPr>
              <w:spacing w:before="80" w:after="80"/>
              <w:jc w:val="center"/>
              <w:rPr>
                <w:sz w:val="20"/>
                <w:lang w:val="en-NZ"/>
              </w:rPr>
            </w:pPr>
            <w:r w:rsidRPr="00CA1467">
              <w:rPr>
                <w:sz w:val="20"/>
                <w:lang w:val="en-NZ"/>
              </w:rPr>
              <w:t>10</w:t>
            </w:r>
          </w:p>
        </w:tc>
        <w:tc>
          <w:tcPr>
            <w:tcW w:w="1162" w:type="dxa"/>
          </w:tcPr>
          <w:p w:rsidR="001B541F" w:rsidRPr="00CA1467" w:rsidRDefault="001B541F" w:rsidP="001B541F">
            <w:pPr>
              <w:spacing w:before="80" w:after="80"/>
              <w:jc w:val="center"/>
              <w:rPr>
                <w:sz w:val="20"/>
                <w:lang w:val="en-NZ"/>
              </w:rPr>
            </w:pPr>
            <w:r w:rsidRPr="00CA1467">
              <w:rPr>
                <w:sz w:val="20"/>
                <w:lang w:val="en-NZ"/>
              </w:rPr>
              <w:t>7</w:t>
            </w:r>
          </w:p>
        </w:tc>
      </w:tr>
      <w:tr w:rsidR="001B541F" w:rsidRPr="00CA1467" w:rsidTr="009E4E40">
        <w:tc>
          <w:tcPr>
            <w:tcW w:w="1218" w:type="dxa"/>
            <w:tcBorders>
              <w:left w:val="single" w:sz="4" w:space="0" w:color="auto"/>
            </w:tcBorders>
          </w:tcPr>
          <w:p w:rsidR="001B541F" w:rsidRPr="00CA1467" w:rsidRDefault="001B541F" w:rsidP="00AC29E7">
            <w:pPr>
              <w:spacing w:before="80" w:after="80"/>
              <w:rPr>
                <w:sz w:val="20"/>
                <w:lang w:val="en-NZ"/>
              </w:rPr>
            </w:pPr>
            <w:r w:rsidRPr="00CA1467">
              <w:rPr>
                <w:sz w:val="20"/>
                <w:lang w:val="en-NZ"/>
              </w:rPr>
              <w:t>10 to 20</w:t>
            </w:r>
          </w:p>
        </w:tc>
        <w:tc>
          <w:tcPr>
            <w:tcW w:w="1218" w:type="dxa"/>
          </w:tcPr>
          <w:p w:rsidR="001B541F" w:rsidRPr="00CA1467" w:rsidRDefault="001B541F" w:rsidP="00AC29E7">
            <w:pPr>
              <w:spacing w:before="80" w:after="80"/>
              <w:jc w:val="center"/>
              <w:rPr>
                <w:sz w:val="20"/>
                <w:lang w:val="en-NZ"/>
              </w:rPr>
            </w:pPr>
            <w:r w:rsidRPr="00CA1467">
              <w:rPr>
                <w:sz w:val="20"/>
                <w:lang w:val="en-NZ"/>
              </w:rPr>
              <w:t>8</w:t>
            </w:r>
          </w:p>
        </w:tc>
        <w:tc>
          <w:tcPr>
            <w:tcW w:w="1218" w:type="dxa"/>
          </w:tcPr>
          <w:p w:rsidR="001B541F" w:rsidRPr="00CA1467" w:rsidRDefault="001B541F" w:rsidP="00AC29E7">
            <w:pPr>
              <w:spacing w:before="80" w:after="80"/>
              <w:jc w:val="center"/>
              <w:rPr>
                <w:sz w:val="20"/>
                <w:lang w:val="en-NZ"/>
              </w:rPr>
            </w:pPr>
            <w:r w:rsidRPr="00CA1467">
              <w:rPr>
                <w:sz w:val="20"/>
                <w:lang w:val="en-NZ"/>
              </w:rPr>
              <w:t>16</w:t>
            </w:r>
          </w:p>
        </w:tc>
        <w:tc>
          <w:tcPr>
            <w:tcW w:w="1219" w:type="dxa"/>
            <w:tcBorders>
              <w:top w:val="nil"/>
              <w:bottom w:val="nil"/>
            </w:tcBorders>
          </w:tcPr>
          <w:p w:rsidR="001B541F" w:rsidRPr="00CA1467" w:rsidRDefault="001B541F" w:rsidP="001B541F">
            <w:pPr>
              <w:spacing w:before="80" w:after="80"/>
              <w:rPr>
                <w:sz w:val="20"/>
                <w:lang w:val="en-NZ"/>
              </w:rPr>
            </w:pPr>
          </w:p>
        </w:tc>
        <w:tc>
          <w:tcPr>
            <w:tcW w:w="1331" w:type="dxa"/>
          </w:tcPr>
          <w:p w:rsidR="001B541F" w:rsidRPr="00CA1467" w:rsidRDefault="001B541F" w:rsidP="001B541F">
            <w:pPr>
              <w:spacing w:before="80" w:after="80"/>
              <w:rPr>
                <w:sz w:val="20"/>
                <w:lang w:val="en-NZ"/>
              </w:rPr>
            </w:pPr>
            <w:r w:rsidRPr="00CA1467">
              <w:rPr>
                <w:sz w:val="20"/>
                <w:lang w:val="en-NZ"/>
              </w:rPr>
              <w:t>-10 to -20</w:t>
            </w:r>
          </w:p>
        </w:tc>
        <w:tc>
          <w:tcPr>
            <w:tcW w:w="1162" w:type="dxa"/>
          </w:tcPr>
          <w:p w:rsidR="001B541F" w:rsidRPr="00CA1467" w:rsidRDefault="001B541F" w:rsidP="001B541F">
            <w:pPr>
              <w:spacing w:before="80" w:after="80"/>
              <w:jc w:val="center"/>
              <w:rPr>
                <w:sz w:val="20"/>
                <w:lang w:val="en-NZ"/>
              </w:rPr>
            </w:pPr>
          </w:p>
        </w:tc>
        <w:tc>
          <w:tcPr>
            <w:tcW w:w="1162" w:type="dxa"/>
          </w:tcPr>
          <w:p w:rsidR="001B541F" w:rsidRPr="00CA1467" w:rsidRDefault="001B541F" w:rsidP="001B541F">
            <w:pPr>
              <w:spacing w:before="80" w:after="80"/>
              <w:jc w:val="center"/>
              <w:rPr>
                <w:sz w:val="20"/>
                <w:lang w:val="en-NZ"/>
              </w:rPr>
            </w:pPr>
            <w:r w:rsidRPr="00CA1467">
              <w:rPr>
                <w:sz w:val="20"/>
                <w:lang w:val="en-NZ"/>
              </w:rPr>
              <w:t>7</w:t>
            </w:r>
          </w:p>
        </w:tc>
      </w:tr>
      <w:tr w:rsidR="001B541F" w:rsidRPr="00CA1467" w:rsidTr="009E4E40">
        <w:tc>
          <w:tcPr>
            <w:tcW w:w="1218" w:type="dxa"/>
            <w:tcBorders>
              <w:left w:val="single" w:sz="4" w:space="0" w:color="auto"/>
            </w:tcBorders>
          </w:tcPr>
          <w:p w:rsidR="001B541F" w:rsidRPr="00CA1467" w:rsidRDefault="001B541F" w:rsidP="00AC29E7">
            <w:pPr>
              <w:spacing w:before="80" w:after="80"/>
              <w:rPr>
                <w:sz w:val="20"/>
                <w:lang w:val="en-NZ"/>
              </w:rPr>
            </w:pPr>
            <w:r w:rsidRPr="00CA1467">
              <w:rPr>
                <w:sz w:val="20"/>
                <w:lang w:val="en-NZ"/>
              </w:rPr>
              <w:t>20 to 30</w:t>
            </w:r>
          </w:p>
        </w:tc>
        <w:tc>
          <w:tcPr>
            <w:tcW w:w="1218" w:type="dxa"/>
          </w:tcPr>
          <w:p w:rsidR="001B541F" w:rsidRPr="00CA1467" w:rsidRDefault="001B541F" w:rsidP="00AC29E7">
            <w:pPr>
              <w:spacing w:before="80" w:after="80"/>
              <w:jc w:val="center"/>
              <w:rPr>
                <w:sz w:val="20"/>
                <w:lang w:val="en-NZ"/>
              </w:rPr>
            </w:pPr>
            <w:r w:rsidRPr="00CA1467">
              <w:rPr>
                <w:sz w:val="20"/>
                <w:lang w:val="en-NZ"/>
              </w:rPr>
              <w:t>6</w:t>
            </w:r>
          </w:p>
        </w:tc>
        <w:tc>
          <w:tcPr>
            <w:tcW w:w="1218" w:type="dxa"/>
          </w:tcPr>
          <w:p w:rsidR="001B541F" w:rsidRPr="00CA1467" w:rsidRDefault="001B541F" w:rsidP="00AC29E7">
            <w:pPr>
              <w:spacing w:before="80" w:after="80"/>
              <w:jc w:val="center"/>
              <w:rPr>
                <w:sz w:val="20"/>
                <w:lang w:val="en-NZ"/>
              </w:rPr>
            </w:pPr>
            <w:r w:rsidRPr="00CA1467">
              <w:rPr>
                <w:sz w:val="20"/>
                <w:lang w:val="en-NZ"/>
              </w:rPr>
              <w:t>6</w:t>
            </w:r>
          </w:p>
        </w:tc>
        <w:tc>
          <w:tcPr>
            <w:tcW w:w="1219" w:type="dxa"/>
            <w:tcBorders>
              <w:top w:val="nil"/>
              <w:bottom w:val="nil"/>
            </w:tcBorders>
          </w:tcPr>
          <w:p w:rsidR="001B541F" w:rsidRPr="00CA1467" w:rsidRDefault="001B541F" w:rsidP="001B541F">
            <w:pPr>
              <w:spacing w:before="80" w:after="80"/>
              <w:rPr>
                <w:sz w:val="20"/>
                <w:lang w:val="en-NZ"/>
              </w:rPr>
            </w:pPr>
          </w:p>
        </w:tc>
        <w:tc>
          <w:tcPr>
            <w:tcW w:w="1331" w:type="dxa"/>
          </w:tcPr>
          <w:p w:rsidR="001B541F" w:rsidRPr="00CA1467" w:rsidRDefault="001B541F" w:rsidP="001B541F">
            <w:pPr>
              <w:spacing w:before="80" w:after="80"/>
              <w:rPr>
                <w:sz w:val="20"/>
                <w:lang w:val="en-NZ"/>
              </w:rPr>
            </w:pPr>
            <w:r w:rsidRPr="00CA1467">
              <w:rPr>
                <w:sz w:val="20"/>
                <w:lang w:val="en-NZ"/>
              </w:rPr>
              <w:t>-20 to -30</w:t>
            </w:r>
          </w:p>
        </w:tc>
        <w:tc>
          <w:tcPr>
            <w:tcW w:w="1162" w:type="dxa"/>
          </w:tcPr>
          <w:p w:rsidR="001B541F" w:rsidRPr="00CA1467" w:rsidRDefault="001B541F" w:rsidP="001B541F">
            <w:pPr>
              <w:spacing w:before="80" w:after="80"/>
              <w:jc w:val="center"/>
              <w:rPr>
                <w:sz w:val="20"/>
                <w:lang w:val="en-NZ"/>
              </w:rPr>
            </w:pPr>
            <w:r w:rsidRPr="00CA1467">
              <w:rPr>
                <w:sz w:val="20"/>
                <w:lang w:val="en-NZ"/>
              </w:rPr>
              <w:t>1</w:t>
            </w:r>
          </w:p>
        </w:tc>
        <w:tc>
          <w:tcPr>
            <w:tcW w:w="1162" w:type="dxa"/>
          </w:tcPr>
          <w:p w:rsidR="001B541F" w:rsidRPr="00CA1467" w:rsidRDefault="001B541F" w:rsidP="001B541F">
            <w:pPr>
              <w:spacing w:before="80" w:after="80"/>
              <w:jc w:val="center"/>
              <w:rPr>
                <w:sz w:val="20"/>
                <w:lang w:val="en-NZ"/>
              </w:rPr>
            </w:pPr>
          </w:p>
        </w:tc>
      </w:tr>
      <w:tr w:rsidR="001B541F" w:rsidRPr="00CA1467" w:rsidTr="009E4E40">
        <w:tc>
          <w:tcPr>
            <w:tcW w:w="1218" w:type="dxa"/>
            <w:tcBorders>
              <w:left w:val="single" w:sz="4" w:space="0" w:color="auto"/>
            </w:tcBorders>
          </w:tcPr>
          <w:p w:rsidR="001B541F" w:rsidRPr="00CA1467" w:rsidRDefault="001B541F" w:rsidP="00AC29E7">
            <w:pPr>
              <w:spacing w:before="80" w:after="80"/>
              <w:rPr>
                <w:sz w:val="20"/>
                <w:lang w:val="en-NZ"/>
              </w:rPr>
            </w:pPr>
            <w:r w:rsidRPr="00CA1467">
              <w:rPr>
                <w:sz w:val="20"/>
                <w:lang w:val="en-NZ"/>
              </w:rPr>
              <w:t>30 to 40</w:t>
            </w:r>
          </w:p>
        </w:tc>
        <w:tc>
          <w:tcPr>
            <w:tcW w:w="1218" w:type="dxa"/>
          </w:tcPr>
          <w:p w:rsidR="001B541F" w:rsidRPr="00CA1467" w:rsidRDefault="001B541F" w:rsidP="00AC29E7">
            <w:pPr>
              <w:spacing w:before="80" w:after="80"/>
              <w:jc w:val="center"/>
              <w:rPr>
                <w:sz w:val="20"/>
                <w:lang w:val="en-NZ"/>
              </w:rPr>
            </w:pPr>
            <w:r w:rsidRPr="00CA1467">
              <w:rPr>
                <w:sz w:val="20"/>
                <w:lang w:val="en-NZ"/>
              </w:rPr>
              <w:t>4</w:t>
            </w:r>
          </w:p>
        </w:tc>
        <w:tc>
          <w:tcPr>
            <w:tcW w:w="1218" w:type="dxa"/>
          </w:tcPr>
          <w:p w:rsidR="001B541F" w:rsidRPr="00CA1467" w:rsidRDefault="001B541F" w:rsidP="00AC29E7">
            <w:pPr>
              <w:spacing w:before="80" w:after="80"/>
              <w:jc w:val="center"/>
              <w:rPr>
                <w:sz w:val="20"/>
                <w:lang w:val="en-NZ"/>
              </w:rPr>
            </w:pPr>
            <w:r w:rsidRPr="00CA1467">
              <w:rPr>
                <w:sz w:val="20"/>
                <w:lang w:val="en-NZ"/>
              </w:rPr>
              <w:t>8</w:t>
            </w:r>
          </w:p>
        </w:tc>
        <w:tc>
          <w:tcPr>
            <w:tcW w:w="1219" w:type="dxa"/>
            <w:tcBorders>
              <w:top w:val="nil"/>
              <w:bottom w:val="nil"/>
            </w:tcBorders>
          </w:tcPr>
          <w:p w:rsidR="001B541F" w:rsidRPr="00CA1467" w:rsidRDefault="001B541F" w:rsidP="001B541F">
            <w:pPr>
              <w:spacing w:before="80" w:after="80"/>
              <w:rPr>
                <w:sz w:val="20"/>
                <w:lang w:val="en-NZ"/>
              </w:rPr>
            </w:pPr>
          </w:p>
        </w:tc>
        <w:tc>
          <w:tcPr>
            <w:tcW w:w="1331" w:type="dxa"/>
          </w:tcPr>
          <w:p w:rsidR="001B541F" w:rsidRPr="00CA1467" w:rsidRDefault="001B541F" w:rsidP="001B541F">
            <w:pPr>
              <w:spacing w:before="80" w:after="80"/>
              <w:rPr>
                <w:sz w:val="20"/>
                <w:lang w:val="en-NZ"/>
              </w:rPr>
            </w:pPr>
            <w:r w:rsidRPr="00CA1467">
              <w:rPr>
                <w:sz w:val="20"/>
                <w:lang w:val="en-NZ"/>
              </w:rPr>
              <w:t>-30 to -40</w:t>
            </w:r>
          </w:p>
        </w:tc>
        <w:tc>
          <w:tcPr>
            <w:tcW w:w="1162" w:type="dxa"/>
          </w:tcPr>
          <w:p w:rsidR="001B541F" w:rsidRPr="00CA1467" w:rsidRDefault="001B541F" w:rsidP="001B541F">
            <w:pPr>
              <w:spacing w:before="80" w:after="80"/>
              <w:jc w:val="center"/>
              <w:rPr>
                <w:sz w:val="20"/>
                <w:lang w:val="en-NZ"/>
              </w:rPr>
            </w:pPr>
          </w:p>
        </w:tc>
        <w:tc>
          <w:tcPr>
            <w:tcW w:w="1162" w:type="dxa"/>
          </w:tcPr>
          <w:p w:rsidR="001B541F" w:rsidRPr="00CA1467" w:rsidRDefault="001B541F" w:rsidP="001B541F">
            <w:pPr>
              <w:spacing w:before="80" w:after="80"/>
              <w:jc w:val="center"/>
              <w:rPr>
                <w:sz w:val="20"/>
                <w:lang w:val="en-NZ"/>
              </w:rPr>
            </w:pPr>
            <w:r w:rsidRPr="00CA1467">
              <w:rPr>
                <w:sz w:val="20"/>
                <w:lang w:val="en-NZ"/>
              </w:rPr>
              <w:t>1</w:t>
            </w:r>
          </w:p>
        </w:tc>
      </w:tr>
      <w:tr w:rsidR="001B541F" w:rsidRPr="00CA1467" w:rsidTr="009E4E40">
        <w:tc>
          <w:tcPr>
            <w:tcW w:w="1218" w:type="dxa"/>
            <w:tcBorders>
              <w:left w:val="single" w:sz="4" w:space="0" w:color="auto"/>
            </w:tcBorders>
          </w:tcPr>
          <w:p w:rsidR="001B541F" w:rsidRPr="00CA1467" w:rsidRDefault="001B541F" w:rsidP="00AC29E7">
            <w:pPr>
              <w:spacing w:before="80" w:after="80"/>
              <w:rPr>
                <w:sz w:val="20"/>
                <w:lang w:val="en-NZ"/>
              </w:rPr>
            </w:pPr>
            <w:r w:rsidRPr="00CA1467">
              <w:rPr>
                <w:sz w:val="20"/>
                <w:lang w:val="en-NZ"/>
              </w:rPr>
              <w:t>40 to 50</w:t>
            </w:r>
          </w:p>
        </w:tc>
        <w:tc>
          <w:tcPr>
            <w:tcW w:w="1218" w:type="dxa"/>
          </w:tcPr>
          <w:p w:rsidR="001B541F" w:rsidRPr="00CA1467" w:rsidRDefault="001B541F" w:rsidP="00AC29E7">
            <w:pPr>
              <w:spacing w:before="80" w:after="80"/>
              <w:jc w:val="center"/>
              <w:rPr>
                <w:sz w:val="20"/>
                <w:lang w:val="en-NZ"/>
              </w:rPr>
            </w:pPr>
            <w:r w:rsidRPr="00CA1467">
              <w:rPr>
                <w:sz w:val="20"/>
                <w:lang w:val="en-NZ"/>
              </w:rPr>
              <w:t>1</w:t>
            </w:r>
          </w:p>
        </w:tc>
        <w:tc>
          <w:tcPr>
            <w:tcW w:w="1218" w:type="dxa"/>
          </w:tcPr>
          <w:p w:rsidR="001B541F" w:rsidRPr="00CA1467" w:rsidRDefault="001B541F" w:rsidP="00AC29E7">
            <w:pPr>
              <w:spacing w:before="80" w:after="80"/>
              <w:jc w:val="center"/>
              <w:rPr>
                <w:sz w:val="20"/>
                <w:lang w:val="en-NZ"/>
              </w:rPr>
            </w:pPr>
            <w:r w:rsidRPr="00CA1467">
              <w:rPr>
                <w:sz w:val="20"/>
                <w:lang w:val="en-NZ"/>
              </w:rPr>
              <w:t>6</w:t>
            </w:r>
          </w:p>
        </w:tc>
        <w:tc>
          <w:tcPr>
            <w:tcW w:w="1219" w:type="dxa"/>
            <w:tcBorders>
              <w:top w:val="nil"/>
              <w:bottom w:val="nil"/>
            </w:tcBorders>
          </w:tcPr>
          <w:p w:rsidR="001B541F" w:rsidRPr="00CA1467" w:rsidRDefault="001B541F" w:rsidP="001B541F">
            <w:pPr>
              <w:spacing w:before="80" w:after="80"/>
              <w:rPr>
                <w:sz w:val="20"/>
                <w:lang w:val="en-NZ"/>
              </w:rPr>
            </w:pPr>
          </w:p>
        </w:tc>
        <w:tc>
          <w:tcPr>
            <w:tcW w:w="1331" w:type="dxa"/>
          </w:tcPr>
          <w:p w:rsidR="001B541F" w:rsidRPr="00CA1467" w:rsidRDefault="001B541F" w:rsidP="001B541F">
            <w:pPr>
              <w:spacing w:before="80" w:after="80"/>
              <w:rPr>
                <w:sz w:val="20"/>
                <w:lang w:val="en-NZ"/>
              </w:rPr>
            </w:pPr>
            <w:r w:rsidRPr="00CA1467">
              <w:rPr>
                <w:sz w:val="20"/>
                <w:lang w:val="en-NZ"/>
              </w:rPr>
              <w:t>-40 to -50</w:t>
            </w:r>
          </w:p>
        </w:tc>
        <w:tc>
          <w:tcPr>
            <w:tcW w:w="1162" w:type="dxa"/>
          </w:tcPr>
          <w:p w:rsidR="001B541F" w:rsidRPr="00CA1467" w:rsidRDefault="001B541F" w:rsidP="001B541F">
            <w:pPr>
              <w:spacing w:before="80" w:after="80"/>
              <w:jc w:val="center"/>
              <w:rPr>
                <w:sz w:val="20"/>
                <w:lang w:val="en-NZ"/>
              </w:rPr>
            </w:pPr>
            <w:r w:rsidRPr="00CA1467">
              <w:rPr>
                <w:sz w:val="20"/>
                <w:lang w:val="en-NZ"/>
              </w:rPr>
              <w:t>1</w:t>
            </w:r>
          </w:p>
        </w:tc>
        <w:tc>
          <w:tcPr>
            <w:tcW w:w="1162" w:type="dxa"/>
          </w:tcPr>
          <w:p w:rsidR="001B541F" w:rsidRPr="00CA1467" w:rsidRDefault="001B541F" w:rsidP="001B541F">
            <w:pPr>
              <w:spacing w:before="80" w:after="80"/>
              <w:jc w:val="center"/>
              <w:rPr>
                <w:sz w:val="20"/>
                <w:lang w:val="en-NZ"/>
              </w:rPr>
            </w:pPr>
          </w:p>
        </w:tc>
      </w:tr>
      <w:tr w:rsidR="001B541F" w:rsidRPr="00CA1467" w:rsidTr="009E4E40">
        <w:tc>
          <w:tcPr>
            <w:tcW w:w="1218" w:type="dxa"/>
            <w:tcBorders>
              <w:left w:val="single" w:sz="4" w:space="0" w:color="auto"/>
            </w:tcBorders>
          </w:tcPr>
          <w:p w:rsidR="001B541F" w:rsidRPr="00CA1467" w:rsidRDefault="001B541F" w:rsidP="00AC29E7">
            <w:pPr>
              <w:spacing w:before="80" w:after="80"/>
              <w:rPr>
                <w:sz w:val="20"/>
                <w:lang w:val="en-NZ"/>
              </w:rPr>
            </w:pPr>
            <w:r w:rsidRPr="00CA1467">
              <w:rPr>
                <w:sz w:val="20"/>
                <w:lang w:val="en-NZ"/>
              </w:rPr>
              <w:t>50 to 60</w:t>
            </w:r>
          </w:p>
        </w:tc>
        <w:tc>
          <w:tcPr>
            <w:tcW w:w="1218" w:type="dxa"/>
          </w:tcPr>
          <w:p w:rsidR="001B541F" w:rsidRPr="00CA1467" w:rsidRDefault="001B541F" w:rsidP="00AC29E7">
            <w:pPr>
              <w:spacing w:before="80" w:after="80"/>
              <w:jc w:val="center"/>
              <w:rPr>
                <w:sz w:val="20"/>
                <w:lang w:val="en-NZ"/>
              </w:rPr>
            </w:pPr>
            <w:r w:rsidRPr="00CA1467">
              <w:rPr>
                <w:sz w:val="20"/>
                <w:lang w:val="en-NZ"/>
              </w:rPr>
              <w:t>3</w:t>
            </w:r>
          </w:p>
        </w:tc>
        <w:tc>
          <w:tcPr>
            <w:tcW w:w="1218" w:type="dxa"/>
          </w:tcPr>
          <w:p w:rsidR="001B541F" w:rsidRPr="00CA1467" w:rsidRDefault="001B541F" w:rsidP="00AC29E7">
            <w:pPr>
              <w:spacing w:before="80" w:after="80"/>
              <w:jc w:val="center"/>
              <w:rPr>
                <w:sz w:val="20"/>
                <w:lang w:val="en-NZ"/>
              </w:rPr>
            </w:pPr>
            <w:r w:rsidRPr="00CA1467">
              <w:rPr>
                <w:sz w:val="20"/>
                <w:lang w:val="en-NZ"/>
              </w:rPr>
              <w:t>3</w:t>
            </w:r>
          </w:p>
        </w:tc>
        <w:tc>
          <w:tcPr>
            <w:tcW w:w="1219" w:type="dxa"/>
            <w:tcBorders>
              <w:top w:val="nil"/>
              <w:bottom w:val="nil"/>
            </w:tcBorders>
          </w:tcPr>
          <w:p w:rsidR="001B541F" w:rsidRPr="00CA1467" w:rsidRDefault="001B541F" w:rsidP="001B541F">
            <w:pPr>
              <w:spacing w:before="80" w:after="80"/>
              <w:rPr>
                <w:sz w:val="20"/>
                <w:lang w:val="en-NZ"/>
              </w:rPr>
            </w:pPr>
          </w:p>
        </w:tc>
        <w:tc>
          <w:tcPr>
            <w:tcW w:w="1331" w:type="dxa"/>
          </w:tcPr>
          <w:p w:rsidR="001B541F" w:rsidRPr="00CA1467" w:rsidRDefault="001B541F" w:rsidP="001B541F">
            <w:pPr>
              <w:spacing w:before="80" w:after="80"/>
              <w:rPr>
                <w:sz w:val="20"/>
                <w:lang w:val="en-NZ"/>
              </w:rPr>
            </w:pPr>
            <w:r w:rsidRPr="00CA1467">
              <w:rPr>
                <w:sz w:val="20"/>
                <w:lang w:val="en-NZ"/>
              </w:rPr>
              <w:t>-50 to -60</w:t>
            </w:r>
          </w:p>
        </w:tc>
        <w:tc>
          <w:tcPr>
            <w:tcW w:w="1162" w:type="dxa"/>
          </w:tcPr>
          <w:p w:rsidR="001B541F" w:rsidRPr="00CA1467" w:rsidRDefault="001B541F" w:rsidP="001B541F">
            <w:pPr>
              <w:spacing w:before="80" w:after="80"/>
              <w:jc w:val="center"/>
              <w:rPr>
                <w:sz w:val="20"/>
                <w:lang w:val="en-NZ"/>
              </w:rPr>
            </w:pPr>
          </w:p>
        </w:tc>
        <w:tc>
          <w:tcPr>
            <w:tcW w:w="1162" w:type="dxa"/>
          </w:tcPr>
          <w:p w:rsidR="001B541F" w:rsidRPr="00CA1467" w:rsidRDefault="001B541F" w:rsidP="001B541F">
            <w:pPr>
              <w:spacing w:before="80" w:after="80"/>
              <w:jc w:val="center"/>
              <w:rPr>
                <w:sz w:val="20"/>
                <w:lang w:val="en-NZ"/>
              </w:rPr>
            </w:pPr>
            <w:r w:rsidRPr="00CA1467">
              <w:rPr>
                <w:sz w:val="20"/>
                <w:lang w:val="en-NZ"/>
              </w:rPr>
              <w:t>1</w:t>
            </w:r>
          </w:p>
        </w:tc>
      </w:tr>
      <w:tr w:rsidR="001B541F" w:rsidRPr="00CA1467" w:rsidTr="009E4E40">
        <w:tc>
          <w:tcPr>
            <w:tcW w:w="1218" w:type="dxa"/>
            <w:tcBorders>
              <w:left w:val="single" w:sz="4" w:space="0" w:color="auto"/>
            </w:tcBorders>
          </w:tcPr>
          <w:p w:rsidR="001B541F" w:rsidRPr="00CA1467" w:rsidRDefault="001B541F" w:rsidP="00AC29E7">
            <w:pPr>
              <w:spacing w:before="80" w:after="80"/>
              <w:rPr>
                <w:sz w:val="20"/>
                <w:lang w:val="en-NZ"/>
              </w:rPr>
            </w:pPr>
            <w:r w:rsidRPr="00CA1467">
              <w:rPr>
                <w:sz w:val="20"/>
                <w:lang w:val="en-NZ"/>
              </w:rPr>
              <w:t>60 to 70</w:t>
            </w:r>
          </w:p>
        </w:tc>
        <w:tc>
          <w:tcPr>
            <w:tcW w:w="1218" w:type="dxa"/>
          </w:tcPr>
          <w:p w:rsidR="001B541F" w:rsidRPr="00CA1467" w:rsidRDefault="001B541F" w:rsidP="00AC29E7">
            <w:pPr>
              <w:spacing w:before="80" w:after="80"/>
              <w:jc w:val="center"/>
              <w:rPr>
                <w:sz w:val="20"/>
                <w:lang w:val="en-NZ"/>
              </w:rPr>
            </w:pPr>
            <w:r w:rsidRPr="00CA1467">
              <w:rPr>
                <w:sz w:val="20"/>
                <w:lang w:val="en-NZ"/>
              </w:rPr>
              <w:t>3</w:t>
            </w:r>
          </w:p>
        </w:tc>
        <w:tc>
          <w:tcPr>
            <w:tcW w:w="1218" w:type="dxa"/>
          </w:tcPr>
          <w:p w:rsidR="001B541F" w:rsidRPr="00CA1467" w:rsidRDefault="001B541F" w:rsidP="00AC29E7">
            <w:pPr>
              <w:spacing w:before="80" w:after="80"/>
              <w:jc w:val="center"/>
              <w:rPr>
                <w:sz w:val="20"/>
                <w:lang w:val="en-NZ"/>
              </w:rPr>
            </w:pPr>
            <w:r w:rsidRPr="00CA1467">
              <w:rPr>
                <w:sz w:val="20"/>
                <w:lang w:val="en-NZ"/>
              </w:rPr>
              <w:t>1</w:t>
            </w:r>
          </w:p>
        </w:tc>
        <w:tc>
          <w:tcPr>
            <w:tcW w:w="1219" w:type="dxa"/>
            <w:tcBorders>
              <w:top w:val="nil"/>
              <w:bottom w:val="nil"/>
            </w:tcBorders>
          </w:tcPr>
          <w:p w:rsidR="001B541F" w:rsidRPr="00CA1467" w:rsidRDefault="001B541F" w:rsidP="001B541F">
            <w:pPr>
              <w:spacing w:before="80" w:after="80"/>
              <w:rPr>
                <w:sz w:val="20"/>
                <w:lang w:val="en-NZ"/>
              </w:rPr>
            </w:pPr>
          </w:p>
        </w:tc>
        <w:tc>
          <w:tcPr>
            <w:tcW w:w="1331" w:type="dxa"/>
          </w:tcPr>
          <w:p w:rsidR="001B541F" w:rsidRPr="00CA1467" w:rsidRDefault="001B541F" w:rsidP="001B541F">
            <w:pPr>
              <w:spacing w:before="80" w:after="80"/>
              <w:rPr>
                <w:sz w:val="20"/>
                <w:lang w:val="en-NZ"/>
              </w:rPr>
            </w:pPr>
            <w:r w:rsidRPr="00CA1467">
              <w:rPr>
                <w:sz w:val="20"/>
                <w:lang w:val="en-NZ"/>
              </w:rPr>
              <w:t>-60 to -70</w:t>
            </w:r>
          </w:p>
        </w:tc>
        <w:tc>
          <w:tcPr>
            <w:tcW w:w="1162" w:type="dxa"/>
          </w:tcPr>
          <w:p w:rsidR="001B541F" w:rsidRPr="00CA1467" w:rsidRDefault="001B541F" w:rsidP="001B541F">
            <w:pPr>
              <w:spacing w:before="80" w:after="80"/>
              <w:jc w:val="center"/>
              <w:rPr>
                <w:sz w:val="20"/>
                <w:lang w:val="en-NZ"/>
              </w:rPr>
            </w:pPr>
          </w:p>
        </w:tc>
        <w:tc>
          <w:tcPr>
            <w:tcW w:w="1162" w:type="dxa"/>
          </w:tcPr>
          <w:p w:rsidR="001B541F" w:rsidRPr="00CA1467" w:rsidRDefault="001B541F" w:rsidP="001B541F">
            <w:pPr>
              <w:spacing w:before="80" w:after="80"/>
              <w:jc w:val="center"/>
              <w:rPr>
                <w:sz w:val="20"/>
                <w:lang w:val="en-NZ"/>
              </w:rPr>
            </w:pPr>
            <w:r w:rsidRPr="00CA1467">
              <w:rPr>
                <w:sz w:val="20"/>
                <w:lang w:val="en-NZ"/>
              </w:rPr>
              <w:t>1</w:t>
            </w:r>
          </w:p>
        </w:tc>
      </w:tr>
      <w:tr w:rsidR="001B541F" w:rsidRPr="00CA1467" w:rsidTr="009E4E40">
        <w:tc>
          <w:tcPr>
            <w:tcW w:w="1218" w:type="dxa"/>
            <w:tcBorders>
              <w:left w:val="single" w:sz="4" w:space="0" w:color="auto"/>
            </w:tcBorders>
          </w:tcPr>
          <w:p w:rsidR="001B541F" w:rsidRPr="00CA1467" w:rsidRDefault="001B541F" w:rsidP="00AC29E7">
            <w:pPr>
              <w:spacing w:before="80" w:after="80"/>
              <w:rPr>
                <w:sz w:val="20"/>
                <w:lang w:val="en-NZ"/>
              </w:rPr>
            </w:pPr>
            <w:r w:rsidRPr="00CA1467">
              <w:rPr>
                <w:sz w:val="20"/>
                <w:lang w:val="en-NZ"/>
              </w:rPr>
              <w:t>70 to 80</w:t>
            </w:r>
          </w:p>
        </w:tc>
        <w:tc>
          <w:tcPr>
            <w:tcW w:w="1218" w:type="dxa"/>
          </w:tcPr>
          <w:p w:rsidR="001B541F" w:rsidRPr="00CA1467" w:rsidRDefault="001B541F" w:rsidP="00AC29E7">
            <w:pPr>
              <w:spacing w:before="80" w:after="80"/>
              <w:jc w:val="center"/>
              <w:rPr>
                <w:sz w:val="20"/>
                <w:lang w:val="en-NZ"/>
              </w:rPr>
            </w:pPr>
          </w:p>
        </w:tc>
        <w:tc>
          <w:tcPr>
            <w:tcW w:w="1218" w:type="dxa"/>
          </w:tcPr>
          <w:p w:rsidR="001B541F" w:rsidRPr="00CA1467" w:rsidRDefault="001B541F" w:rsidP="00AC29E7">
            <w:pPr>
              <w:spacing w:before="80" w:after="80"/>
              <w:jc w:val="center"/>
              <w:rPr>
                <w:sz w:val="20"/>
                <w:lang w:val="en-NZ"/>
              </w:rPr>
            </w:pPr>
            <w:r w:rsidRPr="00CA1467">
              <w:rPr>
                <w:sz w:val="20"/>
                <w:lang w:val="en-NZ"/>
              </w:rPr>
              <w:t>2</w:t>
            </w:r>
          </w:p>
        </w:tc>
        <w:tc>
          <w:tcPr>
            <w:tcW w:w="1219" w:type="dxa"/>
            <w:tcBorders>
              <w:top w:val="nil"/>
              <w:bottom w:val="nil"/>
            </w:tcBorders>
          </w:tcPr>
          <w:p w:rsidR="001B541F" w:rsidRPr="00CA1467" w:rsidRDefault="001B541F" w:rsidP="001B541F">
            <w:pPr>
              <w:spacing w:before="80" w:after="80"/>
              <w:rPr>
                <w:sz w:val="20"/>
                <w:lang w:val="en-NZ"/>
              </w:rPr>
            </w:pPr>
          </w:p>
        </w:tc>
        <w:tc>
          <w:tcPr>
            <w:tcW w:w="1331" w:type="dxa"/>
          </w:tcPr>
          <w:p w:rsidR="001B541F" w:rsidRPr="00CA1467" w:rsidRDefault="001B541F" w:rsidP="001B541F">
            <w:pPr>
              <w:spacing w:before="80" w:after="80"/>
              <w:rPr>
                <w:sz w:val="20"/>
                <w:lang w:val="en-NZ"/>
              </w:rPr>
            </w:pPr>
            <w:r w:rsidRPr="00CA1467">
              <w:rPr>
                <w:sz w:val="20"/>
                <w:lang w:val="en-NZ"/>
              </w:rPr>
              <w:t>-70 to -80</w:t>
            </w:r>
          </w:p>
        </w:tc>
        <w:tc>
          <w:tcPr>
            <w:tcW w:w="1162" w:type="dxa"/>
          </w:tcPr>
          <w:p w:rsidR="001B541F" w:rsidRPr="00CA1467" w:rsidRDefault="001B541F" w:rsidP="001B541F">
            <w:pPr>
              <w:spacing w:before="80" w:after="80"/>
              <w:jc w:val="center"/>
              <w:rPr>
                <w:sz w:val="20"/>
                <w:lang w:val="en-NZ"/>
              </w:rPr>
            </w:pPr>
            <w:r w:rsidRPr="00CA1467">
              <w:rPr>
                <w:sz w:val="20"/>
                <w:lang w:val="en-NZ"/>
              </w:rPr>
              <w:t>2</w:t>
            </w:r>
          </w:p>
        </w:tc>
        <w:tc>
          <w:tcPr>
            <w:tcW w:w="1162" w:type="dxa"/>
          </w:tcPr>
          <w:p w:rsidR="001B541F" w:rsidRPr="00CA1467" w:rsidRDefault="001B541F" w:rsidP="001B541F">
            <w:pPr>
              <w:spacing w:before="80" w:after="80"/>
              <w:jc w:val="center"/>
              <w:rPr>
                <w:sz w:val="20"/>
                <w:lang w:val="en-NZ"/>
              </w:rPr>
            </w:pPr>
            <w:r w:rsidRPr="00CA1467">
              <w:rPr>
                <w:sz w:val="20"/>
                <w:lang w:val="en-NZ"/>
              </w:rPr>
              <w:t>1</w:t>
            </w:r>
          </w:p>
        </w:tc>
      </w:tr>
      <w:tr w:rsidR="001B541F" w:rsidRPr="00CA1467" w:rsidTr="009E4E40">
        <w:tc>
          <w:tcPr>
            <w:tcW w:w="1218" w:type="dxa"/>
            <w:tcBorders>
              <w:left w:val="single" w:sz="4" w:space="0" w:color="auto"/>
            </w:tcBorders>
          </w:tcPr>
          <w:p w:rsidR="001B541F" w:rsidRPr="00CA1467" w:rsidRDefault="001B541F" w:rsidP="00AC29E7">
            <w:pPr>
              <w:spacing w:before="80" w:after="80"/>
              <w:rPr>
                <w:sz w:val="20"/>
                <w:lang w:val="en-NZ"/>
              </w:rPr>
            </w:pPr>
            <w:r w:rsidRPr="00CA1467">
              <w:rPr>
                <w:sz w:val="20"/>
                <w:lang w:val="en-NZ"/>
              </w:rPr>
              <w:t>80 to 90</w:t>
            </w:r>
          </w:p>
        </w:tc>
        <w:tc>
          <w:tcPr>
            <w:tcW w:w="1218" w:type="dxa"/>
          </w:tcPr>
          <w:p w:rsidR="001B541F" w:rsidRPr="00CA1467" w:rsidRDefault="001B541F" w:rsidP="00AC29E7">
            <w:pPr>
              <w:spacing w:before="80" w:after="80"/>
              <w:jc w:val="center"/>
              <w:rPr>
                <w:sz w:val="20"/>
                <w:lang w:val="en-NZ"/>
              </w:rPr>
            </w:pPr>
            <w:r w:rsidRPr="00CA1467">
              <w:rPr>
                <w:sz w:val="20"/>
                <w:lang w:val="en-NZ"/>
              </w:rPr>
              <w:t>1</w:t>
            </w:r>
          </w:p>
        </w:tc>
        <w:tc>
          <w:tcPr>
            <w:tcW w:w="1218" w:type="dxa"/>
          </w:tcPr>
          <w:p w:rsidR="001B541F" w:rsidRPr="00CA1467" w:rsidRDefault="001B541F" w:rsidP="00AC29E7">
            <w:pPr>
              <w:spacing w:before="80" w:after="80"/>
              <w:jc w:val="center"/>
              <w:rPr>
                <w:sz w:val="20"/>
                <w:lang w:val="en-NZ"/>
              </w:rPr>
            </w:pPr>
            <w:r w:rsidRPr="00CA1467">
              <w:rPr>
                <w:sz w:val="20"/>
                <w:lang w:val="en-NZ"/>
              </w:rPr>
              <w:t>3</w:t>
            </w:r>
          </w:p>
        </w:tc>
        <w:tc>
          <w:tcPr>
            <w:tcW w:w="1219" w:type="dxa"/>
            <w:tcBorders>
              <w:top w:val="nil"/>
              <w:bottom w:val="nil"/>
            </w:tcBorders>
          </w:tcPr>
          <w:p w:rsidR="001B541F" w:rsidRPr="00CA1467" w:rsidRDefault="001B541F" w:rsidP="001B541F">
            <w:pPr>
              <w:spacing w:before="80" w:after="80"/>
              <w:rPr>
                <w:sz w:val="20"/>
                <w:lang w:val="en-NZ"/>
              </w:rPr>
            </w:pPr>
          </w:p>
        </w:tc>
        <w:tc>
          <w:tcPr>
            <w:tcW w:w="1331" w:type="dxa"/>
          </w:tcPr>
          <w:p w:rsidR="001B541F" w:rsidRPr="00CA1467" w:rsidRDefault="001B541F" w:rsidP="001B541F">
            <w:pPr>
              <w:spacing w:before="80" w:after="80"/>
              <w:rPr>
                <w:sz w:val="20"/>
                <w:lang w:val="en-NZ"/>
              </w:rPr>
            </w:pPr>
            <w:r w:rsidRPr="00CA1467">
              <w:rPr>
                <w:sz w:val="20"/>
                <w:lang w:val="en-NZ"/>
              </w:rPr>
              <w:t>-80 to -90</w:t>
            </w:r>
          </w:p>
        </w:tc>
        <w:tc>
          <w:tcPr>
            <w:tcW w:w="1162" w:type="dxa"/>
          </w:tcPr>
          <w:p w:rsidR="001B541F" w:rsidRPr="00CA1467" w:rsidRDefault="001B541F" w:rsidP="001B541F">
            <w:pPr>
              <w:spacing w:before="80" w:after="80"/>
              <w:jc w:val="center"/>
              <w:rPr>
                <w:sz w:val="20"/>
                <w:lang w:val="en-NZ"/>
              </w:rPr>
            </w:pPr>
          </w:p>
        </w:tc>
        <w:tc>
          <w:tcPr>
            <w:tcW w:w="1162" w:type="dxa"/>
          </w:tcPr>
          <w:p w:rsidR="001B541F" w:rsidRPr="00CA1467" w:rsidRDefault="001B541F" w:rsidP="001B541F">
            <w:pPr>
              <w:spacing w:before="80" w:after="80"/>
              <w:jc w:val="center"/>
              <w:rPr>
                <w:sz w:val="20"/>
                <w:lang w:val="en-NZ"/>
              </w:rPr>
            </w:pPr>
          </w:p>
        </w:tc>
      </w:tr>
      <w:tr w:rsidR="001B541F" w:rsidRPr="00CA1467" w:rsidTr="009E4E40">
        <w:tc>
          <w:tcPr>
            <w:tcW w:w="1218" w:type="dxa"/>
            <w:tcBorders>
              <w:left w:val="single" w:sz="4" w:space="0" w:color="auto"/>
            </w:tcBorders>
          </w:tcPr>
          <w:p w:rsidR="001B541F" w:rsidRPr="00CA1467" w:rsidRDefault="001B541F" w:rsidP="00AC29E7">
            <w:pPr>
              <w:spacing w:before="80" w:after="80"/>
              <w:rPr>
                <w:sz w:val="20"/>
                <w:lang w:val="en-NZ"/>
              </w:rPr>
            </w:pPr>
            <w:r w:rsidRPr="00CA1467">
              <w:rPr>
                <w:sz w:val="20"/>
                <w:lang w:val="en-NZ"/>
              </w:rPr>
              <w:t>90 to 100</w:t>
            </w:r>
          </w:p>
        </w:tc>
        <w:tc>
          <w:tcPr>
            <w:tcW w:w="1218" w:type="dxa"/>
          </w:tcPr>
          <w:p w:rsidR="001B541F" w:rsidRPr="00CA1467" w:rsidRDefault="001B541F" w:rsidP="00AC29E7">
            <w:pPr>
              <w:spacing w:before="80" w:after="80"/>
              <w:jc w:val="center"/>
              <w:rPr>
                <w:sz w:val="20"/>
                <w:lang w:val="en-NZ"/>
              </w:rPr>
            </w:pPr>
            <w:r w:rsidRPr="00CA1467">
              <w:rPr>
                <w:sz w:val="20"/>
                <w:lang w:val="en-NZ"/>
              </w:rPr>
              <w:t>1</w:t>
            </w:r>
          </w:p>
        </w:tc>
        <w:tc>
          <w:tcPr>
            <w:tcW w:w="1218" w:type="dxa"/>
          </w:tcPr>
          <w:p w:rsidR="001B541F" w:rsidRPr="00CA1467" w:rsidRDefault="001B541F" w:rsidP="00AC29E7">
            <w:pPr>
              <w:spacing w:before="80" w:after="80"/>
              <w:jc w:val="center"/>
              <w:rPr>
                <w:sz w:val="20"/>
                <w:lang w:val="en-NZ"/>
              </w:rPr>
            </w:pPr>
            <w:r w:rsidRPr="00CA1467">
              <w:rPr>
                <w:sz w:val="20"/>
                <w:lang w:val="en-NZ"/>
              </w:rPr>
              <w:t>2</w:t>
            </w:r>
          </w:p>
        </w:tc>
        <w:tc>
          <w:tcPr>
            <w:tcW w:w="1219" w:type="dxa"/>
            <w:tcBorders>
              <w:top w:val="nil"/>
              <w:bottom w:val="nil"/>
            </w:tcBorders>
          </w:tcPr>
          <w:p w:rsidR="001B541F" w:rsidRPr="00CA1467" w:rsidRDefault="001B541F" w:rsidP="001B541F">
            <w:pPr>
              <w:spacing w:before="80" w:after="80"/>
              <w:rPr>
                <w:sz w:val="20"/>
                <w:lang w:val="en-NZ"/>
              </w:rPr>
            </w:pPr>
          </w:p>
        </w:tc>
        <w:tc>
          <w:tcPr>
            <w:tcW w:w="1331" w:type="dxa"/>
          </w:tcPr>
          <w:p w:rsidR="001B541F" w:rsidRPr="00CA1467" w:rsidRDefault="001B541F" w:rsidP="001B541F">
            <w:pPr>
              <w:spacing w:before="80" w:after="80"/>
              <w:rPr>
                <w:sz w:val="20"/>
                <w:lang w:val="en-NZ"/>
              </w:rPr>
            </w:pPr>
            <w:r w:rsidRPr="00CA1467">
              <w:rPr>
                <w:sz w:val="20"/>
                <w:lang w:val="en-NZ"/>
              </w:rPr>
              <w:t>-90 to -100</w:t>
            </w:r>
          </w:p>
        </w:tc>
        <w:tc>
          <w:tcPr>
            <w:tcW w:w="1162" w:type="dxa"/>
          </w:tcPr>
          <w:p w:rsidR="001B541F" w:rsidRPr="00CA1467" w:rsidRDefault="001B541F" w:rsidP="001B541F">
            <w:pPr>
              <w:spacing w:before="80" w:after="80"/>
              <w:jc w:val="center"/>
              <w:rPr>
                <w:sz w:val="20"/>
                <w:lang w:val="en-NZ"/>
              </w:rPr>
            </w:pPr>
          </w:p>
        </w:tc>
        <w:tc>
          <w:tcPr>
            <w:tcW w:w="1162" w:type="dxa"/>
          </w:tcPr>
          <w:p w:rsidR="001B541F" w:rsidRPr="00CA1467" w:rsidRDefault="001B541F" w:rsidP="001B541F">
            <w:pPr>
              <w:spacing w:before="80" w:after="80"/>
              <w:jc w:val="center"/>
              <w:rPr>
                <w:sz w:val="20"/>
                <w:lang w:val="en-NZ"/>
              </w:rPr>
            </w:pPr>
            <w:r w:rsidRPr="00CA1467">
              <w:rPr>
                <w:sz w:val="20"/>
                <w:lang w:val="en-NZ"/>
              </w:rPr>
              <w:t>3</w:t>
            </w:r>
          </w:p>
        </w:tc>
      </w:tr>
      <w:tr w:rsidR="001B541F" w:rsidRPr="00CA1467" w:rsidTr="009E4E40">
        <w:tc>
          <w:tcPr>
            <w:tcW w:w="1218" w:type="dxa"/>
            <w:tcBorders>
              <w:left w:val="single" w:sz="4" w:space="0" w:color="auto"/>
            </w:tcBorders>
          </w:tcPr>
          <w:p w:rsidR="001B541F" w:rsidRPr="00CA1467" w:rsidRDefault="001B541F" w:rsidP="00AC29E7">
            <w:pPr>
              <w:spacing w:before="80" w:after="80"/>
              <w:rPr>
                <w:sz w:val="20"/>
                <w:lang w:val="en-NZ"/>
              </w:rPr>
            </w:pPr>
            <w:r w:rsidRPr="00CA1467">
              <w:rPr>
                <w:sz w:val="20"/>
                <w:lang w:val="en-NZ"/>
              </w:rPr>
              <w:t>100+</w:t>
            </w:r>
          </w:p>
        </w:tc>
        <w:tc>
          <w:tcPr>
            <w:tcW w:w="1218" w:type="dxa"/>
          </w:tcPr>
          <w:p w:rsidR="001B541F" w:rsidRPr="00CA1467" w:rsidRDefault="001B541F" w:rsidP="00AC29E7">
            <w:pPr>
              <w:spacing w:before="80" w:after="80"/>
              <w:jc w:val="center"/>
              <w:rPr>
                <w:sz w:val="20"/>
                <w:lang w:val="en-NZ"/>
              </w:rPr>
            </w:pPr>
            <w:r w:rsidRPr="00CA1467">
              <w:rPr>
                <w:sz w:val="20"/>
                <w:lang w:val="en-NZ"/>
              </w:rPr>
              <w:t>16</w:t>
            </w:r>
          </w:p>
        </w:tc>
        <w:tc>
          <w:tcPr>
            <w:tcW w:w="1218" w:type="dxa"/>
          </w:tcPr>
          <w:p w:rsidR="001B541F" w:rsidRPr="00CA1467" w:rsidRDefault="001B541F" w:rsidP="00AC29E7">
            <w:pPr>
              <w:spacing w:before="80" w:after="80"/>
              <w:jc w:val="center"/>
              <w:rPr>
                <w:sz w:val="20"/>
                <w:lang w:val="en-NZ"/>
              </w:rPr>
            </w:pPr>
            <w:r w:rsidRPr="00CA1467">
              <w:rPr>
                <w:sz w:val="20"/>
                <w:lang w:val="en-NZ"/>
              </w:rPr>
              <w:t>30</w:t>
            </w:r>
          </w:p>
        </w:tc>
        <w:tc>
          <w:tcPr>
            <w:tcW w:w="1219" w:type="dxa"/>
            <w:tcBorders>
              <w:top w:val="nil"/>
              <w:bottom w:val="nil"/>
            </w:tcBorders>
          </w:tcPr>
          <w:p w:rsidR="001B541F" w:rsidRPr="00CA1467" w:rsidRDefault="001B541F" w:rsidP="001B541F">
            <w:pPr>
              <w:spacing w:before="80" w:after="80"/>
              <w:rPr>
                <w:sz w:val="20"/>
                <w:lang w:val="en-NZ"/>
              </w:rPr>
            </w:pPr>
          </w:p>
        </w:tc>
        <w:tc>
          <w:tcPr>
            <w:tcW w:w="1331" w:type="dxa"/>
          </w:tcPr>
          <w:p w:rsidR="001B541F" w:rsidRPr="00CA1467" w:rsidRDefault="001B541F" w:rsidP="001B541F">
            <w:pPr>
              <w:spacing w:before="80" w:after="80"/>
              <w:rPr>
                <w:sz w:val="20"/>
                <w:lang w:val="en-NZ"/>
              </w:rPr>
            </w:pPr>
            <w:r w:rsidRPr="00CA1467">
              <w:rPr>
                <w:sz w:val="20"/>
                <w:lang w:val="en-NZ"/>
              </w:rPr>
              <w:t>-100</w:t>
            </w:r>
            <w:r w:rsidR="00715A05">
              <w:rPr>
                <w:sz w:val="20"/>
                <w:lang w:val="en-NZ"/>
              </w:rPr>
              <w:t>+</w:t>
            </w:r>
          </w:p>
        </w:tc>
        <w:tc>
          <w:tcPr>
            <w:tcW w:w="1162" w:type="dxa"/>
          </w:tcPr>
          <w:p w:rsidR="001B541F" w:rsidRPr="00CA1467" w:rsidRDefault="001B541F" w:rsidP="001B541F">
            <w:pPr>
              <w:spacing w:before="80" w:after="80"/>
              <w:jc w:val="center"/>
              <w:rPr>
                <w:sz w:val="20"/>
                <w:lang w:val="en-NZ"/>
              </w:rPr>
            </w:pPr>
          </w:p>
        </w:tc>
        <w:tc>
          <w:tcPr>
            <w:tcW w:w="1162" w:type="dxa"/>
          </w:tcPr>
          <w:p w:rsidR="001B541F" w:rsidRPr="00CA1467" w:rsidRDefault="001B541F" w:rsidP="001B541F">
            <w:pPr>
              <w:spacing w:before="80" w:after="80"/>
              <w:jc w:val="center"/>
              <w:rPr>
                <w:sz w:val="20"/>
                <w:lang w:val="en-NZ"/>
              </w:rPr>
            </w:pPr>
          </w:p>
        </w:tc>
      </w:tr>
      <w:tr w:rsidR="001B541F" w:rsidRPr="00CA1467" w:rsidTr="009E4E40">
        <w:tc>
          <w:tcPr>
            <w:tcW w:w="1218" w:type="dxa"/>
            <w:tcBorders>
              <w:left w:val="single" w:sz="4" w:space="0" w:color="auto"/>
            </w:tcBorders>
          </w:tcPr>
          <w:p w:rsidR="001B541F" w:rsidRPr="00CA1467" w:rsidRDefault="001B541F" w:rsidP="00AC29E7">
            <w:pPr>
              <w:spacing w:before="80" w:after="80"/>
              <w:rPr>
                <w:b/>
                <w:sz w:val="20"/>
                <w:lang w:val="en-NZ"/>
              </w:rPr>
            </w:pPr>
            <w:r w:rsidRPr="00CA1467">
              <w:rPr>
                <w:b/>
                <w:sz w:val="20"/>
                <w:lang w:val="en-NZ"/>
              </w:rPr>
              <w:t>Total</w:t>
            </w:r>
          </w:p>
        </w:tc>
        <w:tc>
          <w:tcPr>
            <w:tcW w:w="1218" w:type="dxa"/>
          </w:tcPr>
          <w:p w:rsidR="001B541F" w:rsidRPr="00CA1467" w:rsidRDefault="001B541F" w:rsidP="00AC29E7">
            <w:pPr>
              <w:spacing w:before="80" w:after="80"/>
              <w:jc w:val="center"/>
              <w:rPr>
                <w:b/>
                <w:sz w:val="20"/>
                <w:lang w:val="en-NZ"/>
              </w:rPr>
            </w:pPr>
            <w:r w:rsidRPr="00CA1467">
              <w:rPr>
                <w:b/>
                <w:sz w:val="20"/>
                <w:lang w:val="en-NZ"/>
              </w:rPr>
              <w:t>184</w:t>
            </w:r>
          </w:p>
        </w:tc>
        <w:tc>
          <w:tcPr>
            <w:tcW w:w="1218" w:type="dxa"/>
          </w:tcPr>
          <w:p w:rsidR="001B541F" w:rsidRPr="00CA1467" w:rsidRDefault="001B541F" w:rsidP="00AC29E7">
            <w:pPr>
              <w:spacing w:before="80" w:after="80"/>
              <w:jc w:val="center"/>
              <w:rPr>
                <w:b/>
                <w:sz w:val="20"/>
                <w:lang w:val="en-NZ"/>
              </w:rPr>
            </w:pPr>
            <w:r w:rsidRPr="00CA1467">
              <w:rPr>
                <w:b/>
                <w:sz w:val="20"/>
                <w:lang w:val="en-NZ"/>
              </w:rPr>
              <w:t>239</w:t>
            </w:r>
          </w:p>
        </w:tc>
        <w:tc>
          <w:tcPr>
            <w:tcW w:w="1219" w:type="dxa"/>
            <w:tcBorders>
              <w:top w:val="nil"/>
              <w:bottom w:val="nil"/>
            </w:tcBorders>
          </w:tcPr>
          <w:p w:rsidR="001B541F" w:rsidRPr="00CA1467" w:rsidRDefault="001B541F" w:rsidP="001B541F">
            <w:pPr>
              <w:spacing w:before="80" w:after="80"/>
              <w:rPr>
                <w:b/>
                <w:sz w:val="20"/>
                <w:lang w:val="en-NZ"/>
              </w:rPr>
            </w:pPr>
          </w:p>
        </w:tc>
        <w:tc>
          <w:tcPr>
            <w:tcW w:w="1331" w:type="dxa"/>
          </w:tcPr>
          <w:p w:rsidR="001B541F" w:rsidRPr="00CA1467" w:rsidRDefault="001B541F" w:rsidP="001B541F">
            <w:pPr>
              <w:spacing w:before="80" w:after="80"/>
              <w:rPr>
                <w:b/>
                <w:sz w:val="20"/>
                <w:lang w:val="en-NZ"/>
              </w:rPr>
            </w:pPr>
            <w:r w:rsidRPr="00CA1467">
              <w:rPr>
                <w:b/>
                <w:sz w:val="20"/>
                <w:lang w:val="en-NZ"/>
              </w:rPr>
              <w:t>Total</w:t>
            </w:r>
          </w:p>
        </w:tc>
        <w:tc>
          <w:tcPr>
            <w:tcW w:w="1162" w:type="dxa"/>
          </w:tcPr>
          <w:p w:rsidR="001B541F" w:rsidRPr="00CA1467" w:rsidRDefault="001B541F" w:rsidP="001B541F">
            <w:pPr>
              <w:spacing w:before="80" w:after="80"/>
              <w:jc w:val="center"/>
              <w:rPr>
                <w:b/>
                <w:sz w:val="20"/>
                <w:lang w:val="en-NZ"/>
              </w:rPr>
            </w:pPr>
            <w:r w:rsidRPr="00CA1467">
              <w:rPr>
                <w:b/>
                <w:sz w:val="20"/>
                <w:lang w:val="en-NZ"/>
              </w:rPr>
              <w:t>14</w:t>
            </w:r>
          </w:p>
        </w:tc>
        <w:tc>
          <w:tcPr>
            <w:tcW w:w="1162" w:type="dxa"/>
          </w:tcPr>
          <w:p w:rsidR="001B541F" w:rsidRPr="00CA1467" w:rsidRDefault="001B541F" w:rsidP="001B541F">
            <w:pPr>
              <w:spacing w:before="80" w:after="80"/>
              <w:jc w:val="center"/>
              <w:rPr>
                <w:b/>
                <w:sz w:val="20"/>
                <w:lang w:val="en-NZ"/>
              </w:rPr>
            </w:pPr>
            <w:r w:rsidRPr="00CA1467">
              <w:rPr>
                <w:b/>
                <w:sz w:val="20"/>
                <w:lang w:val="en-NZ"/>
              </w:rPr>
              <w:t>21</w:t>
            </w:r>
          </w:p>
        </w:tc>
      </w:tr>
    </w:tbl>
    <w:p w:rsidR="003E473F" w:rsidRPr="00CA1467" w:rsidRDefault="003E473F" w:rsidP="003E473F">
      <w:pPr>
        <w:rPr>
          <w:lang w:val="en-NZ"/>
        </w:rPr>
      </w:pPr>
    </w:p>
    <w:p w:rsidR="003E473F" w:rsidRPr="00CA1467" w:rsidRDefault="003E473F" w:rsidP="003E473F">
      <w:pPr>
        <w:rPr>
          <w:lang w:val="en-NZ"/>
        </w:rPr>
      </w:pPr>
    </w:p>
    <w:p w:rsidR="00CA1467" w:rsidRPr="00CA1467" w:rsidRDefault="00CA1467">
      <w:pPr>
        <w:jc w:val="left"/>
        <w:rPr>
          <w:lang w:val="en-NZ"/>
        </w:rPr>
      </w:pPr>
      <w:r w:rsidRPr="00CA1467">
        <w:rPr>
          <w:lang w:val="en-NZ"/>
        </w:rPr>
        <w:br w:type="page"/>
      </w:r>
    </w:p>
    <w:p w:rsidR="00CA1467" w:rsidRPr="00CA1467" w:rsidRDefault="00CA1467" w:rsidP="00CA1467">
      <w:pPr>
        <w:pStyle w:val="Heading1"/>
      </w:pPr>
      <w:bookmarkStart w:id="169" w:name="_Toc429400130"/>
      <w:bookmarkStart w:id="170" w:name="_Toc429409218"/>
      <w:bookmarkStart w:id="171" w:name="_Toc429412477"/>
      <w:bookmarkStart w:id="172" w:name="_Toc429417892"/>
      <w:bookmarkStart w:id="173" w:name="_Toc429420017"/>
      <w:bookmarkStart w:id="174" w:name="_Toc429469498"/>
      <w:r w:rsidRPr="00CA1467">
        <w:t>Distribution of LTC owners</w:t>
      </w:r>
      <w:bookmarkEnd w:id="169"/>
      <w:bookmarkEnd w:id="170"/>
      <w:bookmarkEnd w:id="171"/>
      <w:bookmarkEnd w:id="172"/>
      <w:bookmarkEnd w:id="173"/>
      <w:bookmarkEnd w:id="174"/>
    </w:p>
    <w:p w:rsidR="00CA1467" w:rsidRPr="00CA1467" w:rsidRDefault="00CA1467" w:rsidP="003E473F">
      <w:pPr>
        <w:rPr>
          <w:lang w:val="en-NZ"/>
        </w:rPr>
      </w:pPr>
    </w:p>
    <w:p w:rsidR="003E473F" w:rsidRPr="00CA1467" w:rsidRDefault="00AC29E7" w:rsidP="003643FA">
      <w:pPr>
        <w:spacing w:after="200"/>
        <w:jc w:val="left"/>
        <w:rPr>
          <w:b/>
          <w:lang w:val="en-NZ"/>
        </w:rPr>
      </w:pPr>
      <w:r w:rsidRPr="00CA1467">
        <w:rPr>
          <w:b/>
          <w:lang w:val="en-NZ"/>
        </w:rPr>
        <w:t>Table 1</w:t>
      </w:r>
      <w:r w:rsidR="005C29C2">
        <w:rPr>
          <w:b/>
          <w:lang w:val="en-NZ"/>
        </w:rPr>
        <w:t>3</w:t>
      </w:r>
      <w:r w:rsidRPr="00CA1467">
        <w:rPr>
          <w:b/>
          <w:lang w:val="en-NZ"/>
        </w:rPr>
        <w:t xml:space="preserve">: </w:t>
      </w:r>
      <w:r w:rsidR="00CA1467">
        <w:rPr>
          <w:b/>
          <w:lang w:val="en-NZ"/>
        </w:rPr>
        <w:t xml:space="preserve">Number of </w:t>
      </w:r>
      <w:r w:rsidR="003E473F" w:rsidRPr="00CA1467">
        <w:rPr>
          <w:b/>
          <w:lang w:val="en-NZ"/>
        </w:rPr>
        <w:t>owners reported in 20</w:t>
      </w:r>
      <w:r w:rsidRPr="00CA1467">
        <w:rPr>
          <w:b/>
          <w:lang w:val="en-NZ"/>
        </w:rPr>
        <w:t>1</w:t>
      </w:r>
      <w:r w:rsidR="003E473F" w:rsidRPr="00CA1467">
        <w:rPr>
          <w:b/>
          <w:lang w:val="en-NZ"/>
        </w:rPr>
        <w:t>3 LTC returns</w:t>
      </w:r>
    </w:p>
    <w:tbl>
      <w:tblPr>
        <w:tblStyle w:val="TableGrid"/>
        <w:tblW w:w="0" w:type="auto"/>
        <w:tblInd w:w="108" w:type="dxa"/>
        <w:tblLook w:val="04A0" w:firstRow="1" w:lastRow="0" w:firstColumn="1" w:lastColumn="0" w:noHBand="0" w:noVBand="1"/>
      </w:tblPr>
      <w:tblGrid>
        <w:gridCol w:w="2143"/>
        <w:gridCol w:w="2143"/>
      </w:tblGrid>
      <w:tr w:rsidR="00AC29E7" w:rsidRPr="00CA1467" w:rsidTr="00F52DEE">
        <w:tc>
          <w:tcPr>
            <w:tcW w:w="2143" w:type="dxa"/>
          </w:tcPr>
          <w:p w:rsidR="00AC29E7" w:rsidRPr="00CA1467" w:rsidRDefault="00AC29E7" w:rsidP="00AC29E7">
            <w:pPr>
              <w:spacing w:before="120" w:after="120"/>
              <w:jc w:val="center"/>
              <w:rPr>
                <w:b/>
                <w:sz w:val="20"/>
                <w:lang w:val="en-NZ"/>
              </w:rPr>
            </w:pPr>
            <w:r w:rsidRPr="00CA1467">
              <w:rPr>
                <w:b/>
                <w:sz w:val="20"/>
                <w:lang w:val="en-NZ"/>
              </w:rPr>
              <w:t>Number of owners</w:t>
            </w:r>
          </w:p>
        </w:tc>
        <w:tc>
          <w:tcPr>
            <w:tcW w:w="2143" w:type="dxa"/>
          </w:tcPr>
          <w:p w:rsidR="00AC29E7" w:rsidRPr="00CA1467" w:rsidRDefault="00AC29E7" w:rsidP="00AC29E7">
            <w:pPr>
              <w:spacing w:before="120" w:after="120"/>
              <w:jc w:val="center"/>
              <w:rPr>
                <w:b/>
                <w:sz w:val="20"/>
                <w:lang w:val="en-NZ"/>
              </w:rPr>
            </w:pPr>
            <w:r w:rsidRPr="00CA1467">
              <w:rPr>
                <w:b/>
                <w:sz w:val="20"/>
                <w:lang w:val="en-NZ"/>
              </w:rPr>
              <w:t>Number of LTCs</w:t>
            </w:r>
          </w:p>
        </w:tc>
      </w:tr>
      <w:tr w:rsidR="00AC29E7" w:rsidRPr="00CA1467" w:rsidTr="00F52DEE">
        <w:tc>
          <w:tcPr>
            <w:tcW w:w="2143" w:type="dxa"/>
          </w:tcPr>
          <w:p w:rsidR="00AC29E7" w:rsidRPr="00CA1467" w:rsidRDefault="00AC29E7" w:rsidP="009E4E40">
            <w:pPr>
              <w:spacing w:before="80" w:after="80"/>
              <w:ind w:right="759"/>
              <w:jc w:val="right"/>
              <w:rPr>
                <w:sz w:val="20"/>
                <w:lang w:val="en-NZ"/>
              </w:rPr>
            </w:pPr>
            <w:r w:rsidRPr="00CA1467">
              <w:rPr>
                <w:sz w:val="20"/>
                <w:lang w:val="en-NZ"/>
              </w:rPr>
              <w:t>1</w:t>
            </w:r>
          </w:p>
        </w:tc>
        <w:tc>
          <w:tcPr>
            <w:tcW w:w="2143" w:type="dxa"/>
          </w:tcPr>
          <w:p w:rsidR="00AC29E7" w:rsidRPr="00CA1467" w:rsidRDefault="00AC29E7" w:rsidP="009E4E40">
            <w:pPr>
              <w:spacing w:before="80" w:after="80"/>
              <w:ind w:right="634"/>
              <w:jc w:val="right"/>
              <w:rPr>
                <w:sz w:val="20"/>
                <w:lang w:val="en-NZ"/>
              </w:rPr>
            </w:pPr>
            <w:r w:rsidRPr="00CA1467">
              <w:rPr>
                <w:sz w:val="20"/>
                <w:lang w:val="en-NZ"/>
              </w:rPr>
              <w:t>14,002</w:t>
            </w:r>
          </w:p>
        </w:tc>
      </w:tr>
      <w:tr w:rsidR="00AC29E7" w:rsidRPr="00CA1467" w:rsidTr="00F52DEE">
        <w:tc>
          <w:tcPr>
            <w:tcW w:w="2143" w:type="dxa"/>
          </w:tcPr>
          <w:p w:rsidR="00AC29E7" w:rsidRPr="00CA1467" w:rsidRDefault="00AC29E7" w:rsidP="009E4E40">
            <w:pPr>
              <w:spacing w:before="80" w:after="80"/>
              <w:ind w:right="759"/>
              <w:jc w:val="right"/>
              <w:rPr>
                <w:sz w:val="20"/>
                <w:lang w:val="en-NZ"/>
              </w:rPr>
            </w:pPr>
            <w:r w:rsidRPr="00CA1467">
              <w:rPr>
                <w:sz w:val="20"/>
                <w:lang w:val="en-NZ"/>
              </w:rPr>
              <w:t>2</w:t>
            </w:r>
          </w:p>
        </w:tc>
        <w:tc>
          <w:tcPr>
            <w:tcW w:w="2143" w:type="dxa"/>
          </w:tcPr>
          <w:p w:rsidR="00AC29E7" w:rsidRPr="00CA1467" w:rsidRDefault="00AC29E7" w:rsidP="009E4E40">
            <w:pPr>
              <w:spacing w:before="80" w:after="80"/>
              <w:ind w:right="634"/>
              <w:jc w:val="right"/>
              <w:rPr>
                <w:sz w:val="20"/>
                <w:lang w:val="en-NZ"/>
              </w:rPr>
            </w:pPr>
            <w:r w:rsidRPr="00CA1467">
              <w:rPr>
                <w:sz w:val="20"/>
                <w:lang w:val="en-NZ"/>
              </w:rPr>
              <w:t>28,556</w:t>
            </w:r>
          </w:p>
        </w:tc>
      </w:tr>
      <w:tr w:rsidR="00AC29E7" w:rsidRPr="00CA1467" w:rsidTr="00F52DEE">
        <w:tc>
          <w:tcPr>
            <w:tcW w:w="2143" w:type="dxa"/>
          </w:tcPr>
          <w:p w:rsidR="00AC29E7" w:rsidRPr="00CA1467" w:rsidRDefault="00AC29E7" w:rsidP="009E4E40">
            <w:pPr>
              <w:spacing w:before="80" w:after="80"/>
              <w:ind w:right="759"/>
              <w:jc w:val="right"/>
              <w:rPr>
                <w:sz w:val="20"/>
                <w:lang w:val="en-NZ"/>
              </w:rPr>
            </w:pPr>
            <w:r w:rsidRPr="00CA1467">
              <w:rPr>
                <w:sz w:val="20"/>
                <w:lang w:val="en-NZ"/>
              </w:rPr>
              <w:t>3</w:t>
            </w:r>
          </w:p>
        </w:tc>
        <w:tc>
          <w:tcPr>
            <w:tcW w:w="2143" w:type="dxa"/>
          </w:tcPr>
          <w:p w:rsidR="00AC29E7" w:rsidRPr="00CA1467" w:rsidRDefault="00AC29E7" w:rsidP="009E4E40">
            <w:pPr>
              <w:spacing w:before="80" w:after="80"/>
              <w:ind w:right="634"/>
              <w:jc w:val="right"/>
              <w:rPr>
                <w:sz w:val="20"/>
                <w:lang w:val="en-NZ"/>
              </w:rPr>
            </w:pPr>
            <w:r w:rsidRPr="00CA1467">
              <w:rPr>
                <w:sz w:val="20"/>
                <w:lang w:val="en-NZ"/>
              </w:rPr>
              <w:t>2,149</w:t>
            </w:r>
          </w:p>
        </w:tc>
      </w:tr>
      <w:tr w:rsidR="00AC29E7" w:rsidRPr="00CA1467" w:rsidTr="00F52DEE">
        <w:tc>
          <w:tcPr>
            <w:tcW w:w="2143" w:type="dxa"/>
          </w:tcPr>
          <w:p w:rsidR="00AC29E7" w:rsidRPr="00CA1467" w:rsidRDefault="00AC29E7" w:rsidP="009E4E40">
            <w:pPr>
              <w:spacing w:before="80" w:after="80"/>
              <w:ind w:right="759"/>
              <w:jc w:val="right"/>
              <w:rPr>
                <w:sz w:val="20"/>
                <w:lang w:val="en-NZ"/>
              </w:rPr>
            </w:pPr>
            <w:r w:rsidRPr="00CA1467">
              <w:rPr>
                <w:sz w:val="20"/>
                <w:lang w:val="en-NZ"/>
              </w:rPr>
              <w:t>4</w:t>
            </w:r>
          </w:p>
        </w:tc>
        <w:tc>
          <w:tcPr>
            <w:tcW w:w="2143" w:type="dxa"/>
          </w:tcPr>
          <w:p w:rsidR="00AC29E7" w:rsidRPr="00CA1467" w:rsidRDefault="00AC29E7" w:rsidP="009E4E40">
            <w:pPr>
              <w:spacing w:before="80" w:after="80"/>
              <w:ind w:right="634"/>
              <w:jc w:val="right"/>
              <w:rPr>
                <w:sz w:val="20"/>
                <w:lang w:val="en-NZ"/>
              </w:rPr>
            </w:pPr>
            <w:r w:rsidRPr="00CA1467">
              <w:rPr>
                <w:sz w:val="20"/>
                <w:lang w:val="en-NZ"/>
              </w:rPr>
              <w:t>992</w:t>
            </w:r>
          </w:p>
        </w:tc>
      </w:tr>
      <w:tr w:rsidR="00AC29E7" w:rsidRPr="00CA1467" w:rsidTr="00F52DEE">
        <w:tc>
          <w:tcPr>
            <w:tcW w:w="2143" w:type="dxa"/>
          </w:tcPr>
          <w:p w:rsidR="00AC29E7" w:rsidRPr="00CA1467" w:rsidRDefault="00AC29E7" w:rsidP="009E4E40">
            <w:pPr>
              <w:spacing w:before="80" w:after="80"/>
              <w:ind w:right="759"/>
              <w:jc w:val="right"/>
              <w:rPr>
                <w:sz w:val="20"/>
                <w:lang w:val="en-NZ"/>
              </w:rPr>
            </w:pPr>
            <w:r w:rsidRPr="00CA1467">
              <w:rPr>
                <w:sz w:val="20"/>
                <w:lang w:val="en-NZ"/>
              </w:rPr>
              <w:t>5</w:t>
            </w:r>
          </w:p>
        </w:tc>
        <w:tc>
          <w:tcPr>
            <w:tcW w:w="2143" w:type="dxa"/>
          </w:tcPr>
          <w:p w:rsidR="00AC29E7" w:rsidRPr="00CA1467" w:rsidRDefault="00AC29E7" w:rsidP="009E4E40">
            <w:pPr>
              <w:spacing w:before="80" w:after="80"/>
              <w:ind w:right="634"/>
              <w:jc w:val="right"/>
              <w:rPr>
                <w:sz w:val="20"/>
                <w:lang w:val="en-NZ"/>
              </w:rPr>
            </w:pPr>
            <w:r w:rsidRPr="00CA1467">
              <w:rPr>
                <w:sz w:val="20"/>
                <w:lang w:val="en-NZ"/>
              </w:rPr>
              <w:t>197</w:t>
            </w:r>
          </w:p>
        </w:tc>
      </w:tr>
      <w:tr w:rsidR="00AC29E7" w:rsidRPr="00CA1467" w:rsidTr="00F52DEE">
        <w:tc>
          <w:tcPr>
            <w:tcW w:w="2143" w:type="dxa"/>
          </w:tcPr>
          <w:p w:rsidR="00AC29E7" w:rsidRPr="00CA1467" w:rsidRDefault="00AC29E7" w:rsidP="009E4E40">
            <w:pPr>
              <w:spacing w:before="80" w:after="80"/>
              <w:ind w:right="759"/>
              <w:jc w:val="right"/>
              <w:rPr>
                <w:sz w:val="20"/>
                <w:lang w:val="en-NZ"/>
              </w:rPr>
            </w:pPr>
            <w:r w:rsidRPr="00CA1467">
              <w:rPr>
                <w:sz w:val="20"/>
                <w:lang w:val="en-NZ"/>
              </w:rPr>
              <w:t>6</w:t>
            </w:r>
          </w:p>
        </w:tc>
        <w:tc>
          <w:tcPr>
            <w:tcW w:w="2143" w:type="dxa"/>
          </w:tcPr>
          <w:p w:rsidR="00AC29E7" w:rsidRPr="00CA1467" w:rsidRDefault="00AC29E7" w:rsidP="009E4E40">
            <w:pPr>
              <w:spacing w:before="80" w:after="80"/>
              <w:ind w:right="634"/>
              <w:jc w:val="right"/>
              <w:rPr>
                <w:sz w:val="20"/>
                <w:lang w:val="en-NZ"/>
              </w:rPr>
            </w:pPr>
            <w:r w:rsidRPr="00CA1467">
              <w:rPr>
                <w:sz w:val="20"/>
                <w:lang w:val="en-NZ"/>
              </w:rPr>
              <w:t>89</w:t>
            </w:r>
          </w:p>
        </w:tc>
      </w:tr>
      <w:tr w:rsidR="00AC29E7" w:rsidRPr="00CA1467" w:rsidTr="00F52DEE">
        <w:tc>
          <w:tcPr>
            <w:tcW w:w="2143" w:type="dxa"/>
          </w:tcPr>
          <w:p w:rsidR="00AC29E7" w:rsidRPr="00CA1467" w:rsidRDefault="00AC29E7" w:rsidP="009E4E40">
            <w:pPr>
              <w:spacing w:before="80" w:after="80"/>
              <w:ind w:right="759"/>
              <w:jc w:val="right"/>
              <w:rPr>
                <w:sz w:val="20"/>
                <w:lang w:val="en-NZ"/>
              </w:rPr>
            </w:pPr>
            <w:r w:rsidRPr="00CA1467">
              <w:rPr>
                <w:sz w:val="20"/>
                <w:lang w:val="en-NZ"/>
              </w:rPr>
              <w:t>7</w:t>
            </w:r>
          </w:p>
        </w:tc>
        <w:tc>
          <w:tcPr>
            <w:tcW w:w="2143" w:type="dxa"/>
          </w:tcPr>
          <w:p w:rsidR="00AC29E7" w:rsidRPr="00CA1467" w:rsidRDefault="00AC29E7" w:rsidP="009E4E40">
            <w:pPr>
              <w:spacing w:before="80" w:after="80"/>
              <w:ind w:right="634"/>
              <w:jc w:val="right"/>
              <w:rPr>
                <w:sz w:val="20"/>
                <w:lang w:val="en-NZ"/>
              </w:rPr>
            </w:pPr>
            <w:r w:rsidRPr="00CA1467">
              <w:rPr>
                <w:sz w:val="20"/>
                <w:lang w:val="en-NZ"/>
              </w:rPr>
              <w:t>20</w:t>
            </w:r>
          </w:p>
        </w:tc>
      </w:tr>
      <w:tr w:rsidR="00AC29E7" w:rsidRPr="00CA1467" w:rsidTr="00F52DEE">
        <w:tc>
          <w:tcPr>
            <w:tcW w:w="2143" w:type="dxa"/>
          </w:tcPr>
          <w:p w:rsidR="00AC29E7" w:rsidRPr="00CA1467" w:rsidRDefault="00AC29E7" w:rsidP="009E4E40">
            <w:pPr>
              <w:spacing w:before="80" w:after="80"/>
              <w:ind w:right="759"/>
              <w:jc w:val="right"/>
              <w:rPr>
                <w:sz w:val="20"/>
                <w:lang w:val="en-NZ"/>
              </w:rPr>
            </w:pPr>
            <w:r w:rsidRPr="00CA1467">
              <w:rPr>
                <w:sz w:val="20"/>
                <w:lang w:val="en-NZ"/>
              </w:rPr>
              <w:t>8</w:t>
            </w:r>
          </w:p>
        </w:tc>
        <w:tc>
          <w:tcPr>
            <w:tcW w:w="2143" w:type="dxa"/>
          </w:tcPr>
          <w:p w:rsidR="00AC29E7" w:rsidRPr="00CA1467" w:rsidRDefault="00AC29E7" w:rsidP="009E4E40">
            <w:pPr>
              <w:spacing w:before="80" w:after="80"/>
              <w:ind w:right="634"/>
              <w:jc w:val="right"/>
              <w:rPr>
                <w:sz w:val="20"/>
                <w:lang w:val="en-NZ"/>
              </w:rPr>
            </w:pPr>
            <w:r w:rsidRPr="00CA1467">
              <w:rPr>
                <w:sz w:val="20"/>
                <w:lang w:val="en-NZ"/>
              </w:rPr>
              <w:t>13</w:t>
            </w:r>
          </w:p>
        </w:tc>
      </w:tr>
      <w:tr w:rsidR="00AC29E7" w:rsidRPr="00CA1467" w:rsidTr="00F52DEE">
        <w:tc>
          <w:tcPr>
            <w:tcW w:w="2143" w:type="dxa"/>
          </w:tcPr>
          <w:p w:rsidR="00AC29E7" w:rsidRPr="00CA1467" w:rsidRDefault="00AC29E7" w:rsidP="009E4E40">
            <w:pPr>
              <w:spacing w:before="80" w:after="80"/>
              <w:ind w:right="759"/>
              <w:jc w:val="right"/>
              <w:rPr>
                <w:sz w:val="20"/>
                <w:lang w:val="en-NZ"/>
              </w:rPr>
            </w:pPr>
            <w:r w:rsidRPr="00CA1467">
              <w:rPr>
                <w:sz w:val="20"/>
                <w:lang w:val="en-NZ"/>
              </w:rPr>
              <w:t>9</w:t>
            </w:r>
          </w:p>
        </w:tc>
        <w:tc>
          <w:tcPr>
            <w:tcW w:w="2143" w:type="dxa"/>
          </w:tcPr>
          <w:p w:rsidR="00AC29E7" w:rsidRPr="00CA1467" w:rsidRDefault="00AC29E7" w:rsidP="009E4E40">
            <w:pPr>
              <w:spacing w:before="80" w:after="80"/>
              <w:ind w:right="634"/>
              <w:jc w:val="right"/>
              <w:rPr>
                <w:sz w:val="20"/>
                <w:lang w:val="en-NZ"/>
              </w:rPr>
            </w:pPr>
            <w:r w:rsidRPr="00CA1467">
              <w:rPr>
                <w:sz w:val="20"/>
                <w:lang w:val="en-NZ"/>
              </w:rPr>
              <w:t>5</w:t>
            </w:r>
          </w:p>
        </w:tc>
      </w:tr>
      <w:tr w:rsidR="00AC29E7" w:rsidRPr="00CA1467" w:rsidTr="00F52DEE">
        <w:tc>
          <w:tcPr>
            <w:tcW w:w="2143" w:type="dxa"/>
          </w:tcPr>
          <w:p w:rsidR="00AC29E7" w:rsidRPr="00CA1467" w:rsidRDefault="00AC29E7" w:rsidP="009E4E40">
            <w:pPr>
              <w:spacing w:before="80" w:after="80"/>
              <w:ind w:right="759"/>
              <w:jc w:val="right"/>
              <w:rPr>
                <w:sz w:val="20"/>
                <w:lang w:val="en-NZ"/>
              </w:rPr>
            </w:pPr>
            <w:r w:rsidRPr="00CA1467">
              <w:rPr>
                <w:sz w:val="20"/>
                <w:lang w:val="en-NZ"/>
              </w:rPr>
              <w:t>10</w:t>
            </w:r>
          </w:p>
        </w:tc>
        <w:tc>
          <w:tcPr>
            <w:tcW w:w="2143" w:type="dxa"/>
          </w:tcPr>
          <w:p w:rsidR="00AC29E7" w:rsidRPr="00CA1467" w:rsidRDefault="00AC29E7" w:rsidP="009E4E40">
            <w:pPr>
              <w:spacing w:before="80" w:after="80"/>
              <w:ind w:right="634"/>
              <w:jc w:val="right"/>
              <w:rPr>
                <w:sz w:val="20"/>
                <w:lang w:val="en-NZ"/>
              </w:rPr>
            </w:pPr>
            <w:r w:rsidRPr="00CA1467">
              <w:rPr>
                <w:sz w:val="20"/>
                <w:lang w:val="en-NZ"/>
              </w:rPr>
              <w:t>1</w:t>
            </w:r>
          </w:p>
        </w:tc>
      </w:tr>
      <w:tr w:rsidR="00AC29E7" w:rsidRPr="00CA1467" w:rsidTr="00F52DEE">
        <w:tc>
          <w:tcPr>
            <w:tcW w:w="2143" w:type="dxa"/>
          </w:tcPr>
          <w:p w:rsidR="00AC29E7" w:rsidRPr="00CA1467" w:rsidRDefault="00AC29E7" w:rsidP="009E4E40">
            <w:pPr>
              <w:spacing w:before="80" w:after="80"/>
              <w:ind w:right="759"/>
              <w:jc w:val="right"/>
              <w:rPr>
                <w:sz w:val="20"/>
                <w:lang w:val="en-NZ"/>
              </w:rPr>
            </w:pPr>
            <w:r w:rsidRPr="00CA1467">
              <w:rPr>
                <w:sz w:val="20"/>
                <w:lang w:val="en-NZ"/>
              </w:rPr>
              <w:t>11</w:t>
            </w:r>
          </w:p>
        </w:tc>
        <w:tc>
          <w:tcPr>
            <w:tcW w:w="2143" w:type="dxa"/>
          </w:tcPr>
          <w:p w:rsidR="00AC29E7" w:rsidRPr="00CA1467" w:rsidRDefault="00AC29E7" w:rsidP="009E4E40">
            <w:pPr>
              <w:spacing w:before="80" w:after="80"/>
              <w:ind w:right="634"/>
              <w:jc w:val="right"/>
              <w:rPr>
                <w:sz w:val="20"/>
                <w:lang w:val="en-NZ"/>
              </w:rPr>
            </w:pPr>
            <w:r w:rsidRPr="00CA1467">
              <w:rPr>
                <w:sz w:val="20"/>
                <w:lang w:val="en-NZ"/>
              </w:rPr>
              <w:t>1</w:t>
            </w:r>
          </w:p>
        </w:tc>
      </w:tr>
    </w:tbl>
    <w:p w:rsidR="003E473F" w:rsidRPr="00CA1467" w:rsidRDefault="003E473F" w:rsidP="003E473F">
      <w:pPr>
        <w:rPr>
          <w:lang w:val="en-NZ"/>
        </w:rPr>
      </w:pPr>
    </w:p>
    <w:p w:rsidR="003E473F" w:rsidRPr="00CA1467" w:rsidRDefault="003E473F" w:rsidP="003E473F">
      <w:pPr>
        <w:rPr>
          <w:lang w:val="en-NZ"/>
        </w:rPr>
      </w:pPr>
    </w:p>
    <w:p w:rsidR="00C11581" w:rsidRDefault="00C11581">
      <w:pPr>
        <w:jc w:val="left"/>
        <w:rPr>
          <w:lang w:val="en-NZ"/>
        </w:rPr>
      </w:pPr>
      <w:r>
        <w:rPr>
          <w:lang w:val="en-NZ"/>
        </w:rPr>
        <w:br w:type="page"/>
      </w:r>
    </w:p>
    <w:p w:rsidR="00AF753F" w:rsidRPr="00CA1467" w:rsidRDefault="00AF753F" w:rsidP="003E473F">
      <w:pPr>
        <w:rPr>
          <w:lang w:val="en-NZ"/>
        </w:rPr>
      </w:pPr>
      <w:r w:rsidRPr="00CA1467">
        <w:rPr>
          <w:lang w:val="en-NZ"/>
        </w:rPr>
        <w:br w:type="page"/>
      </w:r>
    </w:p>
    <w:p w:rsidR="00AF753F" w:rsidRPr="00CA1467" w:rsidRDefault="00AF753F" w:rsidP="00AF753F">
      <w:pPr>
        <w:pStyle w:val="Chapterheading"/>
      </w:pPr>
      <w:bookmarkStart w:id="175" w:name="_Toc429400131"/>
      <w:bookmarkStart w:id="176" w:name="_Toc429409219"/>
      <w:bookmarkStart w:id="177" w:name="_Toc429412478"/>
      <w:bookmarkStart w:id="178" w:name="_Toc429417893"/>
      <w:bookmarkStart w:id="179" w:name="_Toc429420018"/>
      <w:bookmarkStart w:id="180" w:name="_Toc429469499"/>
      <w:r w:rsidRPr="00CA1467">
        <w:t>APPENDIX 2</w:t>
      </w:r>
      <w:bookmarkEnd w:id="175"/>
      <w:bookmarkEnd w:id="176"/>
      <w:bookmarkEnd w:id="177"/>
      <w:bookmarkEnd w:id="178"/>
      <w:bookmarkEnd w:id="179"/>
      <w:bookmarkEnd w:id="180"/>
    </w:p>
    <w:p w:rsidR="00AF753F" w:rsidRPr="00CA1467" w:rsidRDefault="00AF753F" w:rsidP="00AF753F">
      <w:pPr>
        <w:pStyle w:val="Chapterheading"/>
      </w:pPr>
    </w:p>
    <w:p w:rsidR="00AF753F" w:rsidRPr="00CA1467" w:rsidRDefault="00AF753F" w:rsidP="00AF753F">
      <w:pPr>
        <w:pStyle w:val="Chapterheading"/>
        <w:rPr>
          <w:caps w:val="0"/>
        </w:rPr>
      </w:pPr>
      <w:bookmarkStart w:id="181" w:name="_Toc429469500"/>
      <w:r w:rsidRPr="00CA1467">
        <w:rPr>
          <w:caps w:val="0"/>
        </w:rPr>
        <w:t>Alternative deduction limitation rules</w:t>
      </w:r>
      <w:bookmarkEnd w:id="181"/>
    </w:p>
    <w:p w:rsidR="001154E2" w:rsidRPr="00CA1467" w:rsidRDefault="001154E2" w:rsidP="001154E2">
      <w:pPr>
        <w:rPr>
          <w:lang w:val="en-NZ"/>
        </w:rPr>
      </w:pPr>
    </w:p>
    <w:p w:rsidR="00AF753F" w:rsidRPr="00CA1467" w:rsidRDefault="00AF753F" w:rsidP="00AF753F">
      <w:pPr>
        <w:rPr>
          <w:lang w:val="en-NZ"/>
        </w:rPr>
      </w:pPr>
      <w:r w:rsidRPr="00CA1467">
        <w:rPr>
          <w:lang w:val="en-NZ"/>
        </w:rPr>
        <w:t xml:space="preserve">A number of different ways to structure and apply a deduction limitation rule </w:t>
      </w:r>
      <w:proofErr w:type="gramStart"/>
      <w:r w:rsidRPr="00CA1467">
        <w:rPr>
          <w:lang w:val="en-NZ"/>
        </w:rPr>
        <w:t>were considered</w:t>
      </w:r>
      <w:proofErr w:type="gramEnd"/>
      <w:r w:rsidRPr="00CA1467">
        <w:rPr>
          <w:lang w:val="en-NZ"/>
        </w:rPr>
        <w:t xml:space="preserve"> during the course of the review.  These were:</w:t>
      </w:r>
    </w:p>
    <w:p w:rsidR="00AF753F" w:rsidRPr="00CA1467" w:rsidRDefault="00AF753F" w:rsidP="00AF753F">
      <w:pPr>
        <w:rPr>
          <w:lang w:val="en-NZ"/>
        </w:rPr>
      </w:pPr>
    </w:p>
    <w:p w:rsidR="00AF753F" w:rsidRPr="00CA1467" w:rsidRDefault="00AF753F" w:rsidP="00AF753F">
      <w:pPr>
        <w:pStyle w:val="Heading1"/>
      </w:pPr>
      <w:bookmarkStart w:id="182" w:name="_Toc429400133"/>
      <w:bookmarkStart w:id="183" w:name="_Toc429409221"/>
      <w:bookmarkStart w:id="184" w:name="_Toc429412480"/>
      <w:bookmarkStart w:id="185" w:name="_Toc429417895"/>
      <w:bookmarkStart w:id="186" w:name="_Toc429420020"/>
      <w:bookmarkStart w:id="187" w:name="_Toc429469501"/>
      <w:r w:rsidRPr="00CA1467">
        <w:t>“Money at risk” versus “good money”</w:t>
      </w:r>
      <w:bookmarkEnd w:id="182"/>
      <w:bookmarkEnd w:id="183"/>
      <w:bookmarkEnd w:id="184"/>
      <w:bookmarkEnd w:id="185"/>
      <w:bookmarkEnd w:id="186"/>
      <w:bookmarkEnd w:id="187"/>
    </w:p>
    <w:p w:rsidR="00AF753F" w:rsidRPr="00CA1467" w:rsidRDefault="00AF753F" w:rsidP="00AF753F">
      <w:pPr>
        <w:rPr>
          <w:lang w:val="en-NZ"/>
        </w:rPr>
      </w:pPr>
    </w:p>
    <w:p w:rsidR="00AF753F" w:rsidRPr="00CA1467" w:rsidRDefault="00AF753F" w:rsidP="00AF753F">
      <w:pPr>
        <w:rPr>
          <w:lang w:val="en-NZ"/>
        </w:rPr>
      </w:pPr>
      <w:r w:rsidRPr="00CA1467">
        <w:rPr>
          <w:lang w:val="en-NZ"/>
        </w:rPr>
        <w:t xml:space="preserve">An alternative to the current owner’s money at risk approach would be to focus on the “good” money in the business.  Under the “good </w:t>
      </w:r>
      <w:proofErr w:type="gramStart"/>
      <w:r w:rsidRPr="00CA1467">
        <w:rPr>
          <w:lang w:val="en-NZ"/>
        </w:rPr>
        <w:t>money”</w:t>
      </w:r>
      <w:proofErr w:type="gramEnd"/>
      <w:r w:rsidRPr="00CA1467">
        <w:rPr>
          <w:lang w:val="en-NZ"/>
        </w:rPr>
        <w:t xml:space="preserve"> approach deductions could be higher as long as they are genuine.  For example, the owners </w:t>
      </w:r>
      <w:proofErr w:type="gramStart"/>
      <w:r w:rsidRPr="00CA1467">
        <w:rPr>
          <w:lang w:val="en-NZ"/>
        </w:rPr>
        <w:t>would be allowed</w:t>
      </w:r>
      <w:proofErr w:type="gramEnd"/>
      <w:r w:rsidRPr="00CA1467">
        <w:rPr>
          <w:lang w:val="en-NZ"/>
        </w:rPr>
        <w:t xml:space="preserve"> more deductions to the extent that the LTC has loans from third parties that are not subject to any security or guarantee provided by its owners.  A prime example of such third party financing would be negative pledge financing from a bank – this is genuine business financing but is not money that the owners have at risk.  Deductions </w:t>
      </w:r>
      <w:proofErr w:type="gramStart"/>
      <w:r w:rsidRPr="00CA1467">
        <w:rPr>
          <w:lang w:val="en-NZ"/>
        </w:rPr>
        <w:t>would be allowed</w:t>
      </w:r>
      <w:proofErr w:type="gramEnd"/>
      <w:r w:rsidRPr="00CA1467">
        <w:rPr>
          <w:lang w:val="en-NZ"/>
        </w:rPr>
        <w:t xml:space="preserve"> for a standard company but could not be passed through to shareholders to offset against their other income.  In most cases, however, lenders would require security on any lending in which case the “at risk” and “good money” approaches should be broadly comparable.</w:t>
      </w:r>
    </w:p>
    <w:p w:rsidR="00AF753F" w:rsidRPr="00CA1467" w:rsidRDefault="00AF753F" w:rsidP="00AF753F">
      <w:pPr>
        <w:rPr>
          <w:lang w:val="en-NZ"/>
        </w:rPr>
      </w:pPr>
    </w:p>
    <w:p w:rsidR="00AF753F" w:rsidRPr="00CA1467" w:rsidRDefault="00AF753F" w:rsidP="00AF753F">
      <w:pPr>
        <w:pStyle w:val="Heading1"/>
      </w:pPr>
      <w:bookmarkStart w:id="188" w:name="_Toc429400134"/>
      <w:bookmarkStart w:id="189" w:name="_Toc429409222"/>
      <w:bookmarkStart w:id="190" w:name="_Toc429412481"/>
      <w:bookmarkStart w:id="191" w:name="_Toc429417896"/>
      <w:bookmarkStart w:id="192" w:name="_Toc429420021"/>
      <w:bookmarkStart w:id="193" w:name="_Toc429469502"/>
      <w:r w:rsidRPr="00CA1467">
        <w:t>Per LTC or per owner</w:t>
      </w:r>
      <w:bookmarkEnd w:id="188"/>
      <w:bookmarkEnd w:id="189"/>
      <w:bookmarkEnd w:id="190"/>
      <w:bookmarkEnd w:id="191"/>
      <w:bookmarkEnd w:id="192"/>
      <w:bookmarkEnd w:id="193"/>
    </w:p>
    <w:p w:rsidR="00AF753F" w:rsidRPr="00CA1467" w:rsidRDefault="00AF753F" w:rsidP="00AF753F">
      <w:pPr>
        <w:rPr>
          <w:lang w:val="en-NZ"/>
        </w:rPr>
      </w:pPr>
    </w:p>
    <w:p w:rsidR="00AF753F" w:rsidRPr="00CA1467" w:rsidRDefault="00AF753F" w:rsidP="00AF753F">
      <w:pPr>
        <w:rPr>
          <w:lang w:val="en-NZ"/>
        </w:rPr>
      </w:pPr>
      <w:r w:rsidRPr="00CA1467">
        <w:rPr>
          <w:lang w:val="en-NZ"/>
        </w:rPr>
        <w:t xml:space="preserve">The current rule calculates </w:t>
      </w:r>
      <w:proofErr w:type="gramStart"/>
      <w:r w:rsidRPr="00CA1467">
        <w:rPr>
          <w:lang w:val="en-NZ"/>
        </w:rPr>
        <w:t>each owner’s “money at risk” and limits their</w:t>
      </w:r>
      <w:proofErr w:type="gramEnd"/>
      <w:r w:rsidRPr="00CA1467">
        <w:rPr>
          <w:lang w:val="en-NZ"/>
        </w:rPr>
        <w:t xml:space="preserve"> deductions to that amount.  The rule </w:t>
      </w:r>
      <w:proofErr w:type="gramStart"/>
      <w:r w:rsidRPr="00CA1467">
        <w:rPr>
          <w:lang w:val="en-NZ"/>
        </w:rPr>
        <w:t>could alternatively be calculated</w:t>
      </w:r>
      <w:proofErr w:type="gramEnd"/>
      <w:r w:rsidRPr="00CA1467">
        <w:rPr>
          <w:lang w:val="en-NZ"/>
        </w:rPr>
        <w:t xml:space="preserve"> on a per LTC basis, which may be simpler.  Under the per LTC approach any restrictions on deductions would automatically flow through to owners according to their shareholding, irrespective of the amount that each owner has at risk.</w:t>
      </w:r>
    </w:p>
    <w:p w:rsidR="00AF753F" w:rsidRPr="00CA1467" w:rsidRDefault="00AF753F" w:rsidP="00AF753F">
      <w:pPr>
        <w:rPr>
          <w:lang w:val="en-NZ"/>
        </w:rPr>
      </w:pPr>
    </w:p>
    <w:p w:rsidR="00AF753F" w:rsidRPr="00CA1467" w:rsidRDefault="00AF753F" w:rsidP="00AF753F">
      <w:pPr>
        <w:rPr>
          <w:lang w:val="en-NZ"/>
        </w:rPr>
      </w:pPr>
      <w:r w:rsidRPr="00CA1467">
        <w:rPr>
          <w:lang w:val="en-NZ"/>
        </w:rPr>
        <w:t>A possible drawback to this approach is that it could produce a different allocation than under the current rule when owners have provided differing levels of lending or guarantees.  This might lead to negotiations among owners to maintain relativities.  The rule would ignore this aspect.</w:t>
      </w:r>
    </w:p>
    <w:p w:rsidR="00AF753F" w:rsidRPr="00CA1467" w:rsidRDefault="00AF753F" w:rsidP="00AF753F">
      <w:pPr>
        <w:rPr>
          <w:lang w:val="en-NZ"/>
        </w:rPr>
      </w:pPr>
    </w:p>
    <w:p w:rsidR="00AF753F" w:rsidRPr="00CA1467" w:rsidRDefault="00AF753F" w:rsidP="00AF753F">
      <w:pPr>
        <w:rPr>
          <w:lang w:val="en-NZ"/>
        </w:rPr>
      </w:pPr>
      <w:r w:rsidRPr="00CA1467">
        <w:rPr>
          <w:lang w:val="en-NZ"/>
        </w:rPr>
        <w:t>A further issue is where there is a change of shareholding in the LTC – the new owner would have a different “owner’s basis” and reconciling this may not be easy.</w:t>
      </w:r>
    </w:p>
    <w:p w:rsidR="00AF753F" w:rsidRPr="00CA1467" w:rsidRDefault="00AF753F" w:rsidP="00AF753F">
      <w:pPr>
        <w:rPr>
          <w:lang w:val="en-NZ"/>
        </w:rPr>
      </w:pPr>
    </w:p>
    <w:p w:rsidR="00AF753F" w:rsidRPr="00CA1467" w:rsidRDefault="00AF753F" w:rsidP="00AF753F">
      <w:pPr>
        <w:pStyle w:val="Heading1"/>
      </w:pPr>
      <w:bookmarkStart w:id="194" w:name="_Toc429400135"/>
      <w:bookmarkStart w:id="195" w:name="_Toc429409223"/>
      <w:bookmarkStart w:id="196" w:name="_Toc429412482"/>
      <w:bookmarkStart w:id="197" w:name="_Toc429417897"/>
      <w:bookmarkStart w:id="198" w:name="_Toc429420022"/>
      <w:bookmarkStart w:id="199" w:name="_Toc429469503"/>
      <w:r w:rsidRPr="00CA1467">
        <w:t>Starting with shareholders’ funds</w:t>
      </w:r>
      <w:bookmarkEnd w:id="194"/>
      <w:bookmarkEnd w:id="195"/>
      <w:bookmarkEnd w:id="196"/>
      <w:bookmarkEnd w:id="197"/>
      <w:bookmarkEnd w:id="198"/>
      <w:bookmarkEnd w:id="199"/>
    </w:p>
    <w:p w:rsidR="00AF753F" w:rsidRPr="00CA1467" w:rsidRDefault="00AF753F" w:rsidP="00AF753F">
      <w:pPr>
        <w:rPr>
          <w:lang w:val="en-NZ"/>
        </w:rPr>
      </w:pPr>
    </w:p>
    <w:p w:rsidR="00AF753F" w:rsidRPr="00CA1467" w:rsidRDefault="00AF753F" w:rsidP="00AF753F">
      <w:pPr>
        <w:rPr>
          <w:lang w:val="en-NZ"/>
        </w:rPr>
      </w:pPr>
      <w:r w:rsidRPr="00CA1467">
        <w:rPr>
          <w:lang w:val="en-NZ"/>
        </w:rPr>
        <w:t>Using shareholders’ funds at year</w:t>
      </w:r>
      <w:r w:rsidR="00F52DEE" w:rsidRPr="00CA1467">
        <w:rPr>
          <w:lang w:val="en-NZ"/>
        </w:rPr>
        <w:t>-</w:t>
      </w:r>
      <w:r w:rsidRPr="00CA1467">
        <w:rPr>
          <w:lang w:val="en-NZ"/>
        </w:rPr>
        <w:t>end, as taken from the annual accounts, as the starting point rather than adding investments and other inflows, less outflows, since inception of the LTC could be simpler in the longer term.  Net shareholders’ funds automatically takes realised capital gains into account but there would need to be adjustments to deduct:</w:t>
      </w:r>
    </w:p>
    <w:p w:rsidR="00AF753F" w:rsidRPr="00CA1467" w:rsidRDefault="00AF753F" w:rsidP="00AF753F">
      <w:pPr>
        <w:rPr>
          <w:lang w:val="en-NZ"/>
        </w:rPr>
      </w:pPr>
    </w:p>
    <w:p w:rsidR="00AF753F" w:rsidRPr="00CA1467" w:rsidRDefault="00AF753F" w:rsidP="00CA1467">
      <w:pPr>
        <w:pStyle w:val="Bullets-Noindent"/>
      </w:pPr>
      <w:r w:rsidRPr="00CA1467">
        <w:t>any revaluations of assets other than real property;</w:t>
      </w:r>
    </w:p>
    <w:p w:rsidR="00AF753F" w:rsidRPr="00CA1467" w:rsidRDefault="00AF753F" w:rsidP="00CA1467">
      <w:pPr>
        <w:pStyle w:val="Bullets-Noindent"/>
      </w:pPr>
      <w:r w:rsidRPr="00CA1467">
        <w:t>overdrawn shareholders</w:t>
      </w:r>
      <w:r w:rsidR="002573D7" w:rsidRPr="00CA1467">
        <w:t>’</w:t>
      </w:r>
      <w:r w:rsidRPr="00CA1467">
        <w:t xml:space="preserve"> current accounts and any loans to associates of shareholders;</w:t>
      </w:r>
    </w:p>
    <w:p w:rsidR="00AF753F" w:rsidRPr="00CA1467" w:rsidRDefault="00AF753F" w:rsidP="00CA1467">
      <w:pPr>
        <w:pStyle w:val="Bullets-Noindent"/>
      </w:pPr>
      <w:r w:rsidRPr="00CA1467">
        <w:t>any unrecorded impairment where assets are significantly overvalued; and</w:t>
      </w:r>
    </w:p>
    <w:p w:rsidR="00AF753F" w:rsidRPr="00CA1467" w:rsidRDefault="00AF753F" w:rsidP="00CA1467">
      <w:pPr>
        <w:pStyle w:val="Bullets-Noindent"/>
      </w:pPr>
      <w:proofErr w:type="gramStart"/>
      <w:r w:rsidRPr="00CA1467">
        <w:t>intangible</w:t>
      </w:r>
      <w:proofErr w:type="gramEnd"/>
      <w:r w:rsidRPr="00CA1467">
        <w:t xml:space="preserve"> assets owned by the LTC.</w:t>
      </w:r>
    </w:p>
    <w:p w:rsidR="00AF753F" w:rsidRPr="00CA1467" w:rsidRDefault="00AF753F" w:rsidP="00AF753F">
      <w:pPr>
        <w:rPr>
          <w:lang w:val="en-NZ"/>
        </w:rPr>
      </w:pPr>
    </w:p>
    <w:p w:rsidR="00AF753F" w:rsidRPr="00CA1467" w:rsidRDefault="00AF753F" w:rsidP="00AF753F">
      <w:pPr>
        <w:rPr>
          <w:lang w:val="en-NZ"/>
        </w:rPr>
      </w:pPr>
      <w:r w:rsidRPr="00CA1467">
        <w:rPr>
          <w:lang w:val="en-NZ"/>
        </w:rPr>
        <w:t xml:space="preserve">To this would need to </w:t>
      </w:r>
      <w:proofErr w:type="gramStart"/>
      <w:r w:rsidRPr="00CA1467">
        <w:rPr>
          <w:lang w:val="en-NZ"/>
        </w:rPr>
        <w:t>be added</w:t>
      </w:r>
      <w:proofErr w:type="gramEnd"/>
      <w:r w:rsidRPr="00CA1467">
        <w:rPr>
          <w:lang w:val="en-NZ"/>
        </w:rPr>
        <w:t>:</w:t>
      </w:r>
    </w:p>
    <w:p w:rsidR="00AF753F" w:rsidRPr="00CA1467" w:rsidRDefault="00AF753F" w:rsidP="00AF753F">
      <w:pPr>
        <w:rPr>
          <w:lang w:val="en-NZ"/>
        </w:rPr>
      </w:pPr>
    </w:p>
    <w:p w:rsidR="00AF753F" w:rsidRPr="00CA1467" w:rsidRDefault="00AF753F" w:rsidP="00CA1467">
      <w:pPr>
        <w:pStyle w:val="Bullets-Noindent"/>
      </w:pPr>
      <w:r w:rsidRPr="00CA1467">
        <w:t>loans from shareholders or associated non-corporate persons; and</w:t>
      </w:r>
    </w:p>
    <w:p w:rsidR="00AF753F" w:rsidRPr="00CA1467" w:rsidRDefault="00AF753F" w:rsidP="00CA1467">
      <w:pPr>
        <w:pStyle w:val="Bullets-Noindent"/>
      </w:pPr>
      <w:proofErr w:type="gramStart"/>
      <w:r w:rsidRPr="00CA1467">
        <w:t>loans</w:t>
      </w:r>
      <w:proofErr w:type="gramEnd"/>
      <w:r w:rsidRPr="00CA1467">
        <w:t xml:space="preserve"> to the LTC that are not already counted that are unconditionally guaranteed by the shareholders or persons of substance associated with the shareholders.</w:t>
      </w:r>
    </w:p>
    <w:sectPr w:rsidR="00AF753F" w:rsidRPr="00CA1467" w:rsidSect="00B84DB1">
      <w:pgSz w:w="11906" w:h="16838" w:code="9"/>
      <w:pgMar w:top="1134" w:right="1797" w:bottom="1134" w:left="1797" w:header="709" w:footer="42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BF6" w:rsidRDefault="00134BF6">
      <w:r>
        <w:separator/>
      </w:r>
    </w:p>
  </w:endnote>
  <w:endnote w:type="continuationSeparator" w:id="0">
    <w:p w:rsidR="00134BF6" w:rsidRDefault="00134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BF6" w:rsidRDefault="00134BF6" w:rsidP="00725975">
    <w:pPr>
      <w:pStyle w:val="Footer"/>
      <w:tabs>
        <w:tab w:val="clear" w:pos="4153"/>
      </w:tabs>
      <w:ind w:right="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BF6" w:rsidRDefault="00134BF6" w:rsidP="0003164B">
    <w:pPr>
      <w:pStyle w:val="Footer"/>
      <w:tabs>
        <w:tab w:val="clear" w:pos="4153"/>
      </w:tabs>
      <w:ind w:right="32"/>
      <w:jc w:val="center"/>
    </w:pPr>
    <w:r>
      <w:rPr>
        <w:rStyle w:val="PageNumber"/>
      </w:rPr>
      <w:fldChar w:fldCharType="begin"/>
    </w:r>
    <w:r>
      <w:rPr>
        <w:rStyle w:val="PageNumber"/>
      </w:rPr>
      <w:instrText xml:space="preserve"> PAGE </w:instrText>
    </w:r>
    <w:r>
      <w:rPr>
        <w:rStyle w:val="PageNumber"/>
      </w:rPr>
      <w:fldChar w:fldCharType="separate"/>
    </w:r>
    <w:r w:rsidR="001B2E8D">
      <w:rPr>
        <w:rStyle w:val="PageNumber"/>
        <w:noProof/>
      </w:rPr>
      <w:t>60</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BF6" w:rsidRPr="0003164B" w:rsidRDefault="00134BF6" w:rsidP="00D40DEA">
    <w:pPr>
      <w:pStyle w:val="Footer"/>
      <w:tabs>
        <w:tab w:val="clear" w:pos="4153"/>
        <w:tab w:val="center" w:pos="4156"/>
      </w:tabs>
      <w:jc w:val="center"/>
    </w:pPr>
    <w:r>
      <w:rPr>
        <w:rStyle w:val="PageNumber"/>
      </w:rPr>
      <w:fldChar w:fldCharType="begin"/>
    </w:r>
    <w:r>
      <w:rPr>
        <w:rStyle w:val="PageNumber"/>
      </w:rPr>
      <w:instrText xml:space="preserve"> PAGE </w:instrText>
    </w:r>
    <w:r>
      <w:rPr>
        <w:rStyle w:val="PageNumber"/>
      </w:rPr>
      <w:fldChar w:fldCharType="separate"/>
    </w:r>
    <w:r w:rsidR="001B2E8D">
      <w:rPr>
        <w:rStyle w:val="PageNumber"/>
        <w:noProof/>
      </w:rPr>
      <w:t>61</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BF6" w:rsidRPr="00750878" w:rsidRDefault="00134BF6" w:rsidP="00096603">
    <w:pPr>
      <w:pStyle w:val="Footer"/>
      <w:jc w:val="center"/>
      <w:rPr>
        <w:sz w:val="22"/>
        <w:szCs w:val="22"/>
      </w:rPr>
    </w:pPr>
    <w:r w:rsidRPr="00750878">
      <w:rPr>
        <w:sz w:val="22"/>
        <w:szCs w:val="22"/>
      </w:rPr>
      <w:fldChar w:fldCharType="begin"/>
    </w:r>
    <w:r w:rsidRPr="00620617">
      <w:rPr>
        <w:rStyle w:val="PageNumber"/>
      </w:rPr>
      <w:instrText xml:space="preserve"> PAGE </w:instrText>
    </w:r>
    <w:r w:rsidRPr="00750878">
      <w:rPr>
        <w:sz w:val="22"/>
        <w:szCs w:val="22"/>
      </w:rPr>
      <w:fldChar w:fldCharType="separate"/>
    </w:r>
    <w:r w:rsidR="001B2E8D">
      <w:rPr>
        <w:rStyle w:val="PageNumber"/>
        <w:noProof/>
      </w:rPr>
      <w:t>31</w:t>
    </w:r>
    <w:r w:rsidRPr="00750878">
      <w:rPr>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BF6" w:rsidRDefault="00134BF6">
      <w:r>
        <w:separator/>
      </w:r>
    </w:p>
  </w:footnote>
  <w:footnote w:type="continuationSeparator" w:id="0">
    <w:p w:rsidR="00134BF6" w:rsidRDefault="00134BF6">
      <w:r>
        <w:continuationSeparator/>
      </w:r>
    </w:p>
  </w:footnote>
  <w:footnote w:id="1">
    <w:p w:rsidR="00134BF6" w:rsidRDefault="00134BF6" w:rsidP="007416AC">
      <w:pPr>
        <w:pStyle w:val="FootnoteText"/>
      </w:pPr>
      <w:r>
        <w:rPr>
          <w:rStyle w:val="FootnoteReference"/>
        </w:rPr>
        <w:footnoteRef/>
      </w:r>
      <w:r>
        <w:t xml:space="preserve"> </w:t>
      </w:r>
      <w:proofErr w:type="gramStart"/>
      <w:r w:rsidRPr="008430AF">
        <w:t>Based on companies filing tax returns</w:t>
      </w:r>
      <w:r>
        <w:t>.</w:t>
      </w:r>
      <w:proofErr w:type="gramEnd"/>
    </w:p>
  </w:footnote>
  <w:footnote w:id="2">
    <w:p w:rsidR="00134BF6" w:rsidRDefault="00134BF6" w:rsidP="00281331">
      <w:pPr>
        <w:pStyle w:val="FootnoteText"/>
      </w:pPr>
      <w:r>
        <w:rPr>
          <w:rStyle w:val="FootnoteReference"/>
        </w:rPr>
        <w:footnoteRef/>
      </w:r>
      <w:r>
        <w:t xml:space="preserve"> Tax preferred income is income received by a company where New Zealand company tax </w:t>
      </w:r>
      <w:proofErr w:type="gramStart"/>
      <w:r>
        <w:t>is either lightly imposed, or not imposed at all</w:t>
      </w:r>
      <w:proofErr w:type="gramEnd"/>
      <w:r>
        <w:t>.</w:t>
      </w:r>
    </w:p>
  </w:footnote>
  <w:footnote w:id="3">
    <w:p w:rsidR="00134BF6" w:rsidRDefault="00134BF6">
      <w:pPr>
        <w:pStyle w:val="FootnoteText"/>
      </w:pPr>
      <w:r>
        <w:rPr>
          <w:rStyle w:val="FootnoteReference"/>
        </w:rPr>
        <w:footnoteRef/>
      </w:r>
      <w:r>
        <w:t xml:space="preserve"> Counted owners are the owners of the LTC.  A LTC can have no more than five counted owners.</w:t>
      </w:r>
    </w:p>
  </w:footnote>
  <w:footnote w:id="4">
    <w:p w:rsidR="00134BF6" w:rsidRDefault="00134BF6">
      <w:pPr>
        <w:pStyle w:val="FootnoteText"/>
      </w:pPr>
      <w:r>
        <w:rPr>
          <w:rStyle w:val="FootnoteReference"/>
        </w:rPr>
        <w:footnoteRef/>
      </w:r>
      <w:r>
        <w:t xml:space="preserve"> </w:t>
      </w:r>
      <w:r w:rsidRPr="002F07CC">
        <w:t xml:space="preserve">Capital gains become “tainted” gains when a company sells a capital asset to a person or </w:t>
      </w:r>
      <w:proofErr w:type="gramStart"/>
      <w:r w:rsidRPr="002F07CC">
        <w:t>entity which</w:t>
      </w:r>
      <w:proofErr w:type="gramEnd"/>
      <w:r w:rsidRPr="002F07CC">
        <w:t xml:space="preserve"> is a related person.  Tainted gains are taxable in the hands of shareholders.</w:t>
      </w:r>
    </w:p>
  </w:footnote>
  <w:footnote w:id="5">
    <w:p w:rsidR="00134BF6" w:rsidRDefault="00134BF6" w:rsidP="002F07CC">
      <w:pPr>
        <w:pStyle w:val="FootnoteText"/>
      </w:pPr>
      <w:r>
        <w:rPr>
          <w:rStyle w:val="FootnoteReference"/>
        </w:rPr>
        <w:footnoteRef/>
      </w:r>
      <w:r>
        <w:t xml:space="preserve"> In designing the appropriate tax treatment for entities, and in particular closely held companies, some key issues are:</w:t>
      </w:r>
    </w:p>
    <w:p w:rsidR="00134BF6" w:rsidRDefault="00134BF6" w:rsidP="00620617">
      <w:pPr>
        <w:pStyle w:val="FootnoteText"/>
        <w:numPr>
          <w:ilvl w:val="0"/>
          <w:numId w:val="30"/>
        </w:numPr>
        <w:ind w:left="142" w:hanging="142"/>
      </w:pPr>
      <w:r>
        <w:t>when to allow tax preferences generated by an entity to flow through to the owners of the entity;</w:t>
      </w:r>
    </w:p>
    <w:p w:rsidR="00134BF6" w:rsidRDefault="00134BF6" w:rsidP="00620617">
      <w:pPr>
        <w:pStyle w:val="FootnoteText"/>
        <w:numPr>
          <w:ilvl w:val="0"/>
          <w:numId w:val="30"/>
        </w:numPr>
        <w:ind w:left="142" w:hanging="142"/>
      </w:pPr>
      <w:r>
        <w:t>if tax preferences are allowed to flow through, should there be restrictions on the ability to earn offshore income because when an ordinary company earns tax preferred offshore income this preference is clawed back on distribution; and</w:t>
      </w:r>
    </w:p>
    <w:p w:rsidR="00134BF6" w:rsidRDefault="00134BF6" w:rsidP="00750878">
      <w:pPr>
        <w:pStyle w:val="FootnoteText"/>
        <w:numPr>
          <w:ilvl w:val="0"/>
          <w:numId w:val="30"/>
        </w:numPr>
        <w:ind w:left="142" w:hanging="142"/>
      </w:pPr>
      <w:proofErr w:type="gramStart"/>
      <w:r>
        <w:t>how</w:t>
      </w:r>
      <w:proofErr w:type="gramEnd"/>
      <w:r>
        <w:t xml:space="preserve"> to treat losses, and to ensure that only true economic losses are deductible.</w:t>
      </w:r>
    </w:p>
  </w:footnote>
  <w:footnote w:id="6">
    <w:p w:rsidR="00134BF6" w:rsidRDefault="00134BF6">
      <w:pPr>
        <w:pStyle w:val="FootnoteText"/>
      </w:pPr>
      <w:r>
        <w:rPr>
          <w:rStyle w:val="FootnoteReference"/>
        </w:rPr>
        <w:footnoteRef/>
      </w:r>
      <w:r>
        <w:t xml:space="preserve"> One tax treatment for all entities would require a fully integrated company tax system whereby company profits are attributed to shareholders and taxed directly in their hands in a similar way to the profits of a partnership </w:t>
      </w:r>
      <w:proofErr w:type="gramStart"/>
      <w:r>
        <w:t>being taxed</w:t>
      </w:r>
      <w:proofErr w:type="gramEnd"/>
      <w:r>
        <w:t xml:space="preserve"> in the hands of the partners.  Full integration </w:t>
      </w:r>
      <w:proofErr w:type="gramStart"/>
      <w:r>
        <w:t>was rejected</w:t>
      </w:r>
      <w:proofErr w:type="gramEnd"/>
      <w:r>
        <w:t xml:space="preserve"> as an option in the mid-1980s and we would not recommend revisiting this issue.</w:t>
      </w:r>
    </w:p>
  </w:footnote>
  <w:footnote w:id="7">
    <w:p w:rsidR="00134BF6" w:rsidRDefault="00134BF6" w:rsidP="005C4C96">
      <w:pPr>
        <w:pStyle w:val="FootnoteText"/>
      </w:pPr>
      <w:r>
        <w:rPr>
          <w:rStyle w:val="FootnoteReference"/>
        </w:rPr>
        <w:footnoteRef/>
      </w:r>
      <w:r>
        <w:t xml:space="preserve"> </w:t>
      </w:r>
      <w:proofErr w:type="gramStart"/>
      <w:r w:rsidRPr="002F07CC">
        <w:t>Loss attributing qualifying companies (LAQCs) were</w:t>
      </w:r>
      <w:proofErr w:type="gramEnd"/>
      <w:r w:rsidRPr="002F07CC">
        <w:t xml:space="preserve"> a form of QC that enabled losses to flow through to shareholders.  Most QCs (around 95</w:t>
      </w:r>
      <w:r>
        <w:t xml:space="preserve"> percent</w:t>
      </w:r>
      <w:r w:rsidRPr="002F07CC">
        <w:t xml:space="preserve">) were LAQCs.  As Table </w:t>
      </w:r>
      <w:r>
        <w:t>9</w:t>
      </w:r>
      <w:r w:rsidRPr="002F07CC">
        <w:t xml:space="preserve"> in </w:t>
      </w:r>
      <w:r>
        <w:t>A</w:t>
      </w:r>
      <w:r w:rsidRPr="002F07CC">
        <w:t xml:space="preserve">ppendix </w:t>
      </w:r>
      <w:r>
        <w:t xml:space="preserve">1 </w:t>
      </w:r>
      <w:r w:rsidRPr="002F07CC">
        <w:t>shows, around half of LAQCs have retained their QC status, around a third have become LTCs while the rest are either carrying on business in another form (for example, as an ordinary company) or have ceased business.</w:t>
      </w:r>
    </w:p>
  </w:footnote>
  <w:footnote w:id="8">
    <w:p w:rsidR="00134BF6" w:rsidRDefault="00134BF6">
      <w:pPr>
        <w:pStyle w:val="FootnoteText"/>
      </w:pPr>
      <w:r>
        <w:rPr>
          <w:rStyle w:val="FootnoteReference"/>
        </w:rPr>
        <w:footnoteRef/>
      </w:r>
      <w:r>
        <w:t xml:space="preserve"> </w:t>
      </w:r>
      <w:r w:rsidRPr="008300C6">
        <w:t xml:space="preserve">For tax </w:t>
      </w:r>
      <w:proofErr w:type="gramStart"/>
      <w:r w:rsidRPr="008300C6">
        <w:t>purposes</w:t>
      </w:r>
      <w:proofErr w:type="gramEnd"/>
      <w:r w:rsidRPr="008300C6">
        <w:t xml:space="preserve"> a partnership includes not only relationships covered by the Partnership Act 1908 but also certain joint ventures and the co-ownership of property.</w:t>
      </w:r>
    </w:p>
  </w:footnote>
  <w:footnote w:id="9">
    <w:p w:rsidR="00134BF6" w:rsidRDefault="00134BF6" w:rsidP="008300C6">
      <w:pPr>
        <w:pStyle w:val="FootnoteText"/>
      </w:pPr>
      <w:r>
        <w:rPr>
          <w:rStyle w:val="FootnoteReference"/>
        </w:rPr>
        <w:footnoteRef/>
      </w:r>
      <w:r>
        <w:t xml:space="preserve"> This </w:t>
      </w:r>
      <w:proofErr w:type="gramStart"/>
      <w:r>
        <w:t>was compared</w:t>
      </w:r>
      <w:proofErr w:type="gramEnd"/>
      <w:r>
        <w:t xml:space="preserve"> with the treatment as a sole trader or partnership.</w:t>
      </w:r>
    </w:p>
  </w:footnote>
  <w:footnote w:id="10">
    <w:p w:rsidR="00134BF6" w:rsidRDefault="00134BF6">
      <w:pPr>
        <w:pStyle w:val="FootnoteText"/>
      </w:pPr>
      <w:r>
        <w:rPr>
          <w:rStyle w:val="FootnoteReference"/>
        </w:rPr>
        <w:footnoteRef/>
      </w:r>
      <w:r>
        <w:t xml:space="preserve"> The non-alignment of the company tax rate and top personal rate provided a potential incentive to defer distributing a QC’s taxable income to shareholders on personal rates above the company rate, whereas losses </w:t>
      </w:r>
      <w:proofErr w:type="gramStart"/>
      <w:r>
        <w:t>could be automatically passed through</w:t>
      </w:r>
      <w:proofErr w:type="gramEnd"/>
      <w:r>
        <w:t xml:space="preserve"> to those shareholders to be offset against their other income.</w:t>
      </w:r>
    </w:p>
  </w:footnote>
  <w:footnote w:id="11">
    <w:p w:rsidR="00134BF6" w:rsidRDefault="00134BF6" w:rsidP="008300C6">
      <w:pPr>
        <w:pStyle w:val="FootnoteText"/>
      </w:pPr>
      <w:r>
        <w:rPr>
          <w:rStyle w:val="FootnoteReference"/>
        </w:rPr>
        <w:footnoteRef/>
      </w:r>
      <w:r>
        <w:t xml:space="preserve"> Loss trading occurs when an arrangement </w:t>
      </w:r>
      <w:proofErr w:type="gramStart"/>
      <w:r>
        <w:t>is made</w:t>
      </w:r>
      <w:proofErr w:type="gramEnd"/>
      <w:r>
        <w:t xml:space="preserve"> whereby taxpayer(s) who do not hold an economic interest in an entity, such as a LTC, that has made a tax loss are able to deduct the loss against their other income.  The arrangement is invariably tax driven rather than related to any wider commercial return.  The government loses revenue </w:t>
      </w:r>
      <w:proofErr w:type="gramStart"/>
      <w:r>
        <w:t>as a result</w:t>
      </w:r>
      <w:proofErr w:type="gramEnd"/>
      <w:r>
        <w:t xml:space="preserve"> of the sheltering of the income of the unrelated taxpayer(s).</w:t>
      </w:r>
    </w:p>
  </w:footnote>
  <w:footnote w:id="12">
    <w:p w:rsidR="00134BF6" w:rsidRDefault="00134BF6">
      <w:pPr>
        <w:pStyle w:val="FootnoteText"/>
      </w:pPr>
      <w:r>
        <w:rPr>
          <w:rStyle w:val="FootnoteReference"/>
        </w:rPr>
        <w:footnoteRef/>
      </w:r>
      <w:r>
        <w:t xml:space="preserve"> Although typically individuals do not carry on overseas business through branches and do not very </w:t>
      </w:r>
      <w:proofErr w:type="gramStart"/>
      <w:r>
        <w:t>often</w:t>
      </w:r>
      <w:proofErr w:type="gramEnd"/>
      <w:r>
        <w:t xml:space="preserve"> carry out business through directly owned CFCs.</w:t>
      </w:r>
    </w:p>
  </w:footnote>
  <w:footnote w:id="13">
    <w:p w:rsidR="00134BF6" w:rsidRDefault="00134BF6" w:rsidP="008300C6">
      <w:pPr>
        <w:pStyle w:val="FootnoteText"/>
      </w:pPr>
      <w:r>
        <w:rPr>
          <w:rStyle w:val="FootnoteReference"/>
        </w:rPr>
        <w:footnoteRef/>
      </w:r>
      <w:r>
        <w:t xml:space="preserve"> The Valabh Committee favoured the qualifying company approach over directly attributing the income and expenditure of closely held companies to individual shareholders because they considered that it would be simpler and cover a potentially wider group given that some companies would have more than one class of share.</w:t>
      </w:r>
    </w:p>
  </w:footnote>
  <w:footnote w:id="14">
    <w:p w:rsidR="00134BF6" w:rsidRDefault="00134BF6">
      <w:pPr>
        <w:pStyle w:val="FootnoteText"/>
      </w:pPr>
      <w:r>
        <w:rPr>
          <w:rStyle w:val="FootnoteReference"/>
        </w:rPr>
        <w:footnoteRef/>
      </w:r>
      <w:r>
        <w:t xml:space="preserve"> The taxation of capital gains was suggested even on liquidation in the Government </w:t>
      </w:r>
      <w:r w:rsidRPr="00EB224E">
        <w:rPr>
          <w:i/>
        </w:rPr>
        <w:t>Consultative Document on Full Imputation</w:t>
      </w:r>
      <w:r>
        <w:t xml:space="preserve"> (December 1987) but was recommended against by the subsequent Consultative Committee (see </w:t>
      </w:r>
      <w:r w:rsidRPr="00EB224E">
        <w:rPr>
          <w:i/>
        </w:rPr>
        <w:t>Full Imputation – Report of the Consultative Committee</w:t>
      </w:r>
      <w:r>
        <w:t xml:space="preserve"> (April 1988)).</w:t>
      </w:r>
    </w:p>
  </w:footnote>
  <w:footnote w:id="15">
    <w:p w:rsidR="00134BF6" w:rsidRDefault="00134BF6">
      <w:pPr>
        <w:pStyle w:val="FootnoteText"/>
      </w:pPr>
      <w:r>
        <w:rPr>
          <w:rStyle w:val="FootnoteReference"/>
        </w:rPr>
        <w:footnoteRef/>
      </w:r>
      <w:r>
        <w:t xml:space="preserve"> </w:t>
      </w:r>
      <w:r w:rsidRPr="008300C6">
        <w:t>Loss retailing is a form of loss trading.  It occurs when schemes are marketed to portfolio investors which produce significant upfront tax deductions to be applied against the investors’ other income.  Those losses typically exceed the amounts at risk.</w:t>
      </w:r>
    </w:p>
  </w:footnote>
  <w:footnote w:id="16">
    <w:p w:rsidR="00134BF6" w:rsidRDefault="00134BF6">
      <w:pPr>
        <w:pStyle w:val="FootnoteText"/>
      </w:pPr>
      <w:r>
        <w:rPr>
          <w:rStyle w:val="FootnoteReference"/>
        </w:rPr>
        <w:footnoteRef/>
      </w:r>
      <w:r>
        <w:t xml:space="preserve"> </w:t>
      </w:r>
      <w:r w:rsidRPr="00530DCA">
        <w:t xml:space="preserve">See </w:t>
      </w:r>
      <w:r w:rsidRPr="00750878">
        <w:rPr>
          <w:i/>
        </w:rPr>
        <w:t>Tax Information Bulletin</w:t>
      </w:r>
      <w:r>
        <w:t xml:space="preserve"> Vol. 23, No. 1, February 2011.</w:t>
      </w:r>
    </w:p>
  </w:footnote>
  <w:footnote w:id="17">
    <w:p w:rsidR="00134BF6" w:rsidRDefault="00134BF6">
      <w:pPr>
        <w:pStyle w:val="FootnoteText"/>
      </w:pPr>
      <w:r>
        <w:rPr>
          <w:rStyle w:val="FootnoteReference"/>
        </w:rPr>
        <w:footnoteRef/>
      </w:r>
      <w:r>
        <w:t xml:space="preserve"> </w:t>
      </w:r>
      <w:r w:rsidRPr="000D0446">
        <w:t>Of the 46,025 LTCs that filed a</w:t>
      </w:r>
      <w:r>
        <w:t>n</w:t>
      </w:r>
      <w:r w:rsidRPr="000D0446">
        <w:t xml:space="preserve"> IR7L for 2013, 30</w:t>
      </w:r>
      <w:r>
        <w:t xml:space="preserve"> percent</w:t>
      </w:r>
      <w:r w:rsidRPr="000D0446">
        <w:t xml:space="preserve"> reported having just one ‘owner’ while 92.5</w:t>
      </w:r>
      <w:r>
        <w:t xml:space="preserve"> percent</w:t>
      </w:r>
      <w:r w:rsidRPr="000D0446">
        <w:t xml:space="preserve"> reported having either one or two ‘owners’.  This seems to be largely in line with data on closely held companies more generally.  </w:t>
      </w:r>
      <w:r w:rsidRPr="000D0446">
        <w:rPr>
          <w:rFonts w:eastAsiaTheme="minorHAnsi"/>
          <w:lang w:eastAsia="en-US"/>
        </w:rPr>
        <w:t xml:space="preserve">A 2006 study on closely held companies indicated that of the 431,000 companies registered at the Companies </w:t>
      </w:r>
      <w:proofErr w:type="gramStart"/>
      <w:r w:rsidRPr="000D0446">
        <w:rPr>
          <w:rFonts w:eastAsiaTheme="minorHAnsi"/>
          <w:lang w:eastAsia="en-US"/>
        </w:rPr>
        <w:t>Office,</w:t>
      </w:r>
      <w:proofErr w:type="gramEnd"/>
      <w:r w:rsidRPr="000D0446">
        <w:rPr>
          <w:rFonts w:eastAsiaTheme="minorHAnsi"/>
          <w:lang w:eastAsia="en-US"/>
        </w:rPr>
        <w:t xml:space="preserve"> nearly 95 percent had five or fewer shareholders, with 140,000 having only one shareholder (33 percent of all companies) 186,000 having two shareholders (43 percent) and 80,000 having three to five shareholders (18 percent).  See </w:t>
      </w:r>
      <w:r w:rsidRPr="000D0446">
        <w:t>M. Farrington</w:t>
      </w:r>
      <w:r w:rsidRPr="000D0446">
        <w:rPr>
          <w:i/>
        </w:rPr>
        <w:t xml:space="preserve"> A Closely held Companies Act for New Zealand</w:t>
      </w:r>
      <w:r w:rsidRPr="000D0446">
        <w:t>, submitted as part of the LLM programme at Victoria University of Wellington</w:t>
      </w:r>
      <w:r>
        <w:t>, (2007) 38 VUWLR.</w:t>
      </w:r>
    </w:p>
  </w:footnote>
  <w:footnote w:id="18">
    <w:p w:rsidR="00134BF6" w:rsidRDefault="00134BF6">
      <w:pPr>
        <w:pStyle w:val="FootnoteText"/>
      </w:pPr>
      <w:r>
        <w:rPr>
          <w:rStyle w:val="FootnoteReference"/>
        </w:rPr>
        <w:footnoteRef/>
      </w:r>
      <w:r>
        <w:t xml:space="preserve"> </w:t>
      </w:r>
      <w:r w:rsidRPr="00530DCA">
        <w:t xml:space="preserve">For example, by taking a shareholding in a LTC, a LTC loss </w:t>
      </w:r>
      <w:proofErr w:type="gramStart"/>
      <w:r w:rsidRPr="00530DCA">
        <w:t>could be passed through to the company and used to shelter company income from tax, without the company incurring the underlying economic loss</w:t>
      </w:r>
      <w:proofErr w:type="gramEnd"/>
      <w:r w:rsidRPr="00530DCA">
        <w:t>.</w:t>
      </w:r>
    </w:p>
  </w:footnote>
  <w:footnote w:id="19">
    <w:p w:rsidR="00134BF6" w:rsidRDefault="00134BF6">
      <w:pPr>
        <w:pStyle w:val="FootnoteText"/>
      </w:pPr>
      <w:r>
        <w:rPr>
          <w:rStyle w:val="FootnoteReference"/>
        </w:rPr>
        <w:footnoteRef/>
      </w:r>
      <w:r>
        <w:t xml:space="preserve"> </w:t>
      </w:r>
      <w:r w:rsidRPr="000D0446">
        <w:rPr>
          <w:rFonts w:eastAsiaTheme="minorHAnsi"/>
          <w:lang w:eastAsia="en-US"/>
        </w:rPr>
        <w:t xml:space="preserve">The purpose of the Limitations Act is to promote greater certainty by </w:t>
      </w:r>
      <w:r w:rsidRPr="000D0446">
        <w:t xml:space="preserve">preventing claims being brought against a person or business after a period of time (generally six years), but at the same time the business has to keep records for that period </w:t>
      </w:r>
      <w:r w:rsidRPr="000D0446">
        <w:rPr>
          <w:rFonts w:eastAsiaTheme="minorHAnsi"/>
          <w:lang w:eastAsia="en-US"/>
        </w:rPr>
        <w:t>so that the relevant information is available should a claim be brought within that time period.</w:t>
      </w:r>
    </w:p>
  </w:footnote>
  <w:footnote w:id="20">
    <w:p w:rsidR="00134BF6" w:rsidRDefault="00134BF6">
      <w:pPr>
        <w:pStyle w:val="FootnoteText"/>
      </w:pPr>
      <w:r>
        <w:rPr>
          <w:rStyle w:val="FootnoteReference"/>
        </w:rPr>
        <w:footnoteRef/>
      </w:r>
      <w:r>
        <w:t xml:space="preserve"> </w:t>
      </w:r>
      <w:r w:rsidRPr="000D0446">
        <w:t>For example, t</w:t>
      </w:r>
      <w:r w:rsidRPr="000D0446">
        <w:rPr>
          <w:rFonts w:eastAsiaTheme="minorHAnsi"/>
          <w:lang w:eastAsia="en-US"/>
        </w:rPr>
        <w:t>here may not be robust records around all situations when a person might have become a deemed settlor for tax purposes.</w:t>
      </w:r>
    </w:p>
  </w:footnote>
  <w:footnote w:id="21">
    <w:p w:rsidR="00134BF6" w:rsidRDefault="00134BF6">
      <w:pPr>
        <w:pStyle w:val="FootnoteText"/>
      </w:pPr>
      <w:r>
        <w:rPr>
          <w:rStyle w:val="FootnoteReference"/>
        </w:rPr>
        <w:footnoteRef/>
      </w:r>
      <w:r>
        <w:t xml:space="preserve"> The definition of “charitable purpose” in the Income Tax Act reflects general charities law, which is that the purpose has to be one of the following: the relief of poverty, the advancement of education or religion, or any other matter beneficial to the community.  These purposes </w:t>
      </w:r>
      <w:proofErr w:type="gramStart"/>
      <w:r>
        <w:t>are commonly referred</w:t>
      </w:r>
      <w:proofErr w:type="gramEnd"/>
      <w:r>
        <w:t xml:space="preserve"> to as the four “heads” of charity.  Except in the case of the relief of poverty, the public benefit test must also be satisfied.  That test is that those benefiting must be the public or an appreciably significant section of the public.</w:t>
      </w:r>
    </w:p>
  </w:footnote>
  <w:footnote w:id="22">
    <w:p w:rsidR="00134BF6" w:rsidRDefault="00134BF6">
      <w:pPr>
        <w:pStyle w:val="FootnoteText"/>
      </w:pPr>
      <w:r>
        <w:rPr>
          <w:rStyle w:val="FootnoteReference"/>
        </w:rPr>
        <w:footnoteRef/>
      </w:r>
      <w:r>
        <w:t xml:space="preserve"> </w:t>
      </w:r>
      <w:r w:rsidRPr="007C3B6A">
        <w:t xml:space="preserve">For example, a LTC is a look-through vehicle in New Zealand but </w:t>
      </w:r>
      <w:proofErr w:type="gramStart"/>
      <w:r w:rsidRPr="007C3B6A">
        <w:t>is treated</w:t>
      </w:r>
      <w:proofErr w:type="gramEnd"/>
      <w:r w:rsidRPr="007C3B6A">
        <w:t xml:space="preserve"> as a company for tax purposes in Australia.</w:t>
      </w:r>
    </w:p>
  </w:footnote>
  <w:footnote w:id="23">
    <w:p w:rsidR="00134BF6" w:rsidRDefault="00134BF6">
      <w:pPr>
        <w:pStyle w:val="FootnoteText"/>
      </w:pPr>
      <w:r>
        <w:rPr>
          <w:rStyle w:val="FootnoteReference"/>
        </w:rPr>
        <w:footnoteRef/>
      </w:r>
      <w:r>
        <w:t xml:space="preserve"> </w:t>
      </w:r>
      <w:r w:rsidRPr="007C3B6A">
        <w:t>The theory is that this helps to incentivise investors to make foreign investments only when it is in the interests of New Zealand as a whole.</w:t>
      </w:r>
    </w:p>
  </w:footnote>
  <w:footnote w:id="24">
    <w:p w:rsidR="00134BF6" w:rsidRDefault="00134BF6">
      <w:pPr>
        <w:pStyle w:val="FootnoteText"/>
      </w:pPr>
      <w:r>
        <w:rPr>
          <w:rStyle w:val="FootnoteReference"/>
        </w:rPr>
        <w:footnoteRef/>
      </w:r>
      <w:r>
        <w:t xml:space="preserve"> </w:t>
      </w:r>
      <w:r w:rsidRPr="007C3B6A">
        <w:rPr>
          <w:rFonts w:eastAsiaTheme="minorHAnsi"/>
          <w:lang w:eastAsia="en-US"/>
        </w:rPr>
        <w:t xml:space="preserve">This policy position was confirmed during the International Tax Review, </w:t>
      </w:r>
      <w:proofErr w:type="gramStart"/>
      <w:r w:rsidRPr="007C3B6A">
        <w:rPr>
          <w:rFonts w:eastAsiaTheme="minorHAnsi"/>
          <w:lang w:eastAsia="en-US"/>
        </w:rPr>
        <w:t>and also</w:t>
      </w:r>
      <w:proofErr w:type="gramEnd"/>
      <w:r w:rsidRPr="007C3B6A">
        <w:rPr>
          <w:rFonts w:eastAsiaTheme="minorHAnsi"/>
          <w:lang w:eastAsia="en-US"/>
        </w:rPr>
        <w:t xml:space="preserve"> when New Zealand’s position on mutual recognition of imputation credits was reviewed.</w:t>
      </w:r>
    </w:p>
  </w:footnote>
  <w:footnote w:id="25">
    <w:p w:rsidR="00134BF6" w:rsidRPr="00B275DE" w:rsidRDefault="00134BF6" w:rsidP="00B275DE">
      <w:pPr>
        <w:rPr>
          <w:sz w:val="18"/>
          <w:szCs w:val="18"/>
        </w:rPr>
      </w:pPr>
      <w:r>
        <w:rPr>
          <w:rStyle w:val="FootnoteReference"/>
        </w:rPr>
        <w:footnoteRef/>
      </w:r>
      <w:r>
        <w:t xml:space="preserve"> </w:t>
      </w:r>
      <w:r w:rsidRPr="000D0446">
        <w:rPr>
          <w:sz w:val="18"/>
          <w:szCs w:val="18"/>
        </w:rPr>
        <w:t xml:space="preserve">This would be all foreign income, </w:t>
      </w:r>
      <w:proofErr w:type="gramStart"/>
      <w:r w:rsidRPr="000D0446">
        <w:rPr>
          <w:sz w:val="18"/>
          <w:szCs w:val="18"/>
        </w:rPr>
        <w:t>not just non-dividend</w:t>
      </w:r>
      <w:proofErr w:type="gramEnd"/>
      <w:r w:rsidRPr="000D0446">
        <w:rPr>
          <w:sz w:val="18"/>
          <w:szCs w:val="18"/>
        </w:rPr>
        <w:t xml:space="preserve"> foreign income. </w:t>
      </w:r>
      <w:r>
        <w:rPr>
          <w:sz w:val="18"/>
          <w:szCs w:val="18"/>
        </w:rPr>
        <w:t xml:space="preserve"> </w:t>
      </w:r>
      <w:r w:rsidRPr="000D0446">
        <w:rPr>
          <w:sz w:val="18"/>
          <w:szCs w:val="18"/>
        </w:rPr>
        <w:t xml:space="preserve">The current QC restriction of $10,000 </w:t>
      </w:r>
      <w:r>
        <w:rPr>
          <w:sz w:val="18"/>
          <w:szCs w:val="18"/>
        </w:rPr>
        <w:t>“</w:t>
      </w:r>
      <w:r w:rsidRPr="000D0446">
        <w:rPr>
          <w:sz w:val="18"/>
          <w:szCs w:val="18"/>
        </w:rPr>
        <w:t>foreign</w:t>
      </w:r>
      <w:r>
        <w:rPr>
          <w:sz w:val="18"/>
          <w:szCs w:val="18"/>
        </w:rPr>
        <w:t>”</w:t>
      </w:r>
      <w:r w:rsidRPr="000D0446">
        <w:rPr>
          <w:sz w:val="18"/>
          <w:szCs w:val="18"/>
        </w:rPr>
        <w:t xml:space="preserve"> income excludes passive dividend and interest income from overseas.</w:t>
      </w:r>
      <w:r>
        <w:rPr>
          <w:sz w:val="18"/>
          <w:szCs w:val="18"/>
        </w:rPr>
        <w:t xml:space="preserve"> </w:t>
      </w:r>
      <w:r w:rsidRPr="000D0446">
        <w:rPr>
          <w:sz w:val="18"/>
          <w:szCs w:val="18"/>
        </w:rPr>
        <w:t xml:space="preserve"> However, given that the concern is particularly in relation to reputational risk, with some LTCs </w:t>
      </w:r>
      <w:proofErr w:type="gramStart"/>
      <w:r w:rsidRPr="000D0446">
        <w:rPr>
          <w:sz w:val="18"/>
          <w:szCs w:val="18"/>
        </w:rPr>
        <w:t>being used</w:t>
      </w:r>
      <w:proofErr w:type="gramEnd"/>
      <w:r w:rsidRPr="000D0446">
        <w:rPr>
          <w:sz w:val="18"/>
          <w:szCs w:val="18"/>
        </w:rPr>
        <w:t xml:space="preserve"> as tax sheltering/laundering vehicles, then including all foreign income in the proposed conduit lim</w:t>
      </w:r>
      <w:r>
        <w:rPr>
          <w:sz w:val="18"/>
          <w:szCs w:val="18"/>
        </w:rPr>
        <w:t>itation rule seems appropriate.</w:t>
      </w:r>
    </w:p>
  </w:footnote>
  <w:footnote w:id="26">
    <w:p w:rsidR="00134BF6" w:rsidRDefault="00134BF6">
      <w:pPr>
        <w:pStyle w:val="FootnoteText"/>
      </w:pPr>
      <w:r>
        <w:rPr>
          <w:rStyle w:val="FootnoteReference"/>
        </w:rPr>
        <w:footnoteRef/>
      </w:r>
      <w:r>
        <w:t xml:space="preserve"> </w:t>
      </w:r>
      <w:r w:rsidRPr="000D0446">
        <w:t>The rules include various definitions in relation to guarantors, owner’s associates and secured amounts.</w:t>
      </w:r>
    </w:p>
  </w:footnote>
  <w:footnote w:id="27">
    <w:p w:rsidR="00134BF6" w:rsidRDefault="00134BF6">
      <w:pPr>
        <w:pStyle w:val="FootnoteText"/>
      </w:pPr>
      <w:r>
        <w:rPr>
          <w:rStyle w:val="FootnoteReference"/>
        </w:rPr>
        <w:footnoteRef/>
      </w:r>
      <w:r>
        <w:t xml:space="preserve"> </w:t>
      </w:r>
      <w:r w:rsidRPr="000D0446">
        <w:t xml:space="preserve">Around </w:t>
      </w:r>
      <w:r>
        <w:t>one</w:t>
      </w:r>
      <w:r w:rsidRPr="000D0446">
        <w:t xml:space="preserve"> percent of LTCs reported non-allowable deductions carried forward in 2013 – see </w:t>
      </w:r>
      <w:r>
        <w:t>A</w:t>
      </w:r>
      <w:r w:rsidRPr="000D0446">
        <w:t>ppendix 1.</w:t>
      </w:r>
    </w:p>
  </w:footnote>
  <w:footnote w:id="28">
    <w:p w:rsidR="00134BF6" w:rsidRPr="00DC3757" w:rsidRDefault="00134BF6">
      <w:pPr>
        <w:pStyle w:val="FootnoteText"/>
      </w:pPr>
      <w:r w:rsidRPr="00750878">
        <w:rPr>
          <w:rStyle w:val="FootnoteReference"/>
        </w:rPr>
        <w:footnoteRef/>
      </w:r>
      <w:r w:rsidRPr="00750878">
        <w:t xml:space="preserve"> </w:t>
      </w:r>
      <w:r w:rsidRPr="00750878">
        <w:rPr>
          <w:rFonts w:eastAsiaTheme="minorHAnsi"/>
          <w:lang w:eastAsia="en-US"/>
        </w:rPr>
        <w:t xml:space="preserve">Internationally, limited partnerships pose substantial risks for domestic taxation and out-bound investments, with a number of jurisdictions placing restrictions on them, as a way to counteract mass-marketed tax shelter schemes.  In such schemes, tax deductions often greatly exceeded the investments made by the “investors” with profits to investors often </w:t>
      </w:r>
      <w:proofErr w:type="gramStart"/>
      <w:r w:rsidRPr="00750878">
        <w:rPr>
          <w:rFonts w:eastAsiaTheme="minorHAnsi"/>
          <w:lang w:eastAsia="en-US"/>
        </w:rPr>
        <w:t>being entirely generated</w:t>
      </w:r>
      <w:proofErr w:type="gramEnd"/>
      <w:r w:rsidRPr="00750878">
        <w:rPr>
          <w:rFonts w:eastAsiaTheme="minorHAnsi"/>
          <w:lang w:eastAsia="en-US"/>
        </w:rPr>
        <w:t xml:space="preserve"> by the tax system.  Limiting tax deductions to economic losses makes perfect sense in such situations.</w:t>
      </w:r>
    </w:p>
  </w:footnote>
  <w:footnote w:id="29">
    <w:p w:rsidR="00134BF6" w:rsidRDefault="00134BF6">
      <w:pPr>
        <w:pStyle w:val="FootnoteText"/>
      </w:pPr>
      <w:r w:rsidRPr="00750878">
        <w:rPr>
          <w:rStyle w:val="FootnoteReference"/>
        </w:rPr>
        <w:footnoteRef/>
      </w:r>
      <w:r w:rsidRPr="00750878">
        <w:t xml:space="preserve"> It needs to be borne in mind, however, that the existence of a non-recourse loan, in a bona fide business arrangement, </w:t>
      </w:r>
      <w:proofErr w:type="gramStart"/>
      <w:r w:rsidRPr="00750878">
        <w:t>need not in itself be</w:t>
      </w:r>
      <w:proofErr w:type="gramEnd"/>
      <w:r w:rsidRPr="00750878">
        <w:t xml:space="preserve"> a problem.  The same amount of interest would be deductible whether the loan was to the shareholder, or to the company, with or without a guarantee.  In an arm’s length transaction, with no artificial arrangements, a financial institution would presumably only be willing to provide a loan secured against the assets of the company in situations where the probability of default was small and the assets were tangible.</w:t>
      </w:r>
    </w:p>
  </w:footnote>
  <w:footnote w:id="30">
    <w:p w:rsidR="00134BF6" w:rsidRDefault="00134BF6">
      <w:pPr>
        <w:pStyle w:val="FootnoteText"/>
      </w:pPr>
      <w:r>
        <w:rPr>
          <w:rStyle w:val="FootnoteReference"/>
        </w:rPr>
        <w:footnoteRef/>
      </w:r>
      <w:r>
        <w:t xml:space="preserve"> </w:t>
      </w:r>
      <w:r w:rsidRPr="000C195A">
        <w:t xml:space="preserve">See </w:t>
      </w:r>
      <w:r w:rsidRPr="000C195A">
        <w:rPr>
          <w:rFonts w:eastAsiaTheme="minorHAnsi"/>
          <w:lang w:eastAsia="en-US"/>
        </w:rPr>
        <w:t>sections GB 45</w:t>
      </w:r>
      <w:r>
        <w:rPr>
          <w:rFonts w:eastAsiaTheme="minorHAnsi"/>
          <w:lang w:eastAsia="en-US"/>
        </w:rPr>
        <w:t xml:space="preserve"> to GB </w:t>
      </w:r>
      <w:r w:rsidRPr="000C195A">
        <w:rPr>
          <w:rFonts w:eastAsiaTheme="minorHAnsi"/>
          <w:lang w:eastAsia="en-US"/>
        </w:rPr>
        <w:t>48 of the Income Tax Act.</w:t>
      </w:r>
    </w:p>
  </w:footnote>
  <w:footnote w:id="31">
    <w:p w:rsidR="00134BF6" w:rsidRDefault="00134BF6">
      <w:pPr>
        <w:pStyle w:val="FootnoteText"/>
      </w:pPr>
      <w:r>
        <w:rPr>
          <w:rStyle w:val="FootnoteReference"/>
        </w:rPr>
        <w:footnoteRef/>
      </w:r>
      <w:r>
        <w:t xml:space="preserve"> </w:t>
      </w:r>
      <w:r w:rsidRPr="000D0446">
        <w:t>A QC can provide a better outcome from the perspective of a shareholder on a 33% personal tax rate as it allows capital gains to flow though to that shareholder while taxable income is taxed at the lower company tax rate until it is distributed.</w:t>
      </w:r>
    </w:p>
  </w:footnote>
  <w:footnote w:id="32">
    <w:p w:rsidR="00134BF6" w:rsidRDefault="00134BF6">
      <w:pPr>
        <w:pStyle w:val="FootnoteText"/>
      </w:pPr>
      <w:r>
        <w:rPr>
          <w:rStyle w:val="FootnoteReference"/>
        </w:rPr>
        <w:footnoteRef/>
      </w:r>
      <w:r>
        <w:t xml:space="preserve"> </w:t>
      </w:r>
      <w:r w:rsidRPr="000D0446">
        <w:t xml:space="preserve">A similar gap on entry into the qualifying company rules </w:t>
      </w:r>
      <w:proofErr w:type="gramStart"/>
      <w:r w:rsidRPr="000D0446">
        <w:t>was rectified</w:t>
      </w:r>
      <w:proofErr w:type="gramEnd"/>
      <w:r w:rsidRPr="000D0446">
        <w:t xml:space="preserve"> several years ago.</w:t>
      </w:r>
    </w:p>
  </w:footnote>
  <w:footnote w:id="33">
    <w:p w:rsidR="00134BF6" w:rsidRDefault="00134BF6">
      <w:pPr>
        <w:pStyle w:val="FootnoteText"/>
      </w:pPr>
      <w:r>
        <w:rPr>
          <w:rStyle w:val="FootnoteReference"/>
        </w:rPr>
        <w:footnoteRef/>
      </w:r>
      <w:r>
        <w:t xml:space="preserve"> </w:t>
      </w:r>
      <w:r w:rsidRPr="000D0446">
        <w:t xml:space="preserve">Even though a base price adjustment is required, the </w:t>
      </w:r>
      <w:proofErr w:type="gramStart"/>
      <w:r w:rsidRPr="000D0446">
        <w:t>base price adjustment formula</w:t>
      </w:r>
      <w:proofErr w:type="gramEnd"/>
      <w:r w:rsidRPr="000D0446">
        <w:t xml:space="preserve"> in effect negates the loss arising from the non-payment by including the amount remitted.</w:t>
      </w:r>
    </w:p>
  </w:footnote>
  <w:footnote w:id="34">
    <w:p w:rsidR="00134BF6" w:rsidRDefault="00134BF6">
      <w:pPr>
        <w:pStyle w:val="FootnoteText"/>
      </w:pPr>
      <w:r>
        <w:rPr>
          <w:rStyle w:val="FootnoteReference"/>
        </w:rPr>
        <w:footnoteRef/>
      </w:r>
      <w:r>
        <w:t xml:space="preserve"> </w:t>
      </w:r>
      <w:r w:rsidRPr="00426C8A">
        <w:t xml:space="preserve">Remission income includes an amount of debt that </w:t>
      </w:r>
      <w:proofErr w:type="gramStart"/>
      <w:r w:rsidRPr="00426C8A">
        <w:t>has been forgiven</w:t>
      </w:r>
      <w:proofErr w:type="gramEnd"/>
      <w:r w:rsidRPr="00426C8A">
        <w:t xml:space="preserve"> to a debtor.</w:t>
      </w:r>
    </w:p>
  </w:footnote>
  <w:footnote w:id="35">
    <w:p w:rsidR="00134BF6" w:rsidRDefault="00134BF6">
      <w:pPr>
        <w:pStyle w:val="FootnoteText"/>
      </w:pPr>
      <w:r>
        <w:rPr>
          <w:rStyle w:val="FootnoteReference"/>
        </w:rPr>
        <w:footnoteRef/>
      </w:r>
      <w:r>
        <w:t xml:space="preserve"> </w:t>
      </w:r>
      <w:r>
        <w:rPr>
          <w:color w:val="000000" w:themeColor="text1"/>
        </w:rPr>
        <w:t>That risk should, however, be reflected in the market price that a third party would be prepared to pay for the loan.</w:t>
      </w:r>
    </w:p>
  </w:footnote>
  <w:footnote w:id="36">
    <w:p w:rsidR="00134BF6" w:rsidRDefault="00134BF6" w:rsidP="002007CD">
      <w:pPr>
        <w:pStyle w:val="FootnoteText"/>
      </w:pPr>
      <w:r>
        <w:rPr>
          <w:rStyle w:val="FootnoteReference"/>
        </w:rPr>
        <w:footnoteRef/>
      </w:r>
      <w:r>
        <w:t xml:space="preserve"> </w:t>
      </w:r>
      <w:r w:rsidRPr="000D0446">
        <w:t xml:space="preserve">Tax at 33% on this gross amount of $107.46 equals the sum of the tax credits ($28) and RWT ($7.46), </w:t>
      </w:r>
      <w:r>
        <w:t>that is</w:t>
      </w:r>
      <w:r w:rsidRPr="000D0446">
        <w:t xml:space="preserve"> $35.46.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6134C"/>
    <w:multiLevelType w:val="singleLevel"/>
    <w:tmpl w:val="FD8CADEC"/>
    <w:lvl w:ilvl="0">
      <w:start w:val="1"/>
      <w:numFmt w:val="decimal"/>
      <w:pStyle w:val="Chapter5"/>
      <w:lvlText w:val="5.%1"/>
      <w:lvlJc w:val="left"/>
      <w:pPr>
        <w:tabs>
          <w:tab w:val="num" w:pos="851"/>
        </w:tabs>
        <w:ind w:left="851" w:hanging="851"/>
      </w:pPr>
      <w:rPr>
        <w:rFonts w:hint="default"/>
        <w:b w:val="0"/>
        <w:i w:val="0"/>
      </w:rPr>
    </w:lvl>
  </w:abstractNum>
  <w:abstractNum w:abstractNumId="1">
    <w:nsid w:val="15936E75"/>
    <w:multiLevelType w:val="hybridMultilevel"/>
    <w:tmpl w:val="60A86A16"/>
    <w:lvl w:ilvl="0" w:tplc="389AC7F0">
      <w:start w:val="1"/>
      <w:numFmt w:val="decimal"/>
      <w:pStyle w:val="Chapter6"/>
      <w:lvlText w:val="6.%1"/>
      <w:lvlJc w:val="left"/>
      <w:pPr>
        <w:tabs>
          <w:tab w:val="num" w:pos="851"/>
        </w:tabs>
        <w:ind w:left="851" w:hanging="851"/>
      </w:pPr>
      <w:rPr>
        <w:rFonts w:hint="default"/>
        <w:b w:val="0"/>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1DC37972"/>
    <w:multiLevelType w:val="singleLevel"/>
    <w:tmpl w:val="4B8A6976"/>
    <w:lvl w:ilvl="0">
      <w:start w:val="1"/>
      <w:numFmt w:val="decimal"/>
      <w:pStyle w:val="Chapter2"/>
      <w:lvlText w:val="2.%1"/>
      <w:lvlJc w:val="left"/>
      <w:pPr>
        <w:tabs>
          <w:tab w:val="num" w:pos="851"/>
        </w:tabs>
        <w:ind w:left="851" w:hanging="851"/>
      </w:pPr>
      <w:rPr>
        <w:rFonts w:hint="default"/>
      </w:rPr>
    </w:lvl>
  </w:abstractNum>
  <w:abstractNum w:abstractNumId="3">
    <w:nsid w:val="1DF45200"/>
    <w:multiLevelType w:val="hybridMultilevel"/>
    <w:tmpl w:val="5F78FE4A"/>
    <w:lvl w:ilvl="0" w:tplc="FFB09102">
      <w:start w:val="1"/>
      <w:numFmt w:val="decimal"/>
      <w:pStyle w:val="Chapter10"/>
      <w:lvlText w:val="10.%1"/>
      <w:lvlJc w:val="left"/>
      <w:pPr>
        <w:tabs>
          <w:tab w:val="num" w:pos="851"/>
        </w:tabs>
        <w:ind w:left="0" w:firstLine="0"/>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nsid w:val="27231930"/>
    <w:multiLevelType w:val="hybridMultilevel"/>
    <w:tmpl w:val="F1ACDC86"/>
    <w:lvl w:ilvl="0" w:tplc="3FC60CE4">
      <w:start w:val="1"/>
      <w:numFmt w:val="bullet"/>
      <w:lvlText w:val=""/>
      <w:lvlJc w:val="left"/>
      <w:pPr>
        <w:ind w:left="720" w:hanging="360"/>
      </w:pPr>
      <w:rPr>
        <w:rFonts w:ascii="Wingdings 2" w:hAnsi="Wingdings 2"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2AEC4F50"/>
    <w:multiLevelType w:val="hybridMultilevel"/>
    <w:tmpl w:val="88B4F23A"/>
    <w:lvl w:ilvl="0" w:tplc="EAE03988">
      <w:start w:val="1"/>
      <w:numFmt w:val="decimal"/>
      <w:lvlText w:val="6.%1"/>
      <w:lvlJc w:val="left"/>
      <w:pPr>
        <w:tabs>
          <w:tab w:val="num" w:pos="0"/>
        </w:tabs>
        <w:ind w:left="0" w:firstLine="0"/>
      </w:pPr>
      <w:rPr>
        <w:rFonts w:ascii="Times New Roman" w:hAnsi="Times New Roman" w:hint="default"/>
        <w:b w:val="0"/>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nsid w:val="2FA6255E"/>
    <w:multiLevelType w:val="hybridMultilevel"/>
    <w:tmpl w:val="75D8485C"/>
    <w:lvl w:ilvl="0" w:tplc="81F893F4">
      <w:start w:val="1"/>
      <w:numFmt w:val="bullet"/>
      <w:lvlText w:val="­"/>
      <w:lvlJc w:val="left"/>
      <w:pPr>
        <w:tabs>
          <w:tab w:val="num" w:pos="-1418"/>
        </w:tabs>
        <w:ind w:left="-567" w:hanging="567"/>
      </w:pPr>
      <w:rPr>
        <w:rFonts w:ascii="Courier New" w:hAnsi="Courier New" w:hint="default"/>
        <w:b w:val="0"/>
        <w:i w:val="0"/>
        <w:sz w:val="24"/>
        <w:szCs w:val="24"/>
      </w:rPr>
    </w:lvl>
    <w:lvl w:ilvl="1" w:tplc="058C2656">
      <w:start w:val="1"/>
      <w:numFmt w:val="bullet"/>
      <w:lvlText w:val="o"/>
      <w:lvlJc w:val="left"/>
      <w:pPr>
        <w:tabs>
          <w:tab w:val="num" w:pos="-545"/>
        </w:tabs>
        <w:ind w:left="-545" w:hanging="360"/>
      </w:pPr>
      <w:rPr>
        <w:rFonts w:ascii="Courier New" w:hAnsi="Courier New" w:cs="Courier New" w:hint="default"/>
      </w:rPr>
    </w:lvl>
    <w:lvl w:ilvl="2" w:tplc="1409001B">
      <w:start w:val="1"/>
      <w:numFmt w:val="bullet"/>
      <w:lvlText w:val=""/>
      <w:lvlJc w:val="left"/>
      <w:pPr>
        <w:tabs>
          <w:tab w:val="num" w:pos="175"/>
        </w:tabs>
        <w:ind w:left="175" w:hanging="360"/>
      </w:pPr>
      <w:rPr>
        <w:rFonts w:ascii="Wingdings" w:hAnsi="Wingdings" w:hint="default"/>
      </w:rPr>
    </w:lvl>
    <w:lvl w:ilvl="3" w:tplc="1409000F" w:tentative="1">
      <w:start w:val="1"/>
      <w:numFmt w:val="bullet"/>
      <w:lvlText w:val=""/>
      <w:lvlJc w:val="left"/>
      <w:pPr>
        <w:tabs>
          <w:tab w:val="num" w:pos="895"/>
        </w:tabs>
        <w:ind w:left="895" w:hanging="360"/>
      </w:pPr>
      <w:rPr>
        <w:rFonts w:ascii="Symbol" w:hAnsi="Symbol" w:hint="default"/>
      </w:rPr>
    </w:lvl>
    <w:lvl w:ilvl="4" w:tplc="14090019" w:tentative="1">
      <w:start w:val="1"/>
      <w:numFmt w:val="bullet"/>
      <w:lvlText w:val="o"/>
      <w:lvlJc w:val="left"/>
      <w:pPr>
        <w:tabs>
          <w:tab w:val="num" w:pos="1615"/>
        </w:tabs>
        <w:ind w:left="1615" w:hanging="360"/>
      </w:pPr>
      <w:rPr>
        <w:rFonts w:ascii="Courier New" w:hAnsi="Courier New" w:cs="Courier New" w:hint="default"/>
      </w:rPr>
    </w:lvl>
    <w:lvl w:ilvl="5" w:tplc="1409001B" w:tentative="1">
      <w:start w:val="1"/>
      <w:numFmt w:val="bullet"/>
      <w:lvlText w:val=""/>
      <w:lvlJc w:val="left"/>
      <w:pPr>
        <w:tabs>
          <w:tab w:val="num" w:pos="2335"/>
        </w:tabs>
        <w:ind w:left="2335" w:hanging="360"/>
      </w:pPr>
      <w:rPr>
        <w:rFonts w:ascii="Wingdings" w:hAnsi="Wingdings" w:hint="default"/>
      </w:rPr>
    </w:lvl>
    <w:lvl w:ilvl="6" w:tplc="1409000F" w:tentative="1">
      <w:start w:val="1"/>
      <w:numFmt w:val="bullet"/>
      <w:lvlText w:val=""/>
      <w:lvlJc w:val="left"/>
      <w:pPr>
        <w:tabs>
          <w:tab w:val="num" w:pos="3055"/>
        </w:tabs>
        <w:ind w:left="3055" w:hanging="360"/>
      </w:pPr>
      <w:rPr>
        <w:rFonts w:ascii="Symbol" w:hAnsi="Symbol" w:hint="default"/>
      </w:rPr>
    </w:lvl>
    <w:lvl w:ilvl="7" w:tplc="14090019" w:tentative="1">
      <w:start w:val="1"/>
      <w:numFmt w:val="bullet"/>
      <w:lvlText w:val="o"/>
      <w:lvlJc w:val="left"/>
      <w:pPr>
        <w:tabs>
          <w:tab w:val="num" w:pos="3775"/>
        </w:tabs>
        <w:ind w:left="3775" w:hanging="360"/>
      </w:pPr>
      <w:rPr>
        <w:rFonts w:ascii="Courier New" w:hAnsi="Courier New" w:cs="Courier New" w:hint="default"/>
      </w:rPr>
    </w:lvl>
    <w:lvl w:ilvl="8" w:tplc="1409001B" w:tentative="1">
      <w:start w:val="1"/>
      <w:numFmt w:val="bullet"/>
      <w:lvlText w:val=""/>
      <w:lvlJc w:val="left"/>
      <w:pPr>
        <w:tabs>
          <w:tab w:val="num" w:pos="4495"/>
        </w:tabs>
        <w:ind w:left="4495" w:hanging="360"/>
      </w:pPr>
      <w:rPr>
        <w:rFonts w:ascii="Wingdings" w:hAnsi="Wingdings" w:hint="default"/>
      </w:rPr>
    </w:lvl>
  </w:abstractNum>
  <w:abstractNum w:abstractNumId="7">
    <w:nsid w:val="319D0312"/>
    <w:multiLevelType w:val="multilevel"/>
    <w:tmpl w:val="56ECEE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31CB034F"/>
    <w:multiLevelType w:val="hybridMultilevel"/>
    <w:tmpl w:val="77B03FA0"/>
    <w:lvl w:ilvl="0" w:tplc="5650D234">
      <w:start w:val="5"/>
      <w:numFmt w:val="bullet"/>
      <w:pStyle w:val="Bullets2"/>
      <w:lvlText w:val="–"/>
      <w:lvlJc w:val="left"/>
      <w:pPr>
        <w:ind w:left="-1276" w:hanging="360"/>
      </w:pPr>
      <w:rPr>
        <w:rFonts w:ascii="Times New Roman" w:eastAsia="Times New Roman" w:hAnsi="Times New Roman" w:cs="Times New Roman" w:hint="default"/>
      </w:rPr>
    </w:lvl>
    <w:lvl w:ilvl="1" w:tplc="14090003" w:tentative="1">
      <w:start w:val="1"/>
      <w:numFmt w:val="bullet"/>
      <w:lvlText w:val="o"/>
      <w:lvlJc w:val="left"/>
      <w:pPr>
        <w:ind w:left="-556" w:hanging="360"/>
      </w:pPr>
      <w:rPr>
        <w:rFonts w:ascii="Courier New" w:hAnsi="Courier New" w:cs="Courier New" w:hint="default"/>
      </w:rPr>
    </w:lvl>
    <w:lvl w:ilvl="2" w:tplc="14090005" w:tentative="1">
      <w:start w:val="1"/>
      <w:numFmt w:val="bullet"/>
      <w:lvlText w:val=""/>
      <w:lvlJc w:val="left"/>
      <w:pPr>
        <w:ind w:left="164" w:hanging="360"/>
      </w:pPr>
      <w:rPr>
        <w:rFonts w:ascii="Wingdings" w:hAnsi="Wingdings" w:hint="default"/>
      </w:rPr>
    </w:lvl>
    <w:lvl w:ilvl="3" w:tplc="14090001" w:tentative="1">
      <w:start w:val="1"/>
      <w:numFmt w:val="bullet"/>
      <w:lvlText w:val=""/>
      <w:lvlJc w:val="left"/>
      <w:pPr>
        <w:ind w:left="884" w:hanging="360"/>
      </w:pPr>
      <w:rPr>
        <w:rFonts w:ascii="Symbol" w:hAnsi="Symbol" w:hint="default"/>
      </w:rPr>
    </w:lvl>
    <w:lvl w:ilvl="4" w:tplc="14090003" w:tentative="1">
      <w:start w:val="1"/>
      <w:numFmt w:val="bullet"/>
      <w:lvlText w:val="o"/>
      <w:lvlJc w:val="left"/>
      <w:pPr>
        <w:ind w:left="1604" w:hanging="360"/>
      </w:pPr>
      <w:rPr>
        <w:rFonts w:ascii="Courier New" w:hAnsi="Courier New" w:cs="Courier New" w:hint="default"/>
      </w:rPr>
    </w:lvl>
    <w:lvl w:ilvl="5" w:tplc="14090005" w:tentative="1">
      <w:start w:val="1"/>
      <w:numFmt w:val="bullet"/>
      <w:lvlText w:val=""/>
      <w:lvlJc w:val="left"/>
      <w:pPr>
        <w:ind w:left="2324" w:hanging="360"/>
      </w:pPr>
      <w:rPr>
        <w:rFonts w:ascii="Wingdings" w:hAnsi="Wingdings" w:hint="default"/>
      </w:rPr>
    </w:lvl>
    <w:lvl w:ilvl="6" w:tplc="14090001" w:tentative="1">
      <w:start w:val="1"/>
      <w:numFmt w:val="bullet"/>
      <w:lvlText w:val=""/>
      <w:lvlJc w:val="left"/>
      <w:pPr>
        <w:ind w:left="3044" w:hanging="360"/>
      </w:pPr>
      <w:rPr>
        <w:rFonts w:ascii="Symbol" w:hAnsi="Symbol" w:hint="default"/>
      </w:rPr>
    </w:lvl>
    <w:lvl w:ilvl="7" w:tplc="14090003" w:tentative="1">
      <w:start w:val="1"/>
      <w:numFmt w:val="bullet"/>
      <w:lvlText w:val="o"/>
      <w:lvlJc w:val="left"/>
      <w:pPr>
        <w:ind w:left="3764" w:hanging="360"/>
      </w:pPr>
      <w:rPr>
        <w:rFonts w:ascii="Courier New" w:hAnsi="Courier New" w:cs="Courier New" w:hint="default"/>
      </w:rPr>
    </w:lvl>
    <w:lvl w:ilvl="8" w:tplc="14090005" w:tentative="1">
      <w:start w:val="1"/>
      <w:numFmt w:val="bullet"/>
      <w:lvlText w:val=""/>
      <w:lvlJc w:val="left"/>
      <w:pPr>
        <w:ind w:left="4484" w:hanging="360"/>
      </w:pPr>
      <w:rPr>
        <w:rFonts w:ascii="Wingdings" w:hAnsi="Wingdings" w:hint="default"/>
      </w:rPr>
    </w:lvl>
  </w:abstractNum>
  <w:abstractNum w:abstractNumId="9">
    <w:nsid w:val="360938EC"/>
    <w:multiLevelType w:val="hybridMultilevel"/>
    <w:tmpl w:val="810ABB94"/>
    <w:lvl w:ilvl="0" w:tplc="A1FA7328">
      <w:start w:val="1"/>
      <w:numFmt w:val="decimal"/>
      <w:pStyle w:val="Chapter4"/>
      <w:lvlText w:val="4.%1"/>
      <w:lvlJc w:val="left"/>
      <w:pPr>
        <w:tabs>
          <w:tab w:val="num" w:pos="851"/>
        </w:tabs>
        <w:ind w:left="851" w:hanging="851"/>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nsid w:val="37172E99"/>
    <w:multiLevelType w:val="hybridMultilevel"/>
    <w:tmpl w:val="A80092D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nsid w:val="3B5D1A14"/>
    <w:multiLevelType w:val="multilevel"/>
    <w:tmpl w:val="00540552"/>
    <w:styleLink w:val="StyleBulletedWingdingssymbol"/>
    <w:lvl w:ilvl="0">
      <w:start w:val="1"/>
      <w:numFmt w:val="bullet"/>
      <w:lvlText w:val=""/>
      <w:lvlJc w:val="left"/>
      <w:pPr>
        <w:tabs>
          <w:tab w:val="num" w:pos="720"/>
        </w:tabs>
        <w:ind w:left="720" w:hanging="360"/>
      </w:pPr>
      <w:rPr>
        <w:rFonts w:ascii="Times New Roman" w:hAnsi="Times New Roman"/>
        <w:sz w:val="24"/>
        <w:szCs w:val="24"/>
      </w:rPr>
    </w:lvl>
    <w:lvl w:ilvl="1">
      <w:start w:val="1"/>
      <w:numFmt w:val="decimal"/>
      <w:lvlText w:val="4.%2"/>
      <w:lvlJc w:val="left"/>
      <w:pPr>
        <w:tabs>
          <w:tab w:val="num" w:pos="284"/>
        </w:tabs>
        <w:ind w:left="0" w:firstLine="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6864BCC"/>
    <w:multiLevelType w:val="hybridMultilevel"/>
    <w:tmpl w:val="028E8060"/>
    <w:lvl w:ilvl="0" w:tplc="64B8565E">
      <w:start w:val="1"/>
      <w:numFmt w:val="bullet"/>
      <w:pStyle w:val="Bullets"/>
      <w:lvlText w:val=""/>
      <w:lvlJc w:val="left"/>
      <w:pPr>
        <w:tabs>
          <w:tab w:val="num" w:pos="-284"/>
        </w:tabs>
        <w:ind w:left="567" w:hanging="567"/>
      </w:pPr>
      <w:rPr>
        <w:rFonts w:ascii="Symbol" w:hAnsi="Symbol" w:hint="default"/>
        <w:b w:val="0"/>
        <w:i w:val="0"/>
        <w:sz w:val="24"/>
        <w:szCs w:val="24"/>
      </w:rPr>
    </w:lvl>
    <w:lvl w:ilvl="1" w:tplc="058C2656">
      <w:start w:val="1"/>
      <w:numFmt w:val="bullet"/>
      <w:lvlText w:val="o"/>
      <w:lvlJc w:val="left"/>
      <w:pPr>
        <w:tabs>
          <w:tab w:val="num" w:pos="589"/>
        </w:tabs>
        <w:ind w:left="589" w:hanging="360"/>
      </w:pPr>
      <w:rPr>
        <w:rFonts w:ascii="Courier New" w:hAnsi="Courier New" w:cs="Courier New" w:hint="default"/>
      </w:rPr>
    </w:lvl>
    <w:lvl w:ilvl="2" w:tplc="1409001B">
      <w:start w:val="1"/>
      <w:numFmt w:val="bullet"/>
      <w:lvlText w:val=""/>
      <w:lvlJc w:val="left"/>
      <w:pPr>
        <w:tabs>
          <w:tab w:val="num" w:pos="1309"/>
        </w:tabs>
        <w:ind w:left="1309" w:hanging="360"/>
      </w:pPr>
      <w:rPr>
        <w:rFonts w:ascii="Wingdings" w:hAnsi="Wingdings" w:hint="default"/>
      </w:rPr>
    </w:lvl>
    <w:lvl w:ilvl="3" w:tplc="1409000F" w:tentative="1">
      <w:start w:val="1"/>
      <w:numFmt w:val="bullet"/>
      <w:lvlText w:val=""/>
      <w:lvlJc w:val="left"/>
      <w:pPr>
        <w:tabs>
          <w:tab w:val="num" w:pos="2029"/>
        </w:tabs>
        <w:ind w:left="2029" w:hanging="360"/>
      </w:pPr>
      <w:rPr>
        <w:rFonts w:ascii="Symbol" w:hAnsi="Symbol" w:hint="default"/>
      </w:rPr>
    </w:lvl>
    <w:lvl w:ilvl="4" w:tplc="14090019" w:tentative="1">
      <w:start w:val="1"/>
      <w:numFmt w:val="bullet"/>
      <w:lvlText w:val="o"/>
      <w:lvlJc w:val="left"/>
      <w:pPr>
        <w:tabs>
          <w:tab w:val="num" w:pos="2749"/>
        </w:tabs>
        <w:ind w:left="2749" w:hanging="360"/>
      </w:pPr>
      <w:rPr>
        <w:rFonts w:ascii="Courier New" w:hAnsi="Courier New" w:cs="Courier New" w:hint="default"/>
      </w:rPr>
    </w:lvl>
    <w:lvl w:ilvl="5" w:tplc="1409001B" w:tentative="1">
      <w:start w:val="1"/>
      <w:numFmt w:val="bullet"/>
      <w:lvlText w:val=""/>
      <w:lvlJc w:val="left"/>
      <w:pPr>
        <w:tabs>
          <w:tab w:val="num" w:pos="3469"/>
        </w:tabs>
        <w:ind w:left="3469" w:hanging="360"/>
      </w:pPr>
      <w:rPr>
        <w:rFonts w:ascii="Wingdings" w:hAnsi="Wingdings" w:hint="default"/>
      </w:rPr>
    </w:lvl>
    <w:lvl w:ilvl="6" w:tplc="1409000F" w:tentative="1">
      <w:start w:val="1"/>
      <w:numFmt w:val="bullet"/>
      <w:lvlText w:val=""/>
      <w:lvlJc w:val="left"/>
      <w:pPr>
        <w:tabs>
          <w:tab w:val="num" w:pos="4189"/>
        </w:tabs>
        <w:ind w:left="4189" w:hanging="360"/>
      </w:pPr>
      <w:rPr>
        <w:rFonts w:ascii="Symbol" w:hAnsi="Symbol" w:hint="default"/>
      </w:rPr>
    </w:lvl>
    <w:lvl w:ilvl="7" w:tplc="14090019" w:tentative="1">
      <w:start w:val="1"/>
      <w:numFmt w:val="bullet"/>
      <w:lvlText w:val="o"/>
      <w:lvlJc w:val="left"/>
      <w:pPr>
        <w:tabs>
          <w:tab w:val="num" w:pos="4909"/>
        </w:tabs>
        <w:ind w:left="4909" w:hanging="360"/>
      </w:pPr>
      <w:rPr>
        <w:rFonts w:ascii="Courier New" w:hAnsi="Courier New" w:cs="Courier New" w:hint="default"/>
      </w:rPr>
    </w:lvl>
    <w:lvl w:ilvl="8" w:tplc="1409001B" w:tentative="1">
      <w:start w:val="1"/>
      <w:numFmt w:val="bullet"/>
      <w:lvlText w:val=""/>
      <w:lvlJc w:val="left"/>
      <w:pPr>
        <w:tabs>
          <w:tab w:val="num" w:pos="5629"/>
        </w:tabs>
        <w:ind w:left="5629" w:hanging="360"/>
      </w:pPr>
      <w:rPr>
        <w:rFonts w:ascii="Wingdings" w:hAnsi="Wingdings" w:hint="default"/>
      </w:rPr>
    </w:lvl>
  </w:abstractNum>
  <w:abstractNum w:abstractNumId="13">
    <w:nsid w:val="4E56784C"/>
    <w:multiLevelType w:val="hybridMultilevel"/>
    <w:tmpl w:val="A80092D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nsid w:val="4FF24BAF"/>
    <w:multiLevelType w:val="hybridMultilevel"/>
    <w:tmpl w:val="7610DC58"/>
    <w:lvl w:ilvl="0" w:tplc="2B64F2EA">
      <w:start w:val="1"/>
      <w:numFmt w:val="bullet"/>
      <w:lvlText w:val="-"/>
      <w:lvlJc w:val="left"/>
      <w:pPr>
        <w:ind w:left="720" w:hanging="360"/>
      </w:pPr>
      <w:rPr>
        <w:rFonts w:ascii="Courier New" w:hAnsi="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514F7994"/>
    <w:multiLevelType w:val="hybridMultilevel"/>
    <w:tmpl w:val="8C1A3F62"/>
    <w:lvl w:ilvl="0" w:tplc="08090005">
      <w:start w:val="1"/>
      <w:numFmt w:val="decimal"/>
      <w:pStyle w:val="Chapter1"/>
      <w:lvlText w:val="1.%1"/>
      <w:lvlJc w:val="left"/>
      <w:pPr>
        <w:tabs>
          <w:tab w:val="num" w:pos="851"/>
        </w:tabs>
        <w:ind w:left="851" w:hanging="851"/>
      </w:pPr>
      <w:rPr>
        <w:rFonts w:hint="default"/>
      </w:rPr>
    </w:lvl>
    <w:lvl w:ilvl="1" w:tplc="6FB61F34"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6">
    <w:nsid w:val="553A5693"/>
    <w:multiLevelType w:val="hybridMultilevel"/>
    <w:tmpl w:val="28FCB24C"/>
    <w:lvl w:ilvl="0" w:tplc="08090005">
      <w:start w:val="1"/>
      <w:numFmt w:val="decimal"/>
      <w:pStyle w:val="Chapter9"/>
      <w:lvlText w:val="9.%1"/>
      <w:lvlJc w:val="left"/>
      <w:pPr>
        <w:tabs>
          <w:tab w:val="num" w:pos="567"/>
        </w:tabs>
        <w:ind w:left="0" w:firstLine="0"/>
      </w:pPr>
      <w:rPr>
        <w:rFonts w:hint="default"/>
      </w:rPr>
    </w:lvl>
    <w:lvl w:ilvl="1" w:tplc="FE56B4D8"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7">
    <w:nsid w:val="5BA171F8"/>
    <w:multiLevelType w:val="hybridMultilevel"/>
    <w:tmpl w:val="289EA060"/>
    <w:lvl w:ilvl="0" w:tplc="0C090019">
      <w:start w:val="1"/>
      <w:numFmt w:val="bullet"/>
      <w:lvlText w:val=""/>
      <w:lvlJc w:val="left"/>
      <w:pPr>
        <w:tabs>
          <w:tab w:val="num" w:pos="1350"/>
        </w:tabs>
        <w:ind w:left="1350" w:hanging="360"/>
      </w:pPr>
      <w:rPr>
        <w:rFonts w:ascii="Symbol" w:hAnsi="Symbol" w:hint="default"/>
      </w:rPr>
    </w:lvl>
    <w:lvl w:ilvl="1" w:tplc="0C090003" w:tentative="1">
      <w:start w:val="1"/>
      <w:numFmt w:val="lowerLetter"/>
      <w:lvlText w:val="%2."/>
      <w:lvlJc w:val="left"/>
      <w:pPr>
        <w:tabs>
          <w:tab w:val="num" w:pos="2007"/>
        </w:tabs>
        <w:ind w:left="2007" w:hanging="360"/>
      </w:pPr>
    </w:lvl>
    <w:lvl w:ilvl="2" w:tplc="0C090005" w:tentative="1">
      <w:start w:val="1"/>
      <w:numFmt w:val="lowerRoman"/>
      <w:lvlText w:val="%3."/>
      <w:lvlJc w:val="right"/>
      <w:pPr>
        <w:tabs>
          <w:tab w:val="num" w:pos="2727"/>
        </w:tabs>
        <w:ind w:left="2727" w:hanging="180"/>
      </w:pPr>
    </w:lvl>
    <w:lvl w:ilvl="3" w:tplc="0C090001" w:tentative="1">
      <w:start w:val="1"/>
      <w:numFmt w:val="decimal"/>
      <w:lvlText w:val="%4."/>
      <w:lvlJc w:val="left"/>
      <w:pPr>
        <w:tabs>
          <w:tab w:val="num" w:pos="3447"/>
        </w:tabs>
        <w:ind w:left="3447" w:hanging="360"/>
      </w:pPr>
    </w:lvl>
    <w:lvl w:ilvl="4" w:tplc="0C090003" w:tentative="1">
      <w:start w:val="1"/>
      <w:numFmt w:val="lowerLetter"/>
      <w:lvlText w:val="%5."/>
      <w:lvlJc w:val="left"/>
      <w:pPr>
        <w:tabs>
          <w:tab w:val="num" w:pos="4167"/>
        </w:tabs>
        <w:ind w:left="4167" w:hanging="360"/>
      </w:pPr>
    </w:lvl>
    <w:lvl w:ilvl="5" w:tplc="0C090005" w:tentative="1">
      <w:start w:val="1"/>
      <w:numFmt w:val="lowerRoman"/>
      <w:lvlText w:val="%6."/>
      <w:lvlJc w:val="right"/>
      <w:pPr>
        <w:tabs>
          <w:tab w:val="num" w:pos="4887"/>
        </w:tabs>
        <w:ind w:left="4887" w:hanging="180"/>
      </w:pPr>
    </w:lvl>
    <w:lvl w:ilvl="6" w:tplc="0C090001" w:tentative="1">
      <w:start w:val="1"/>
      <w:numFmt w:val="decimal"/>
      <w:lvlText w:val="%7."/>
      <w:lvlJc w:val="left"/>
      <w:pPr>
        <w:tabs>
          <w:tab w:val="num" w:pos="5607"/>
        </w:tabs>
        <w:ind w:left="5607" w:hanging="360"/>
      </w:pPr>
    </w:lvl>
    <w:lvl w:ilvl="7" w:tplc="0C090003" w:tentative="1">
      <w:start w:val="1"/>
      <w:numFmt w:val="lowerLetter"/>
      <w:lvlText w:val="%8."/>
      <w:lvlJc w:val="left"/>
      <w:pPr>
        <w:tabs>
          <w:tab w:val="num" w:pos="6327"/>
        </w:tabs>
        <w:ind w:left="6327" w:hanging="360"/>
      </w:pPr>
    </w:lvl>
    <w:lvl w:ilvl="8" w:tplc="0C090005" w:tentative="1">
      <w:start w:val="1"/>
      <w:numFmt w:val="lowerRoman"/>
      <w:lvlText w:val="%9."/>
      <w:lvlJc w:val="right"/>
      <w:pPr>
        <w:tabs>
          <w:tab w:val="num" w:pos="7047"/>
        </w:tabs>
        <w:ind w:left="7047" w:hanging="180"/>
      </w:pPr>
    </w:lvl>
  </w:abstractNum>
  <w:abstractNum w:abstractNumId="18">
    <w:nsid w:val="602C34EE"/>
    <w:multiLevelType w:val="hybridMultilevel"/>
    <w:tmpl w:val="8AE87DEC"/>
    <w:lvl w:ilvl="0" w:tplc="0809000F">
      <w:start w:val="1"/>
      <w:numFmt w:val="decimal"/>
      <w:pStyle w:val="Chapter7"/>
      <w:lvlText w:val="7.%1"/>
      <w:lvlJc w:val="left"/>
      <w:pPr>
        <w:tabs>
          <w:tab w:val="num" w:pos="2836"/>
        </w:tabs>
        <w:ind w:left="2269" w:firstLine="0"/>
      </w:pPr>
      <w:rPr>
        <w:rFonts w:hint="default"/>
      </w:rPr>
    </w:lvl>
    <w:lvl w:ilvl="1" w:tplc="08090019">
      <w:start w:val="1"/>
      <w:numFmt w:val="lowerLetter"/>
      <w:lvlText w:val="%2."/>
      <w:lvlJc w:val="left"/>
      <w:pPr>
        <w:tabs>
          <w:tab w:val="num" w:pos="1440"/>
        </w:tabs>
        <w:ind w:left="1440" w:hanging="360"/>
      </w:pPr>
    </w:lvl>
    <w:lvl w:ilvl="2" w:tplc="55A4EE06"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640C6943"/>
    <w:multiLevelType w:val="singleLevel"/>
    <w:tmpl w:val="2368CBD2"/>
    <w:lvl w:ilvl="0">
      <w:start w:val="1"/>
      <w:numFmt w:val="decimal"/>
      <w:pStyle w:val="Chapter3"/>
      <w:lvlText w:val="3.%1"/>
      <w:lvlJc w:val="left"/>
      <w:pPr>
        <w:tabs>
          <w:tab w:val="num" w:pos="851"/>
        </w:tabs>
        <w:ind w:left="851" w:hanging="851"/>
      </w:pPr>
      <w:rPr>
        <w:rFonts w:hint="default"/>
      </w:rPr>
    </w:lvl>
  </w:abstractNum>
  <w:abstractNum w:abstractNumId="20">
    <w:nsid w:val="64C1796D"/>
    <w:multiLevelType w:val="hybridMultilevel"/>
    <w:tmpl w:val="DB829DCE"/>
    <w:lvl w:ilvl="0" w:tplc="08090005">
      <w:start w:val="1"/>
      <w:numFmt w:val="decimal"/>
      <w:pStyle w:val="Chapter8"/>
      <w:lvlText w:val="8.%1"/>
      <w:lvlJc w:val="left"/>
      <w:pPr>
        <w:tabs>
          <w:tab w:val="num" w:pos="851"/>
        </w:tabs>
        <w:ind w:left="0" w:firstLine="0"/>
      </w:pPr>
      <w:rPr>
        <w:rFonts w:hint="default"/>
      </w:rPr>
    </w:lvl>
    <w:lvl w:ilvl="1" w:tplc="18D61E8E"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1">
    <w:nsid w:val="65A10F29"/>
    <w:multiLevelType w:val="hybridMultilevel"/>
    <w:tmpl w:val="42F665F6"/>
    <w:lvl w:ilvl="0" w:tplc="A7005A70">
      <w:start w:val="1"/>
      <w:numFmt w:val="decimal"/>
      <w:pStyle w:val="Chapter11"/>
      <w:lvlText w:val="11.%1"/>
      <w:lvlJc w:val="left"/>
      <w:pPr>
        <w:tabs>
          <w:tab w:val="num" w:pos="851"/>
        </w:tabs>
        <w:ind w:left="0" w:firstLine="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nsid w:val="6B557726"/>
    <w:multiLevelType w:val="hybridMultilevel"/>
    <w:tmpl w:val="A5460864"/>
    <w:lvl w:ilvl="0" w:tplc="B3F2B942">
      <w:start w:val="1"/>
      <w:numFmt w:val="decimal"/>
      <w:pStyle w:val="Chapter100"/>
      <w:lvlText w:val="10.%1"/>
      <w:lvlJc w:val="left"/>
      <w:pPr>
        <w:tabs>
          <w:tab w:val="num" w:pos="567"/>
        </w:tabs>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nsid w:val="6F09054B"/>
    <w:multiLevelType w:val="hybridMultilevel"/>
    <w:tmpl w:val="86722BDC"/>
    <w:lvl w:ilvl="0" w:tplc="A8F6750E">
      <w:start w:val="1"/>
      <w:numFmt w:val="bullet"/>
      <w:lvlText w:val=""/>
      <w:lvlJc w:val="left"/>
      <w:pPr>
        <w:tabs>
          <w:tab w:val="num" w:pos="567"/>
        </w:tabs>
        <w:ind w:left="567" w:hanging="510"/>
      </w:pPr>
      <w:rPr>
        <w:rFonts w:ascii="Symbol" w:hAnsi="Symbol" w:hint="default"/>
        <w:sz w:val="21"/>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708457F5"/>
    <w:multiLevelType w:val="hybridMultilevel"/>
    <w:tmpl w:val="D558320E"/>
    <w:lvl w:ilvl="0" w:tplc="3DB4A4A4">
      <w:start w:val="1"/>
      <w:numFmt w:val="bullet"/>
      <w:pStyle w:val="Bullets-Table"/>
      <w:lvlText w:val=""/>
      <w:lvlJc w:val="left"/>
      <w:pPr>
        <w:ind w:left="360" w:hanging="360"/>
      </w:pPr>
      <w:rPr>
        <w:rFonts w:ascii="Wingdings 2" w:hAnsi="Wingdings 2"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nsid w:val="72127131"/>
    <w:multiLevelType w:val="hybridMultilevel"/>
    <w:tmpl w:val="56ECEE88"/>
    <w:lvl w:ilvl="0" w:tplc="0FA0D9A2">
      <w:start w:val="1"/>
      <w:numFmt w:val="bullet"/>
      <w:lvlText w:val=""/>
      <w:lvlJc w:val="left"/>
      <w:pPr>
        <w:tabs>
          <w:tab w:val="num" w:pos="720"/>
        </w:tabs>
        <w:ind w:left="720" w:hanging="360"/>
      </w:pPr>
      <w:rPr>
        <w:rFonts w:ascii="Symbol" w:hAnsi="Symbol" w:hint="default"/>
      </w:rPr>
    </w:lvl>
    <w:lvl w:ilvl="1" w:tplc="0C090001"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26">
    <w:nsid w:val="76B95CA4"/>
    <w:multiLevelType w:val="hybridMultilevel"/>
    <w:tmpl w:val="6F9E63D0"/>
    <w:lvl w:ilvl="0" w:tplc="BA08752A">
      <w:start w:val="1"/>
      <w:numFmt w:val="bullet"/>
      <w:lvlText w:val=""/>
      <w:lvlJc w:val="left"/>
      <w:pPr>
        <w:tabs>
          <w:tab w:val="num" w:pos="360"/>
        </w:tabs>
        <w:ind w:left="360" w:hanging="360"/>
      </w:pPr>
      <w:rPr>
        <w:rFonts w:ascii="Symbol" w:hAnsi="Symbol" w:hint="default"/>
        <w:sz w:val="20"/>
        <w:szCs w:val="20"/>
      </w:rPr>
    </w:lvl>
    <w:lvl w:ilvl="1" w:tplc="0C090001"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2"/>
  </w:num>
  <w:num w:numId="3">
    <w:abstractNumId w:val="15"/>
  </w:num>
  <w:num w:numId="4">
    <w:abstractNumId w:val="16"/>
  </w:num>
  <w:num w:numId="5">
    <w:abstractNumId w:val="22"/>
  </w:num>
  <w:num w:numId="6">
    <w:abstractNumId w:val="2"/>
  </w:num>
  <w:num w:numId="7">
    <w:abstractNumId w:val="19"/>
  </w:num>
  <w:num w:numId="8">
    <w:abstractNumId w:val="9"/>
  </w:num>
  <w:num w:numId="9">
    <w:abstractNumId w:val="0"/>
  </w:num>
  <w:num w:numId="10">
    <w:abstractNumId w:val="1"/>
  </w:num>
  <w:num w:numId="11">
    <w:abstractNumId w:val="5"/>
  </w:num>
  <w:num w:numId="12">
    <w:abstractNumId w:val="18"/>
  </w:num>
  <w:num w:numId="13">
    <w:abstractNumId w:val="23"/>
  </w:num>
  <w:num w:numId="14">
    <w:abstractNumId w:val="20"/>
  </w:num>
  <w:num w:numId="15">
    <w:abstractNumId w:val="21"/>
  </w:num>
  <w:num w:numId="16">
    <w:abstractNumId w:val="11"/>
  </w:num>
  <w:num w:numId="17">
    <w:abstractNumId w:val="25"/>
  </w:num>
  <w:num w:numId="18">
    <w:abstractNumId w:val="17"/>
  </w:num>
  <w:num w:numId="19">
    <w:abstractNumId w:val="7"/>
  </w:num>
  <w:num w:numId="20">
    <w:abstractNumId w:val="26"/>
  </w:num>
  <w:num w:numId="21">
    <w:abstractNumId w:val="13"/>
  </w:num>
  <w:num w:numId="22">
    <w:abstractNumId w:val="10"/>
  </w:num>
  <w:num w:numId="23">
    <w:abstractNumId w:val="8"/>
  </w:num>
  <w:num w:numId="24">
    <w:abstractNumId w:val="15"/>
  </w:num>
  <w:num w:numId="25">
    <w:abstractNumId w:val="2"/>
    <w:lvlOverride w:ilvl="0">
      <w:startOverride w:val="6"/>
    </w:lvlOverride>
  </w:num>
  <w:num w:numId="26">
    <w:abstractNumId w:val="19"/>
    <w:lvlOverride w:ilvl="0">
      <w:startOverride w:val="7"/>
    </w:lvlOverride>
  </w:num>
  <w:num w:numId="27">
    <w:abstractNumId w:val="0"/>
    <w:lvlOverride w:ilvl="0">
      <w:startOverride w:val="4"/>
    </w:lvlOverride>
  </w:num>
  <w:num w:numId="28">
    <w:abstractNumId w:val="0"/>
    <w:lvlOverride w:ilvl="0">
      <w:startOverride w:val="5"/>
    </w:lvlOverride>
  </w:num>
  <w:num w:numId="29">
    <w:abstractNumId w:val="6"/>
  </w:num>
  <w:num w:numId="30">
    <w:abstractNumId w:val="4"/>
  </w:num>
  <w:num w:numId="31">
    <w:abstractNumId w:val="14"/>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evenAndOddHeaders/>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0E4"/>
    <w:rsid w:val="000022EC"/>
    <w:rsid w:val="0000377B"/>
    <w:rsid w:val="00003908"/>
    <w:rsid w:val="00006422"/>
    <w:rsid w:val="00007351"/>
    <w:rsid w:val="00010FE7"/>
    <w:rsid w:val="00012289"/>
    <w:rsid w:val="00014230"/>
    <w:rsid w:val="00015410"/>
    <w:rsid w:val="00015F50"/>
    <w:rsid w:val="0001695D"/>
    <w:rsid w:val="000171CE"/>
    <w:rsid w:val="00017767"/>
    <w:rsid w:val="0002323A"/>
    <w:rsid w:val="0002340B"/>
    <w:rsid w:val="00023739"/>
    <w:rsid w:val="000250E7"/>
    <w:rsid w:val="000251CA"/>
    <w:rsid w:val="0002735F"/>
    <w:rsid w:val="00027B73"/>
    <w:rsid w:val="0003027F"/>
    <w:rsid w:val="00031162"/>
    <w:rsid w:val="0003124A"/>
    <w:rsid w:val="0003164B"/>
    <w:rsid w:val="000317D5"/>
    <w:rsid w:val="00033150"/>
    <w:rsid w:val="00033259"/>
    <w:rsid w:val="00033F9A"/>
    <w:rsid w:val="000344D8"/>
    <w:rsid w:val="00034917"/>
    <w:rsid w:val="00035F81"/>
    <w:rsid w:val="00037A83"/>
    <w:rsid w:val="000407DB"/>
    <w:rsid w:val="00041A29"/>
    <w:rsid w:val="00041E24"/>
    <w:rsid w:val="00043BEF"/>
    <w:rsid w:val="00047CC7"/>
    <w:rsid w:val="00047FF9"/>
    <w:rsid w:val="00050E51"/>
    <w:rsid w:val="00051E9F"/>
    <w:rsid w:val="000523E0"/>
    <w:rsid w:val="00053A26"/>
    <w:rsid w:val="00053BF5"/>
    <w:rsid w:val="0005471A"/>
    <w:rsid w:val="00055518"/>
    <w:rsid w:val="000570B4"/>
    <w:rsid w:val="0005761B"/>
    <w:rsid w:val="000578D5"/>
    <w:rsid w:val="00061838"/>
    <w:rsid w:val="00064C13"/>
    <w:rsid w:val="00064CDF"/>
    <w:rsid w:val="00067972"/>
    <w:rsid w:val="00070A6E"/>
    <w:rsid w:val="00071F62"/>
    <w:rsid w:val="00072271"/>
    <w:rsid w:val="00074205"/>
    <w:rsid w:val="0007577B"/>
    <w:rsid w:val="00081340"/>
    <w:rsid w:val="00083D81"/>
    <w:rsid w:val="00084ED4"/>
    <w:rsid w:val="000852A1"/>
    <w:rsid w:val="00090841"/>
    <w:rsid w:val="00091439"/>
    <w:rsid w:val="000936CF"/>
    <w:rsid w:val="00096603"/>
    <w:rsid w:val="00096828"/>
    <w:rsid w:val="000972F9"/>
    <w:rsid w:val="00097D6E"/>
    <w:rsid w:val="000A1039"/>
    <w:rsid w:val="000A1D11"/>
    <w:rsid w:val="000A21B8"/>
    <w:rsid w:val="000A2369"/>
    <w:rsid w:val="000A55B7"/>
    <w:rsid w:val="000A69BB"/>
    <w:rsid w:val="000A6FA8"/>
    <w:rsid w:val="000A7407"/>
    <w:rsid w:val="000B0C18"/>
    <w:rsid w:val="000B1DE7"/>
    <w:rsid w:val="000B1F5C"/>
    <w:rsid w:val="000B38A9"/>
    <w:rsid w:val="000B4164"/>
    <w:rsid w:val="000B5747"/>
    <w:rsid w:val="000B7EE4"/>
    <w:rsid w:val="000C009E"/>
    <w:rsid w:val="000C0168"/>
    <w:rsid w:val="000C0315"/>
    <w:rsid w:val="000C3FFB"/>
    <w:rsid w:val="000C5DF3"/>
    <w:rsid w:val="000C5EB7"/>
    <w:rsid w:val="000C73AB"/>
    <w:rsid w:val="000C78C9"/>
    <w:rsid w:val="000D0F7B"/>
    <w:rsid w:val="000D154C"/>
    <w:rsid w:val="000D431B"/>
    <w:rsid w:val="000D477E"/>
    <w:rsid w:val="000D5566"/>
    <w:rsid w:val="000E1182"/>
    <w:rsid w:val="000E1473"/>
    <w:rsid w:val="000E3A50"/>
    <w:rsid w:val="000E3D2B"/>
    <w:rsid w:val="000E5145"/>
    <w:rsid w:val="000E5794"/>
    <w:rsid w:val="000E764D"/>
    <w:rsid w:val="000E7C71"/>
    <w:rsid w:val="000E7EAB"/>
    <w:rsid w:val="000F4BC1"/>
    <w:rsid w:val="000F7153"/>
    <w:rsid w:val="000F7771"/>
    <w:rsid w:val="001005B7"/>
    <w:rsid w:val="00100901"/>
    <w:rsid w:val="00103F53"/>
    <w:rsid w:val="001078F8"/>
    <w:rsid w:val="00110264"/>
    <w:rsid w:val="00111813"/>
    <w:rsid w:val="001142E4"/>
    <w:rsid w:val="001154E2"/>
    <w:rsid w:val="00117C16"/>
    <w:rsid w:val="001201B6"/>
    <w:rsid w:val="00121752"/>
    <w:rsid w:val="0012550F"/>
    <w:rsid w:val="00126F60"/>
    <w:rsid w:val="00131B6A"/>
    <w:rsid w:val="001324ED"/>
    <w:rsid w:val="001348E3"/>
    <w:rsid w:val="00134BF6"/>
    <w:rsid w:val="00134C59"/>
    <w:rsid w:val="001353EA"/>
    <w:rsid w:val="0013541C"/>
    <w:rsid w:val="00136CB8"/>
    <w:rsid w:val="00140748"/>
    <w:rsid w:val="001425E7"/>
    <w:rsid w:val="00143CAA"/>
    <w:rsid w:val="001455DB"/>
    <w:rsid w:val="0014563C"/>
    <w:rsid w:val="00146B3B"/>
    <w:rsid w:val="0015001E"/>
    <w:rsid w:val="00150A63"/>
    <w:rsid w:val="001526C7"/>
    <w:rsid w:val="0015532D"/>
    <w:rsid w:val="001562B0"/>
    <w:rsid w:val="00157C9A"/>
    <w:rsid w:val="00160D92"/>
    <w:rsid w:val="00162125"/>
    <w:rsid w:val="0016327A"/>
    <w:rsid w:val="00166D50"/>
    <w:rsid w:val="00166FD2"/>
    <w:rsid w:val="001702CB"/>
    <w:rsid w:val="00170CFB"/>
    <w:rsid w:val="001713B3"/>
    <w:rsid w:val="001722B8"/>
    <w:rsid w:val="00176CEC"/>
    <w:rsid w:val="00176E74"/>
    <w:rsid w:val="00177C80"/>
    <w:rsid w:val="00180ED9"/>
    <w:rsid w:val="00182551"/>
    <w:rsid w:val="001836E5"/>
    <w:rsid w:val="00183C05"/>
    <w:rsid w:val="00183F66"/>
    <w:rsid w:val="00193130"/>
    <w:rsid w:val="00196612"/>
    <w:rsid w:val="00197444"/>
    <w:rsid w:val="00197EF4"/>
    <w:rsid w:val="001A2A81"/>
    <w:rsid w:val="001A2BCA"/>
    <w:rsid w:val="001A3053"/>
    <w:rsid w:val="001A385F"/>
    <w:rsid w:val="001A6A36"/>
    <w:rsid w:val="001A721B"/>
    <w:rsid w:val="001B2E8D"/>
    <w:rsid w:val="001B541F"/>
    <w:rsid w:val="001B57E9"/>
    <w:rsid w:val="001C23A1"/>
    <w:rsid w:val="001C38AE"/>
    <w:rsid w:val="001C6F6F"/>
    <w:rsid w:val="001C74B8"/>
    <w:rsid w:val="001D02C2"/>
    <w:rsid w:val="001D0512"/>
    <w:rsid w:val="001D47CB"/>
    <w:rsid w:val="001D4B71"/>
    <w:rsid w:val="001D5A37"/>
    <w:rsid w:val="001D72DE"/>
    <w:rsid w:val="001D768A"/>
    <w:rsid w:val="001D799C"/>
    <w:rsid w:val="001E193C"/>
    <w:rsid w:val="001E1CE3"/>
    <w:rsid w:val="001E3029"/>
    <w:rsid w:val="001E7D14"/>
    <w:rsid w:val="001F0321"/>
    <w:rsid w:val="001F1432"/>
    <w:rsid w:val="001F1B9D"/>
    <w:rsid w:val="001F34EC"/>
    <w:rsid w:val="001F35C8"/>
    <w:rsid w:val="001F6CB4"/>
    <w:rsid w:val="001F7F76"/>
    <w:rsid w:val="00200688"/>
    <w:rsid w:val="002007CD"/>
    <w:rsid w:val="00200C96"/>
    <w:rsid w:val="00200EE6"/>
    <w:rsid w:val="0020206F"/>
    <w:rsid w:val="002025E9"/>
    <w:rsid w:val="002033D4"/>
    <w:rsid w:val="00203968"/>
    <w:rsid w:val="002040FD"/>
    <w:rsid w:val="00205799"/>
    <w:rsid w:val="0020641A"/>
    <w:rsid w:val="002137D1"/>
    <w:rsid w:val="0021414A"/>
    <w:rsid w:val="002152CE"/>
    <w:rsid w:val="0021548E"/>
    <w:rsid w:val="00216D5E"/>
    <w:rsid w:val="00217C12"/>
    <w:rsid w:val="00231C75"/>
    <w:rsid w:val="002325A4"/>
    <w:rsid w:val="00232C5B"/>
    <w:rsid w:val="0023315E"/>
    <w:rsid w:val="00233203"/>
    <w:rsid w:val="002334CC"/>
    <w:rsid w:val="002343E9"/>
    <w:rsid w:val="002357D6"/>
    <w:rsid w:val="0023589C"/>
    <w:rsid w:val="002361A0"/>
    <w:rsid w:val="0023748D"/>
    <w:rsid w:val="00237EF2"/>
    <w:rsid w:val="00240DCC"/>
    <w:rsid w:val="0024175F"/>
    <w:rsid w:val="00242C4E"/>
    <w:rsid w:val="00244391"/>
    <w:rsid w:val="0025084A"/>
    <w:rsid w:val="002516B4"/>
    <w:rsid w:val="00253969"/>
    <w:rsid w:val="00254177"/>
    <w:rsid w:val="002573D7"/>
    <w:rsid w:val="0026027E"/>
    <w:rsid w:val="00260B59"/>
    <w:rsid w:val="00260ED8"/>
    <w:rsid w:val="00263E47"/>
    <w:rsid w:val="002661FD"/>
    <w:rsid w:val="00267C0F"/>
    <w:rsid w:val="0027067F"/>
    <w:rsid w:val="00271089"/>
    <w:rsid w:val="00273349"/>
    <w:rsid w:val="00277C44"/>
    <w:rsid w:val="00281331"/>
    <w:rsid w:val="00283A2A"/>
    <w:rsid w:val="00286748"/>
    <w:rsid w:val="00290180"/>
    <w:rsid w:val="00291A59"/>
    <w:rsid w:val="0029316E"/>
    <w:rsid w:val="002960FD"/>
    <w:rsid w:val="00296FC3"/>
    <w:rsid w:val="0029771F"/>
    <w:rsid w:val="002A1409"/>
    <w:rsid w:val="002A1595"/>
    <w:rsid w:val="002A2045"/>
    <w:rsid w:val="002A2064"/>
    <w:rsid w:val="002A2214"/>
    <w:rsid w:val="002A3B95"/>
    <w:rsid w:val="002A5F43"/>
    <w:rsid w:val="002A6420"/>
    <w:rsid w:val="002A6B04"/>
    <w:rsid w:val="002A6B59"/>
    <w:rsid w:val="002A729A"/>
    <w:rsid w:val="002A7B5E"/>
    <w:rsid w:val="002A7F65"/>
    <w:rsid w:val="002B213A"/>
    <w:rsid w:val="002B2263"/>
    <w:rsid w:val="002B3770"/>
    <w:rsid w:val="002B7250"/>
    <w:rsid w:val="002C1491"/>
    <w:rsid w:val="002C3D65"/>
    <w:rsid w:val="002C4868"/>
    <w:rsid w:val="002C5860"/>
    <w:rsid w:val="002C5E5F"/>
    <w:rsid w:val="002C723A"/>
    <w:rsid w:val="002C7AD2"/>
    <w:rsid w:val="002D08DF"/>
    <w:rsid w:val="002D0B41"/>
    <w:rsid w:val="002D78AA"/>
    <w:rsid w:val="002D7CEB"/>
    <w:rsid w:val="002E05EC"/>
    <w:rsid w:val="002E093E"/>
    <w:rsid w:val="002E102D"/>
    <w:rsid w:val="002E227E"/>
    <w:rsid w:val="002E3A75"/>
    <w:rsid w:val="002F07CC"/>
    <w:rsid w:val="002F082A"/>
    <w:rsid w:val="002F102C"/>
    <w:rsid w:val="002F2C39"/>
    <w:rsid w:val="002F46B3"/>
    <w:rsid w:val="002F5A43"/>
    <w:rsid w:val="0030295B"/>
    <w:rsid w:val="003048A8"/>
    <w:rsid w:val="0030508B"/>
    <w:rsid w:val="0030535A"/>
    <w:rsid w:val="0030684E"/>
    <w:rsid w:val="00310730"/>
    <w:rsid w:val="00311DBB"/>
    <w:rsid w:val="003120D8"/>
    <w:rsid w:val="00317CA5"/>
    <w:rsid w:val="00320319"/>
    <w:rsid w:val="0032154C"/>
    <w:rsid w:val="00321964"/>
    <w:rsid w:val="0032499B"/>
    <w:rsid w:val="00325904"/>
    <w:rsid w:val="003265FB"/>
    <w:rsid w:val="00331093"/>
    <w:rsid w:val="0033150F"/>
    <w:rsid w:val="0033227F"/>
    <w:rsid w:val="00333F40"/>
    <w:rsid w:val="003356AC"/>
    <w:rsid w:val="003413ED"/>
    <w:rsid w:val="00341557"/>
    <w:rsid w:val="0034165E"/>
    <w:rsid w:val="00343FC6"/>
    <w:rsid w:val="0034639D"/>
    <w:rsid w:val="003473DB"/>
    <w:rsid w:val="00354453"/>
    <w:rsid w:val="003563D9"/>
    <w:rsid w:val="0035780A"/>
    <w:rsid w:val="0036156A"/>
    <w:rsid w:val="00362461"/>
    <w:rsid w:val="003643FA"/>
    <w:rsid w:val="00367337"/>
    <w:rsid w:val="00367C7B"/>
    <w:rsid w:val="00370F9D"/>
    <w:rsid w:val="00371125"/>
    <w:rsid w:val="0037173A"/>
    <w:rsid w:val="00373D19"/>
    <w:rsid w:val="00373E7D"/>
    <w:rsid w:val="00373F5D"/>
    <w:rsid w:val="003742E3"/>
    <w:rsid w:val="00374BD9"/>
    <w:rsid w:val="00374E66"/>
    <w:rsid w:val="003754D0"/>
    <w:rsid w:val="00380CAC"/>
    <w:rsid w:val="00381ABC"/>
    <w:rsid w:val="00384C7E"/>
    <w:rsid w:val="0038645D"/>
    <w:rsid w:val="00387D1E"/>
    <w:rsid w:val="00390F8D"/>
    <w:rsid w:val="00391A22"/>
    <w:rsid w:val="00391B92"/>
    <w:rsid w:val="00392924"/>
    <w:rsid w:val="003944D6"/>
    <w:rsid w:val="00394CF8"/>
    <w:rsid w:val="00395475"/>
    <w:rsid w:val="00395B3F"/>
    <w:rsid w:val="003962BF"/>
    <w:rsid w:val="00396824"/>
    <w:rsid w:val="00397856"/>
    <w:rsid w:val="003A31FD"/>
    <w:rsid w:val="003A4D95"/>
    <w:rsid w:val="003A5393"/>
    <w:rsid w:val="003A5488"/>
    <w:rsid w:val="003A5C2F"/>
    <w:rsid w:val="003B397F"/>
    <w:rsid w:val="003C055A"/>
    <w:rsid w:val="003C3352"/>
    <w:rsid w:val="003C3693"/>
    <w:rsid w:val="003C37C2"/>
    <w:rsid w:val="003C4126"/>
    <w:rsid w:val="003C502F"/>
    <w:rsid w:val="003C5519"/>
    <w:rsid w:val="003C594A"/>
    <w:rsid w:val="003C5C5C"/>
    <w:rsid w:val="003C6105"/>
    <w:rsid w:val="003C6A12"/>
    <w:rsid w:val="003C75F6"/>
    <w:rsid w:val="003D0B49"/>
    <w:rsid w:val="003D1452"/>
    <w:rsid w:val="003D28D3"/>
    <w:rsid w:val="003D6323"/>
    <w:rsid w:val="003D684E"/>
    <w:rsid w:val="003D6EF5"/>
    <w:rsid w:val="003D73BF"/>
    <w:rsid w:val="003E0056"/>
    <w:rsid w:val="003E02BB"/>
    <w:rsid w:val="003E44F6"/>
    <w:rsid w:val="003E473F"/>
    <w:rsid w:val="003E51E2"/>
    <w:rsid w:val="003E7906"/>
    <w:rsid w:val="003E7977"/>
    <w:rsid w:val="003F03E7"/>
    <w:rsid w:val="003F5739"/>
    <w:rsid w:val="003F6AB6"/>
    <w:rsid w:val="003F6E87"/>
    <w:rsid w:val="00401F0F"/>
    <w:rsid w:val="0040231F"/>
    <w:rsid w:val="00402BE3"/>
    <w:rsid w:val="00403468"/>
    <w:rsid w:val="00404CDB"/>
    <w:rsid w:val="00405235"/>
    <w:rsid w:val="0040742C"/>
    <w:rsid w:val="00413004"/>
    <w:rsid w:val="004137E5"/>
    <w:rsid w:val="0041492E"/>
    <w:rsid w:val="00414AC0"/>
    <w:rsid w:val="00414F89"/>
    <w:rsid w:val="0042286D"/>
    <w:rsid w:val="004243F7"/>
    <w:rsid w:val="004258D6"/>
    <w:rsid w:val="004306CC"/>
    <w:rsid w:val="00430BB2"/>
    <w:rsid w:val="00431555"/>
    <w:rsid w:val="00431E1A"/>
    <w:rsid w:val="004326C9"/>
    <w:rsid w:val="00432F19"/>
    <w:rsid w:val="00434294"/>
    <w:rsid w:val="00434570"/>
    <w:rsid w:val="00435C8B"/>
    <w:rsid w:val="00436FCD"/>
    <w:rsid w:val="0044126B"/>
    <w:rsid w:val="00442276"/>
    <w:rsid w:val="00443952"/>
    <w:rsid w:val="0044537A"/>
    <w:rsid w:val="00445690"/>
    <w:rsid w:val="0044726A"/>
    <w:rsid w:val="00447865"/>
    <w:rsid w:val="004478AE"/>
    <w:rsid w:val="00450226"/>
    <w:rsid w:val="00450F96"/>
    <w:rsid w:val="00452856"/>
    <w:rsid w:val="00453713"/>
    <w:rsid w:val="00454686"/>
    <w:rsid w:val="00455B3C"/>
    <w:rsid w:val="00456DE8"/>
    <w:rsid w:val="004603E1"/>
    <w:rsid w:val="004649DC"/>
    <w:rsid w:val="004714F2"/>
    <w:rsid w:val="00477B93"/>
    <w:rsid w:val="00482460"/>
    <w:rsid w:val="00482B21"/>
    <w:rsid w:val="00485CD4"/>
    <w:rsid w:val="004865E4"/>
    <w:rsid w:val="00493A9F"/>
    <w:rsid w:val="004955E2"/>
    <w:rsid w:val="00495F1D"/>
    <w:rsid w:val="004A0BAE"/>
    <w:rsid w:val="004A11C8"/>
    <w:rsid w:val="004A1DEC"/>
    <w:rsid w:val="004A4529"/>
    <w:rsid w:val="004A6E86"/>
    <w:rsid w:val="004B0926"/>
    <w:rsid w:val="004B1B92"/>
    <w:rsid w:val="004B2F23"/>
    <w:rsid w:val="004B36B0"/>
    <w:rsid w:val="004B37FB"/>
    <w:rsid w:val="004B659E"/>
    <w:rsid w:val="004B684C"/>
    <w:rsid w:val="004B6F8B"/>
    <w:rsid w:val="004C1701"/>
    <w:rsid w:val="004C2444"/>
    <w:rsid w:val="004C2DB8"/>
    <w:rsid w:val="004C5738"/>
    <w:rsid w:val="004D2B7A"/>
    <w:rsid w:val="004D5B39"/>
    <w:rsid w:val="004D6158"/>
    <w:rsid w:val="004D773C"/>
    <w:rsid w:val="004E10A4"/>
    <w:rsid w:val="004E2A2B"/>
    <w:rsid w:val="004E2CEB"/>
    <w:rsid w:val="004E491E"/>
    <w:rsid w:val="004E59D9"/>
    <w:rsid w:val="004E5B10"/>
    <w:rsid w:val="004E648C"/>
    <w:rsid w:val="004E6AE5"/>
    <w:rsid w:val="004E72FD"/>
    <w:rsid w:val="004F0044"/>
    <w:rsid w:val="004F33C2"/>
    <w:rsid w:val="004F3671"/>
    <w:rsid w:val="004F4237"/>
    <w:rsid w:val="004F4278"/>
    <w:rsid w:val="004F4C58"/>
    <w:rsid w:val="004F5679"/>
    <w:rsid w:val="00501EBD"/>
    <w:rsid w:val="00502359"/>
    <w:rsid w:val="005025DD"/>
    <w:rsid w:val="00506D4E"/>
    <w:rsid w:val="0050746B"/>
    <w:rsid w:val="00507805"/>
    <w:rsid w:val="005105C2"/>
    <w:rsid w:val="00512EC7"/>
    <w:rsid w:val="00513EFC"/>
    <w:rsid w:val="00514F79"/>
    <w:rsid w:val="00517261"/>
    <w:rsid w:val="005209B8"/>
    <w:rsid w:val="00521C06"/>
    <w:rsid w:val="0052729E"/>
    <w:rsid w:val="00530A02"/>
    <w:rsid w:val="00530A3D"/>
    <w:rsid w:val="00530DCA"/>
    <w:rsid w:val="0053146F"/>
    <w:rsid w:val="0053156B"/>
    <w:rsid w:val="0054074E"/>
    <w:rsid w:val="00541932"/>
    <w:rsid w:val="00542C0A"/>
    <w:rsid w:val="00543138"/>
    <w:rsid w:val="005453ED"/>
    <w:rsid w:val="00546695"/>
    <w:rsid w:val="005471D8"/>
    <w:rsid w:val="00547515"/>
    <w:rsid w:val="00550F68"/>
    <w:rsid w:val="00551C9D"/>
    <w:rsid w:val="00551EBF"/>
    <w:rsid w:val="00551FAE"/>
    <w:rsid w:val="0055286A"/>
    <w:rsid w:val="00552DD1"/>
    <w:rsid w:val="0055476A"/>
    <w:rsid w:val="00554E3A"/>
    <w:rsid w:val="00557701"/>
    <w:rsid w:val="00560940"/>
    <w:rsid w:val="005614DF"/>
    <w:rsid w:val="00561AEA"/>
    <w:rsid w:val="00561BA6"/>
    <w:rsid w:val="00562990"/>
    <w:rsid w:val="00563F15"/>
    <w:rsid w:val="00565602"/>
    <w:rsid w:val="0056690C"/>
    <w:rsid w:val="00567926"/>
    <w:rsid w:val="00575170"/>
    <w:rsid w:val="00575E11"/>
    <w:rsid w:val="00577313"/>
    <w:rsid w:val="00580AF0"/>
    <w:rsid w:val="00580B4E"/>
    <w:rsid w:val="00581E13"/>
    <w:rsid w:val="00582227"/>
    <w:rsid w:val="005827DA"/>
    <w:rsid w:val="00583BFC"/>
    <w:rsid w:val="00583E53"/>
    <w:rsid w:val="00586ED7"/>
    <w:rsid w:val="005871DB"/>
    <w:rsid w:val="005911E8"/>
    <w:rsid w:val="005920A0"/>
    <w:rsid w:val="00592591"/>
    <w:rsid w:val="00592F96"/>
    <w:rsid w:val="00597044"/>
    <w:rsid w:val="005A148F"/>
    <w:rsid w:val="005A209F"/>
    <w:rsid w:val="005A3D08"/>
    <w:rsid w:val="005A3D33"/>
    <w:rsid w:val="005A5CF8"/>
    <w:rsid w:val="005A5EFE"/>
    <w:rsid w:val="005A629E"/>
    <w:rsid w:val="005A76F3"/>
    <w:rsid w:val="005B06C3"/>
    <w:rsid w:val="005B1EAC"/>
    <w:rsid w:val="005B46A5"/>
    <w:rsid w:val="005C1D28"/>
    <w:rsid w:val="005C29C2"/>
    <w:rsid w:val="005C3DE8"/>
    <w:rsid w:val="005C4C96"/>
    <w:rsid w:val="005C6E37"/>
    <w:rsid w:val="005D1902"/>
    <w:rsid w:val="005D1BD6"/>
    <w:rsid w:val="005D1CBA"/>
    <w:rsid w:val="005D2143"/>
    <w:rsid w:val="005D3A47"/>
    <w:rsid w:val="005D51C1"/>
    <w:rsid w:val="005D6E01"/>
    <w:rsid w:val="005E0A51"/>
    <w:rsid w:val="005E0ADA"/>
    <w:rsid w:val="005E1382"/>
    <w:rsid w:val="005E168D"/>
    <w:rsid w:val="005E3C39"/>
    <w:rsid w:val="005E52FB"/>
    <w:rsid w:val="005E559F"/>
    <w:rsid w:val="005E6722"/>
    <w:rsid w:val="005F29F5"/>
    <w:rsid w:val="005F305F"/>
    <w:rsid w:val="005F4770"/>
    <w:rsid w:val="005F6053"/>
    <w:rsid w:val="005F6EBC"/>
    <w:rsid w:val="006002F3"/>
    <w:rsid w:val="0060100F"/>
    <w:rsid w:val="0060141E"/>
    <w:rsid w:val="006026DE"/>
    <w:rsid w:val="00603414"/>
    <w:rsid w:val="00603449"/>
    <w:rsid w:val="006041F7"/>
    <w:rsid w:val="006042D1"/>
    <w:rsid w:val="0060457E"/>
    <w:rsid w:val="0060519F"/>
    <w:rsid w:val="00606865"/>
    <w:rsid w:val="00610D98"/>
    <w:rsid w:val="00610EA0"/>
    <w:rsid w:val="006117FD"/>
    <w:rsid w:val="006131E5"/>
    <w:rsid w:val="006169BE"/>
    <w:rsid w:val="00617CE2"/>
    <w:rsid w:val="00617DFC"/>
    <w:rsid w:val="00617FD2"/>
    <w:rsid w:val="00620585"/>
    <w:rsid w:val="00620617"/>
    <w:rsid w:val="00624899"/>
    <w:rsid w:val="00627E1F"/>
    <w:rsid w:val="00631AD7"/>
    <w:rsid w:val="00632A6B"/>
    <w:rsid w:val="006350A3"/>
    <w:rsid w:val="00635E6E"/>
    <w:rsid w:val="00635EB8"/>
    <w:rsid w:val="00636058"/>
    <w:rsid w:val="006400E4"/>
    <w:rsid w:val="00642559"/>
    <w:rsid w:val="00642796"/>
    <w:rsid w:val="00642F45"/>
    <w:rsid w:val="00647202"/>
    <w:rsid w:val="006515C5"/>
    <w:rsid w:val="0065219C"/>
    <w:rsid w:val="00652798"/>
    <w:rsid w:val="00652E32"/>
    <w:rsid w:val="0065392C"/>
    <w:rsid w:val="006549EB"/>
    <w:rsid w:val="00654A37"/>
    <w:rsid w:val="00654BCA"/>
    <w:rsid w:val="00654C0C"/>
    <w:rsid w:val="00655851"/>
    <w:rsid w:val="00662E92"/>
    <w:rsid w:val="00662F7B"/>
    <w:rsid w:val="006644EE"/>
    <w:rsid w:val="0066498C"/>
    <w:rsid w:val="00665DEA"/>
    <w:rsid w:val="00670383"/>
    <w:rsid w:val="0067137C"/>
    <w:rsid w:val="0067215C"/>
    <w:rsid w:val="0067287E"/>
    <w:rsid w:val="006735D1"/>
    <w:rsid w:val="00675264"/>
    <w:rsid w:val="006772F4"/>
    <w:rsid w:val="00681F0D"/>
    <w:rsid w:val="00683EB1"/>
    <w:rsid w:val="00685560"/>
    <w:rsid w:val="00686E61"/>
    <w:rsid w:val="00690DC4"/>
    <w:rsid w:val="006922FB"/>
    <w:rsid w:val="00692772"/>
    <w:rsid w:val="006A23A6"/>
    <w:rsid w:val="006A2BE5"/>
    <w:rsid w:val="006A6B54"/>
    <w:rsid w:val="006B0566"/>
    <w:rsid w:val="006B1316"/>
    <w:rsid w:val="006B2A85"/>
    <w:rsid w:val="006B5427"/>
    <w:rsid w:val="006B598A"/>
    <w:rsid w:val="006C0008"/>
    <w:rsid w:val="006C7541"/>
    <w:rsid w:val="006D1287"/>
    <w:rsid w:val="006D5E8F"/>
    <w:rsid w:val="006D6102"/>
    <w:rsid w:val="006D69D1"/>
    <w:rsid w:val="006D75D7"/>
    <w:rsid w:val="006E19D8"/>
    <w:rsid w:val="006E1C6B"/>
    <w:rsid w:val="006E2848"/>
    <w:rsid w:val="006E44FA"/>
    <w:rsid w:val="006E50E7"/>
    <w:rsid w:val="006E6038"/>
    <w:rsid w:val="006F02AD"/>
    <w:rsid w:val="006F1D5A"/>
    <w:rsid w:val="006F3442"/>
    <w:rsid w:val="006F3E59"/>
    <w:rsid w:val="006F4D00"/>
    <w:rsid w:val="006F50C5"/>
    <w:rsid w:val="006F6822"/>
    <w:rsid w:val="0070017E"/>
    <w:rsid w:val="00701E76"/>
    <w:rsid w:val="007022BF"/>
    <w:rsid w:val="0070247E"/>
    <w:rsid w:val="00704AD1"/>
    <w:rsid w:val="007055A3"/>
    <w:rsid w:val="007056D0"/>
    <w:rsid w:val="00706992"/>
    <w:rsid w:val="00713702"/>
    <w:rsid w:val="00715279"/>
    <w:rsid w:val="00715A05"/>
    <w:rsid w:val="00715D61"/>
    <w:rsid w:val="007161D3"/>
    <w:rsid w:val="00717673"/>
    <w:rsid w:val="00725975"/>
    <w:rsid w:val="00725B0D"/>
    <w:rsid w:val="00726C4D"/>
    <w:rsid w:val="007276C0"/>
    <w:rsid w:val="00727914"/>
    <w:rsid w:val="00727B0E"/>
    <w:rsid w:val="0073368E"/>
    <w:rsid w:val="007343A9"/>
    <w:rsid w:val="007351D5"/>
    <w:rsid w:val="007357CF"/>
    <w:rsid w:val="00736162"/>
    <w:rsid w:val="007369E2"/>
    <w:rsid w:val="007416AC"/>
    <w:rsid w:val="007444CE"/>
    <w:rsid w:val="007452FA"/>
    <w:rsid w:val="00746725"/>
    <w:rsid w:val="00746D40"/>
    <w:rsid w:val="0074770F"/>
    <w:rsid w:val="00747BCE"/>
    <w:rsid w:val="00750168"/>
    <w:rsid w:val="007504B0"/>
    <w:rsid w:val="00750878"/>
    <w:rsid w:val="007510CF"/>
    <w:rsid w:val="007526F1"/>
    <w:rsid w:val="00753E8F"/>
    <w:rsid w:val="0075609C"/>
    <w:rsid w:val="00757846"/>
    <w:rsid w:val="00757E1F"/>
    <w:rsid w:val="007620E8"/>
    <w:rsid w:val="0076265A"/>
    <w:rsid w:val="00764FC2"/>
    <w:rsid w:val="007658B3"/>
    <w:rsid w:val="007664F6"/>
    <w:rsid w:val="00766F65"/>
    <w:rsid w:val="00776D47"/>
    <w:rsid w:val="007809E0"/>
    <w:rsid w:val="00780E1E"/>
    <w:rsid w:val="00782A42"/>
    <w:rsid w:val="0078345B"/>
    <w:rsid w:val="00783C1E"/>
    <w:rsid w:val="00785952"/>
    <w:rsid w:val="00786280"/>
    <w:rsid w:val="00790114"/>
    <w:rsid w:val="007902DC"/>
    <w:rsid w:val="007922D4"/>
    <w:rsid w:val="007935E2"/>
    <w:rsid w:val="007936EE"/>
    <w:rsid w:val="00794535"/>
    <w:rsid w:val="007958B8"/>
    <w:rsid w:val="00795D94"/>
    <w:rsid w:val="007961D3"/>
    <w:rsid w:val="007976E4"/>
    <w:rsid w:val="007A186C"/>
    <w:rsid w:val="007A204E"/>
    <w:rsid w:val="007A3CFC"/>
    <w:rsid w:val="007A4CC6"/>
    <w:rsid w:val="007A59B3"/>
    <w:rsid w:val="007B0045"/>
    <w:rsid w:val="007B06B7"/>
    <w:rsid w:val="007B3F45"/>
    <w:rsid w:val="007B454F"/>
    <w:rsid w:val="007B5A67"/>
    <w:rsid w:val="007B67BA"/>
    <w:rsid w:val="007B6B9F"/>
    <w:rsid w:val="007C033B"/>
    <w:rsid w:val="007C0792"/>
    <w:rsid w:val="007C23A7"/>
    <w:rsid w:val="007C2425"/>
    <w:rsid w:val="007C28DB"/>
    <w:rsid w:val="007C2F1B"/>
    <w:rsid w:val="007C3554"/>
    <w:rsid w:val="007C5126"/>
    <w:rsid w:val="007E3625"/>
    <w:rsid w:val="007F0D94"/>
    <w:rsid w:val="007F1E98"/>
    <w:rsid w:val="007F5EF1"/>
    <w:rsid w:val="007F68CB"/>
    <w:rsid w:val="0080092E"/>
    <w:rsid w:val="008064B7"/>
    <w:rsid w:val="00811AAE"/>
    <w:rsid w:val="00813507"/>
    <w:rsid w:val="00813605"/>
    <w:rsid w:val="00816367"/>
    <w:rsid w:val="008164DA"/>
    <w:rsid w:val="008177B1"/>
    <w:rsid w:val="008201B3"/>
    <w:rsid w:val="00820687"/>
    <w:rsid w:val="00821169"/>
    <w:rsid w:val="008300C6"/>
    <w:rsid w:val="00830AC3"/>
    <w:rsid w:val="00831363"/>
    <w:rsid w:val="00832939"/>
    <w:rsid w:val="00833BEF"/>
    <w:rsid w:val="00834092"/>
    <w:rsid w:val="00834C8A"/>
    <w:rsid w:val="008354FD"/>
    <w:rsid w:val="00837387"/>
    <w:rsid w:val="00837D98"/>
    <w:rsid w:val="008417A8"/>
    <w:rsid w:val="008421B3"/>
    <w:rsid w:val="008423EA"/>
    <w:rsid w:val="0084257B"/>
    <w:rsid w:val="008430AF"/>
    <w:rsid w:val="008430E9"/>
    <w:rsid w:val="008436B7"/>
    <w:rsid w:val="008464AB"/>
    <w:rsid w:val="0085013C"/>
    <w:rsid w:val="00850F10"/>
    <w:rsid w:val="00851B2F"/>
    <w:rsid w:val="00852377"/>
    <w:rsid w:val="008525B1"/>
    <w:rsid w:val="008529E2"/>
    <w:rsid w:val="008537EA"/>
    <w:rsid w:val="008540C0"/>
    <w:rsid w:val="0085447D"/>
    <w:rsid w:val="00854C43"/>
    <w:rsid w:val="00854D7E"/>
    <w:rsid w:val="00854DFA"/>
    <w:rsid w:val="008569FB"/>
    <w:rsid w:val="00856C3E"/>
    <w:rsid w:val="00861702"/>
    <w:rsid w:val="00863BEF"/>
    <w:rsid w:val="008654D3"/>
    <w:rsid w:val="00873A37"/>
    <w:rsid w:val="008740E7"/>
    <w:rsid w:val="0087438E"/>
    <w:rsid w:val="008815DA"/>
    <w:rsid w:val="00882647"/>
    <w:rsid w:val="008840A1"/>
    <w:rsid w:val="00886A68"/>
    <w:rsid w:val="00890CD7"/>
    <w:rsid w:val="00891892"/>
    <w:rsid w:val="008938CF"/>
    <w:rsid w:val="00893C67"/>
    <w:rsid w:val="0089509C"/>
    <w:rsid w:val="00895302"/>
    <w:rsid w:val="00896B56"/>
    <w:rsid w:val="00897538"/>
    <w:rsid w:val="008A3229"/>
    <w:rsid w:val="008A339E"/>
    <w:rsid w:val="008A36A9"/>
    <w:rsid w:val="008A58F1"/>
    <w:rsid w:val="008A6355"/>
    <w:rsid w:val="008B371A"/>
    <w:rsid w:val="008B60D9"/>
    <w:rsid w:val="008C03D1"/>
    <w:rsid w:val="008C1ACF"/>
    <w:rsid w:val="008C3D45"/>
    <w:rsid w:val="008C44B8"/>
    <w:rsid w:val="008C4809"/>
    <w:rsid w:val="008C49ED"/>
    <w:rsid w:val="008C59DF"/>
    <w:rsid w:val="008C639C"/>
    <w:rsid w:val="008C7350"/>
    <w:rsid w:val="008C7648"/>
    <w:rsid w:val="008C78BD"/>
    <w:rsid w:val="008D004A"/>
    <w:rsid w:val="008D4E6B"/>
    <w:rsid w:val="008D5554"/>
    <w:rsid w:val="008E29D4"/>
    <w:rsid w:val="008E520E"/>
    <w:rsid w:val="008E5FD9"/>
    <w:rsid w:val="008E6715"/>
    <w:rsid w:val="008F0649"/>
    <w:rsid w:val="008F12F0"/>
    <w:rsid w:val="008F1B05"/>
    <w:rsid w:val="008F3A34"/>
    <w:rsid w:val="008F64CF"/>
    <w:rsid w:val="008F691D"/>
    <w:rsid w:val="00900193"/>
    <w:rsid w:val="00902A72"/>
    <w:rsid w:val="0091275E"/>
    <w:rsid w:val="009165B1"/>
    <w:rsid w:val="00921EBA"/>
    <w:rsid w:val="009234BB"/>
    <w:rsid w:val="00924AC6"/>
    <w:rsid w:val="00925651"/>
    <w:rsid w:val="00925E43"/>
    <w:rsid w:val="00926D28"/>
    <w:rsid w:val="00930D24"/>
    <w:rsid w:val="00933E77"/>
    <w:rsid w:val="009368ED"/>
    <w:rsid w:val="00937E27"/>
    <w:rsid w:val="009430F5"/>
    <w:rsid w:val="00943723"/>
    <w:rsid w:val="0094413F"/>
    <w:rsid w:val="0094416A"/>
    <w:rsid w:val="00945302"/>
    <w:rsid w:val="009478B6"/>
    <w:rsid w:val="00952BCD"/>
    <w:rsid w:val="00952BDA"/>
    <w:rsid w:val="00953AA6"/>
    <w:rsid w:val="00954411"/>
    <w:rsid w:val="00955F81"/>
    <w:rsid w:val="00956AA6"/>
    <w:rsid w:val="00957B8D"/>
    <w:rsid w:val="009603DA"/>
    <w:rsid w:val="009613DF"/>
    <w:rsid w:val="009620DD"/>
    <w:rsid w:val="0096344E"/>
    <w:rsid w:val="0096690D"/>
    <w:rsid w:val="009766AC"/>
    <w:rsid w:val="0097761A"/>
    <w:rsid w:val="00977B8A"/>
    <w:rsid w:val="00984423"/>
    <w:rsid w:val="00984554"/>
    <w:rsid w:val="00984DDF"/>
    <w:rsid w:val="00986D97"/>
    <w:rsid w:val="00987B82"/>
    <w:rsid w:val="00991CA2"/>
    <w:rsid w:val="00992959"/>
    <w:rsid w:val="00993AEC"/>
    <w:rsid w:val="00996BB1"/>
    <w:rsid w:val="009974FD"/>
    <w:rsid w:val="00997952"/>
    <w:rsid w:val="009A095D"/>
    <w:rsid w:val="009A1DBB"/>
    <w:rsid w:val="009A239F"/>
    <w:rsid w:val="009A38C4"/>
    <w:rsid w:val="009A4114"/>
    <w:rsid w:val="009A47E6"/>
    <w:rsid w:val="009A6335"/>
    <w:rsid w:val="009A68D0"/>
    <w:rsid w:val="009A69BB"/>
    <w:rsid w:val="009B08CA"/>
    <w:rsid w:val="009B14AC"/>
    <w:rsid w:val="009B32A4"/>
    <w:rsid w:val="009B408D"/>
    <w:rsid w:val="009B7311"/>
    <w:rsid w:val="009C2842"/>
    <w:rsid w:val="009C5032"/>
    <w:rsid w:val="009C69CB"/>
    <w:rsid w:val="009C7462"/>
    <w:rsid w:val="009D0ED5"/>
    <w:rsid w:val="009D34C0"/>
    <w:rsid w:val="009D4F0D"/>
    <w:rsid w:val="009E0AD0"/>
    <w:rsid w:val="009E11B3"/>
    <w:rsid w:val="009E1E3B"/>
    <w:rsid w:val="009E3C5E"/>
    <w:rsid w:val="009E4DD2"/>
    <w:rsid w:val="009E4E40"/>
    <w:rsid w:val="009E4F10"/>
    <w:rsid w:val="009E59BC"/>
    <w:rsid w:val="009E59D6"/>
    <w:rsid w:val="009E79DB"/>
    <w:rsid w:val="009F0E76"/>
    <w:rsid w:val="009F2FD1"/>
    <w:rsid w:val="009F471E"/>
    <w:rsid w:val="009F5253"/>
    <w:rsid w:val="009F54C0"/>
    <w:rsid w:val="009F5816"/>
    <w:rsid w:val="009F78F2"/>
    <w:rsid w:val="00A01DB8"/>
    <w:rsid w:val="00A0205D"/>
    <w:rsid w:val="00A0658C"/>
    <w:rsid w:val="00A06F5B"/>
    <w:rsid w:val="00A071FB"/>
    <w:rsid w:val="00A11690"/>
    <w:rsid w:val="00A116A3"/>
    <w:rsid w:val="00A11BB8"/>
    <w:rsid w:val="00A13880"/>
    <w:rsid w:val="00A15951"/>
    <w:rsid w:val="00A16039"/>
    <w:rsid w:val="00A23F7A"/>
    <w:rsid w:val="00A24CA9"/>
    <w:rsid w:val="00A2727C"/>
    <w:rsid w:val="00A27E9E"/>
    <w:rsid w:val="00A32DB0"/>
    <w:rsid w:val="00A331A0"/>
    <w:rsid w:val="00A33724"/>
    <w:rsid w:val="00A35A6F"/>
    <w:rsid w:val="00A36B22"/>
    <w:rsid w:val="00A36C68"/>
    <w:rsid w:val="00A3741A"/>
    <w:rsid w:val="00A37AFC"/>
    <w:rsid w:val="00A4184E"/>
    <w:rsid w:val="00A429E0"/>
    <w:rsid w:val="00A44DA0"/>
    <w:rsid w:val="00A46BEC"/>
    <w:rsid w:val="00A46D85"/>
    <w:rsid w:val="00A47873"/>
    <w:rsid w:val="00A4798D"/>
    <w:rsid w:val="00A524BD"/>
    <w:rsid w:val="00A53438"/>
    <w:rsid w:val="00A56B86"/>
    <w:rsid w:val="00A57421"/>
    <w:rsid w:val="00A603D5"/>
    <w:rsid w:val="00A6138F"/>
    <w:rsid w:val="00A61A7A"/>
    <w:rsid w:val="00A61DD7"/>
    <w:rsid w:val="00A64CED"/>
    <w:rsid w:val="00A654A2"/>
    <w:rsid w:val="00A7007F"/>
    <w:rsid w:val="00A70278"/>
    <w:rsid w:val="00A70A9E"/>
    <w:rsid w:val="00A70F07"/>
    <w:rsid w:val="00A72490"/>
    <w:rsid w:val="00A735E6"/>
    <w:rsid w:val="00A73DA9"/>
    <w:rsid w:val="00A75D76"/>
    <w:rsid w:val="00A8012B"/>
    <w:rsid w:val="00A8194D"/>
    <w:rsid w:val="00A845C7"/>
    <w:rsid w:val="00A854C1"/>
    <w:rsid w:val="00A870CA"/>
    <w:rsid w:val="00A87217"/>
    <w:rsid w:val="00A92D9B"/>
    <w:rsid w:val="00A93861"/>
    <w:rsid w:val="00A94E6A"/>
    <w:rsid w:val="00A95176"/>
    <w:rsid w:val="00A959DD"/>
    <w:rsid w:val="00A96010"/>
    <w:rsid w:val="00A97A29"/>
    <w:rsid w:val="00A97A68"/>
    <w:rsid w:val="00AA0311"/>
    <w:rsid w:val="00AA0C0C"/>
    <w:rsid w:val="00AA0E96"/>
    <w:rsid w:val="00AA5C50"/>
    <w:rsid w:val="00AA79D8"/>
    <w:rsid w:val="00AB4BE6"/>
    <w:rsid w:val="00AB531F"/>
    <w:rsid w:val="00AB6656"/>
    <w:rsid w:val="00AC22BF"/>
    <w:rsid w:val="00AC2600"/>
    <w:rsid w:val="00AC29E7"/>
    <w:rsid w:val="00AC4AFF"/>
    <w:rsid w:val="00AC65A1"/>
    <w:rsid w:val="00AC7AF4"/>
    <w:rsid w:val="00AE0153"/>
    <w:rsid w:val="00AE1349"/>
    <w:rsid w:val="00AE2908"/>
    <w:rsid w:val="00AE3239"/>
    <w:rsid w:val="00AE4560"/>
    <w:rsid w:val="00AE5041"/>
    <w:rsid w:val="00AE7C32"/>
    <w:rsid w:val="00AF27A9"/>
    <w:rsid w:val="00AF2CF1"/>
    <w:rsid w:val="00AF2D32"/>
    <w:rsid w:val="00AF360B"/>
    <w:rsid w:val="00AF48FB"/>
    <w:rsid w:val="00AF641C"/>
    <w:rsid w:val="00AF66E6"/>
    <w:rsid w:val="00AF753F"/>
    <w:rsid w:val="00AF7D2E"/>
    <w:rsid w:val="00B00624"/>
    <w:rsid w:val="00B015E3"/>
    <w:rsid w:val="00B13479"/>
    <w:rsid w:val="00B22A79"/>
    <w:rsid w:val="00B22D45"/>
    <w:rsid w:val="00B260AF"/>
    <w:rsid w:val="00B275DE"/>
    <w:rsid w:val="00B31398"/>
    <w:rsid w:val="00B32385"/>
    <w:rsid w:val="00B37D85"/>
    <w:rsid w:val="00B41A2D"/>
    <w:rsid w:val="00B41FA8"/>
    <w:rsid w:val="00B43E3E"/>
    <w:rsid w:val="00B44ABC"/>
    <w:rsid w:val="00B45404"/>
    <w:rsid w:val="00B46566"/>
    <w:rsid w:val="00B465D6"/>
    <w:rsid w:val="00B471B8"/>
    <w:rsid w:val="00B4770F"/>
    <w:rsid w:val="00B505E2"/>
    <w:rsid w:val="00B51BDC"/>
    <w:rsid w:val="00B539DE"/>
    <w:rsid w:val="00B53D41"/>
    <w:rsid w:val="00B55968"/>
    <w:rsid w:val="00B566D9"/>
    <w:rsid w:val="00B60E0C"/>
    <w:rsid w:val="00B61516"/>
    <w:rsid w:val="00B6161E"/>
    <w:rsid w:val="00B62657"/>
    <w:rsid w:val="00B65BA0"/>
    <w:rsid w:val="00B6659E"/>
    <w:rsid w:val="00B75517"/>
    <w:rsid w:val="00B80202"/>
    <w:rsid w:val="00B82CE2"/>
    <w:rsid w:val="00B82D7E"/>
    <w:rsid w:val="00B83BAD"/>
    <w:rsid w:val="00B84903"/>
    <w:rsid w:val="00B84DB1"/>
    <w:rsid w:val="00B854CC"/>
    <w:rsid w:val="00B95810"/>
    <w:rsid w:val="00B9700A"/>
    <w:rsid w:val="00B97CF9"/>
    <w:rsid w:val="00B97E0D"/>
    <w:rsid w:val="00BA0441"/>
    <w:rsid w:val="00BA0664"/>
    <w:rsid w:val="00BA282A"/>
    <w:rsid w:val="00BA2F5B"/>
    <w:rsid w:val="00BA4082"/>
    <w:rsid w:val="00BA4B09"/>
    <w:rsid w:val="00BA591D"/>
    <w:rsid w:val="00BB0122"/>
    <w:rsid w:val="00BB07FC"/>
    <w:rsid w:val="00BB099F"/>
    <w:rsid w:val="00BB307D"/>
    <w:rsid w:val="00BB5895"/>
    <w:rsid w:val="00BB74A5"/>
    <w:rsid w:val="00BB75AF"/>
    <w:rsid w:val="00BC195E"/>
    <w:rsid w:val="00BC261C"/>
    <w:rsid w:val="00BC34B3"/>
    <w:rsid w:val="00BC40EC"/>
    <w:rsid w:val="00BC496E"/>
    <w:rsid w:val="00BC4FA2"/>
    <w:rsid w:val="00BC5DD5"/>
    <w:rsid w:val="00BD31D0"/>
    <w:rsid w:val="00BD3764"/>
    <w:rsid w:val="00BD5387"/>
    <w:rsid w:val="00BD7ECC"/>
    <w:rsid w:val="00BE2385"/>
    <w:rsid w:val="00BE32DE"/>
    <w:rsid w:val="00BE4424"/>
    <w:rsid w:val="00BE4680"/>
    <w:rsid w:val="00BE5341"/>
    <w:rsid w:val="00BE5D13"/>
    <w:rsid w:val="00BE7C01"/>
    <w:rsid w:val="00BE7E9F"/>
    <w:rsid w:val="00BF1ADD"/>
    <w:rsid w:val="00BF2EF2"/>
    <w:rsid w:val="00BF2FC2"/>
    <w:rsid w:val="00BF381D"/>
    <w:rsid w:val="00BF3E8E"/>
    <w:rsid w:val="00BF542A"/>
    <w:rsid w:val="00BF5C75"/>
    <w:rsid w:val="00BF68EE"/>
    <w:rsid w:val="00BF69D8"/>
    <w:rsid w:val="00BF77DF"/>
    <w:rsid w:val="00BF79FE"/>
    <w:rsid w:val="00C001D3"/>
    <w:rsid w:val="00C007BA"/>
    <w:rsid w:val="00C00A9C"/>
    <w:rsid w:val="00C01BB5"/>
    <w:rsid w:val="00C048EF"/>
    <w:rsid w:val="00C063A1"/>
    <w:rsid w:val="00C07899"/>
    <w:rsid w:val="00C113F3"/>
    <w:rsid w:val="00C11581"/>
    <w:rsid w:val="00C11945"/>
    <w:rsid w:val="00C15011"/>
    <w:rsid w:val="00C15065"/>
    <w:rsid w:val="00C15285"/>
    <w:rsid w:val="00C213D1"/>
    <w:rsid w:val="00C2295C"/>
    <w:rsid w:val="00C2477F"/>
    <w:rsid w:val="00C30A17"/>
    <w:rsid w:val="00C31451"/>
    <w:rsid w:val="00C31F9D"/>
    <w:rsid w:val="00C33442"/>
    <w:rsid w:val="00C35A93"/>
    <w:rsid w:val="00C40C63"/>
    <w:rsid w:val="00C41427"/>
    <w:rsid w:val="00C41571"/>
    <w:rsid w:val="00C4314B"/>
    <w:rsid w:val="00C43493"/>
    <w:rsid w:val="00C44DCF"/>
    <w:rsid w:val="00C468BD"/>
    <w:rsid w:val="00C50DBF"/>
    <w:rsid w:val="00C540CC"/>
    <w:rsid w:val="00C55759"/>
    <w:rsid w:val="00C55E01"/>
    <w:rsid w:val="00C56D16"/>
    <w:rsid w:val="00C62970"/>
    <w:rsid w:val="00C727C3"/>
    <w:rsid w:val="00C748C2"/>
    <w:rsid w:val="00C74BA9"/>
    <w:rsid w:val="00C7580C"/>
    <w:rsid w:val="00C76B4F"/>
    <w:rsid w:val="00C77CF4"/>
    <w:rsid w:val="00C81DDE"/>
    <w:rsid w:val="00C83FA4"/>
    <w:rsid w:val="00C86B11"/>
    <w:rsid w:val="00C86C43"/>
    <w:rsid w:val="00C86EA7"/>
    <w:rsid w:val="00C86FB2"/>
    <w:rsid w:val="00C912FB"/>
    <w:rsid w:val="00C92BAA"/>
    <w:rsid w:val="00C93EEC"/>
    <w:rsid w:val="00C9417E"/>
    <w:rsid w:val="00C94D20"/>
    <w:rsid w:val="00C97186"/>
    <w:rsid w:val="00CA040E"/>
    <w:rsid w:val="00CA1467"/>
    <w:rsid w:val="00CA2FDE"/>
    <w:rsid w:val="00CA33EC"/>
    <w:rsid w:val="00CA429C"/>
    <w:rsid w:val="00CA62FA"/>
    <w:rsid w:val="00CA6A71"/>
    <w:rsid w:val="00CA6D27"/>
    <w:rsid w:val="00CB0403"/>
    <w:rsid w:val="00CB4711"/>
    <w:rsid w:val="00CB659D"/>
    <w:rsid w:val="00CB66E1"/>
    <w:rsid w:val="00CB7A06"/>
    <w:rsid w:val="00CB7AFB"/>
    <w:rsid w:val="00CC08C3"/>
    <w:rsid w:val="00CC0F7B"/>
    <w:rsid w:val="00CC1226"/>
    <w:rsid w:val="00CC160E"/>
    <w:rsid w:val="00CC3062"/>
    <w:rsid w:val="00CC42CC"/>
    <w:rsid w:val="00CD0F2D"/>
    <w:rsid w:val="00CD1568"/>
    <w:rsid w:val="00CD4F05"/>
    <w:rsid w:val="00CD53FC"/>
    <w:rsid w:val="00CD54FB"/>
    <w:rsid w:val="00CD6895"/>
    <w:rsid w:val="00CD7BE9"/>
    <w:rsid w:val="00CD7C3C"/>
    <w:rsid w:val="00CE0083"/>
    <w:rsid w:val="00CE0435"/>
    <w:rsid w:val="00CE272B"/>
    <w:rsid w:val="00CE3301"/>
    <w:rsid w:val="00CE3BD4"/>
    <w:rsid w:val="00CE52B3"/>
    <w:rsid w:val="00CE56DF"/>
    <w:rsid w:val="00CE5C4D"/>
    <w:rsid w:val="00CE62AE"/>
    <w:rsid w:val="00CF0525"/>
    <w:rsid w:val="00CF1B96"/>
    <w:rsid w:val="00CF2E35"/>
    <w:rsid w:val="00CF767D"/>
    <w:rsid w:val="00D01708"/>
    <w:rsid w:val="00D01D38"/>
    <w:rsid w:val="00D03B5C"/>
    <w:rsid w:val="00D03E14"/>
    <w:rsid w:val="00D05FF5"/>
    <w:rsid w:val="00D06CB1"/>
    <w:rsid w:val="00D07A05"/>
    <w:rsid w:val="00D10025"/>
    <w:rsid w:val="00D142DF"/>
    <w:rsid w:val="00D159C4"/>
    <w:rsid w:val="00D15E55"/>
    <w:rsid w:val="00D178A8"/>
    <w:rsid w:val="00D20A9A"/>
    <w:rsid w:val="00D212D5"/>
    <w:rsid w:val="00D21CEF"/>
    <w:rsid w:val="00D227C1"/>
    <w:rsid w:val="00D22B2B"/>
    <w:rsid w:val="00D2582C"/>
    <w:rsid w:val="00D25ADF"/>
    <w:rsid w:val="00D25D7B"/>
    <w:rsid w:val="00D27C1F"/>
    <w:rsid w:val="00D343C2"/>
    <w:rsid w:val="00D34A33"/>
    <w:rsid w:val="00D34A62"/>
    <w:rsid w:val="00D34BF2"/>
    <w:rsid w:val="00D34FD8"/>
    <w:rsid w:val="00D36273"/>
    <w:rsid w:val="00D36967"/>
    <w:rsid w:val="00D40395"/>
    <w:rsid w:val="00D40489"/>
    <w:rsid w:val="00D40CED"/>
    <w:rsid w:val="00D40D21"/>
    <w:rsid w:val="00D40DEA"/>
    <w:rsid w:val="00D44877"/>
    <w:rsid w:val="00D44AA1"/>
    <w:rsid w:val="00D4611B"/>
    <w:rsid w:val="00D46FD6"/>
    <w:rsid w:val="00D47103"/>
    <w:rsid w:val="00D4713C"/>
    <w:rsid w:val="00D474DD"/>
    <w:rsid w:val="00D52FA8"/>
    <w:rsid w:val="00D53B11"/>
    <w:rsid w:val="00D54540"/>
    <w:rsid w:val="00D54F33"/>
    <w:rsid w:val="00D5555D"/>
    <w:rsid w:val="00D5583E"/>
    <w:rsid w:val="00D559C5"/>
    <w:rsid w:val="00D56991"/>
    <w:rsid w:val="00D5737C"/>
    <w:rsid w:val="00D57852"/>
    <w:rsid w:val="00D57A20"/>
    <w:rsid w:val="00D6175C"/>
    <w:rsid w:val="00D629F2"/>
    <w:rsid w:val="00D64536"/>
    <w:rsid w:val="00D649BC"/>
    <w:rsid w:val="00D662A0"/>
    <w:rsid w:val="00D669AA"/>
    <w:rsid w:val="00D739A9"/>
    <w:rsid w:val="00D73AEC"/>
    <w:rsid w:val="00D7474C"/>
    <w:rsid w:val="00D75FED"/>
    <w:rsid w:val="00D86C38"/>
    <w:rsid w:val="00D872DE"/>
    <w:rsid w:val="00D9219E"/>
    <w:rsid w:val="00D92359"/>
    <w:rsid w:val="00D9235C"/>
    <w:rsid w:val="00D923F3"/>
    <w:rsid w:val="00D92DBB"/>
    <w:rsid w:val="00D931AC"/>
    <w:rsid w:val="00D9428D"/>
    <w:rsid w:val="00D95D4A"/>
    <w:rsid w:val="00D96E48"/>
    <w:rsid w:val="00D972B1"/>
    <w:rsid w:val="00D97734"/>
    <w:rsid w:val="00D97F80"/>
    <w:rsid w:val="00DA01A3"/>
    <w:rsid w:val="00DA05CA"/>
    <w:rsid w:val="00DA0AC5"/>
    <w:rsid w:val="00DA5729"/>
    <w:rsid w:val="00DA67EF"/>
    <w:rsid w:val="00DA6FC7"/>
    <w:rsid w:val="00DA701D"/>
    <w:rsid w:val="00DA7AFB"/>
    <w:rsid w:val="00DA7C69"/>
    <w:rsid w:val="00DB2E6B"/>
    <w:rsid w:val="00DB3494"/>
    <w:rsid w:val="00DB4B7D"/>
    <w:rsid w:val="00DC0193"/>
    <w:rsid w:val="00DC0AE9"/>
    <w:rsid w:val="00DC1BC0"/>
    <w:rsid w:val="00DC257B"/>
    <w:rsid w:val="00DC2AA9"/>
    <w:rsid w:val="00DC3757"/>
    <w:rsid w:val="00DC4C41"/>
    <w:rsid w:val="00DC5A64"/>
    <w:rsid w:val="00DC645C"/>
    <w:rsid w:val="00DD0318"/>
    <w:rsid w:val="00DD0B87"/>
    <w:rsid w:val="00DD2224"/>
    <w:rsid w:val="00DD3074"/>
    <w:rsid w:val="00DD30AA"/>
    <w:rsid w:val="00DD36E6"/>
    <w:rsid w:val="00DD37AC"/>
    <w:rsid w:val="00DD4609"/>
    <w:rsid w:val="00DD7B6D"/>
    <w:rsid w:val="00DE18C3"/>
    <w:rsid w:val="00DE27E9"/>
    <w:rsid w:val="00DE7BB3"/>
    <w:rsid w:val="00DF1E8F"/>
    <w:rsid w:val="00DF3470"/>
    <w:rsid w:val="00DF3FBD"/>
    <w:rsid w:val="00E013D5"/>
    <w:rsid w:val="00E016B7"/>
    <w:rsid w:val="00E0570F"/>
    <w:rsid w:val="00E07D47"/>
    <w:rsid w:val="00E109A5"/>
    <w:rsid w:val="00E1246F"/>
    <w:rsid w:val="00E13118"/>
    <w:rsid w:val="00E13EBD"/>
    <w:rsid w:val="00E17C9F"/>
    <w:rsid w:val="00E202F4"/>
    <w:rsid w:val="00E205BA"/>
    <w:rsid w:val="00E210FE"/>
    <w:rsid w:val="00E253EA"/>
    <w:rsid w:val="00E301A5"/>
    <w:rsid w:val="00E3614C"/>
    <w:rsid w:val="00E371C8"/>
    <w:rsid w:val="00E40914"/>
    <w:rsid w:val="00E40A6C"/>
    <w:rsid w:val="00E40BF5"/>
    <w:rsid w:val="00E432F5"/>
    <w:rsid w:val="00E44E50"/>
    <w:rsid w:val="00E45366"/>
    <w:rsid w:val="00E511A0"/>
    <w:rsid w:val="00E53DD6"/>
    <w:rsid w:val="00E54DD0"/>
    <w:rsid w:val="00E55DF2"/>
    <w:rsid w:val="00E5663D"/>
    <w:rsid w:val="00E56819"/>
    <w:rsid w:val="00E570E8"/>
    <w:rsid w:val="00E5753C"/>
    <w:rsid w:val="00E6063A"/>
    <w:rsid w:val="00E65978"/>
    <w:rsid w:val="00E65B69"/>
    <w:rsid w:val="00E67A2D"/>
    <w:rsid w:val="00E749F0"/>
    <w:rsid w:val="00E75715"/>
    <w:rsid w:val="00E76BE8"/>
    <w:rsid w:val="00E82596"/>
    <w:rsid w:val="00E82B1E"/>
    <w:rsid w:val="00E833E7"/>
    <w:rsid w:val="00E939A9"/>
    <w:rsid w:val="00E93E6B"/>
    <w:rsid w:val="00EA014C"/>
    <w:rsid w:val="00EA0226"/>
    <w:rsid w:val="00EA287A"/>
    <w:rsid w:val="00EA2C69"/>
    <w:rsid w:val="00EA2C7B"/>
    <w:rsid w:val="00EA330F"/>
    <w:rsid w:val="00EA3913"/>
    <w:rsid w:val="00EA492C"/>
    <w:rsid w:val="00EA546F"/>
    <w:rsid w:val="00EB224E"/>
    <w:rsid w:val="00EB2A2E"/>
    <w:rsid w:val="00EB2A90"/>
    <w:rsid w:val="00EB2CEA"/>
    <w:rsid w:val="00EB39C6"/>
    <w:rsid w:val="00EB4577"/>
    <w:rsid w:val="00EB4672"/>
    <w:rsid w:val="00EB7C38"/>
    <w:rsid w:val="00EC0C5C"/>
    <w:rsid w:val="00EC192C"/>
    <w:rsid w:val="00EC1D0C"/>
    <w:rsid w:val="00EC3CE3"/>
    <w:rsid w:val="00EC3F04"/>
    <w:rsid w:val="00EC4084"/>
    <w:rsid w:val="00EC438A"/>
    <w:rsid w:val="00EC6C95"/>
    <w:rsid w:val="00ED0B7F"/>
    <w:rsid w:val="00ED2ECA"/>
    <w:rsid w:val="00ED3065"/>
    <w:rsid w:val="00ED34D4"/>
    <w:rsid w:val="00ED45F2"/>
    <w:rsid w:val="00ED6BCA"/>
    <w:rsid w:val="00EE0020"/>
    <w:rsid w:val="00EE0128"/>
    <w:rsid w:val="00EE0CF4"/>
    <w:rsid w:val="00EE1B7B"/>
    <w:rsid w:val="00EE1C9E"/>
    <w:rsid w:val="00EE75AF"/>
    <w:rsid w:val="00EE7A56"/>
    <w:rsid w:val="00EF2E52"/>
    <w:rsid w:val="00EF3B15"/>
    <w:rsid w:val="00EF45E5"/>
    <w:rsid w:val="00EF4832"/>
    <w:rsid w:val="00EF4BC6"/>
    <w:rsid w:val="00EF6574"/>
    <w:rsid w:val="00EF69A0"/>
    <w:rsid w:val="00EF78D5"/>
    <w:rsid w:val="00EF7CD8"/>
    <w:rsid w:val="00EF7FF3"/>
    <w:rsid w:val="00F03A3A"/>
    <w:rsid w:val="00F044D3"/>
    <w:rsid w:val="00F066BF"/>
    <w:rsid w:val="00F10C04"/>
    <w:rsid w:val="00F10FEA"/>
    <w:rsid w:val="00F11255"/>
    <w:rsid w:val="00F11498"/>
    <w:rsid w:val="00F11C72"/>
    <w:rsid w:val="00F156B4"/>
    <w:rsid w:val="00F15772"/>
    <w:rsid w:val="00F2131E"/>
    <w:rsid w:val="00F22381"/>
    <w:rsid w:val="00F239E5"/>
    <w:rsid w:val="00F24F51"/>
    <w:rsid w:val="00F276D3"/>
    <w:rsid w:val="00F31C38"/>
    <w:rsid w:val="00F33841"/>
    <w:rsid w:val="00F348C4"/>
    <w:rsid w:val="00F41228"/>
    <w:rsid w:val="00F413EE"/>
    <w:rsid w:val="00F42493"/>
    <w:rsid w:val="00F44E85"/>
    <w:rsid w:val="00F4543B"/>
    <w:rsid w:val="00F456B7"/>
    <w:rsid w:val="00F46053"/>
    <w:rsid w:val="00F46CDD"/>
    <w:rsid w:val="00F470B1"/>
    <w:rsid w:val="00F470C9"/>
    <w:rsid w:val="00F506B7"/>
    <w:rsid w:val="00F52DEE"/>
    <w:rsid w:val="00F5748F"/>
    <w:rsid w:val="00F6425E"/>
    <w:rsid w:val="00F651C3"/>
    <w:rsid w:val="00F66195"/>
    <w:rsid w:val="00F70596"/>
    <w:rsid w:val="00F7068F"/>
    <w:rsid w:val="00F752FE"/>
    <w:rsid w:val="00F800F8"/>
    <w:rsid w:val="00F82570"/>
    <w:rsid w:val="00F84DCA"/>
    <w:rsid w:val="00F862CB"/>
    <w:rsid w:val="00F86D96"/>
    <w:rsid w:val="00F90F96"/>
    <w:rsid w:val="00F92BED"/>
    <w:rsid w:val="00F967D5"/>
    <w:rsid w:val="00FA145B"/>
    <w:rsid w:val="00FB12F1"/>
    <w:rsid w:val="00FB1F12"/>
    <w:rsid w:val="00FB475F"/>
    <w:rsid w:val="00FB54FA"/>
    <w:rsid w:val="00FB65E5"/>
    <w:rsid w:val="00FB707D"/>
    <w:rsid w:val="00FB7A2A"/>
    <w:rsid w:val="00FC0646"/>
    <w:rsid w:val="00FC2A5D"/>
    <w:rsid w:val="00FC30C6"/>
    <w:rsid w:val="00FC39F7"/>
    <w:rsid w:val="00FC3A2C"/>
    <w:rsid w:val="00FC63C7"/>
    <w:rsid w:val="00FC7146"/>
    <w:rsid w:val="00FC76A2"/>
    <w:rsid w:val="00FD11ED"/>
    <w:rsid w:val="00FD1414"/>
    <w:rsid w:val="00FD40B4"/>
    <w:rsid w:val="00FD5F9B"/>
    <w:rsid w:val="00FE1B44"/>
    <w:rsid w:val="00FE2A31"/>
    <w:rsid w:val="00FE4758"/>
    <w:rsid w:val="00FE5296"/>
    <w:rsid w:val="00FF1BEC"/>
    <w:rsid w:val="00FF4901"/>
    <w:rsid w:val="00FF4D46"/>
    <w:rsid w:val="00FF6B2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lsdException w:name="heading 6" w:semiHidden="0" w:uiPriority="9" w:unhideWhenUsed="0"/>
    <w:lsdException w:name="heading 7" w:semiHidden="0" w:uiPriority="9" w:unhideWhenUsed="0"/>
    <w:lsdException w:name="heading 8" w:semiHidden="0" w:uiPriority="9" w:unhideWhenUsed="0"/>
    <w:lsdException w:name="heading 9" w:semiHidden="0" w:uiPriority="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27914"/>
    <w:pPr>
      <w:jc w:val="both"/>
    </w:pPr>
    <w:rPr>
      <w:sz w:val="24"/>
      <w:lang w:val="en-GB" w:eastAsia="en-AU"/>
    </w:rPr>
  </w:style>
  <w:style w:type="paragraph" w:styleId="Heading1">
    <w:name w:val="heading 1"/>
    <w:basedOn w:val="Normal"/>
    <w:next w:val="Normal"/>
    <w:link w:val="Heading1Char"/>
    <w:qFormat/>
    <w:rsid w:val="00EB224E"/>
    <w:pPr>
      <w:keepNext/>
      <w:jc w:val="left"/>
      <w:outlineLvl w:val="0"/>
    </w:pPr>
    <w:rPr>
      <w:b/>
      <w:szCs w:val="24"/>
      <w:lang w:val="en-NZ"/>
    </w:rPr>
  </w:style>
  <w:style w:type="paragraph" w:styleId="Heading2">
    <w:name w:val="heading 2"/>
    <w:basedOn w:val="Normal"/>
    <w:next w:val="Normal"/>
    <w:link w:val="Heading2Char"/>
    <w:qFormat/>
    <w:rsid w:val="00ED0B7F"/>
    <w:pPr>
      <w:keepNext/>
      <w:outlineLvl w:val="1"/>
    </w:pPr>
    <w:rPr>
      <w:b/>
      <w:i/>
      <w:szCs w:val="24"/>
      <w:lang w:val="en-NZ"/>
    </w:rPr>
  </w:style>
  <w:style w:type="paragraph" w:styleId="Heading3">
    <w:name w:val="heading 3"/>
    <w:basedOn w:val="Normal"/>
    <w:next w:val="Normal"/>
    <w:link w:val="Heading3Char"/>
    <w:qFormat/>
    <w:rsid w:val="00ED0B7F"/>
    <w:pPr>
      <w:keepNext/>
      <w:outlineLvl w:val="2"/>
    </w:pPr>
    <w:rPr>
      <w:i/>
      <w:lang w:val="en-NZ"/>
    </w:rPr>
  </w:style>
  <w:style w:type="paragraph" w:styleId="Heading4">
    <w:name w:val="heading 4"/>
    <w:next w:val="Normal"/>
    <w:qFormat/>
    <w:rsid w:val="00ED0B7F"/>
    <w:pPr>
      <w:keepNext/>
      <w:outlineLvl w:val="3"/>
    </w:pPr>
    <w:rPr>
      <w:bCs/>
      <w:sz w:val="24"/>
      <w:szCs w:val="28"/>
      <w:lang w:eastAsia="en-AU"/>
    </w:rPr>
  </w:style>
  <w:style w:type="paragraph" w:styleId="Heading5">
    <w:name w:val="heading 5"/>
    <w:basedOn w:val="Normal"/>
    <w:next w:val="Normal"/>
    <w:rsid w:val="00725975"/>
    <w:pPr>
      <w:spacing w:before="240" w:after="60"/>
      <w:outlineLvl w:val="4"/>
    </w:pPr>
    <w:rPr>
      <w:b/>
      <w:bCs/>
      <w:i/>
      <w:iCs/>
      <w:sz w:val="26"/>
      <w:szCs w:val="26"/>
    </w:rPr>
  </w:style>
  <w:style w:type="paragraph" w:styleId="Heading6">
    <w:name w:val="heading 6"/>
    <w:basedOn w:val="Normal"/>
    <w:next w:val="Normal"/>
    <w:rsid w:val="00725975"/>
    <w:pPr>
      <w:spacing w:before="240" w:after="60"/>
      <w:outlineLvl w:val="5"/>
    </w:pPr>
    <w:rPr>
      <w:b/>
      <w:bCs/>
      <w:sz w:val="22"/>
      <w:szCs w:val="22"/>
    </w:rPr>
  </w:style>
  <w:style w:type="paragraph" w:styleId="Heading7">
    <w:name w:val="heading 7"/>
    <w:basedOn w:val="Normal"/>
    <w:next w:val="Normal"/>
    <w:rsid w:val="00725975"/>
    <w:pPr>
      <w:spacing w:before="240" w:after="60"/>
      <w:outlineLvl w:val="6"/>
    </w:pPr>
    <w:rPr>
      <w:szCs w:val="24"/>
    </w:rPr>
  </w:style>
  <w:style w:type="paragraph" w:styleId="Heading8">
    <w:name w:val="heading 8"/>
    <w:basedOn w:val="Normal"/>
    <w:next w:val="Normal"/>
    <w:rsid w:val="00725975"/>
    <w:pPr>
      <w:spacing w:before="240" w:after="60"/>
      <w:outlineLvl w:val="7"/>
    </w:pPr>
    <w:rPr>
      <w:i/>
      <w:iCs/>
      <w:szCs w:val="24"/>
    </w:rPr>
  </w:style>
  <w:style w:type="paragraph" w:styleId="Heading9">
    <w:name w:val="heading 9"/>
    <w:basedOn w:val="Normal"/>
    <w:next w:val="Normal"/>
    <w:rsid w:val="0072597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25975"/>
    <w:pPr>
      <w:spacing w:before="100" w:beforeAutospacing="1" w:after="100" w:afterAutospacing="1"/>
    </w:pPr>
    <w:rPr>
      <w:rFonts w:ascii="Verdana" w:hAnsi="Verdana"/>
      <w:sz w:val="27"/>
      <w:szCs w:val="27"/>
      <w:lang w:val="en-AU"/>
    </w:rPr>
  </w:style>
  <w:style w:type="character" w:styleId="Hyperlink">
    <w:name w:val="Hyperlink"/>
    <w:basedOn w:val="DefaultParagraphFont"/>
    <w:rsid w:val="00725975"/>
    <w:rPr>
      <w:color w:val="auto"/>
    </w:rPr>
  </w:style>
  <w:style w:type="paragraph" w:styleId="FootnoteText">
    <w:name w:val="footnote text"/>
    <w:basedOn w:val="Normal"/>
    <w:semiHidden/>
    <w:rsid w:val="00725975"/>
    <w:pPr>
      <w:jc w:val="left"/>
    </w:pPr>
    <w:rPr>
      <w:rFonts w:eastAsia="MS Mincho"/>
      <w:sz w:val="18"/>
      <w:szCs w:val="18"/>
      <w:lang w:val="en-NZ" w:eastAsia="ja-JP"/>
    </w:rPr>
  </w:style>
  <w:style w:type="character" w:styleId="FootnoteReference">
    <w:name w:val="footnote reference"/>
    <w:basedOn w:val="DefaultParagraphFont"/>
    <w:semiHidden/>
    <w:rsid w:val="00725975"/>
    <w:rPr>
      <w:rFonts w:ascii="Times New Roman" w:hAnsi="Times New Roman"/>
      <w:sz w:val="18"/>
      <w:szCs w:val="18"/>
      <w:vertAlign w:val="superscript"/>
    </w:rPr>
  </w:style>
  <w:style w:type="table" w:styleId="TableGrid">
    <w:name w:val="Table Grid"/>
    <w:basedOn w:val="TableNormal"/>
    <w:uiPriority w:val="59"/>
    <w:rsid w:val="00725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s2">
    <w:name w:val="Bullets2"/>
    <w:qFormat/>
    <w:rsid w:val="008F12F0"/>
    <w:pPr>
      <w:numPr>
        <w:numId w:val="23"/>
      </w:numPr>
      <w:tabs>
        <w:tab w:val="left" w:pos="1985"/>
      </w:tabs>
      <w:ind w:left="1985" w:hanging="567"/>
    </w:pPr>
    <w:rPr>
      <w:sz w:val="24"/>
      <w:lang w:eastAsia="en-AU"/>
    </w:rPr>
  </w:style>
  <w:style w:type="paragraph" w:styleId="Header">
    <w:name w:val="header"/>
    <w:basedOn w:val="Normal"/>
    <w:rsid w:val="00725975"/>
    <w:pPr>
      <w:tabs>
        <w:tab w:val="center" w:pos="4153"/>
        <w:tab w:val="right" w:pos="8306"/>
      </w:tabs>
    </w:pPr>
  </w:style>
  <w:style w:type="paragraph" w:styleId="Footer">
    <w:name w:val="footer"/>
    <w:basedOn w:val="Normal"/>
    <w:rsid w:val="00725975"/>
    <w:pPr>
      <w:tabs>
        <w:tab w:val="center" w:pos="4153"/>
        <w:tab w:val="right" w:pos="8306"/>
      </w:tabs>
    </w:pPr>
  </w:style>
  <w:style w:type="character" w:styleId="PageNumber">
    <w:name w:val="page number"/>
    <w:basedOn w:val="DefaultParagraphFont"/>
    <w:rsid w:val="0003164B"/>
    <w:rPr>
      <w:sz w:val="22"/>
      <w:szCs w:val="22"/>
    </w:rPr>
  </w:style>
  <w:style w:type="paragraph" w:styleId="BalloonText">
    <w:name w:val="Balloon Text"/>
    <w:basedOn w:val="Normal"/>
    <w:semiHidden/>
    <w:rsid w:val="00725975"/>
    <w:rPr>
      <w:rFonts w:ascii="Tahoma" w:hAnsi="Tahoma" w:cs="Tahoma"/>
      <w:sz w:val="16"/>
      <w:szCs w:val="16"/>
    </w:rPr>
  </w:style>
  <w:style w:type="character" w:styleId="CommentReference">
    <w:name w:val="annotation reference"/>
    <w:basedOn w:val="DefaultParagraphFont"/>
    <w:semiHidden/>
    <w:rsid w:val="00725975"/>
    <w:rPr>
      <w:sz w:val="16"/>
      <w:szCs w:val="16"/>
    </w:rPr>
  </w:style>
  <w:style w:type="paragraph" w:styleId="CommentText">
    <w:name w:val="annotation text"/>
    <w:basedOn w:val="Normal"/>
    <w:semiHidden/>
    <w:rsid w:val="00725975"/>
  </w:style>
  <w:style w:type="paragraph" w:styleId="CommentSubject">
    <w:name w:val="annotation subject"/>
    <w:basedOn w:val="CommentText"/>
    <w:next w:val="CommentText"/>
    <w:semiHidden/>
    <w:rsid w:val="000E3A50"/>
    <w:rPr>
      <w:b/>
      <w:bCs/>
    </w:rPr>
  </w:style>
  <w:style w:type="paragraph" w:customStyle="1" w:styleId="Chapter7">
    <w:name w:val="Chapter 7"/>
    <w:link w:val="Chapter7Char"/>
    <w:rsid w:val="00ED0B7F"/>
    <w:pPr>
      <w:numPr>
        <w:numId w:val="12"/>
      </w:numPr>
      <w:tabs>
        <w:tab w:val="clear" w:pos="2836"/>
        <w:tab w:val="num" w:pos="851"/>
      </w:tabs>
      <w:ind w:left="851" w:hanging="851"/>
      <w:jc w:val="both"/>
    </w:pPr>
    <w:rPr>
      <w:sz w:val="24"/>
      <w:szCs w:val="24"/>
      <w:lang w:eastAsia="en-AU"/>
    </w:rPr>
  </w:style>
  <w:style w:type="character" w:customStyle="1" w:styleId="Chapter7Char">
    <w:name w:val="Chapter 7 Char"/>
    <w:link w:val="Chapter7"/>
    <w:rsid w:val="00ED0B7F"/>
    <w:rPr>
      <w:sz w:val="24"/>
      <w:szCs w:val="24"/>
      <w:lang w:eastAsia="en-AU"/>
    </w:rPr>
  </w:style>
  <w:style w:type="paragraph" w:customStyle="1" w:styleId="Chapter8">
    <w:name w:val="Chapter 8"/>
    <w:link w:val="Chapter8Char"/>
    <w:rsid w:val="00ED0B7F"/>
    <w:pPr>
      <w:numPr>
        <w:numId w:val="14"/>
      </w:numPr>
      <w:ind w:left="851" w:hanging="851"/>
      <w:jc w:val="both"/>
    </w:pPr>
    <w:rPr>
      <w:sz w:val="24"/>
      <w:szCs w:val="24"/>
      <w:lang w:eastAsia="en-AU"/>
    </w:rPr>
  </w:style>
  <w:style w:type="character" w:customStyle="1" w:styleId="Chapter8Char">
    <w:name w:val="Chapter 8 Char"/>
    <w:basedOn w:val="DefaultParagraphFont"/>
    <w:link w:val="Chapter8"/>
    <w:rsid w:val="00ED0B7F"/>
    <w:rPr>
      <w:sz w:val="24"/>
      <w:szCs w:val="24"/>
      <w:lang w:eastAsia="en-AU"/>
    </w:rPr>
  </w:style>
  <w:style w:type="paragraph" w:customStyle="1" w:styleId="Chapter9">
    <w:name w:val="Chapter 9"/>
    <w:link w:val="Chapter9Char"/>
    <w:rsid w:val="00ED0B7F"/>
    <w:pPr>
      <w:numPr>
        <w:numId w:val="4"/>
      </w:numPr>
      <w:tabs>
        <w:tab w:val="clear" w:pos="567"/>
        <w:tab w:val="num" w:pos="851"/>
      </w:tabs>
      <w:ind w:left="851" w:hanging="851"/>
      <w:jc w:val="both"/>
    </w:pPr>
    <w:rPr>
      <w:sz w:val="24"/>
      <w:szCs w:val="24"/>
      <w:lang w:eastAsia="en-AU"/>
    </w:rPr>
  </w:style>
  <w:style w:type="character" w:customStyle="1" w:styleId="Chapter9Char">
    <w:name w:val="Chapter 9 Char"/>
    <w:basedOn w:val="DefaultParagraphFont"/>
    <w:link w:val="Chapter9"/>
    <w:rsid w:val="00ED0B7F"/>
    <w:rPr>
      <w:sz w:val="24"/>
      <w:szCs w:val="24"/>
      <w:lang w:eastAsia="en-AU"/>
    </w:rPr>
  </w:style>
  <w:style w:type="paragraph" w:customStyle="1" w:styleId="Chapter10">
    <w:name w:val="Chapter10"/>
    <w:basedOn w:val="Normal"/>
    <w:rsid w:val="00311DBB"/>
    <w:pPr>
      <w:numPr>
        <w:numId w:val="1"/>
      </w:numPr>
      <w:ind w:left="851" w:hanging="851"/>
    </w:pPr>
  </w:style>
  <w:style w:type="paragraph" w:customStyle="1" w:styleId="Chapter11">
    <w:name w:val="Chapter11"/>
    <w:basedOn w:val="Normal"/>
    <w:rsid w:val="00C97186"/>
    <w:pPr>
      <w:numPr>
        <w:numId w:val="15"/>
      </w:numPr>
      <w:ind w:left="851" w:hanging="851"/>
    </w:pPr>
    <w:rPr>
      <w:szCs w:val="24"/>
      <w:lang w:val="en-AU"/>
    </w:rPr>
  </w:style>
  <w:style w:type="paragraph" w:styleId="DocumentMap">
    <w:name w:val="Document Map"/>
    <w:basedOn w:val="Normal"/>
    <w:semiHidden/>
    <w:rsid w:val="00CB7A06"/>
    <w:pPr>
      <w:shd w:val="clear" w:color="auto" w:fill="000080"/>
    </w:pPr>
    <w:rPr>
      <w:rFonts w:ascii="Tahoma" w:hAnsi="Tahoma" w:cs="Tahoma"/>
      <w:sz w:val="20"/>
    </w:rPr>
  </w:style>
  <w:style w:type="paragraph" w:customStyle="1" w:styleId="Chapter1">
    <w:name w:val="Chapter 1"/>
    <w:link w:val="Chapter1Char1"/>
    <w:qFormat/>
    <w:rsid w:val="006F02AD"/>
    <w:pPr>
      <w:numPr>
        <w:numId w:val="3"/>
      </w:numPr>
      <w:jc w:val="both"/>
    </w:pPr>
    <w:rPr>
      <w:sz w:val="24"/>
      <w:lang w:eastAsia="en-AU"/>
    </w:rPr>
  </w:style>
  <w:style w:type="paragraph" w:customStyle="1" w:styleId="Chapter100">
    <w:name w:val="Chapter 10"/>
    <w:basedOn w:val="Chapter9"/>
    <w:rsid w:val="00725975"/>
    <w:pPr>
      <w:numPr>
        <w:numId w:val="5"/>
      </w:numPr>
      <w:tabs>
        <w:tab w:val="clear" w:pos="567"/>
        <w:tab w:val="num" w:pos="851"/>
      </w:tabs>
      <w:ind w:left="851" w:hanging="851"/>
    </w:pPr>
  </w:style>
  <w:style w:type="paragraph" w:customStyle="1" w:styleId="Chapter2">
    <w:name w:val="Chapter 2"/>
    <w:link w:val="Chapter2Char"/>
    <w:qFormat/>
    <w:rsid w:val="000852A1"/>
    <w:pPr>
      <w:numPr>
        <w:numId w:val="6"/>
      </w:numPr>
      <w:jc w:val="both"/>
    </w:pPr>
    <w:rPr>
      <w:snapToGrid w:val="0"/>
      <w:sz w:val="24"/>
      <w:lang w:eastAsia="en-US"/>
    </w:rPr>
  </w:style>
  <w:style w:type="paragraph" w:customStyle="1" w:styleId="Chapter3">
    <w:name w:val="Chapter 3"/>
    <w:link w:val="Chapter3Char1"/>
    <w:qFormat/>
    <w:rsid w:val="000852A1"/>
    <w:pPr>
      <w:numPr>
        <w:numId w:val="7"/>
      </w:numPr>
      <w:jc w:val="both"/>
    </w:pPr>
    <w:rPr>
      <w:snapToGrid w:val="0"/>
      <w:sz w:val="24"/>
      <w:lang w:eastAsia="en-US"/>
    </w:rPr>
  </w:style>
  <w:style w:type="paragraph" w:customStyle="1" w:styleId="Chapter4">
    <w:name w:val="Chapter 4"/>
    <w:qFormat/>
    <w:rsid w:val="000852A1"/>
    <w:pPr>
      <w:numPr>
        <w:numId w:val="8"/>
      </w:numPr>
      <w:jc w:val="both"/>
    </w:pPr>
    <w:rPr>
      <w:sz w:val="24"/>
      <w:lang w:eastAsia="en-AU"/>
    </w:rPr>
  </w:style>
  <w:style w:type="paragraph" w:customStyle="1" w:styleId="Chapter5">
    <w:name w:val="Chapter 5"/>
    <w:link w:val="Chapter5Char"/>
    <w:rsid w:val="000852A1"/>
    <w:pPr>
      <w:numPr>
        <w:numId w:val="9"/>
      </w:numPr>
      <w:jc w:val="both"/>
    </w:pPr>
    <w:rPr>
      <w:sz w:val="24"/>
      <w:lang w:eastAsia="en-AU"/>
    </w:rPr>
  </w:style>
  <w:style w:type="paragraph" w:customStyle="1" w:styleId="Chapter6">
    <w:name w:val="Chapter 6"/>
    <w:link w:val="Chapter6Char"/>
    <w:rsid w:val="00ED0B7F"/>
    <w:pPr>
      <w:numPr>
        <w:numId w:val="10"/>
      </w:numPr>
      <w:jc w:val="both"/>
    </w:pPr>
    <w:rPr>
      <w:sz w:val="24"/>
      <w:lang w:eastAsia="en-AU"/>
    </w:rPr>
  </w:style>
  <w:style w:type="paragraph" w:customStyle="1" w:styleId="PartHeading">
    <w:name w:val="Part Heading"/>
    <w:basedOn w:val="Normal"/>
    <w:rsid w:val="00725975"/>
    <w:pPr>
      <w:pBdr>
        <w:top w:val="single" w:sz="4" w:space="10" w:color="auto"/>
        <w:bottom w:val="single" w:sz="4" w:space="10" w:color="auto"/>
      </w:pBdr>
      <w:jc w:val="center"/>
    </w:pPr>
    <w:rPr>
      <w:sz w:val="52"/>
      <w:szCs w:val="52"/>
    </w:rPr>
  </w:style>
  <w:style w:type="paragraph" w:styleId="Quote">
    <w:name w:val="Quote"/>
    <w:qFormat/>
    <w:rsid w:val="008F12F0"/>
    <w:pPr>
      <w:ind w:left="1418" w:right="567"/>
      <w:jc w:val="both"/>
    </w:pPr>
    <w:rPr>
      <w:sz w:val="22"/>
      <w:szCs w:val="22"/>
      <w:lang w:eastAsia="en-AU"/>
    </w:rPr>
  </w:style>
  <w:style w:type="paragraph" w:styleId="TOC1">
    <w:name w:val="toc 1"/>
    <w:basedOn w:val="Normal"/>
    <w:next w:val="Normal"/>
    <w:autoRedefine/>
    <w:uiPriority w:val="39"/>
    <w:rsid w:val="00C31451"/>
    <w:pPr>
      <w:tabs>
        <w:tab w:val="left" w:pos="1701"/>
        <w:tab w:val="right" w:pos="8296"/>
      </w:tabs>
      <w:spacing w:before="240" w:after="240"/>
      <w:ind w:left="1701" w:right="284" w:hanging="1701"/>
      <w:jc w:val="left"/>
    </w:pPr>
    <w:rPr>
      <w:rFonts w:ascii="Times New Roman Bold" w:hAnsi="Times New Roman Bold"/>
      <w:b/>
      <w:noProof/>
      <w:szCs w:val="24"/>
      <w:lang w:val="en-NZ"/>
    </w:rPr>
  </w:style>
  <w:style w:type="paragraph" w:styleId="TOC2">
    <w:name w:val="toc 2"/>
    <w:basedOn w:val="Normal"/>
    <w:next w:val="Normal"/>
    <w:autoRedefine/>
    <w:uiPriority w:val="39"/>
    <w:rsid w:val="00C31451"/>
    <w:pPr>
      <w:tabs>
        <w:tab w:val="left" w:pos="1701"/>
        <w:tab w:val="right" w:pos="8301"/>
      </w:tabs>
      <w:spacing w:before="40" w:after="40"/>
      <w:ind w:left="1701" w:right="284"/>
      <w:jc w:val="left"/>
    </w:pPr>
    <w:rPr>
      <w:sz w:val="22"/>
      <w:szCs w:val="24"/>
      <w:lang w:val="en-NZ"/>
    </w:rPr>
  </w:style>
  <w:style w:type="paragraph" w:styleId="TOC3">
    <w:name w:val="toc 3"/>
    <w:basedOn w:val="Normal"/>
    <w:next w:val="Normal"/>
    <w:autoRedefine/>
    <w:uiPriority w:val="39"/>
    <w:rsid w:val="008F12F0"/>
    <w:pPr>
      <w:tabs>
        <w:tab w:val="right" w:pos="8302"/>
      </w:tabs>
      <w:spacing w:before="20" w:after="20"/>
      <w:ind w:left="1701"/>
    </w:pPr>
    <w:rPr>
      <w:sz w:val="20"/>
      <w:szCs w:val="22"/>
      <w:lang w:val="en-NZ"/>
    </w:rPr>
  </w:style>
  <w:style w:type="numbering" w:customStyle="1" w:styleId="StyleBulletedWingdingssymbol">
    <w:name w:val="Style Bulleted Wingdings (symbol)"/>
    <w:basedOn w:val="NoList"/>
    <w:rsid w:val="00311DBB"/>
    <w:pPr>
      <w:numPr>
        <w:numId w:val="16"/>
      </w:numPr>
    </w:pPr>
  </w:style>
  <w:style w:type="paragraph" w:customStyle="1" w:styleId="Bullets">
    <w:name w:val="Bullets"/>
    <w:basedOn w:val="Normal"/>
    <w:link w:val="BulletsChar"/>
    <w:qFormat/>
    <w:rsid w:val="00C31451"/>
    <w:pPr>
      <w:numPr>
        <w:numId w:val="2"/>
      </w:numPr>
      <w:tabs>
        <w:tab w:val="clear" w:pos="-284"/>
        <w:tab w:val="left" w:pos="1418"/>
      </w:tabs>
      <w:spacing w:after="140"/>
      <w:ind w:left="1418"/>
    </w:pPr>
    <w:rPr>
      <w:lang w:val="en-NZ"/>
    </w:rPr>
  </w:style>
  <w:style w:type="paragraph" w:styleId="TOC4">
    <w:name w:val="toc 4"/>
    <w:basedOn w:val="Normal"/>
    <w:next w:val="Normal"/>
    <w:autoRedefine/>
    <w:semiHidden/>
    <w:rsid w:val="00642F45"/>
    <w:pPr>
      <w:ind w:left="720"/>
      <w:jc w:val="left"/>
    </w:pPr>
    <w:rPr>
      <w:szCs w:val="24"/>
      <w:lang w:val="en-AU"/>
    </w:rPr>
  </w:style>
  <w:style w:type="paragraph" w:styleId="TOC5">
    <w:name w:val="toc 5"/>
    <w:basedOn w:val="Normal"/>
    <w:next w:val="Normal"/>
    <w:autoRedefine/>
    <w:semiHidden/>
    <w:rsid w:val="00642F45"/>
    <w:pPr>
      <w:ind w:left="960"/>
      <w:jc w:val="left"/>
    </w:pPr>
    <w:rPr>
      <w:szCs w:val="24"/>
      <w:lang w:val="en-AU"/>
    </w:rPr>
  </w:style>
  <w:style w:type="paragraph" w:styleId="TOC6">
    <w:name w:val="toc 6"/>
    <w:basedOn w:val="Normal"/>
    <w:next w:val="Normal"/>
    <w:autoRedefine/>
    <w:semiHidden/>
    <w:rsid w:val="00642F45"/>
    <w:pPr>
      <w:ind w:left="1200"/>
      <w:jc w:val="left"/>
    </w:pPr>
    <w:rPr>
      <w:szCs w:val="24"/>
      <w:lang w:val="en-AU"/>
    </w:rPr>
  </w:style>
  <w:style w:type="paragraph" w:styleId="TOC7">
    <w:name w:val="toc 7"/>
    <w:basedOn w:val="Normal"/>
    <w:next w:val="Normal"/>
    <w:autoRedefine/>
    <w:semiHidden/>
    <w:rsid w:val="00642F45"/>
    <w:pPr>
      <w:ind w:left="1440"/>
      <w:jc w:val="left"/>
    </w:pPr>
    <w:rPr>
      <w:szCs w:val="24"/>
      <w:lang w:val="en-AU"/>
    </w:rPr>
  </w:style>
  <w:style w:type="paragraph" w:styleId="TOC8">
    <w:name w:val="toc 8"/>
    <w:basedOn w:val="Normal"/>
    <w:next w:val="Normal"/>
    <w:autoRedefine/>
    <w:semiHidden/>
    <w:rsid w:val="00642F45"/>
    <w:pPr>
      <w:ind w:left="1680"/>
      <w:jc w:val="left"/>
    </w:pPr>
    <w:rPr>
      <w:szCs w:val="24"/>
      <w:lang w:val="en-AU"/>
    </w:rPr>
  </w:style>
  <w:style w:type="paragraph" w:styleId="TOC9">
    <w:name w:val="toc 9"/>
    <w:basedOn w:val="Normal"/>
    <w:next w:val="Normal"/>
    <w:autoRedefine/>
    <w:semiHidden/>
    <w:rsid w:val="00642F45"/>
    <w:pPr>
      <w:ind w:left="1920"/>
      <w:jc w:val="left"/>
    </w:pPr>
    <w:rPr>
      <w:szCs w:val="24"/>
      <w:lang w:val="en-AU"/>
    </w:rPr>
  </w:style>
  <w:style w:type="character" w:customStyle="1" w:styleId="Chapter1Char1">
    <w:name w:val="Chapter 1 Char1"/>
    <w:basedOn w:val="DefaultParagraphFont"/>
    <w:link w:val="Chapter1"/>
    <w:rsid w:val="006F02AD"/>
    <w:rPr>
      <w:sz w:val="24"/>
      <w:lang w:eastAsia="en-AU"/>
    </w:rPr>
  </w:style>
  <w:style w:type="character" w:customStyle="1" w:styleId="Chapter2Char">
    <w:name w:val="Chapter 2 Char"/>
    <w:basedOn w:val="Chapter1Char1"/>
    <w:link w:val="Chapter2"/>
    <w:rsid w:val="000852A1"/>
    <w:rPr>
      <w:snapToGrid w:val="0"/>
      <w:sz w:val="24"/>
      <w:lang w:eastAsia="en-US"/>
    </w:rPr>
  </w:style>
  <w:style w:type="character" w:customStyle="1" w:styleId="Chapter3Char1">
    <w:name w:val="Chapter 3 Char1"/>
    <w:basedOn w:val="Chapter2Char"/>
    <w:link w:val="Chapter3"/>
    <w:rsid w:val="000852A1"/>
    <w:rPr>
      <w:snapToGrid w:val="0"/>
      <w:sz w:val="24"/>
      <w:lang w:eastAsia="en-US"/>
    </w:rPr>
  </w:style>
  <w:style w:type="character" w:customStyle="1" w:styleId="Chapter5Char">
    <w:name w:val="Chapter 5 Char"/>
    <w:basedOn w:val="Chapter1Char1"/>
    <w:link w:val="Chapter5"/>
    <w:rsid w:val="000852A1"/>
    <w:rPr>
      <w:sz w:val="24"/>
      <w:lang w:eastAsia="en-AU"/>
    </w:rPr>
  </w:style>
  <w:style w:type="character" w:customStyle="1" w:styleId="Chapter6Char">
    <w:name w:val="Chapter 6 Char"/>
    <w:basedOn w:val="DefaultParagraphFont"/>
    <w:link w:val="Chapter6"/>
    <w:rsid w:val="00ED0B7F"/>
    <w:rPr>
      <w:sz w:val="24"/>
      <w:lang w:eastAsia="en-AU"/>
    </w:rPr>
  </w:style>
  <w:style w:type="character" w:customStyle="1" w:styleId="Heading1Char">
    <w:name w:val="Heading 1 Char"/>
    <w:basedOn w:val="DefaultParagraphFont"/>
    <w:link w:val="Heading1"/>
    <w:rsid w:val="00EB224E"/>
    <w:rPr>
      <w:b/>
      <w:sz w:val="24"/>
      <w:szCs w:val="24"/>
      <w:lang w:eastAsia="en-AU"/>
    </w:rPr>
  </w:style>
  <w:style w:type="character" w:customStyle="1" w:styleId="Heading2Char">
    <w:name w:val="Heading 2 Char"/>
    <w:basedOn w:val="DefaultParagraphFont"/>
    <w:link w:val="Heading2"/>
    <w:rsid w:val="00ED0B7F"/>
    <w:rPr>
      <w:b/>
      <w:i/>
      <w:sz w:val="24"/>
      <w:szCs w:val="24"/>
      <w:lang w:eastAsia="en-AU"/>
    </w:rPr>
  </w:style>
  <w:style w:type="paragraph" w:customStyle="1" w:styleId="Chapterheading">
    <w:name w:val="Chapter heading"/>
    <w:basedOn w:val="Normal"/>
    <w:link w:val="ChapterheadingChar1"/>
    <w:qFormat/>
    <w:rsid w:val="00ED0B7F"/>
    <w:pPr>
      <w:jc w:val="center"/>
    </w:pPr>
    <w:rPr>
      <w:rFonts w:ascii="Times New Roman Bold" w:hAnsi="Times New Roman Bold"/>
      <w:b/>
      <w:bCs/>
      <w:caps/>
      <w:sz w:val="28"/>
      <w:szCs w:val="28"/>
      <w:lang w:val="en-NZ"/>
    </w:rPr>
  </w:style>
  <w:style w:type="character" w:customStyle="1" w:styleId="BulletsChar">
    <w:name w:val="Bullets Char"/>
    <w:basedOn w:val="DefaultParagraphFont"/>
    <w:link w:val="Bullets"/>
    <w:rsid w:val="00C31451"/>
    <w:rPr>
      <w:sz w:val="24"/>
      <w:lang w:eastAsia="en-AU"/>
    </w:rPr>
  </w:style>
  <w:style w:type="character" w:customStyle="1" w:styleId="Heading3Char">
    <w:name w:val="Heading 3 Char"/>
    <w:basedOn w:val="DefaultParagraphFont"/>
    <w:link w:val="Heading3"/>
    <w:rsid w:val="00ED0B7F"/>
    <w:rPr>
      <w:i/>
      <w:sz w:val="24"/>
      <w:lang w:eastAsia="en-AU"/>
    </w:rPr>
  </w:style>
  <w:style w:type="character" w:customStyle="1" w:styleId="ChapterheadingChar1">
    <w:name w:val="Chapter heading Char1"/>
    <w:basedOn w:val="DefaultParagraphFont"/>
    <w:link w:val="Chapterheading"/>
    <w:rsid w:val="00ED0B7F"/>
    <w:rPr>
      <w:rFonts w:ascii="Times New Roman Bold" w:hAnsi="Times New Roman Bold"/>
      <w:b/>
      <w:bCs/>
      <w:caps/>
      <w:sz w:val="28"/>
      <w:szCs w:val="28"/>
      <w:lang w:eastAsia="en-AU"/>
    </w:rPr>
  </w:style>
  <w:style w:type="paragraph" w:styleId="ListParagraph">
    <w:name w:val="List Paragraph"/>
    <w:basedOn w:val="Normal"/>
    <w:uiPriority w:val="34"/>
    <w:rsid w:val="006400E4"/>
    <w:pPr>
      <w:ind w:left="720"/>
      <w:contextualSpacing/>
    </w:pPr>
  </w:style>
  <w:style w:type="paragraph" w:customStyle="1" w:styleId="Bullets-Table">
    <w:name w:val="Bullets - Table"/>
    <w:basedOn w:val="Normal"/>
    <w:qFormat/>
    <w:rsid w:val="00D4611B"/>
    <w:pPr>
      <w:numPr>
        <w:numId w:val="32"/>
      </w:numPr>
      <w:tabs>
        <w:tab w:val="left" w:pos="284"/>
      </w:tabs>
      <w:ind w:left="284" w:hanging="284"/>
      <w:jc w:val="left"/>
    </w:pPr>
    <w:rPr>
      <w:snapToGrid w:val="0"/>
      <w:sz w:val="20"/>
      <w:lang w:val="en-NZ" w:eastAsia="en-US"/>
    </w:rPr>
  </w:style>
  <w:style w:type="paragraph" w:styleId="EndnoteText">
    <w:name w:val="endnote text"/>
    <w:basedOn w:val="Normal"/>
    <w:link w:val="EndnoteTextChar"/>
    <w:uiPriority w:val="99"/>
    <w:semiHidden/>
    <w:unhideWhenUsed/>
    <w:rsid w:val="00AE2908"/>
    <w:rPr>
      <w:sz w:val="20"/>
    </w:rPr>
  </w:style>
  <w:style w:type="character" w:customStyle="1" w:styleId="EndnoteTextChar">
    <w:name w:val="Endnote Text Char"/>
    <w:basedOn w:val="DefaultParagraphFont"/>
    <w:link w:val="EndnoteText"/>
    <w:uiPriority w:val="99"/>
    <w:semiHidden/>
    <w:rsid w:val="00AE2908"/>
    <w:rPr>
      <w:lang w:val="en-GB" w:eastAsia="en-AU"/>
    </w:rPr>
  </w:style>
  <w:style w:type="character" w:styleId="EndnoteReference">
    <w:name w:val="endnote reference"/>
    <w:basedOn w:val="DefaultParagraphFont"/>
    <w:uiPriority w:val="99"/>
    <w:semiHidden/>
    <w:unhideWhenUsed/>
    <w:rsid w:val="00AE2908"/>
    <w:rPr>
      <w:vertAlign w:val="superscript"/>
    </w:rPr>
  </w:style>
  <w:style w:type="paragraph" w:customStyle="1" w:styleId="Bullets-Noindent">
    <w:name w:val="Bullets - No indent"/>
    <w:basedOn w:val="Bullets"/>
    <w:qFormat/>
    <w:rsid w:val="00CA1467"/>
    <w:pPr>
      <w:ind w:left="567"/>
    </w:pPr>
  </w:style>
  <w:style w:type="paragraph" w:customStyle="1" w:styleId="Bullets2-Noindent">
    <w:name w:val="Bullets 2 - No indent"/>
    <w:basedOn w:val="Bullets2"/>
    <w:qFormat/>
    <w:rsid w:val="00D07A05"/>
    <w:pPr>
      <w:tabs>
        <w:tab w:val="clear" w:pos="1985"/>
        <w:tab w:val="left" w:pos="567"/>
      </w:tabs>
      <w:ind w:left="113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lsdException w:name="heading 6" w:semiHidden="0" w:uiPriority="9" w:unhideWhenUsed="0"/>
    <w:lsdException w:name="heading 7" w:semiHidden="0" w:uiPriority="9" w:unhideWhenUsed="0"/>
    <w:lsdException w:name="heading 8" w:semiHidden="0" w:uiPriority="9" w:unhideWhenUsed="0"/>
    <w:lsdException w:name="heading 9" w:semiHidden="0" w:uiPriority="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27914"/>
    <w:pPr>
      <w:jc w:val="both"/>
    </w:pPr>
    <w:rPr>
      <w:sz w:val="24"/>
      <w:lang w:val="en-GB" w:eastAsia="en-AU"/>
    </w:rPr>
  </w:style>
  <w:style w:type="paragraph" w:styleId="Heading1">
    <w:name w:val="heading 1"/>
    <w:basedOn w:val="Normal"/>
    <w:next w:val="Normal"/>
    <w:link w:val="Heading1Char"/>
    <w:qFormat/>
    <w:rsid w:val="00EB224E"/>
    <w:pPr>
      <w:keepNext/>
      <w:jc w:val="left"/>
      <w:outlineLvl w:val="0"/>
    </w:pPr>
    <w:rPr>
      <w:b/>
      <w:szCs w:val="24"/>
      <w:lang w:val="en-NZ"/>
    </w:rPr>
  </w:style>
  <w:style w:type="paragraph" w:styleId="Heading2">
    <w:name w:val="heading 2"/>
    <w:basedOn w:val="Normal"/>
    <w:next w:val="Normal"/>
    <w:link w:val="Heading2Char"/>
    <w:qFormat/>
    <w:rsid w:val="00ED0B7F"/>
    <w:pPr>
      <w:keepNext/>
      <w:outlineLvl w:val="1"/>
    </w:pPr>
    <w:rPr>
      <w:b/>
      <w:i/>
      <w:szCs w:val="24"/>
      <w:lang w:val="en-NZ"/>
    </w:rPr>
  </w:style>
  <w:style w:type="paragraph" w:styleId="Heading3">
    <w:name w:val="heading 3"/>
    <w:basedOn w:val="Normal"/>
    <w:next w:val="Normal"/>
    <w:link w:val="Heading3Char"/>
    <w:qFormat/>
    <w:rsid w:val="00ED0B7F"/>
    <w:pPr>
      <w:keepNext/>
      <w:outlineLvl w:val="2"/>
    </w:pPr>
    <w:rPr>
      <w:i/>
      <w:lang w:val="en-NZ"/>
    </w:rPr>
  </w:style>
  <w:style w:type="paragraph" w:styleId="Heading4">
    <w:name w:val="heading 4"/>
    <w:next w:val="Normal"/>
    <w:qFormat/>
    <w:rsid w:val="00ED0B7F"/>
    <w:pPr>
      <w:keepNext/>
      <w:outlineLvl w:val="3"/>
    </w:pPr>
    <w:rPr>
      <w:bCs/>
      <w:sz w:val="24"/>
      <w:szCs w:val="28"/>
      <w:lang w:eastAsia="en-AU"/>
    </w:rPr>
  </w:style>
  <w:style w:type="paragraph" w:styleId="Heading5">
    <w:name w:val="heading 5"/>
    <w:basedOn w:val="Normal"/>
    <w:next w:val="Normal"/>
    <w:rsid w:val="00725975"/>
    <w:pPr>
      <w:spacing w:before="240" w:after="60"/>
      <w:outlineLvl w:val="4"/>
    </w:pPr>
    <w:rPr>
      <w:b/>
      <w:bCs/>
      <w:i/>
      <w:iCs/>
      <w:sz w:val="26"/>
      <w:szCs w:val="26"/>
    </w:rPr>
  </w:style>
  <w:style w:type="paragraph" w:styleId="Heading6">
    <w:name w:val="heading 6"/>
    <w:basedOn w:val="Normal"/>
    <w:next w:val="Normal"/>
    <w:rsid w:val="00725975"/>
    <w:pPr>
      <w:spacing w:before="240" w:after="60"/>
      <w:outlineLvl w:val="5"/>
    </w:pPr>
    <w:rPr>
      <w:b/>
      <w:bCs/>
      <w:sz w:val="22"/>
      <w:szCs w:val="22"/>
    </w:rPr>
  </w:style>
  <w:style w:type="paragraph" w:styleId="Heading7">
    <w:name w:val="heading 7"/>
    <w:basedOn w:val="Normal"/>
    <w:next w:val="Normal"/>
    <w:rsid w:val="00725975"/>
    <w:pPr>
      <w:spacing w:before="240" w:after="60"/>
      <w:outlineLvl w:val="6"/>
    </w:pPr>
    <w:rPr>
      <w:szCs w:val="24"/>
    </w:rPr>
  </w:style>
  <w:style w:type="paragraph" w:styleId="Heading8">
    <w:name w:val="heading 8"/>
    <w:basedOn w:val="Normal"/>
    <w:next w:val="Normal"/>
    <w:rsid w:val="00725975"/>
    <w:pPr>
      <w:spacing w:before="240" w:after="60"/>
      <w:outlineLvl w:val="7"/>
    </w:pPr>
    <w:rPr>
      <w:i/>
      <w:iCs/>
      <w:szCs w:val="24"/>
    </w:rPr>
  </w:style>
  <w:style w:type="paragraph" w:styleId="Heading9">
    <w:name w:val="heading 9"/>
    <w:basedOn w:val="Normal"/>
    <w:next w:val="Normal"/>
    <w:rsid w:val="0072597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25975"/>
    <w:pPr>
      <w:spacing w:before="100" w:beforeAutospacing="1" w:after="100" w:afterAutospacing="1"/>
    </w:pPr>
    <w:rPr>
      <w:rFonts w:ascii="Verdana" w:hAnsi="Verdana"/>
      <w:sz w:val="27"/>
      <w:szCs w:val="27"/>
      <w:lang w:val="en-AU"/>
    </w:rPr>
  </w:style>
  <w:style w:type="character" w:styleId="Hyperlink">
    <w:name w:val="Hyperlink"/>
    <w:basedOn w:val="DefaultParagraphFont"/>
    <w:rsid w:val="00725975"/>
    <w:rPr>
      <w:color w:val="auto"/>
    </w:rPr>
  </w:style>
  <w:style w:type="paragraph" w:styleId="FootnoteText">
    <w:name w:val="footnote text"/>
    <w:basedOn w:val="Normal"/>
    <w:semiHidden/>
    <w:rsid w:val="00725975"/>
    <w:pPr>
      <w:jc w:val="left"/>
    </w:pPr>
    <w:rPr>
      <w:rFonts w:eastAsia="MS Mincho"/>
      <w:sz w:val="18"/>
      <w:szCs w:val="18"/>
      <w:lang w:val="en-NZ" w:eastAsia="ja-JP"/>
    </w:rPr>
  </w:style>
  <w:style w:type="character" w:styleId="FootnoteReference">
    <w:name w:val="footnote reference"/>
    <w:basedOn w:val="DefaultParagraphFont"/>
    <w:semiHidden/>
    <w:rsid w:val="00725975"/>
    <w:rPr>
      <w:rFonts w:ascii="Times New Roman" w:hAnsi="Times New Roman"/>
      <w:sz w:val="18"/>
      <w:szCs w:val="18"/>
      <w:vertAlign w:val="superscript"/>
    </w:rPr>
  </w:style>
  <w:style w:type="table" w:styleId="TableGrid">
    <w:name w:val="Table Grid"/>
    <w:basedOn w:val="TableNormal"/>
    <w:uiPriority w:val="59"/>
    <w:rsid w:val="00725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s2">
    <w:name w:val="Bullets2"/>
    <w:qFormat/>
    <w:rsid w:val="008F12F0"/>
    <w:pPr>
      <w:numPr>
        <w:numId w:val="23"/>
      </w:numPr>
      <w:tabs>
        <w:tab w:val="left" w:pos="1985"/>
      </w:tabs>
      <w:ind w:left="1985" w:hanging="567"/>
    </w:pPr>
    <w:rPr>
      <w:sz w:val="24"/>
      <w:lang w:eastAsia="en-AU"/>
    </w:rPr>
  </w:style>
  <w:style w:type="paragraph" w:styleId="Header">
    <w:name w:val="header"/>
    <w:basedOn w:val="Normal"/>
    <w:rsid w:val="00725975"/>
    <w:pPr>
      <w:tabs>
        <w:tab w:val="center" w:pos="4153"/>
        <w:tab w:val="right" w:pos="8306"/>
      </w:tabs>
    </w:pPr>
  </w:style>
  <w:style w:type="paragraph" w:styleId="Footer">
    <w:name w:val="footer"/>
    <w:basedOn w:val="Normal"/>
    <w:rsid w:val="00725975"/>
    <w:pPr>
      <w:tabs>
        <w:tab w:val="center" w:pos="4153"/>
        <w:tab w:val="right" w:pos="8306"/>
      </w:tabs>
    </w:pPr>
  </w:style>
  <w:style w:type="character" w:styleId="PageNumber">
    <w:name w:val="page number"/>
    <w:basedOn w:val="DefaultParagraphFont"/>
    <w:rsid w:val="0003164B"/>
    <w:rPr>
      <w:sz w:val="22"/>
      <w:szCs w:val="22"/>
    </w:rPr>
  </w:style>
  <w:style w:type="paragraph" w:styleId="BalloonText">
    <w:name w:val="Balloon Text"/>
    <w:basedOn w:val="Normal"/>
    <w:semiHidden/>
    <w:rsid w:val="00725975"/>
    <w:rPr>
      <w:rFonts w:ascii="Tahoma" w:hAnsi="Tahoma" w:cs="Tahoma"/>
      <w:sz w:val="16"/>
      <w:szCs w:val="16"/>
    </w:rPr>
  </w:style>
  <w:style w:type="character" w:styleId="CommentReference">
    <w:name w:val="annotation reference"/>
    <w:basedOn w:val="DefaultParagraphFont"/>
    <w:semiHidden/>
    <w:rsid w:val="00725975"/>
    <w:rPr>
      <w:sz w:val="16"/>
      <w:szCs w:val="16"/>
    </w:rPr>
  </w:style>
  <w:style w:type="paragraph" w:styleId="CommentText">
    <w:name w:val="annotation text"/>
    <w:basedOn w:val="Normal"/>
    <w:semiHidden/>
    <w:rsid w:val="00725975"/>
  </w:style>
  <w:style w:type="paragraph" w:styleId="CommentSubject">
    <w:name w:val="annotation subject"/>
    <w:basedOn w:val="CommentText"/>
    <w:next w:val="CommentText"/>
    <w:semiHidden/>
    <w:rsid w:val="000E3A50"/>
    <w:rPr>
      <w:b/>
      <w:bCs/>
    </w:rPr>
  </w:style>
  <w:style w:type="paragraph" w:customStyle="1" w:styleId="Chapter7">
    <w:name w:val="Chapter 7"/>
    <w:link w:val="Chapter7Char"/>
    <w:rsid w:val="00ED0B7F"/>
    <w:pPr>
      <w:numPr>
        <w:numId w:val="12"/>
      </w:numPr>
      <w:tabs>
        <w:tab w:val="clear" w:pos="2836"/>
        <w:tab w:val="num" w:pos="851"/>
      </w:tabs>
      <w:ind w:left="851" w:hanging="851"/>
      <w:jc w:val="both"/>
    </w:pPr>
    <w:rPr>
      <w:sz w:val="24"/>
      <w:szCs w:val="24"/>
      <w:lang w:eastAsia="en-AU"/>
    </w:rPr>
  </w:style>
  <w:style w:type="character" w:customStyle="1" w:styleId="Chapter7Char">
    <w:name w:val="Chapter 7 Char"/>
    <w:link w:val="Chapter7"/>
    <w:rsid w:val="00ED0B7F"/>
    <w:rPr>
      <w:sz w:val="24"/>
      <w:szCs w:val="24"/>
      <w:lang w:eastAsia="en-AU"/>
    </w:rPr>
  </w:style>
  <w:style w:type="paragraph" w:customStyle="1" w:styleId="Chapter8">
    <w:name w:val="Chapter 8"/>
    <w:link w:val="Chapter8Char"/>
    <w:rsid w:val="00ED0B7F"/>
    <w:pPr>
      <w:numPr>
        <w:numId w:val="14"/>
      </w:numPr>
      <w:ind w:left="851" w:hanging="851"/>
      <w:jc w:val="both"/>
    </w:pPr>
    <w:rPr>
      <w:sz w:val="24"/>
      <w:szCs w:val="24"/>
      <w:lang w:eastAsia="en-AU"/>
    </w:rPr>
  </w:style>
  <w:style w:type="character" w:customStyle="1" w:styleId="Chapter8Char">
    <w:name w:val="Chapter 8 Char"/>
    <w:basedOn w:val="DefaultParagraphFont"/>
    <w:link w:val="Chapter8"/>
    <w:rsid w:val="00ED0B7F"/>
    <w:rPr>
      <w:sz w:val="24"/>
      <w:szCs w:val="24"/>
      <w:lang w:eastAsia="en-AU"/>
    </w:rPr>
  </w:style>
  <w:style w:type="paragraph" w:customStyle="1" w:styleId="Chapter9">
    <w:name w:val="Chapter 9"/>
    <w:link w:val="Chapter9Char"/>
    <w:rsid w:val="00ED0B7F"/>
    <w:pPr>
      <w:numPr>
        <w:numId w:val="4"/>
      </w:numPr>
      <w:tabs>
        <w:tab w:val="clear" w:pos="567"/>
        <w:tab w:val="num" w:pos="851"/>
      </w:tabs>
      <w:ind w:left="851" w:hanging="851"/>
      <w:jc w:val="both"/>
    </w:pPr>
    <w:rPr>
      <w:sz w:val="24"/>
      <w:szCs w:val="24"/>
      <w:lang w:eastAsia="en-AU"/>
    </w:rPr>
  </w:style>
  <w:style w:type="character" w:customStyle="1" w:styleId="Chapter9Char">
    <w:name w:val="Chapter 9 Char"/>
    <w:basedOn w:val="DefaultParagraphFont"/>
    <w:link w:val="Chapter9"/>
    <w:rsid w:val="00ED0B7F"/>
    <w:rPr>
      <w:sz w:val="24"/>
      <w:szCs w:val="24"/>
      <w:lang w:eastAsia="en-AU"/>
    </w:rPr>
  </w:style>
  <w:style w:type="paragraph" w:customStyle="1" w:styleId="Chapter10">
    <w:name w:val="Chapter10"/>
    <w:basedOn w:val="Normal"/>
    <w:rsid w:val="00311DBB"/>
    <w:pPr>
      <w:numPr>
        <w:numId w:val="1"/>
      </w:numPr>
      <w:ind w:left="851" w:hanging="851"/>
    </w:pPr>
  </w:style>
  <w:style w:type="paragraph" w:customStyle="1" w:styleId="Chapter11">
    <w:name w:val="Chapter11"/>
    <w:basedOn w:val="Normal"/>
    <w:rsid w:val="00C97186"/>
    <w:pPr>
      <w:numPr>
        <w:numId w:val="15"/>
      </w:numPr>
      <w:ind w:left="851" w:hanging="851"/>
    </w:pPr>
    <w:rPr>
      <w:szCs w:val="24"/>
      <w:lang w:val="en-AU"/>
    </w:rPr>
  </w:style>
  <w:style w:type="paragraph" w:styleId="DocumentMap">
    <w:name w:val="Document Map"/>
    <w:basedOn w:val="Normal"/>
    <w:semiHidden/>
    <w:rsid w:val="00CB7A06"/>
    <w:pPr>
      <w:shd w:val="clear" w:color="auto" w:fill="000080"/>
    </w:pPr>
    <w:rPr>
      <w:rFonts w:ascii="Tahoma" w:hAnsi="Tahoma" w:cs="Tahoma"/>
      <w:sz w:val="20"/>
    </w:rPr>
  </w:style>
  <w:style w:type="paragraph" w:customStyle="1" w:styleId="Chapter1">
    <w:name w:val="Chapter 1"/>
    <w:link w:val="Chapter1Char1"/>
    <w:qFormat/>
    <w:rsid w:val="006F02AD"/>
    <w:pPr>
      <w:numPr>
        <w:numId w:val="3"/>
      </w:numPr>
      <w:jc w:val="both"/>
    </w:pPr>
    <w:rPr>
      <w:sz w:val="24"/>
      <w:lang w:eastAsia="en-AU"/>
    </w:rPr>
  </w:style>
  <w:style w:type="paragraph" w:customStyle="1" w:styleId="Chapter100">
    <w:name w:val="Chapter 10"/>
    <w:basedOn w:val="Chapter9"/>
    <w:rsid w:val="00725975"/>
    <w:pPr>
      <w:numPr>
        <w:numId w:val="5"/>
      </w:numPr>
      <w:tabs>
        <w:tab w:val="clear" w:pos="567"/>
        <w:tab w:val="num" w:pos="851"/>
      </w:tabs>
      <w:ind w:left="851" w:hanging="851"/>
    </w:pPr>
  </w:style>
  <w:style w:type="paragraph" w:customStyle="1" w:styleId="Chapter2">
    <w:name w:val="Chapter 2"/>
    <w:link w:val="Chapter2Char"/>
    <w:qFormat/>
    <w:rsid w:val="000852A1"/>
    <w:pPr>
      <w:numPr>
        <w:numId w:val="6"/>
      </w:numPr>
      <w:jc w:val="both"/>
    </w:pPr>
    <w:rPr>
      <w:snapToGrid w:val="0"/>
      <w:sz w:val="24"/>
      <w:lang w:eastAsia="en-US"/>
    </w:rPr>
  </w:style>
  <w:style w:type="paragraph" w:customStyle="1" w:styleId="Chapter3">
    <w:name w:val="Chapter 3"/>
    <w:link w:val="Chapter3Char1"/>
    <w:qFormat/>
    <w:rsid w:val="000852A1"/>
    <w:pPr>
      <w:numPr>
        <w:numId w:val="7"/>
      </w:numPr>
      <w:jc w:val="both"/>
    </w:pPr>
    <w:rPr>
      <w:snapToGrid w:val="0"/>
      <w:sz w:val="24"/>
      <w:lang w:eastAsia="en-US"/>
    </w:rPr>
  </w:style>
  <w:style w:type="paragraph" w:customStyle="1" w:styleId="Chapter4">
    <w:name w:val="Chapter 4"/>
    <w:qFormat/>
    <w:rsid w:val="000852A1"/>
    <w:pPr>
      <w:numPr>
        <w:numId w:val="8"/>
      </w:numPr>
      <w:jc w:val="both"/>
    </w:pPr>
    <w:rPr>
      <w:sz w:val="24"/>
      <w:lang w:eastAsia="en-AU"/>
    </w:rPr>
  </w:style>
  <w:style w:type="paragraph" w:customStyle="1" w:styleId="Chapter5">
    <w:name w:val="Chapter 5"/>
    <w:link w:val="Chapter5Char"/>
    <w:rsid w:val="000852A1"/>
    <w:pPr>
      <w:numPr>
        <w:numId w:val="9"/>
      </w:numPr>
      <w:jc w:val="both"/>
    </w:pPr>
    <w:rPr>
      <w:sz w:val="24"/>
      <w:lang w:eastAsia="en-AU"/>
    </w:rPr>
  </w:style>
  <w:style w:type="paragraph" w:customStyle="1" w:styleId="Chapter6">
    <w:name w:val="Chapter 6"/>
    <w:link w:val="Chapter6Char"/>
    <w:rsid w:val="00ED0B7F"/>
    <w:pPr>
      <w:numPr>
        <w:numId w:val="10"/>
      </w:numPr>
      <w:jc w:val="both"/>
    </w:pPr>
    <w:rPr>
      <w:sz w:val="24"/>
      <w:lang w:eastAsia="en-AU"/>
    </w:rPr>
  </w:style>
  <w:style w:type="paragraph" w:customStyle="1" w:styleId="PartHeading">
    <w:name w:val="Part Heading"/>
    <w:basedOn w:val="Normal"/>
    <w:rsid w:val="00725975"/>
    <w:pPr>
      <w:pBdr>
        <w:top w:val="single" w:sz="4" w:space="10" w:color="auto"/>
        <w:bottom w:val="single" w:sz="4" w:space="10" w:color="auto"/>
      </w:pBdr>
      <w:jc w:val="center"/>
    </w:pPr>
    <w:rPr>
      <w:sz w:val="52"/>
      <w:szCs w:val="52"/>
    </w:rPr>
  </w:style>
  <w:style w:type="paragraph" w:styleId="Quote">
    <w:name w:val="Quote"/>
    <w:qFormat/>
    <w:rsid w:val="008F12F0"/>
    <w:pPr>
      <w:ind w:left="1418" w:right="567"/>
      <w:jc w:val="both"/>
    </w:pPr>
    <w:rPr>
      <w:sz w:val="22"/>
      <w:szCs w:val="22"/>
      <w:lang w:eastAsia="en-AU"/>
    </w:rPr>
  </w:style>
  <w:style w:type="paragraph" w:styleId="TOC1">
    <w:name w:val="toc 1"/>
    <w:basedOn w:val="Normal"/>
    <w:next w:val="Normal"/>
    <w:autoRedefine/>
    <w:uiPriority w:val="39"/>
    <w:rsid w:val="00C31451"/>
    <w:pPr>
      <w:tabs>
        <w:tab w:val="left" w:pos="1701"/>
        <w:tab w:val="right" w:pos="8296"/>
      </w:tabs>
      <w:spacing w:before="240" w:after="240"/>
      <w:ind w:left="1701" w:right="284" w:hanging="1701"/>
      <w:jc w:val="left"/>
    </w:pPr>
    <w:rPr>
      <w:rFonts w:ascii="Times New Roman Bold" w:hAnsi="Times New Roman Bold"/>
      <w:b/>
      <w:noProof/>
      <w:szCs w:val="24"/>
      <w:lang w:val="en-NZ"/>
    </w:rPr>
  </w:style>
  <w:style w:type="paragraph" w:styleId="TOC2">
    <w:name w:val="toc 2"/>
    <w:basedOn w:val="Normal"/>
    <w:next w:val="Normal"/>
    <w:autoRedefine/>
    <w:uiPriority w:val="39"/>
    <w:rsid w:val="00C31451"/>
    <w:pPr>
      <w:tabs>
        <w:tab w:val="left" w:pos="1701"/>
        <w:tab w:val="right" w:pos="8301"/>
      </w:tabs>
      <w:spacing w:before="40" w:after="40"/>
      <w:ind w:left="1701" w:right="284"/>
      <w:jc w:val="left"/>
    </w:pPr>
    <w:rPr>
      <w:sz w:val="22"/>
      <w:szCs w:val="24"/>
      <w:lang w:val="en-NZ"/>
    </w:rPr>
  </w:style>
  <w:style w:type="paragraph" w:styleId="TOC3">
    <w:name w:val="toc 3"/>
    <w:basedOn w:val="Normal"/>
    <w:next w:val="Normal"/>
    <w:autoRedefine/>
    <w:uiPriority w:val="39"/>
    <w:rsid w:val="008F12F0"/>
    <w:pPr>
      <w:tabs>
        <w:tab w:val="right" w:pos="8302"/>
      </w:tabs>
      <w:spacing w:before="20" w:after="20"/>
      <w:ind w:left="1701"/>
    </w:pPr>
    <w:rPr>
      <w:sz w:val="20"/>
      <w:szCs w:val="22"/>
      <w:lang w:val="en-NZ"/>
    </w:rPr>
  </w:style>
  <w:style w:type="numbering" w:customStyle="1" w:styleId="StyleBulletedWingdingssymbol">
    <w:name w:val="Style Bulleted Wingdings (symbol)"/>
    <w:basedOn w:val="NoList"/>
    <w:rsid w:val="00311DBB"/>
    <w:pPr>
      <w:numPr>
        <w:numId w:val="16"/>
      </w:numPr>
    </w:pPr>
  </w:style>
  <w:style w:type="paragraph" w:customStyle="1" w:styleId="Bullets">
    <w:name w:val="Bullets"/>
    <w:basedOn w:val="Normal"/>
    <w:link w:val="BulletsChar"/>
    <w:qFormat/>
    <w:rsid w:val="00C31451"/>
    <w:pPr>
      <w:numPr>
        <w:numId w:val="2"/>
      </w:numPr>
      <w:tabs>
        <w:tab w:val="clear" w:pos="-284"/>
        <w:tab w:val="left" w:pos="1418"/>
      </w:tabs>
      <w:spacing w:after="140"/>
      <w:ind w:left="1418"/>
    </w:pPr>
    <w:rPr>
      <w:lang w:val="en-NZ"/>
    </w:rPr>
  </w:style>
  <w:style w:type="paragraph" w:styleId="TOC4">
    <w:name w:val="toc 4"/>
    <w:basedOn w:val="Normal"/>
    <w:next w:val="Normal"/>
    <w:autoRedefine/>
    <w:semiHidden/>
    <w:rsid w:val="00642F45"/>
    <w:pPr>
      <w:ind w:left="720"/>
      <w:jc w:val="left"/>
    </w:pPr>
    <w:rPr>
      <w:szCs w:val="24"/>
      <w:lang w:val="en-AU"/>
    </w:rPr>
  </w:style>
  <w:style w:type="paragraph" w:styleId="TOC5">
    <w:name w:val="toc 5"/>
    <w:basedOn w:val="Normal"/>
    <w:next w:val="Normal"/>
    <w:autoRedefine/>
    <w:semiHidden/>
    <w:rsid w:val="00642F45"/>
    <w:pPr>
      <w:ind w:left="960"/>
      <w:jc w:val="left"/>
    </w:pPr>
    <w:rPr>
      <w:szCs w:val="24"/>
      <w:lang w:val="en-AU"/>
    </w:rPr>
  </w:style>
  <w:style w:type="paragraph" w:styleId="TOC6">
    <w:name w:val="toc 6"/>
    <w:basedOn w:val="Normal"/>
    <w:next w:val="Normal"/>
    <w:autoRedefine/>
    <w:semiHidden/>
    <w:rsid w:val="00642F45"/>
    <w:pPr>
      <w:ind w:left="1200"/>
      <w:jc w:val="left"/>
    </w:pPr>
    <w:rPr>
      <w:szCs w:val="24"/>
      <w:lang w:val="en-AU"/>
    </w:rPr>
  </w:style>
  <w:style w:type="paragraph" w:styleId="TOC7">
    <w:name w:val="toc 7"/>
    <w:basedOn w:val="Normal"/>
    <w:next w:val="Normal"/>
    <w:autoRedefine/>
    <w:semiHidden/>
    <w:rsid w:val="00642F45"/>
    <w:pPr>
      <w:ind w:left="1440"/>
      <w:jc w:val="left"/>
    </w:pPr>
    <w:rPr>
      <w:szCs w:val="24"/>
      <w:lang w:val="en-AU"/>
    </w:rPr>
  </w:style>
  <w:style w:type="paragraph" w:styleId="TOC8">
    <w:name w:val="toc 8"/>
    <w:basedOn w:val="Normal"/>
    <w:next w:val="Normal"/>
    <w:autoRedefine/>
    <w:semiHidden/>
    <w:rsid w:val="00642F45"/>
    <w:pPr>
      <w:ind w:left="1680"/>
      <w:jc w:val="left"/>
    </w:pPr>
    <w:rPr>
      <w:szCs w:val="24"/>
      <w:lang w:val="en-AU"/>
    </w:rPr>
  </w:style>
  <w:style w:type="paragraph" w:styleId="TOC9">
    <w:name w:val="toc 9"/>
    <w:basedOn w:val="Normal"/>
    <w:next w:val="Normal"/>
    <w:autoRedefine/>
    <w:semiHidden/>
    <w:rsid w:val="00642F45"/>
    <w:pPr>
      <w:ind w:left="1920"/>
      <w:jc w:val="left"/>
    </w:pPr>
    <w:rPr>
      <w:szCs w:val="24"/>
      <w:lang w:val="en-AU"/>
    </w:rPr>
  </w:style>
  <w:style w:type="character" w:customStyle="1" w:styleId="Chapter1Char1">
    <w:name w:val="Chapter 1 Char1"/>
    <w:basedOn w:val="DefaultParagraphFont"/>
    <w:link w:val="Chapter1"/>
    <w:rsid w:val="006F02AD"/>
    <w:rPr>
      <w:sz w:val="24"/>
      <w:lang w:eastAsia="en-AU"/>
    </w:rPr>
  </w:style>
  <w:style w:type="character" w:customStyle="1" w:styleId="Chapter2Char">
    <w:name w:val="Chapter 2 Char"/>
    <w:basedOn w:val="Chapter1Char1"/>
    <w:link w:val="Chapter2"/>
    <w:rsid w:val="000852A1"/>
    <w:rPr>
      <w:snapToGrid w:val="0"/>
      <w:sz w:val="24"/>
      <w:lang w:eastAsia="en-US"/>
    </w:rPr>
  </w:style>
  <w:style w:type="character" w:customStyle="1" w:styleId="Chapter3Char1">
    <w:name w:val="Chapter 3 Char1"/>
    <w:basedOn w:val="Chapter2Char"/>
    <w:link w:val="Chapter3"/>
    <w:rsid w:val="000852A1"/>
    <w:rPr>
      <w:snapToGrid w:val="0"/>
      <w:sz w:val="24"/>
      <w:lang w:eastAsia="en-US"/>
    </w:rPr>
  </w:style>
  <w:style w:type="character" w:customStyle="1" w:styleId="Chapter5Char">
    <w:name w:val="Chapter 5 Char"/>
    <w:basedOn w:val="Chapter1Char1"/>
    <w:link w:val="Chapter5"/>
    <w:rsid w:val="000852A1"/>
    <w:rPr>
      <w:sz w:val="24"/>
      <w:lang w:eastAsia="en-AU"/>
    </w:rPr>
  </w:style>
  <w:style w:type="character" w:customStyle="1" w:styleId="Chapter6Char">
    <w:name w:val="Chapter 6 Char"/>
    <w:basedOn w:val="DefaultParagraphFont"/>
    <w:link w:val="Chapter6"/>
    <w:rsid w:val="00ED0B7F"/>
    <w:rPr>
      <w:sz w:val="24"/>
      <w:lang w:eastAsia="en-AU"/>
    </w:rPr>
  </w:style>
  <w:style w:type="character" w:customStyle="1" w:styleId="Heading1Char">
    <w:name w:val="Heading 1 Char"/>
    <w:basedOn w:val="DefaultParagraphFont"/>
    <w:link w:val="Heading1"/>
    <w:rsid w:val="00EB224E"/>
    <w:rPr>
      <w:b/>
      <w:sz w:val="24"/>
      <w:szCs w:val="24"/>
      <w:lang w:eastAsia="en-AU"/>
    </w:rPr>
  </w:style>
  <w:style w:type="character" w:customStyle="1" w:styleId="Heading2Char">
    <w:name w:val="Heading 2 Char"/>
    <w:basedOn w:val="DefaultParagraphFont"/>
    <w:link w:val="Heading2"/>
    <w:rsid w:val="00ED0B7F"/>
    <w:rPr>
      <w:b/>
      <w:i/>
      <w:sz w:val="24"/>
      <w:szCs w:val="24"/>
      <w:lang w:eastAsia="en-AU"/>
    </w:rPr>
  </w:style>
  <w:style w:type="paragraph" w:customStyle="1" w:styleId="Chapterheading">
    <w:name w:val="Chapter heading"/>
    <w:basedOn w:val="Normal"/>
    <w:link w:val="ChapterheadingChar1"/>
    <w:qFormat/>
    <w:rsid w:val="00ED0B7F"/>
    <w:pPr>
      <w:jc w:val="center"/>
    </w:pPr>
    <w:rPr>
      <w:rFonts w:ascii="Times New Roman Bold" w:hAnsi="Times New Roman Bold"/>
      <w:b/>
      <w:bCs/>
      <w:caps/>
      <w:sz w:val="28"/>
      <w:szCs w:val="28"/>
      <w:lang w:val="en-NZ"/>
    </w:rPr>
  </w:style>
  <w:style w:type="character" w:customStyle="1" w:styleId="BulletsChar">
    <w:name w:val="Bullets Char"/>
    <w:basedOn w:val="DefaultParagraphFont"/>
    <w:link w:val="Bullets"/>
    <w:rsid w:val="00C31451"/>
    <w:rPr>
      <w:sz w:val="24"/>
      <w:lang w:eastAsia="en-AU"/>
    </w:rPr>
  </w:style>
  <w:style w:type="character" w:customStyle="1" w:styleId="Heading3Char">
    <w:name w:val="Heading 3 Char"/>
    <w:basedOn w:val="DefaultParagraphFont"/>
    <w:link w:val="Heading3"/>
    <w:rsid w:val="00ED0B7F"/>
    <w:rPr>
      <w:i/>
      <w:sz w:val="24"/>
      <w:lang w:eastAsia="en-AU"/>
    </w:rPr>
  </w:style>
  <w:style w:type="character" w:customStyle="1" w:styleId="ChapterheadingChar1">
    <w:name w:val="Chapter heading Char1"/>
    <w:basedOn w:val="DefaultParagraphFont"/>
    <w:link w:val="Chapterheading"/>
    <w:rsid w:val="00ED0B7F"/>
    <w:rPr>
      <w:rFonts w:ascii="Times New Roman Bold" w:hAnsi="Times New Roman Bold"/>
      <w:b/>
      <w:bCs/>
      <w:caps/>
      <w:sz w:val="28"/>
      <w:szCs w:val="28"/>
      <w:lang w:eastAsia="en-AU"/>
    </w:rPr>
  </w:style>
  <w:style w:type="paragraph" w:styleId="ListParagraph">
    <w:name w:val="List Paragraph"/>
    <w:basedOn w:val="Normal"/>
    <w:uiPriority w:val="34"/>
    <w:rsid w:val="006400E4"/>
    <w:pPr>
      <w:ind w:left="720"/>
      <w:contextualSpacing/>
    </w:pPr>
  </w:style>
  <w:style w:type="paragraph" w:customStyle="1" w:styleId="Bullets-Table">
    <w:name w:val="Bullets - Table"/>
    <w:basedOn w:val="Normal"/>
    <w:qFormat/>
    <w:rsid w:val="00D4611B"/>
    <w:pPr>
      <w:numPr>
        <w:numId w:val="32"/>
      </w:numPr>
      <w:tabs>
        <w:tab w:val="left" w:pos="284"/>
      </w:tabs>
      <w:ind w:left="284" w:hanging="284"/>
      <w:jc w:val="left"/>
    </w:pPr>
    <w:rPr>
      <w:snapToGrid w:val="0"/>
      <w:sz w:val="20"/>
      <w:lang w:val="en-NZ" w:eastAsia="en-US"/>
    </w:rPr>
  </w:style>
  <w:style w:type="paragraph" w:styleId="EndnoteText">
    <w:name w:val="endnote text"/>
    <w:basedOn w:val="Normal"/>
    <w:link w:val="EndnoteTextChar"/>
    <w:uiPriority w:val="99"/>
    <w:semiHidden/>
    <w:unhideWhenUsed/>
    <w:rsid w:val="00AE2908"/>
    <w:rPr>
      <w:sz w:val="20"/>
    </w:rPr>
  </w:style>
  <w:style w:type="character" w:customStyle="1" w:styleId="EndnoteTextChar">
    <w:name w:val="Endnote Text Char"/>
    <w:basedOn w:val="DefaultParagraphFont"/>
    <w:link w:val="EndnoteText"/>
    <w:uiPriority w:val="99"/>
    <w:semiHidden/>
    <w:rsid w:val="00AE2908"/>
    <w:rPr>
      <w:lang w:val="en-GB" w:eastAsia="en-AU"/>
    </w:rPr>
  </w:style>
  <w:style w:type="character" w:styleId="EndnoteReference">
    <w:name w:val="endnote reference"/>
    <w:basedOn w:val="DefaultParagraphFont"/>
    <w:uiPriority w:val="99"/>
    <w:semiHidden/>
    <w:unhideWhenUsed/>
    <w:rsid w:val="00AE2908"/>
    <w:rPr>
      <w:vertAlign w:val="superscript"/>
    </w:rPr>
  </w:style>
  <w:style w:type="paragraph" w:customStyle="1" w:styleId="Bullets-Noindent">
    <w:name w:val="Bullets - No indent"/>
    <w:basedOn w:val="Bullets"/>
    <w:qFormat/>
    <w:rsid w:val="00CA1467"/>
    <w:pPr>
      <w:ind w:left="567"/>
    </w:pPr>
  </w:style>
  <w:style w:type="paragraph" w:customStyle="1" w:styleId="Bullets2-Noindent">
    <w:name w:val="Bullets 2 - No indent"/>
    <w:basedOn w:val="Bullets2"/>
    <w:qFormat/>
    <w:rsid w:val="00D07A05"/>
    <w:pPr>
      <w:tabs>
        <w:tab w:val="clear" w:pos="1985"/>
        <w:tab w:val="left" w:pos="567"/>
      </w:tabs>
      <w:ind w:left="113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15887">
      <w:bodyDiv w:val="1"/>
      <w:marLeft w:val="0"/>
      <w:marRight w:val="0"/>
      <w:marTop w:val="0"/>
      <w:marBottom w:val="0"/>
      <w:divBdr>
        <w:top w:val="none" w:sz="0" w:space="0" w:color="auto"/>
        <w:left w:val="none" w:sz="0" w:space="0" w:color="auto"/>
        <w:bottom w:val="none" w:sz="0" w:space="0" w:color="auto"/>
        <w:right w:val="none" w:sz="0" w:space="0" w:color="auto"/>
      </w:divBdr>
    </w:div>
    <w:div w:id="492138164">
      <w:bodyDiv w:val="1"/>
      <w:marLeft w:val="0"/>
      <w:marRight w:val="0"/>
      <w:marTop w:val="0"/>
      <w:marBottom w:val="0"/>
      <w:divBdr>
        <w:top w:val="none" w:sz="0" w:space="0" w:color="auto"/>
        <w:left w:val="none" w:sz="0" w:space="0" w:color="auto"/>
        <w:bottom w:val="none" w:sz="0" w:space="0" w:color="auto"/>
        <w:right w:val="none" w:sz="0" w:space="0" w:color="auto"/>
      </w:divBdr>
    </w:div>
    <w:div w:id="684941955">
      <w:bodyDiv w:val="1"/>
      <w:marLeft w:val="0"/>
      <w:marRight w:val="0"/>
      <w:marTop w:val="0"/>
      <w:marBottom w:val="0"/>
      <w:divBdr>
        <w:top w:val="none" w:sz="0" w:space="0" w:color="auto"/>
        <w:left w:val="none" w:sz="0" w:space="0" w:color="auto"/>
        <w:bottom w:val="none" w:sz="0" w:space="0" w:color="auto"/>
        <w:right w:val="none" w:sz="0" w:space="0" w:color="auto"/>
      </w:divBdr>
    </w:div>
    <w:div w:id="887372961">
      <w:bodyDiv w:val="1"/>
      <w:marLeft w:val="0"/>
      <w:marRight w:val="0"/>
      <w:marTop w:val="0"/>
      <w:marBottom w:val="0"/>
      <w:divBdr>
        <w:top w:val="none" w:sz="0" w:space="0" w:color="auto"/>
        <w:left w:val="none" w:sz="0" w:space="0" w:color="auto"/>
        <w:bottom w:val="none" w:sz="0" w:space="0" w:color="auto"/>
        <w:right w:val="none" w:sz="0" w:space="0" w:color="auto"/>
      </w:divBdr>
    </w:div>
    <w:div w:id="1093553952">
      <w:bodyDiv w:val="1"/>
      <w:marLeft w:val="0"/>
      <w:marRight w:val="0"/>
      <w:marTop w:val="0"/>
      <w:marBottom w:val="0"/>
      <w:divBdr>
        <w:top w:val="none" w:sz="0" w:space="0" w:color="auto"/>
        <w:left w:val="none" w:sz="0" w:space="0" w:color="auto"/>
        <w:bottom w:val="none" w:sz="0" w:space="0" w:color="auto"/>
        <w:right w:val="none" w:sz="0" w:space="0" w:color="auto"/>
      </w:divBdr>
    </w:div>
    <w:div w:id="1610888824">
      <w:bodyDiv w:val="1"/>
      <w:marLeft w:val="0"/>
      <w:marRight w:val="0"/>
      <w:marTop w:val="0"/>
      <w:marBottom w:val="0"/>
      <w:divBdr>
        <w:top w:val="none" w:sz="0" w:space="0" w:color="auto"/>
        <w:left w:val="none" w:sz="0" w:space="0" w:color="auto"/>
        <w:bottom w:val="none" w:sz="0" w:space="0" w:color="auto"/>
        <w:right w:val="none" w:sz="0" w:space="0" w:color="auto"/>
      </w:divBdr>
    </w:div>
    <w:div w:id="1642267703">
      <w:bodyDiv w:val="1"/>
      <w:marLeft w:val="0"/>
      <w:marRight w:val="0"/>
      <w:marTop w:val="0"/>
      <w:marBottom w:val="0"/>
      <w:divBdr>
        <w:top w:val="none" w:sz="0" w:space="0" w:color="auto"/>
        <w:left w:val="none" w:sz="0" w:space="0" w:color="auto"/>
        <w:bottom w:val="none" w:sz="0" w:space="0" w:color="auto"/>
        <w:right w:val="none" w:sz="0" w:space="0" w:color="auto"/>
      </w:divBdr>
    </w:div>
    <w:div w:id="1717200048">
      <w:bodyDiv w:val="1"/>
      <w:marLeft w:val="0"/>
      <w:marRight w:val="0"/>
      <w:marTop w:val="0"/>
      <w:marBottom w:val="0"/>
      <w:divBdr>
        <w:top w:val="none" w:sz="0" w:space="0" w:color="auto"/>
        <w:left w:val="none" w:sz="0" w:space="0" w:color="auto"/>
        <w:bottom w:val="none" w:sz="0" w:space="0" w:color="auto"/>
        <w:right w:val="none" w:sz="0" w:space="0" w:color="auto"/>
      </w:divBdr>
    </w:div>
    <w:div w:id="1844394679">
      <w:bodyDiv w:val="1"/>
      <w:marLeft w:val="0"/>
      <w:marRight w:val="0"/>
      <w:marTop w:val="0"/>
      <w:marBottom w:val="0"/>
      <w:divBdr>
        <w:top w:val="none" w:sz="0" w:space="0" w:color="auto"/>
        <w:left w:val="none" w:sz="0" w:space="0" w:color="auto"/>
        <w:bottom w:val="none" w:sz="0" w:space="0" w:color="auto"/>
        <w:right w:val="none" w:sz="0" w:space="0" w:color="auto"/>
      </w:divBdr>
    </w:div>
    <w:div w:id="1916549204">
      <w:bodyDiv w:val="1"/>
      <w:marLeft w:val="0"/>
      <w:marRight w:val="0"/>
      <w:marTop w:val="0"/>
      <w:marBottom w:val="0"/>
      <w:divBdr>
        <w:top w:val="none" w:sz="0" w:space="0" w:color="auto"/>
        <w:left w:val="none" w:sz="0" w:space="0" w:color="auto"/>
        <w:bottom w:val="none" w:sz="0" w:space="0" w:color="auto"/>
        <w:right w:val="none" w:sz="0" w:space="0" w:color="auto"/>
      </w:divBdr>
    </w:div>
    <w:div w:id="1922181047">
      <w:bodyDiv w:val="1"/>
      <w:marLeft w:val="0"/>
      <w:marRight w:val="0"/>
      <w:marTop w:val="0"/>
      <w:marBottom w:val="0"/>
      <w:divBdr>
        <w:top w:val="none" w:sz="0" w:space="0" w:color="auto"/>
        <w:left w:val="none" w:sz="0" w:space="0" w:color="auto"/>
        <w:bottom w:val="none" w:sz="0" w:space="0" w:color="auto"/>
        <w:right w:val="none" w:sz="0" w:space="0" w:color="auto"/>
      </w:divBdr>
    </w:div>
    <w:div w:id="1969779276">
      <w:bodyDiv w:val="1"/>
      <w:marLeft w:val="0"/>
      <w:marRight w:val="0"/>
      <w:marTop w:val="0"/>
      <w:marBottom w:val="0"/>
      <w:divBdr>
        <w:top w:val="none" w:sz="0" w:space="0" w:color="auto"/>
        <w:left w:val="none" w:sz="0" w:space="0" w:color="auto"/>
        <w:bottom w:val="none" w:sz="0" w:space="0" w:color="auto"/>
        <w:right w:val="none" w:sz="0" w:space="0" w:color="auto"/>
      </w:divBdr>
    </w:div>
    <w:div w:id="203804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footer" Target="foot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25FFF-9D49-4960-BE20-125E2CB5D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68</Pages>
  <Words>19179</Words>
  <Characters>97815</Characters>
  <Application>Microsoft Office Word</Application>
  <DocSecurity>0</DocSecurity>
  <Lines>3155</Lines>
  <Paragraphs>1314</Paragraphs>
  <ScaleCrop>false</ScaleCrop>
  <HeadingPairs>
    <vt:vector size="2" baseType="variant">
      <vt:variant>
        <vt:lpstr>Title</vt:lpstr>
      </vt:variant>
      <vt:variant>
        <vt:i4>1</vt:i4>
      </vt:variant>
    </vt:vector>
  </HeadingPairs>
  <TitlesOfParts>
    <vt:vector size="1" baseType="lpstr">
      <vt:lpstr>Closely held company taxation issues</vt:lpstr>
    </vt:vector>
  </TitlesOfParts>
  <Company>Inland Revenue</Company>
  <LinksUpToDate>false</LinksUpToDate>
  <CharactersWithSpaces>115680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Closely held company taxation issues</dc:title>
  <dc:subject/>
  <dc:creator>Policy and Strategy</dc:creator>
  <cp:keywords/>
  <dc:description>Published September 2015.</dc:description>
  <cp:lastModifiedBy>David Nind</cp:lastModifiedBy>
  <cp:revision>2</cp:revision>
  <dcterms:created xsi:type="dcterms:W3CDTF">2015-09-07T22:02:00Z</dcterms:created>
  <dcterms:modified xsi:type="dcterms:W3CDTF">2015-09-07T22:02:00Z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