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4C" w:rsidRPr="00406019" w:rsidRDefault="004F5D4C">
      <w:pPr>
        <w:rPr>
          <w:lang w:val="en-NZ"/>
        </w:rPr>
      </w:pPr>
      <w:bookmarkStart w:id="0" w:name="_Toc429977995"/>
      <w:bookmarkStart w:id="1" w:name="_GoBack"/>
      <w:bookmarkEnd w:id="1"/>
    </w:p>
    <w:p w:rsidR="004F5D4C" w:rsidRPr="00406019" w:rsidRDefault="004F5D4C">
      <w:pPr>
        <w:rPr>
          <w:lang w:val="en-NZ"/>
        </w:rPr>
      </w:pPr>
    </w:p>
    <w:p w:rsidR="004F5D4C" w:rsidRPr="00406019" w:rsidRDefault="004F5D4C">
      <w:pPr>
        <w:rPr>
          <w:lang w:val="en-NZ"/>
        </w:rPr>
      </w:pPr>
    </w:p>
    <w:p w:rsidR="004F5D4C" w:rsidRPr="00406019" w:rsidRDefault="004F5D4C">
      <w:pPr>
        <w:rPr>
          <w:lang w:val="en-NZ"/>
        </w:rPr>
      </w:pPr>
    </w:p>
    <w:p w:rsidR="004F5D4C" w:rsidRPr="00406019" w:rsidRDefault="004F5D4C">
      <w:pPr>
        <w:rPr>
          <w:lang w:val="en-NZ"/>
        </w:rPr>
      </w:pPr>
    </w:p>
    <w:p w:rsidR="004F5D4C" w:rsidRPr="00406019" w:rsidRDefault="004F5D4C">
      <w:pPr>
        <w:rPr>
          <w:lang w:val="en-NZ"/>
        </w:rPr>
      </w:pPr>
    </w:p>
    <w:p w:rsidR="004F5D4C" w:rsidRPr="00406019" w:rsidRDefault="004F5D4C">
      <w:pPr>
        <w:rPr>
          <w:lang w:val="en-NZ"/>
        </w:rPr>
      </w:pPr>
    </w:p>
    <w:p w:rsidR="004F5D4C" w:rsidRPr="00406019" w:rsidRDefault="004F5D4C">
      <w:pPr>
        <w:rPr>
          <w:lang w:val="en-NZ"/>
        </w:rPr>
      </w:pPr>
    </w:p>
    <w:p w:rsidR="004F5D4C" w:rsidRPr="00406019" w:rsidRDefault="004F5D4C" w:rsidP="00D93BF7">
      <w:pPr>
        <w:pStyle w:val="Title"/>
      </w:pPr>
      <w:r w:rsidRPr="00406019">
        <w:t>Taxation (</w:t>
      </w:r>
      <w:r w:rsidR="006B12FA" w:rsidRPr="00406019">
        <w:t>Bright-line Test for Residential Land</w:t>
      </w:r>
      <w:r w:rsidRPr="00406019">
        <w:t>) Bill</w:t>
      </w:r>
    </w:p>
    <w:p w:rsidR="004F5D4C" w:rsidRPr="00406019" w:rsidRDefault="004F5D4C">
      <w:pPr>
        <w:rPr>
          <w:lang w:val="en-NZ"/>
        </w:rPr>
      </w:pPr>
    </w:p>
    <w:p w:rsidR="004F5D4C" w:rsidRPr="00406019" w:rsidRDefault="004F5D4C">
      <w:pPr>
        <w:rPr>
          <w:lang w:val="en-NZ"/>
        </w:rPr>
      </w:pPr>
    </w:p>
    <w:p w:rsidR="004F5D4C" w:rsidRPr="00406019" w:rsidRDefault="004F5D4C" w:rsidP="00D93BF7">
      <w:pPr>
        <w:rPr>
          <w:i/>
          <w:sz w:val="36"/>
          <w:szCs w:val="36"/>
          <w:lang w:val="en-NZ"/>
        </w:rPr>
      </w:pPr>
      <w:r w:rsidRPr="00406019">
        <w:rPr>
          <w:i/>
          <w:sz w:val="36"/>
          <w:szCs w:val="36"/>
          <w:lang w:val="en-NZ"/>
        </w:rPr>
        <w:t>Commentary on the Bill</w:t>
      </w:r>
    </w:p>
    <w:p w:rsidR="004F5D4C" w:rsidRPr="00406019" w:rsidRDefault="004F5D4C">
      <w:pPr>
        <w:rPr>
          <w:lang w:val="en-NZ"/>
        </w:rPr>
      </w:pPr>
    </w:p>
    <w:p w:rsidR="004F5D4C" w:rsidRPr="00406019" w:rsidRDefault="004F5D4C">
      <w:pPr>
        <w:rPr>
          <w:lang w:val="en-NZ"/>
        </w:rPr>
      </w:pPr>
    </w:p>
    <w:p w:rsidR="00597BA7" w:rsidRPr="00406019" w:rsidRDefault="00597BA7">
      <w:pPr>
        <w:rPr>
          <w:lang w:val="en-NZ"/>
        </w:rPr>
      </w:pPr>
    </w:p>
    <w:p w:rsidR="00597BA7" w:rsidRPr="00406019" w:rsidRDefault="00597BA7">
      <w:pPr>
        <w:rPr>
          <w:lang w:val="en-NZ"/>
        </w:rPr>
      </w:pPr>
    </w:p>
    <w:p w:rsidR="004F5D4C" w:rsidRPr="00406019" w:rsidRDefault="004F5D4C">
      <w:pPr>
        <w:rPr>
          <w:lang w:val="en-NZ"/>
        </w:rPr>
      </w:pPr>
    </w:p>
    <w:p w:rsidR="00CD15B6" w:rsidRPr="00406019" w:rsidRDefault="00CD15B6">
      <w:pPr>
        <w:rPr>
          <w:lang w:val="en-NZ"/>
        </w:rPr>
      </w:pPr>
    </w:p>
    <w:p w:rsidR="00CD15B6" w:rsidRPr="00406019" w:rsidRDefault="00CD15B6">
      <w:pPr>
        <w:rPr>
          <w:lang w:val="en-NZ"/>
        </w:rPr>
      </w:pPr>
    </w:p>
    <w:p w:rsidR="004F5D4C" w:rsidRPr="00406019" w:rsidRDefault="004F5D4C">
      <w:pPr>
        <w:rPr>
          <w:lang w:val="en-NZ"/>
        </w:rPr>
      </w:pPr>
    </w:p>
    <w:p w:rsidR="004F5D4C" w:rsidRPr="00406019" w:rsidRDefault="004F5D4C">
      <w:pPr>
        <w:rPr>
          <w:lang w:val="en-NZ"/>
        </w:rPr>
      </w:pPr>
    </w:p>
    <w:p w:rsidR="004F5D4C" w:rsidRPr="00406019" w:rsidRDefault="004F5D4C" w:rsidP="00C54249">
      <w:pPr>
        <w:tabs>
          <w:tab w:val="left" w:pos="5400"/>
        </w:tabs>
        <w:rPr>
          <w:lang w:val="en-NZ"/>
        </w:rPr>
      </w:pPr>
    </w:p>
    <w:p w:rsidR="004F5D4C" w:rsidRPr="00406019" w:rsidRDefault="004F5D4C">
      <w:pPr>
        <w:rPr>
          <w:lang w:val="en-NZ"/>
        </w:rPr>
      </w:pPr>
    </w:p>
    <w:p w:rsidR="004F5D4C" w:rsidRPr="00406019" w:rsidRDefault="004F5D4C">
      <w:pPr>
        <w:rPr>
          <w:lang w:val="en-NZ"/>
        </w:rPr>
      </w:pPr>
    </w:p>
    <w:p w:rsidR="004F5D4C" w:rsidRPr="00406019" w:rsidRDefault="004F5D4C">
      <w:pPr>
        <w:rPr>
          <w:lang w:val="en-NZ"/>
        </w:rPr>
      </w:pPr>
    </w:p>
    <w:p w:rsidR="004F5D4C" w:rsidRPr="00406019" w:rsidRDefault="004F5D4C">
      <w:pPr>
        <w:rPr>
          <w:lang w:val="en-NZ"/>
        </w:rPr>
      </w:pPr>
    </w:p>
    <w:p w:rsidR="004F5D4C" w:rsidRPr="00406019" w:rsidRDefault="004F5D4C">
      <w:pPr>
        <w:rPr>
          <w:lang w:val="en-NZ"/>
        </w:rPr>
      </w:pPr>
    </w:p>
    <w:p w:rsidR="004F5D4C" w:rsidRPr="00406019" w:rsidRDefault="004F5D4C">
      <w:pPr>
        <w:rPr>
          <w:lang w:val="en-NZ"/>
        </w:rPr>
      </w:pPr>
    </w:p>
    <w:p w:rsidR="004F5D4C" w:rsidRPr="00406019" w:rsidRDefault="004F5D4C">
      <w:pPr>
        <w:rPr>
          <w:lang w:val="en-NZ"/>
        </w:rPr>
      </w:pPr>
    </w:p>
    <w:p w:rsidR="004F5D4C" w:rsidRPr="00406019" w:rsidRDefault="004F5D4C">
      <w:pPr>
        <w:rPr>
          <w:lang w:val="en-NZ"/>
        </w:rPr>
      </w:pPr>
    </w:p>
    <w:p w:rsidR="004F5D4C" w:rsidRPr="00406019" w:rsidRDefault="004F5D4C">
      <w:pPr>
        <w:rPr>
          <w:lang w:val="en-NZ"/>
        </w:rPr>
      </w:pPr>
    </w:p>
    <w:p w:rsidR="004F5D4C" w:rsidRPr="00406019" w:rsidRDefault="004F5D4C">
      <w:pPr>
        <w:rPr>
          <w:lang w:val="en-NZ"/>
        </w:rPr>
      </w:pPr>
    </w:p>
    <w:p w:rsidR="004F5D4C" w:rsidRPr="00406019" w:rsidRDefault="004F5D4C">
      <w:pPr>
        <w:rPr>
          <w:lang w:val="en-NZ"/>
        </w:rPr>
      </w:pPr>
    </w:p>
    <w:p w:rsidR="004F5D4C" w:rsidRPr="00406019" w:rsidRDefault="004F5D4C">
      <w:pPr>
        <w:rPr>
          <w:lang w:val="en-NZ"/>
        </w:rPr>
      </w:pPr>
    </w:p>
    <w:p w:rsidR="004F5D4C" w:rsidRPr="00406019" w:rsidRDefault="004F5D4C">
      <w:pPr>
        <w:rPr>
          <w:lang w:val="en-NZ"/>
        </w:rPr>
      </w:pPr>
    </w:p>
    <w:p w:rsidR="004F5D4C" w:rsidRPr="00406019" w:rsidRDefault="004F5D4C">
      <w:pPr>
        <w:rPr>
          <w:lang w:val="en-NZ"/>
        </w:rPr>
      </w:pPr>
    </w:p>
    <w:p w:rsidR="004F5D4C" w:rsidRPr="00406019" w:rsidRDefault="004F5D4C">
      <w:pPr>
        <w:rPr>
          <w:lang w:val="en-NZ"/>
        </w:rPr>
      </w:pPr>
    </w:p>
    <w:p w:rsidR="00597BA7" w:rsidRPr="00406019" w:rsidRDefault="00597BA7">
      <w:pPr>
        <w:rPr>
          <w:lang w:val="en-NZ"/>
        </w:rPr>
      </w:pPr>
    </w:p>
    <w:p w:rsidR="004F5D4C" w:rsidRPr="00406019" w:rsidRDefault="004F5D4C">
      <w:pPr>
        <w:rPr>
          <w:lang w:val="en-NZ"/>
        </w:rPr>
      </w:pPr>
    </w:p>
    <w:p w:rsidR="004F5D4C" w:rsidRPr="00406019" w:rsidRDefault="004F5D4C">
      <w:pPr>
        <w:rPr>
          <w:lang w:val="en-NZ"/>
        </w:rPr>
      </w:pPr>
    </w:p>
    <w:p w:rsidR="004F5D4C" w:rsidRPr="00406019" w:rsidRDefault="004F5D4C">
      <w:pPr>
        <w:rPr>
          <w:lang w:val="en-NZ"/>
        </w:rPr>
      </w:pPr>
    </w:p>
    <w:p w:rsidR="004F5D4C" w:rsidRPr="00406019" w:rsidRDefault="004F5D4C">
      <w:pPr>
        <w:rPr>
          <w:lang w:val="en-NZ"/>
        </w:rPr>
      </w:pPr>
    </w:p>
    <w:p w:rsidR="004F5D4C" w:rsidRPr="00406019" w:rsidRDefault="004F5D4C">
      <w:pPr>
        <w:rPr>
          <w:lang w:val="en-NZ"/>
        </w:rPr>
      </w:pPr>
    </w:p>
    <w:p w:rsidR="004F5D4C" w:rsidRPr="00406019" w:rsidRDefault="004F5D4C">
      <w:pPr>
        <w:rPr>
          <w:lang w:val="en-NZ"/>
        </w:rPr>
      </w:pPr>
    </w:p>
    <w:p w:rsidR="004F5D4C" w:rsidRPr="00406019" w:rsidRDefault="004F5D4C" w:rsidP="00955AAC">
      <w:pPr>
        <w:rPr>
          <w:b/>
          <w:sz w:val="28"/>
          <w:szCs w:val="28"/>
          <w:lang w:val="en-NZ"/>
        </w:rPr>
      </w:pPr>
      <w:r w:rsidRPr="00406019">
        <w:rPr>
          <w:b/>
          <w:sz w:val="28"/>
          <w:szCs w:val="28"/>
          <w:lang w:val="en-NZ"/>
        </w:rPr>
        <w:t xml:space="preserve">Hon </w:t>
      </w:r>
      <w:r w:rsidR="006B12FA" w:rsidRPr="00406019">
        <w:rPr>
          <w:b/>
          <w:sz w:val="28"/>
          <w:szCs w:val="28"/>
          <w:lang w:val="en-NZ"/>
        </w:rPr>
        <w:t xml:space="preserve">Todd </w:t>
      </w:r>
      <w:proofErr w:type="spellStart"/>
      <w:r w:rsidR="006B12FA" w:rsidRPr="00406019">
        <w:rPr>
          <w:b/>
          <w:sz w:val="28"/>
          <w:szCs w:val="28"/>
          <w:lang w:val="en-NZ"/>
        </w:rPr>
        <w:t>McClay</w:t>
      </w:r>
      <w:proofErr w:type="spellEnd"/>
    </w:p>
    <w:p w:rsidR="004F5D4C" w:rsidRPr="00406019" w:rsidRDefault="004F5D4C" w:rsidP="00955AAC">
      <w:pPr>
        <w:rPr>
          <w:sz w:val="28"/>
          <w:szCs w:val="28"/>
          <w:lang w:val="en-NZ"/>
        </w:rPr>
      </w:pPr>
      <w:r w:rsidRPr="00406019">
        <w:rPr>
          <w:sz w:val="28"/>
          <w:szCs w:val="28"/>
          <w:lang w:val="en-NZ"/>
        </w:rPr>
        <w:t>Minister of Revenue</w:t>
      </w:r>
    </w:p>
    <w:p w:rsidR="004F5D4C" w:rsidRPr="00406019" w:rsidRDefault="004F5D4C" w:rsidP="00955AAC">
      <w:pPr>
        <w:rPr>
          <w:lang w:val="en-NZ"/>
        </w:rPr>
      </w:pPr>
      <w:r w:rsidRPr="00406019">
        <w:rPr>
          <w:lang w:val="en-NZ"/>
        </w:rPr>
        <w:br w:type="page"/>
      </w: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4F5D4C" w:rsidRPr="00406019" w:rsidRDefault="004F5D4C" w:rsidP="00955AAC">
      <w:pPr>
        <w:rPr>
          <w:lang w:val="en-NZ"/>
        </w:rPr>
      </w:pPr>
    </w:p>
    <w:p w:rsidR="00C338D9" w:rsidRPr="00406019" w:rsidRDefault="00C338D9" w:rsidP="00955AAC">
      <w:pPr>
        <w:rPr>
          <w:lang w:val="en-NZ"/>
        </w:rPr>
      </w:pPr>
    </w:p>
    <w:p w:rsidR="004F5D4C" w:rsidRPr="00406019" w:rsidRDefault="004F5D4C" w:rsidP="00955AAC">
      <w:pPr>
        <w:rPr>
          <w:lang w:val="en-NZ"/>
        </w:rPr>
      </w:pPr>
    </w:p>
    <w:p w:rsidR="004F5D4C" w:rsidRPr="00406019" w:rsidRDefault="004F5D4C" w:rsidP="00955AAC">
      <w:pPr>
        <w:rPr>
          <w:sz w:val="20"/>
          <w:lang w:val="en-NZ"/>
        </w:rPr>
      </w:pPr>
      <w:proofErr w:type="gramStart"/>
      <w:r w:rsidRPr="00406019">
        <w:rPr>
          <w:sz w:val="20"/>
          <w:lang w:val="en-NZ"/>
        </w:rPr>
        <w:t xml:space="preserve">First published in </w:t>
      </w:r>
      <w:r w:rsidR="006B12FA" w:rsidRPr="00406019">
        <w:rPr>
          <w:sz w:val="20"/>
          <w:lang w:val="en-NZ"/>
        </w:rPr>
        <w:t>August 2015</w:t>
      </w:r>
      <w:r w:rsidRPr="00406019">
        <w:rPr>
          <w:sz w:val="20"/>
          <w:lang w:val="en-NZ"/>
        </w:rPr>
        <w:t xml:space="preserve"> by </w:t>
      </w:r>
      <w:r w:rsidR="00285791" w:rsidRPr="00406019">
        <w:rPr>
          <w:sz w:val="20"/>
          <w:lang w:val="en-NZ"/>
        </w:rPr>
        <w:t>Policy and Strategy</w:t>
      </w:r>
      <w:r w:rsidR="00A26053" w:rsidRPr="00406019">
        <w:rPr>
          <w:sz w:val="20"/>
          <w:lang w:val="en-NZ"/>
        </w:rPr>
        <w:t>,</w:t>
      </w:r>
      <w:r w:rsidRPr="00406019">
        <w:rPr>
          <w:sz w:val="20"/>
          <w:lang w:val="en-NZ"/>
        </w:rPr>
        <w:t xml:space="preserve"> Inland Revenue, P O Box 2198, Wellington</w:t>
      </w:r>
      <w:r w:rsidR="00C7032F" w:rsidRPr="00406019">
        <w:rPr>
          <w:sz w:val="20"/>
          <w:lang w:val="en-NZ"/>
        </w:rPr>
        <w:t xml:space="preserve"> 6140</w:t>
      </w:r>
      <w:r w:rsidRPr="00406019">
        <w:rPr>
          <w:sz w:val="20"/>
          <w:lang w:val="en-NZ"/>
        </w:rPr>
        <w:t>.</w:t>
      </w:r>
      <w:proofErr w:type="gramEnd"/>
    </w:p>
    <w:p w:rsidR="004F5D4C" w:rsidRPr="00406019" w:rsidRDefault="004F5D4C" w:rsidP="00955AAC">
      <w:pPr>
        <w:rPr>
          <w:sz w:val="20"/>
          <w:lang w:val="en-NZ"/>
        </w:rPr>
      </w:pPr>
    </w:p>
    <w:p w:rsidR="004F5D4C" w:rsidRPr="00406019" w:rsidRDefault="004F5D4C" w:rsidP="00955AAC">
      <w:pPr>
        <w:rPr>
          <w:sz w:val="20"/>
          <w:lang w:val="en-NZ"/>
        </w:rPr>
      </w:pPr>
      <w:proofErr w:type="gramStart"/>
      <w:r w:rsidRPr="00406019">
        <w:rPr>
          <w:sz w:val="20"/>
          <w:lang w:val="en-NZ"/>
        </w:rPr>
        <w:t>Taxation (</w:t>
      </w:r>
      <w:r w:rsidR="006B12FA" w:rsidRPr="00406019">
        <w:rPr>
          <w:sz w:val="20"/>
          <w:lang w:val="en-NZ"/>
        </w:rPr>
        <w:t>Bright-line Test for Residential Land</w:t>
      </w:r>
      <w:r w:rsidRPr="00406019">
        <w:rPr>
          <w:sz w:val="20"/>
          <w:lang w:val="en-NZ"/>
        </w:rPr>
        <w:t>) Bill; Commentary on the Bill.</w:t>
      </w:r>
      <w:proofErr w:type="gramEnd"/>
    </w:p>
    <w:p w:rsidR="00C338D9" w:rsidRPr="00406019" w:rsidRDefault="004F5D4C" w:rsidP="00955AAC">
      <w:pPr>
        <w:rPr>
          <w:sz w:val="20"/>
          <w:lang w:val="en-NZ"/>
        </w:rPr>
      </w:pPr>
      <w:r w:rsidRPr="00406019">
        <w:rPr>
          <w:sz w:val="20"/>
          <w:lang w:val="en-NZ"/>
        </w:rPr>
        <w:t xml:space="preserve">ISBN </w:t>
      </w:r>
      <w:r w:rsidR="00C54249" w:rsidRPr="00406019">
        <w:rPr>
          <w:sz w:val="20"/>
          <w:lang w:val="en-NZ"/>
        </w:rPr>
        <w:t>978</w:t>
      </w:r>
      <w:r w:rsidRPr="00406019">
        <w:rPr>
          <w:sz w:val="20"/>
          <w:lang w:val="en-NZ"/>
        </w:rPr>
        <w:t>-</w:t>
      </w:r>
      <w:r w:rsidR="00C54249" w:rsidRPr="00406019">
        <w:rPr>
          <w:sz w:val="20"/>
          <w:lang w:val="en-NZ"/>
        </w:rPr>
        <w:t>0-478-42414-0</w:t>
      </w:r>
    </w:p>
    <w:p w:rsidR="00C338D9" w:rsidRPr="00406019" w:rsidRDefault="00C338D9">
      <w:pPr>
        <w:jc w:val="left"/>
        <w:rPr>
          <w:sz w:val="20"/>
          <w:lang w:val="en-NZ"/>
        </w:rPr>
      </w:pPr>
      <w:r w:rsidRPr="00406019">
        <w:rPr>
          <w:sz w:val="20"/>
          <w:lang w:val="en-NZ"/>
        </w:rPr>
        <w:br w:type="page"/>
      </w:r>
    </w:p>
    <w:p w:rsidR="004F5D4C" w:rsidRPr="00406019" w:rsidRDefault="004F5D4C" w:rsidP="00955AAC">
      <w:pPr>
        <w:jc w:val="center"/>
        <w:rPr>
          <w:b/>
          <w:sz w:val="28"/>
          <w:szCs w:val="28"/>
          <w:lang w:val="en-NZ"/>
        </w:rPr>
      </w:pPr>
      <w:r w:rsidRPr="00406019">
        <w:rPr>
          <w:b/>
          <w:sz w:val="28"/>
          <w:szCs w:val="28"/>
          <w:lang w:val="en-NZ"/>
        </w:rPr>
        <w:lastRenderedPageBreak/>
        <w:t>CONTENTS</w:t>
      </w:r>
    </w:p>
    <w:p w:rsidR="004F5D4C" w:rsidRPr="00406019" w:rsidRDefault="004F5D4C" w:rsidP="00955AAC">
      <w:pPr>
        <w:jc w:val="center"/>
        <w:rPr>
          <w:b/>
          <w:sz w:val="28"/>
          <w:szCs w:val="28"/>
          <w:lang w:val="en-NZ"/>
        </w:rPr>
      </w:pPr>
    </w:p>
    <w:p w:rsidR="004F5D4C" w:rsidRPr="00406019" w:rsidRDefault="004F5D4C" w:rsidP="00955AAC">
      <w:pPr>
        <w:jc w:val="center"/>
        <w:rPr>
          <w:b/>
          <w:sz w:val="28"/>
          <w:szCs w:val="28"/>
          <w:lang w:val="en-NZ"/>
        </w:rPr>
      </w:pPr>
      <w:bookmarkStart w:id="2" w:name="_Hlt510587982"/>
      <w:bookmarkEnd w:id="2"/>
    </w:p>
    <w:p w:rsidR="00F3348B" w:rsidRPr="00406019" w:rsidRDefault="004F5D4C">
      <w:pPr>
        <w:pStyle w:val="TOC1"/>
        <w:rPr>
          <w:rFonts w:asciiTheme="minorHAnsi" w:eastAsiaTheme="minorEastAsia" w:hAnsiTheme="minorHAnsi" w:cstheme="minorBidi"/>
          <w:b w:val="0"/>
          <w:noProof w:val="0"/>
          <w:sz w:val="22"/>
          <w:szCs w:val="22"/>
          <w:lang w:val="en-NZ" w:eastAsia="en-NZ"/>
        </w:rPr>
      </w:pPr>
      <w:r w:rsidRPr="00406019">
        <w:rPr>
          <w:noProof w:val="0"/>
          <w:lang w:val="en-NZ"/>
        </w:rPr>
        <w:fldChar w:fldCharType="begin"/>
      </w:r>
      <w:r w:rsidRPr="00406019">
        <w:rPr>
          <w:noProof w:val="0"/>
          <w:lang w:val="en-NZ"/>
        </w:rPr>
        <w:instrText xml:space="preserve"> TOC \t "Heading 1,2,PartHeading,1" </w:instrText>
      </w:r>
      <w:r w:rsidRPr="00406019">
        <w:rPr>
          <w:noProof w:val="0"/>
          <w:lang w:val="en-NZ"/>
        </w:rPr>
        <w:fldChar w:fldCharType="separate"/>
      </w:r>
      <w:r w:rsidR="00F3348B" w:rsidRPr="00406019">
        <w:rPr>
          <w:noProof w:val="0"/>
          <w:lang w:val="en-NZ"/>
        </w:rPr>
        <w:t>Bright-line test for residential land</w:t>
      </w:r>
      <w:r w:rsidR="00F3348B" w:rsidRPr="00406019">
        <w:rPr>
          <w:noProof w:val="0"/>
          <w:lang w:val="en-NZ"/>
        </w:rPr>
        <w:tab/>
      </w:r>
      <w:r w:rsidR="00F3348B" w:rsidRPr="00406019">
        <w:rPr>
          <w:noProof w:val="0"/>
          <w:lang w:val="en-NZ"/>
        </w:rPr>
        <w:fldChar w:fldCharType="begin"/>
      </w:r>
      <w:r w:rsidR="00F3348B" w:rsidRPr="00406019">
        <w:rPr>
          <w:noProof w:val="0"/>
          <w:lang w:val="en-NZ"/>
        </w:rPr>
        <w:instrText xml:space="preserve"> PAGEREF _Toc428169669 \h </w:instrText>
      </w:r>
      <w:r w:rsidR="00F3348B" w:rsidRPr="00406019">
        <w:rPr>
          <w:noProof w:val="0"/>
          <w:lang w:val="en-NZ"/>
        </w:rPr>
      </w:r>
      <w:r w:rsidR="00F3348B" w:rsidRPr="00406019">
        <w:rPr>
          <w:noProof w:val="0"/>
          <w:lang w:val="en-NZ"/>
        </w:rPr>
        <w:fldChar w:fldCharType="separate"/>
      </w:r>
      <w:r w:rsidR="00E7437A" w:rsidRPr="00406019">
        <w:rPr>
          <w:noProof w:val="0"/>
          <w:lang w:val="en-NZ"/>
        </w:rPr>
        <w:t>1</w:t>
      </w:r>
      <w:r w:rsidR="00F3348B" w:rsidRPr="00406019">
        <w:rPr>
          <w:noProof w:val="0"/>
          <w:lang w:val="en-NZ"/>
        </w:rPr>
        <w:fldChar w:fldCharType="end"/>
      </w:r>
    </w:p>
    <w:p w:rsidR="00F3348B" w:rsidRPr="00406019" w:rsidRDefault="00F3348B">
      <w:pPr>
        <w:pStyle w:val="TOC2"/>
        <w:rPr>
          <w:rFonts w:asciiTheme="minorHAnsi" w:eastAsiaTheme="minorEastAsia" w:hAnsiTheme="minorHAnsi" w:cstheme="minorBidi"/>
          <w:noProof w:val="0"/>
          <w:sz w:val="22"/>
          <w:szCs w:val="22"/>
          <w:lang w:val="en-NZ" w:eastAsia="en-NZ"/>
        </w:rPr>
      </w:pPr>
      <w:r w:rsidRPr="00406019">
        <w:rPr>
          <w:noProof w:val="0"/>
          <w:lang w:val="en-NZ"/>
        </w:rPr>
        <w:t>Overview</w:t>
      </w:r>
      <w:r w:rsidRPr="00406019">
        <w:rPr>
          <w:noProof w:val="0"/>
          <w:lang w:val="en-NZ"/>
        </w:rPr>
        <w:tab/>
      </w:r>
      <w:r w:rsidRPr="00406019">
        <w:rPr>
          <w:noProof w:val="0"/>
          <w:lang w:val="en-NZ"/>
        </w:rPr>
        <w:fldChar w:fldCharType="begin"/>
      </w:r>
      <w:r w:rsidRPr="00406019">
        <w:rPr>
          <w:noProof w:val="0"/>
          <w:lang w:val="en-NZ"/>
        </w:rPr>
        <w:instrText xml:space="preserve"> PAGEREF _Toc428169670 \h </w:instrText>
      </w:r>
      <w:r w:rsidRPr="00406019">
        <w:rPr>
          <w:noProof w:val="0"/>
          <w:lang w:val="en-NZ"/>
        </w:rPr>
      </w:r>
      <w:r w:rsidRPr="00406019">
        <w:rPr>
          <w:noProof w:val="0"/>
          <w:lang w:val="en-NZ"/>
        </w:rPr>
        <w:fldChar w:fldCharType="separate"/>
      </w:r>
      <w:r w:rsidR="00E7437A" w:rsidRPr="00406019">
        <w:rPr>
          <w:noProof w:val="0"/>
          <w:lang w:val="en-NZ"/>
        </w:rPr>
        <w:t>3</w:t>
      </w:r>
      <w:r w:rsidRPr="00406019">
        <w:rPr>
          <w:noProof w:val="0"/>
          <w:lang w:val="en-NZ"/>
        </w:rPr>
        <w:fldChar w:fldCharType="end"/>
      </w:r>
    </w:p>
    <w:p w:rsidR="00F3348B" w:rsidRPr="00406019" w:rsidRDefault="00F3348B">
      <w:pPr>
        <w:pStyle w:val="TOC2"/>
        <w:rPr>
          <w:rFonts w:asciiTheme="minorHAnsi" w:eastAsiaTheme="minorEastAsia" w:hAnsiTheme="minorHAnsi" w:cstheme="minorBidi"/>
          <w:noProof w:val="0"/>
          <w:sz w:val="22"/>
          <w:szCs w:val="22"/>
          <w:lang w:val="en-NZ" w:eastAsia="en-NZ"/>
        </w:rPr>
      </w:pPr>
      <w:r w:rsidRPr="00406019">
        <w:rPr>
          <w:noProof w:val="0"/>
          <w:lang w:val="en-NZ"/>
        </w:rPr>
        <w:t>Two-year bright-line test</w:t>
      </w:r>
      <w:r w:rsidRPr="00406019">
        <w:rPr>
          <w:noProof w:val="0"/>
          <w:lang w:val="en-NZ"/>
        </w:rPr>
        <w:tab/>
      </w:r>
      <w:r w:rsidRPr="00406019">
        <w:rPr>
          <w:noProof w:val="0"/>
          <w:lang w:val="en-NZ"/>
        </w:rPr>
        <w:fldChar w:fldCharType="begin"/>
      </w:r>
      <w:r w:rsidRPr="00406019">
        <w:rPr>
          <w:noProof w:val="0"/>
          <w:lang w:val="en-NZ"/>
        </w:rPr>
        <w:instrText xml:space="preserve"> PAGEREF _Toc428169671 \h </w:instrText>
      </w:r>
      <w:r w:rsidRPr="00406019">
        <w:rPr>
          <w:noProof w:val="0"/>
          <w:lang w:val="en-NZ"/>
        </w:rPr>
      </w:r>
      <w:r w:rsidRPr="00406019">
        <w:rPr>
          <w:noProof w:val="0"/>
          <w:lang w:val="en-NZ"/>
        </w:rPr>
        <w:fldChar w:fldCharType="separate"/>
      </w:r>
      <w:r w:rsidR="00E7437A" w:rsidRPr="00406019">
        <w:rPr>
          <w:noProof w:val="0"/>
          <w:lang w:val="en-NZ"/>
        </w:rPr>
        <w:t>5</w:t>
      </w:r>
      <w:r w:rsidRPr="00406019">
        <w:rPr>
          <w:noProof w:val="0"/>
          <w:lang w:val="en-NZ"/>
        </w:rPr>
        <w:fldChar w:fldCharType="end"/>
      </w:r>
    </w:p>
    <w:p w:rsidR="00F3348B" w:rsidRPr="00406019" w:rsidRDefault="00F3348B">
      <w:pPr>
        <w:pStyle w:val="TOC2"/>
        <w:rPr>
          <w:rFonts w:asciiTheme="minorHAnsi" w:eastAsiaTheme="minorEastAsia" w:hAnsiTheme="minorHAnsi" w:cstheme="minorBidi"/>
          <w:noProof w:val="0"/>
          <w:sz w:val="22"/>
          <w:szCs w:val="22"/>
          <w:lang w:val="en-NZ" w:eastAsia="en-NZ"/>
        </w:rPr>
      </w:pPr>
      <w:r w:rsidRPr="00406019">
        <w:rPr>
          <w:noProof w:val="0"/>
          <w:lang w:val="en-NZ"/>
        </w:rPr>
        <w:t>Residential land</w:t>
      </w:r>
      <w:r w:rsidRPr="00406019">
        <w:rPr>
          <w:noProof w:val="0"/>
          <w:lang w:val="en-NZ"/>
        </w:rPr>
        <w:tab/>
      </w:r>
      <w:r w:rsidRPr="00406019">
        <w:rPr>
          <w:noProof w:val="0"/>
          <w:lang w:val="en-NZ"/>
        </w:rPr>
        <w:fldChar w:fldCharType="begin"/>
      </w:r>
      <w:r w:rsidRPr="00406019">
        <w:rPr>
          <w:noProof w:val="0"/>
          <w:lang w:val="en-NZ"/>
        </w:rPr>
        <w:instrText xml:space="preserve"> PAGEREF _Toc428169672 \h </w:instrText>
      </w:r>
      <w:r w:rsidRPr="00406019">
        <w:rPr>
          <w:noProof w:val="0"/>
          <w:lang w:val="en-NZ"/>
        </w:rPr>
      </w:r>
      <w:r w:rsidRPr="00406019">
        <w:rPr>
          <w:noProof w:val="0"/>
          <w:lang w:val="en-NZ"/>
        </w:rPr>
        <w:fldChar w:fldCharType="separate"/>
      </w:r>
      <w:r w:rsidR="00E7437A" w:rsidRPr="00406019">
        <w:rPr>
          <w:noProof w:val="0"/>
          <w:lang w:val="en-NZ"/>
        </w:rPr>
        <w:t>8</w:t>
      </w:r>
      <w:r w:rsidRPr="00406019">
        <w:rPr>
          <w:noProof w:val="0"/>
          <w:lang w:val="en-NZ"/>
        </w:rPr>
        <w:fldChar w:fldCharType="end"/>
      </w:r>
    </w:p>
    <w:p w:rsidR="00F3348B" w:rsidRPr="00406019" w:rsidRDefault="00F3348B">
      <w:pPr>
        <w:pStyle w:val="TOC2"/>
        <w:rPr>
          <w:rFonts w:asciiTheme="minorHAnsi" w:eastAsiaTheme="minorEastAsia" w:hAnsiTheme="minorHAnsi" w:cstheme="minorBidi"/>
          <w:noProof w:val="0"/>
          <w:sz w:val="22"/>
          <w:szCs w:val="22"/>
          <w:lang w:val="en-NZ" w:eastAsia="en-NZ"/>
        </w:rPr>
      </w:pPr>
      <w:r w:rsidRPr="00406019">
        <w:rPr>
          <w:noProof w:val="0"/>
          <w:lang w:val="en-NZ"/>
        </w:rPr>
        <w:t>Main home</w:t>
      </w:r>
      <w:r w:rsidRPr="00406019">
        <w:rPr>
          <w:noProof w:val="0"/>
          <w:lang w:val="en-NZ"/>
        </w:rPr>
        <w:tab/>
      </w:r>
      <w:r w:rsidRPr="00406019">
        <w:rPr>
          <w:noProof w:val="0"/>
          <w:lang w:val="en-NZ"/>
        </w:rPr>
        <w:fldChar w:fldCharType="begin"/>
      </w:r>
      <w:r w:rsidRPr="00406019">
        <w:rPr>
          <w:noProof w:val="0"/>
          <w:lang w:val="en-NZ"/>
        </w:rPr>
        <w:instrText xml:space="preserve"> PAGEREF _Toc428169673 \h </w:instrText>
      </w:r>
      <w:r w:rsidRPr="00406019">
        <w:rPr>
          <w:noProof w:val="0"/>
          <w:lang w:val="en-NZ"/>
        </w:rPr>
      </w:r>
      <w:r w:rsidRPr="00406019">
        <w:rPr>
          <w:noProof w:val="0"/>
          <w:lang w:val="en-NZ"/>
        </w:rPr>
        <w:fldChar w:fldCharType="separate"/>
      </w:r>
      <w:r w:rsidR="00E7437A" w:rsidRPr="00406019">
        <w:rPr>
          <w:noProof w:val="0"/>
          <w:lang w:val="en-NZ"/>
        </w:rPr>
        <w:t>11</w:t>
      </w:r>
      <w:r w:rsidRPr="00406019">
        <w:rPr>
          <w:noProof w:val="0"/>
          <w:lang w:val="en-NZ"/>
        </w:rPr>
        <w:fldChar w:fldCharType="end"/>
      </w:r>
    </w:p>
    <w:p w:rsidR="00F3348B" w:rsidRPr="00406019" w:rsidRDefault="00F3348B">
      <w:pPr>
        <w:pStyle w:val="TOC2"/>
        <w:rPr>
          <w:rFonts w:asciiTheme="minorHAnsi" w:eastAsiaTheme="minorEastAsia" w:hAnsiTheme="minorHAnsi" w:cstheme="minorBidi"/>
          <w:noProof w:val="0"/>
          <w:sz w:val="22"/>
          <w:szCs w:val="22"/>
          <w:lang w:val="en-NZ" w:eastAsia="en-NZ"/>
        </w:rPr>
      </w:pPr>
      <w:r w:rsidRPr="00406019">
        <w:rPr>
          <w:noProof w:val="0"/>
          <w:lang w:val="en-NZ"/>
        </w:rPr>
        <w:t>Inheritance</w:t>
      </w:r>
      <w:r w:rsidRPr="00406019">
        <w:rPr>
          <w:noProof w:val="0"/>
          <w:lang w:val="en-NZ"/>
        </w:rPr>
        <w:tab/>
      </w:r>
      <w:r w:rsidRPr="00406019">
        <w:rPr>
          <w:noProof w:val="0"/>
          <w:lang w:val="en-NZ"/>
        </w:rPr>
        <w:fldChar w:fldCharType="begin"/>
      </w:r>
      <w:r w:rsidRPr="00406019">
        <w:rPr>
          <w:noProof w:val="0"/>
          <w:lang w:val="en-NZ"/>
        </w:rPr>
        <w:instrText xml:space="preserve"> PAGEREF _Toc428169674 \h </w:instrText>
      </w:r>
      <w:r w:rsidRPr="00406019">
        <w:rPr>
          <w:noProof w:val="0"/>
          <w:lang w:val="en-NZ"/>
        </w:rPr>
      </w:r>
      <w:r w:rsidRPr="00406019">
        <w:rPr>
          <w:noProof w:val="0"/>
          <w:lang w:val="en-NZ"/>
        </w:rPr>
        <w:fldChar w:fldCharType="separate"/>
      </w:r>
      <w:r w:rsidR="00E7437A" w:rsidRPr="00406019">
        <w:rPr>
          <w:noProof w:val="0"/>
          <w:lang w:val="en-NZ"/>
        </w:rPr>
        <w:t>15</w:t>
      </w:r>
      <w:r w:rsidRPr="00406019">
        <w:rPr>
          <w:noProof w:val="0"/>
          <w:lang w:val="en-NZ"/>
        </w:rPr>
        <w:fldChar w:fldCharType="end"/>
      </w:r>
    </w:p>
    <w:p w:rsidR="00F3348B" w:rsidRPr="00406019" w:rsidRDefault="00F3348B">
      <w:pPr>
        <w:pStyle w:val="TOC2"/>
        <w:rPr>
          <w:rFonts w:asciiTheme="minorHAnsi" w:eastAsiaTheme="minorEastAsia" w:hAnsiTheme="minorHAnsi" w:cstheme="minorBidi"/>
          <w:noProof w:val="0"/>
          <w:sz w:val="22"/>
          <w:szCs w:val="22"/>
          <w:lang w:val="en-NZ" w:eastAsia="en-NZ"/>
        </w:rPr>
      </w:pPr>
      <w:r w:rsidRPr="00406019">
        <w:rPr>
          <w:noProof w:val="0"/>
          <w:lang w:val="en-NZ"/>
        </w:rPr>
        <w:t>Relationship property</w:t>
      </w:r>
      <w:r w:rsidRPr="00406019">
        <w:rPr>
          <w:noProof w:val="0"/>
          <w:lang w:val="en-NZ"/>
        </w:rPr>
        <w:tab/>
      </w:r>
      <w:r w:rsidRPr="00406019">
        <w:rPr>
          <w:noProof w:val="0"/>
          <w:lang w:val="en-NZ"/>
        </w:rPr>
        <w:fldChar w:fldCharType="begin"/>
      </w:r>
      <w:r w:rsidRPr="00406019">
        <w:rPr>
          <w:noProof w:val="0"/>
          <w:lang w:val="en-NZ"/>
        </w:rPr>
        <w:instrText xml:space="preserve"> PAGEREF _Toc428169675 \h </w:instrText>
      </w:r>
      <w:r w:rsidRPr="00406019">
        <w:rPr>
          <w:noProof w:val="0"/>
          <w:lang w:val="en-NZ"/>
        </w:rPr>
      </w:r>
      <w:r w:rsidRPr="00406019">
        <w:rPr>
          <w:noProof w:val="0"/>
          <w:lang w:val="en-NZ"/>
        </w:rPr>
        <w:fldChar w:fldCharType="separate"/>
      </w:r>
      <w:r w:rsidR="00E7437A" w:rsidRPr="00406019">
        <w:rPr>
          <w:noProof w:val="0"/>
          <w:lang w:val="en-NZ"/>
        </w:rPr>
        <w:t>17</w:t>
      </w:r>
      <w:r w:rsidRPr="00406019">
        <w:rPr>
          <w:noProof w:val="0"/>
          <w:lang w:val="en-NZ"/>
        </w:rPr>
        <w:fldChar w:fldCharType="end"/>
      </w:r>
    </w:p>
    <w:p w:rsidR="00F3348B" w:rsidRPr="00406019" w:rsidRDefault="00F3348B">
      <w:pPr>
        <w:pStyle w:val="TOC2"/>
        <w:rPr>
          <w:rFonts w:asciiTheme="minorHAnsi" w:eastAsiaTheme="minorEastAsia" w:hAnsiTheme="minorHAnsi" w:cstheme="minorBidi"/>
          <w:noProof w:val="0"/>
          <w:sz w:val="22"/>
          <w:szCs w:val="22"/>
          <w:lang w:val="en-NZ" w:eastAsia="en-NZ"/>
        </w:rPr>
      </w:pPr>
      <w:r w:rsidRPr="00406019">
        <w:rPr>
          <w:noProof w:val="0"/>
          <w:lang w:val="en-NZ"/>
        </w:rPr>
        <w:t>Rollover for land transferred under a resident’s restricted amalgamation</w:t>
      </w:r>
      <w:r w:rsidRPr="00406019">
        <w:rPr>
          <w:noProof w:val="0"/>
          <w:lang w:val="en-NZ"/>
        </w:rPr>
        <w:tab/>
      </w:r>
      <w:r w:rsidRPr="00406019">
        <w:rPr>
          <w:noProof w:val="0"/>
          <w:lang w:val="en-NZ"/>
        </w:rPr>
        <w:fldChar w:fldCharType="begin"/>
      </w:r>
      <w:r w:rsidRPr="00406019">
        <w:rPr>
          <w:noProof w:val="0"/>
          <w:lang w:val="en-NZ"/>
        </w:rPr>
        <w:instrText xml:space="preserve"> PAGEREF _Toc428169676 \h </w:instrText>
      </w:r>
      <w:r w:rsidRPr="00406019">
        <w:rPr>
          <w:noProof w:val="0"/>
          <w:lang w:val="en-NZ"/>
        </w:rPr>
      </w:r>
      <w:r w:rsidRPr="00406019">
        <w:rPr>
          <w:noProof w:val="0"/>
          <w:lang w:val="en-NZ"/>
        </w:rPr>
        <w:fldChar w:fldCharType="separate"/>
      </w:r>
      <w:r w:rsidR="00E7437A" w:rsidRPr="00406019">
        <w:rPr>
          <w:noProof w:val="0"/>
          <w:lang w:val="en-NZ"/>
        </w:rPr>
        <w:t>19</w:t>
      </w:r>
      <w:r w:rsidRPr="00406019">
        <w:rPr>
          <w:noProof w:val="0"/>
          <w:lang w:val="en-NZ"/>
        </w:rPr>
        <w:fldChar w:fldCharType="end"/>
      </w:r>
    </w:p>
    <w:p w:rsidR="00F3348B" w:rsidRPr="00406019" w:rsidRDefault="00F3348B">
      <w:pPr>
        <w:pStyle w:val="TOC2"/>
        <w:rPr>
          <w:rFonts w:asciiTheme="minorHAnsi" w:eastAsiaTheme="minorEastAsia" w:hAnsiTheme="minorHAnsi" w:cstheme="minorBidi"/>
          <w:noProof w:val="0"/>
          <w:sz w:val="22"/>
          <w:szCs w:val="22"/>
          <w:lang w:val="en-NZ" w:eastAsia="en-NZ"/>
        </w:rPr>
      </w:pPr>
      <w:r w:rsidRPr="00406019">
        <w:rPr>
          <w:noProof w:val="0"/>
          <w:lang w:val="en-NZ"/>
        </w:rPr>
        <w:t>Deductions</w:t>
      </w:r>
      <w:r w:rsidRPr="00406019">
        <w:rPr>
          <w:noProof w:val="0"/>
          <w:lang w:val="en-NZ"/>
        </w:rPr>
        <w:tab/>
      </w:r>
      <w:r w:rsidRPr="00406019">
        <w:rPr>
          <w:noProof w:val="0"/>
          <w:lang w:val="en-NZ"/>
        </w:rPr>
        <w:fldChar w:fldCharType="begin"/>
      </w:r>
      <w:r w:rsidRPr="00406019">
        <w:rPr>
          <w:noProof w:val="0"/>
          <w:lang w:val="en-NZ"/>
        </w:rPr>
        <w:instrText xml:space="preserve"> PAGEREF _Toc428169677 \h </w:instrText>
      </w:r>
      <w:r w:rsidRPr="00406019">
        <w:rPr>
          <w:noProof w:val="0"/>
          <w:lang w:val="en-NZ"/>
        </w:rPr>
      </w:r>
      <w:r w:rsidRPr="00406019">
        <w:rPr>
          <w:noProof w:val="0"/>
          <w:lang w:val="en-NZ"/>
        </w:rPr>
        <w:fldChar w:fldCharType="separate"/>
      </w:r>
      <w:r w:rsidR="00E7437A" w:rsidRPr="00406019">
        <w:rPr>
          <w:noProof w:val="0"/>
          <w:lang w:val="en-NZ"/>
        </w:rPr>
        <w:t>20</w:t>
      </w:r>
      <w:r w:rsidRPr="00406019">
        <w:rPr>
          <w:noProof w:val="0"/>
          <w:lang w:val="en-NZ"/>
        </w:rPr>
        <w:fldChar w:fldCharType="end"/>
      </w:r>
    </w:p>
    <w:p w:rsidR="00F3348B" w:rsidRPr="00406019" w:rsidRDefault="00F3348B">
      <w:pPr>
        <w:pStyle w:val="TOC2"/>
        <w:rPr>
          <w:rFonts w:asciiTheme="minorHAnsi" w:eastAsiaTheme="minorEastAsia" w:hAnsiTheme="minorHAnsi" w:cstheme="minorBidi"/>
          <w:noProof w:val="0"/>
          <w:sz w:val="22"/>
          <w:szCs w:val="22"/>
          <w:lang w:val="en-NZ" w:eastAsia="en-NZ"/>
        </w:rPr>
      </w:pPr>
      <w:r w:rsidRPr="00406019">
        <w:rPr>
          <w:noProof w:val="0"/>
          <w:lang w:val="en-NZ"/>
        </w:rPr>
        <w:t>Losses</w:t>
      </w:r>
      <w:r w:rsidRPr="00406019">
        <w:rPr>
          <w:noProof w:val="0"/>
          <w:lang w:val="en-NZ"/>
        </w:rPr>
        <w:tab/>
      </w:r>
      <w:r w:rsidRPr="00406019">
        <w:rPr>
          <w:noProof w:val="0"/>
          <w:lang w:val="en-NZ"/>
        </w:rPr>
        <w:fldChar w:fldCharType="begin"/>
      </w:r>
      <w:r w:rsidRPr="00406019">
        <w:rPr>
          <w:noProof w:val="0"/>
          <w:lang w:val="en-NZ"/>
        </w:rPr>
        <w:instrText xml:space="preserve"> PAGEREF _Toc428169678 \h </w:instrText>
      </w:r>
      <w:r w:rsidRPr="00406019">
        <w:rPr>
          <w:noProof w:val="0"/>
          <w:lang w:val="en-NZ"/>
        </w:rPr>
      </w:r>
      <w:r w:rsidRPr="00406019">
        <w:rPr>
          <w:noProof w:val="0"/>
          <w:lang w:val="en-NZ"/>
        </w:rPr>
        <w:fldChar w:fldCharType="separate"/>
      </w:r>
      <w:r w:rsidR="00E7437A" w:rsidRPr="00406019">
        <w:rPr>
          <w:noProof w:val="0"/>
          <w:lang w:val="en-NZ"/>
        </w:rPr>
        <w:t>21</w:t>
      </w:r>
      <w:r w:rsidRPr="00406019">
        <w:rPr>
          <w:noProof w:val="0"/>
          <w:lang w:val="en-NZ"/>
        </w:rPr>
        <w:fldChar w:fldCharType="end"/>
      </w:r>
    </w:p>
    <w:p w:rsidR="00F3348B" w:rsidRPr="00406019" w:rsidRDefault="00F3348B">
      <w:pPr>
        <w:pStyle w:val="TOC2"/>
        <w:rPr>
          <w:rFonts w:asciiTheme="minorHAnsi" w:eastAsiaTheme="minorEastAsia" w:hAnsiTheme="minorHAnsi" w:cstheme="minorBidi"/>
          <w:noProof w:val="0"/>
          <w:sz w:val="22"/>
          <w:szCs w:val="22"/>
          <w:lang w:val="en-NZ" w:eastAsia="en-NZ"/>
        </w:rPr>
      </w:pPr>
      <w:r w:rsidRPr="00406019">
        <w:rPr>
          <w:noProof w:val="0"/>
          <w:lang w:val="en-NZ"/>
        </w:rPr>
        <w:t>Land-rich companies and trusts</w:t>
      </w:r>
      <w:r w:rsidRPr="00406019">
        <w:rPr>
          <w:noProof w:val="0"/>
          <w:lang w:val="en-NZ"/>
        </w:rPr>
        <w:tab/>
      </w:r>
      <w:r w:rsidRPr="00406019">
        <w:rPr>
          <w:noProof w:val="0"/>
          <w:lang w:val="en-NZ"/>
        </w:rPr>
        <w:fldChar w:fldCharType="begin"/>
      </w:r>
      <w:r w:rsidRPr="00406019">
        <w:rPr>
          <w:noProof w:val="0"/>
          <w:lang w:val="en-NZ"/>
        </w:rPr>
        <w:instrText xml:space="preserve"> PAGEREF _Toc428169679 \h </w:instrText>
      </w:r>
      <w:r w:rsidRPr="00406019">
        <w:rPr>
          <w:noProof w:val="0"/>
          <w:lang w:val="en-NZ"/>
        </w:rPr>
      </w:r>
      <w:r w:rsidRPr="00406019">
        <w:rPr>
          <w:noProof w:val="0"/>
          <w:lang w:val="en-NZ"/>
        </w:rPr>
        <w:fldChar w:fldCharType="separate"/>
      </w:r>
      <w:r w:rsidR="00E7437A" w:rsidRPr="00406019">
        <w:rPr>
          <w:noProof w:val="0"/>
          <w:lang w:val="en-NZ"/>
        </w:rPr>
        <w:t>22</w:t>
      </w:r>
      <w:r w:rsidRPr="00406019">
        <w:rPr>
          <w:noProof w:val="0"/>
          <w:lang w:val="en-NZ"/>
        </w:rPr>
        <w:fldChar w:fldCharType="end"/>
      </w:r>
    </w:p>
    <w:p w:rsidR="00F3348B" w:rsidRPr="00406019" w:rsidRDefault="00F3348B">
      <w:pPr>
        <w:pStyle w:val="TOC1"/>
        <w:rPr>
          <w:rFonts w:asciiTheme="minorHAnsi" w:eastAsiaTheme="minorEastAsia" w:hAnsiTheme="minorHAnsi" w:cstheme="minorBidi"/>
          <w:b w:val="0"/>
          <w:noProof w:val="0"/>
          <w:sz w:val="22"/>
          <w:szCs w:val="22"/>
          <w:lang w:val="en-NZ" w:eastAsia="en-NZ"/>
        </w:rPr>
      </w:pPr>
      <w:r w:rsidRPr="00406019">
        <w:rPr>
          <w:noProof w:val="0"/>
          <w:lang w:val="en-NZ"/>
        </w:rPr>
        <w:t>Consequential and remedial amendments</w:t>
      </w:r>
      <w:r w:rsidRPr="00406019">
        <w:rPr>
          <w:noProof w:val="0"/>
          <w:lang w:val="en-NZ"/>
        </w:rPr>
        <w:tab/>
      </w:r>
      <w:r w:rsidRPr="00406019">
        <w:rPr>
          <w:noProof w:val="0"/>
          <w:lang w:val="en-NZ"/>
        </w:rPr>
        <w:fldChar w:fldCharType="begin"/>
      </w:r>
      <w:r w:rsidRPr="00406019">
        <w:rPr>
          <w:noProof w:val="0"/>
          <w:lang w:val="en-NZ"/>
        </w:rPr>
        <w:instrText xml:space="preserve"> PAGEREF _Toc428169680 \h </w:instrText>
      </w:r>
      <w:r w:rsidRPr="00406019">
        <w:rPr>
          <w:noProof w:val="0"/>
          <w:lang w:val="en-NZ"/>
        </w:rPr>
      </w:r>
      <w:r w:rsidRPr="00406019">
        <w:rPr>
          <w:noProof w:val="0"/>
          <w:lang w:val="en-NZ"/>
        </w:rPr>
        <w:fldChar w:fldCharType="separate"/>
      </w:r>
      <w:r w:rsidR="00E7437A" w:rsidRPr="00406019">
        <w:rPr>
          <w:noProof w:val="0"/>
          <w:lang w:val="en-NZ"/>
        </w:rPr>
        <w:t>25</w:t>
      </w:r>
      <w:r w:rsidRPr="00406019">
        <w:rPr>
          <w:noProof w:val="0"/>
          <w:lang w:val="en-NZ"/>
        </w:rPr>
        <w:fldChar w:fldCharType="end"/>
      </w:r>
    </w:p>
    <w:p w:rsidR="00F3348B" w:rsidRPr="00406019" w:rsidRDefault="00F3348B">
      <w:pPr>
        <w:pStyle w:val="TOC2"/>
        <w:rPr>
          <w:rFonts w:asciiTheme="minorHAnsi" w:eastAsiaTheme="minorEastAsia" w:hAnsiTheme="minorHAnsi" w:cstheme="minorBidi"/>
          <w:noProof w:val="0"/>
          <w:sz w:val="22"/>
          <w:szCs w:val="22"/>
          <w:lang w:val="en-NZ" w:eastAsia="en-NZ"/>
        </w:rPr>
      </w:pPr>
      <w:r w:rsidRPr="00406019">
        <w:rPr>
          <w:noProof w:val="0"/>
          <w:lang w:val="en-NZ"/>
        </w:rPr>
        <w:t>Definition of “land”</w:t>
      </w:r>
      <w:r w:rsidRPr="00406019">
        <w:rPr>
          <w:noProof w:val="0"/>
          <w:lang w:val="en-NZ"/>
        </w:rPr>
        <w:tab/>
      </w:r>
      <w:r w:rsidRPr="00406019">
        <w:rPr>
          <w:noProof w:val="0"/>
          <w:lang w:val="en-NZ"/>
        </w:rPr>
        <w:fldChar w:fldCharType="begin"/>
      </w:r>
      <w:r w:rsidRPr="00406019">
        <w:rPr>
          <w:noProof w:val="0"/>
          <w:lang w:val="en-NZ"/>
        </w:rPr>
        <w:instrText xml:space="preserve"> PAGEREF _Toc428169681 \h </w:instrText>
      </w:r>
      <w:r w:rsidRPr="00406019">
        <w:rPr>
          <w:noProof w:val="0"/>
          <w:lang w:val="en-NZ"/>
        </w:rPr>
      </w:r>
      <w:r w:rsidRPr="00406019">
        <w:rPr>
          <w:noProof w:val="0"/>
          <w:lang w:val="en-NZ"/>
        </w:rPr>
        <w:fldChar w:fldCharType="separate"/>
      </w:r>
      <w:r w:rsidR="00E7437A" w:rsidRPr="00406019">
        <w:rPr>
          <w:noProof w:val="0"/>
          <w:lang w:val="en-NZ"/>
        </w:rPr>
        <w:t>27</w:t>
      </w:r>
      <w:r w:rsidRPr="00406019">
        <w:rPr>
          <w:noProof w:val="0"/>
          <w:lang w:val="en-NZ"/>
        </w:rPr>
        <w:fldChar w:fldCharType="end"/>
      </w:r>
    </w:p>
    <w:p w:rsidR="00F3348B" w:rsidRPr="00406019" w:rsidRDefault="00F3348B">
      <w:pPr>
        <w:pStyle w:val="TOC2"/>
        <w:rPr>
          <w:rFonts w:asciiTheme="minorHAnsi" w:eastAsiaTheme="minorEastAsia" w:hAnsiTheme="minorHAnsi" w:cstheme="minorBidi"/>
          <w:noProof w:val="0"/>
          <w:sz w:val="22"/>
          <w:szCs w:val="22"/>
          <w:lang w:val="en-NZ" w:eastAsia="en-NZ"/>
        </w:rPr>
      </w:pPr>
      <w:r w:rsidRPr="00406019">
        <w:rPr>
          <w:noProof w:val="0"/>
          <w:lang w:val="en-NZ"/>
        </w:rPr>
        <w:t>Clarifying treatment of land transferred under a resident’s restricted amalgamation</w:t>
      </w:r>
      <w:r w:rsidRPr="00406019">
        <w:rPr>
          <w:noProof w:val="0"/>
          <w:lang w:val="en-NZ"/>
        </w:rPr>
        <w:tab/>
      </w:r>
      <w:r w:rsidRPr="00406019">
        <w:rPr>
          <w:noProof w:val="0"/>
          <w:lang w:val="en-NZ"/>
        </w:rPr>
        <w:fldChar w:fldCharType="begin"/>
      </w:r>
      <w:r w:rsidRPr="00406019">
        <w:rPr>
          <w:noProof w:val="0"/>
          <w:lang w:val="en-NZ"/>
        </w:rPr>
        <w:instrText xml:space="preserve"> PAGEREF _Toc428169682 \h </w:instrText>
      </w:r>
      <w:r w:rsidRPr="00406019">
        <w:rPr>
          <w:noProof w:val="0"/>
          <w:lang w:val="en-NZ"/>
        </w:rPr>
      </w:r>
      <w:r w:rsidRPr="00406019">
        <w:rPr>
          <w:noProof w:val="0"/>
          <w:lang w:val="en-NZ"/>
        </w:rPr>
        <w:fldChar w:fldCharType="separate"/>
      </w:r>
      <w:r w:rsidR="00E7437A" w:rsidRPr="00406019">
        <w:rPr>
          <w:noProof w:val="0"/>
          <w:lang w:val="en-NZ"/>
        </w:rPr>
        <w:t>28</w:t>
      </w:r>
      <w:r w:rsidRPr="00406019">
        <w:rPr>
          <w:noProof w:val="0"/>
          <w:lang w:val="en-NZ"/>
        </w:rPr>
        <w:fldChar w:fldCharType="end"/>
      </w:r>
    </w:p>
    <w:p w:rsidR="00F3348B" w:rsidRPr="00406019" w:rsidRDefault="00F3348B">
      <w:pPr>
        <w:pStyle w:val="TOC2"/>
        <w:rPr>
          <w:rFonts w:asciiTheme="minorHAnsi" w:eastAsiaTheme="minorEastAsia" w:hAnsiTheme="minorHAnsi" w:cstheme="minorBidi"/>
          <w:noProof w:val="0"/>
          <w:sz w:val="22"/>
          <w:szCs w:val="22"/>
          <w:lang w:val="en-NZ" w:eastAsia="en-NZ"/>
        </w:rPr>
      </w:pPr>
      <w:r w:rsidRPr="00406019">
        <w:rPr>
          <w:noProof w:val="0"/>
          <w:lang w:val="en-NZ"/>
        </w:rPr>
        <w:t>Non-active trusts may be excused from filing returns</w:t>
      </w:r>
      <w:r w:rsidRPr="00406019">
        <w:rPr>
          <w:noProof w:val="0"/>
          <w:lang w:val="en-NZ"/>
        </w:rPr>
        <w:tab/>
      </w:r>
      <w:r w:rsidRPr="00406019">
        <w:rPr>
          <w:noProof w:val="0"/>
          <w:lang w:val="en-NZ"/>
        </w:rPr>
        <w:fldChar w:fldCharType="begin"/>
      </w:r>
      <w:r w:rsidRPr="00406019">
        <w:rPr>
          <w:noProof w:val="0"/>
          <w:lang w:val="en-NZ"/>
        </w:rPr>
        <w:instrText xml:space="preserve"> PAGEREF _Toc428169683 \h </w:instrText>
      </w:r>
      <w:r w:rsidRPr="00406019">
        <w:rPr>
          <w:noProof w:val="0"/>
          <w:lang w:val="en-NZ"/>
        </w:rPr>
      </w:r>
      <w:r w:rsidRPr="00406019">
        <w:rPr>
          <w:noProof w:val="0"/>
          <w:lang w:val="en-NZ"/>
        </w:rPr>
        <w:fldChar w:fldCharType="separate"/>
      </w:r>
      <w:r w:rsidR="00E7437A" w:rsidRPr="00406019">
        <w:rPr>
          <w:noProof w:val="0"/>
          <w:lang w:val="en-NZ"/>
        </w:rPr>
        <w:t>30</w:t>
      </w:r>
      <w:r w:rsidRPr="00406019">
        <w:rPr>
          <w:noProof w:val="0"/>
          <w:lang w:val="en-NZ"/>
        </w:rPr>
        <w:fldChar w:fldCharType="end"/>
      </w:r>
    </w:p>
    <w:p w:rsidR="00C338D9" w:rsidRPr="00406019" w:rsidRDefault="004F5D4C" w:rsidP="00124D53">
      <w:pPr>
        <w:rPr>
          <w:lang w:val="en-NZ"/>
        </w:rPr>
      </w:pPr>
      <w:r w:rsidRPr="00406019">
        <w:rPr>
          <w:lang w:val="en-NZ"/>
        </w:rPr>
        <w:fldChar w:fldCharType="end"/>
      </w:r>
      <w:bookmarkStart w:id="3" w:name="_Hlt478443407"/>
      <w:bookmarkStart w:id="4" w:name="_Hlt509367909"/>
      <w:bookmarkEnd w:id="0"/>
      <w:bookmarkEnd w:id="3"/>
    </w:p>
    <w:p w:rsidR="00C338D9" w:rsidRPr="00406019" w:rsidRDefault="00C338D9">
      <w:pPr>
        <w:jc w:val="left"/>
        <w:rPr>
          <w:lang w:val="en-NZ"/>
        </w:rPr>
      </w:pPr>
      <w:r w:rsidRPr="00406019">
        <w:rPr>
          <w:lang w:val="en-NZ"/>
        </w:rPr>
        <w:br w:type="page"/>
      </w:r>
    </w:p>
    <w:p w:rsidR="00C338D9" w:rsidRPr="00406019" w:rsidRDefault="00C338D9" w:rsidP="00124D53">
      <w:pPr>
        <w:rPr>
          <w:lang w:val="en-NZ"/>
        </w:rPr>
      </w:pPr>
    </w:p>
    <w:p w:rsidR="00C338D9" w:rsidRPr="00406019" w:rsidRDefault="00C338D9" w:rsidP="00124D53">
      <w:pPr>
        <w:rPr>
          <w:lang w:val="en-NZ"/>
        </w:rPr>
        <w:sectPr w:rsidR="00C338D9" w:rsidRPr="00406019" w:rsidSect="00C338D9">
          <w:footerReference w:type="default" r:id="rId9"/>
          <w:footerReference w:type="first" r:id="rId10"/>
          <w:type w:val="oddPage"/>
          <w:pgSz w:w="11906" w:h="16838" w:code="9"/>
          <w:pgMar w:top="1304" w:right="1797" w:bottom="1134" w:left="1797" w:header="720" w:footer="567" w:gutter="0"/>
          <w:pgNumType w:start="1"/>
          <w:cols w:space="720"/>
          <w:docGrid w:linePitch="326"/>
        </w:sectPr>
      </w:pPr>
    </w:p>
    <w:p w:rsidR="00DF1369" w:rsidRPr="00406019" w:rsidRDefault="00DF1369" w:rsidP="00124D53">
      <w:pPr>
        <w:rPr>
          <w:lang w:val="en-NZ"/>
        </w:rPr>
      </w:pPr>
    </w:p>
    <w:p w:rsidR="00DF1369" w:rsidRPr="00406019" w:rsidRDefault="00DF1369">
      <w:pPr>
        <w:jc w:val="left"/>
        <w:rPr>
          <w:lang w:val="en-NZ"/>
        </w:rPr>
      </w:pPr>
    </w:p>
    <w:p w:rsidR="00DF1369" w:rsidRPr="00406019" w:rsidRDefault="00DF1369">
      <w:pPr>
        <w:jc w:val="left"/>
        <w:rPr>
          <w:lang w:val="en-NZ"/>
        </w:rPr>
      </w:pPr>
    </w:p>
    <w:p w:rsidR="00124D53" w:rsidRPr="00406019" w:rsidRDefault="00124D53" w:rsidP="00124D53">
      <w:pPr>
        <w:rPr>
          <w:lang w:val="en-NZ"/>
        </w:rPr>
      </w:pPr>
    </w:p>
    <w:p w:rsidR="004F5D4C" w:rsidRPr="00406019" w:rsidRDefault="004F5D4C">
      <w:pPr>
        <w:rPr>
          <w:lang w:val="en-NZ"/>
        </w:rPr>
      </w:pPr>
    </w:p>
    <w:p w:rsidR="00597BA7" w:rsidRPr="00406019" w:rsidRDefault="00597BA7">
      <w:pPr>
        <w:rPr>
          <w:lang w:val="en-NZ"/>
        </w:rPr>
      </w:pPr>
    </w:p>
    <w:p w:rsidR="004F5D4C" w:rsidRPr="00406019" w:rsidRDefault="004F5D4C">
      <w:pPr>
        <w:rPr>
          <w:lang w:val="en-NZ"/>
        </w:rPr>
      </w:pPr>
    </w:p>
    <w:p w:rsidR="004F5D4C" w:rsidRPr="00406019" w:rsidRDefault="004F5D4C">
      <w:pPr>
        <w:rPr>
          <w:lang w:val="en-NZ"/>
        </w:rPr>
      </w:pPr>
    </w:p>
    <w:p w:rsidR="004F5D4C" w:rsidRPr="00406019" w:rsidRDefault="004F5D4C">
      <w:pPr>
        <w:rPr>
          <w:lang w:val="en-NZ"/>
        </w:rPr>
      </w:pPr>
    </w:p>
    <w:p w:rsidR="004F5D4C" w:rsidRPr="00406019" w:rsidRDefault="004F5D4C">
      <w:pPr>
        <w:rPr>
          <w:lang w:val="en-NZ"/>
        </w:rPr>
      </w:pPr>
    </w:p>
    <w:p w:rsidR="00780FBC" w:rsidRPr="00406019" w:rsidRDefault="00780FBC">
      <w:pPr>
        <w:rPr>
          <w:lang w:val="en-NZ"/>
        </w:rPr>
      </w:pPr>
    </w:p>
    <w:p w:rsidR="00780FBC" w:rsidRPr="00406019" w:rsidRDefault="00780FBC">
      <w:pPr>
        <w:rPr>
          <w:lang w:val="en-NZ"/>
        </w:rPr>
      </w:pPr>
    </w:p>
    <w:p w:rsidR="00597BA7" w:rsidRPr="00406019" w:rsidRDefault="00597BA7">
      <w:pPr>
        <w:rPr>
          <w:lang w:val="en-NZ"/>
        </w:rPr>
      </w:pPr>
    </w:p>
    <w:p w:rsidR="004F5D4C" w:rsidRPr="00406019" w:rsidRDefault="006B12FA">
      <w:pPr>
        <w:pStyle w:val="PartHeading"/>
      </w:pPr>
      <w:bookmarkStart w:id="5" w:name="_Toc428169669"/>
      <w:r w:rsidRPr="00406019">
        <w:rPr>
          <w:caps w:val="0"/>
        </w:rPr>
        <w:t xml:space="preserve">Bright-line </w:t>
      </w:r>
      <w:r w:rsidR="006F5BED" w:rsidRPr="00406019">
        <w:rPr>
          <w:caps w:val="0"/>
        </w:rPr>
        <w:t>test for residential l</w:t>
      </w:r>
      <w:r w:rsidRPr="00406019">
        <w:rPr>
          <w:caps w:val="0"/>
        </w:rPr>
        <w:t>and</w:t>
      </w:r>
      <w:bookmarkEnd w:id="5"/>
    </w:p>
    <w:p w:rsidR="004F5D4C" w:rsidRPr="00406019" w:rsidRDefault="004F5D4C" w:rsidP="002C773A">
      <w:pPr>
        <w:rPr>
          <w:lang w:val="en-NZ"/>
        </w:rPr>
      </w:pPr>
    </w:p>
    <w:p w:rsidR="004979FB" w:rsidRPr="00406019" w:rsidRDefault="004979FB" w:rsidP="002C773A">
      <w:pPr>
        <w:rPr>
          <w:lang w:val="en-NZ"/>
        </w:rPr>
      </w:pPr>
      <w:bookmarkStart w:id="6" w:name="_Toc517169388"/>
    </w:p>
    <w:p w:rsidR="004979FB" w:rsidRPr="00406019" w:rsidRDefault="004979FB" w:rsidP="004979FB">
      <w:pPr>
        <w:rPr>
          <w:lang w:val="en-NZ"/>
        </w:rPr>
      </w:pPr>
    </w:p>
    <w:p w:rsidR="00C338D9" w:rsidRPr="00406019" w:rsidRDefault="00C338D9" w:rsidP="00C338D9">
      <w:pPr>
        <w:rPr>
          <w:lang w:val="en-NZ"/>
        </w:rPr>
      </w:pPr>
      <w:r w:rsidRPr="00406019">
        <w:rPr>
          <w:lang w:val="en-NZ"/>
        </w:rPr>
        <w:br w:type="page"/>
      </w:r>
    </w:p>
    <w:p w:rsidR="00C338D9" w:rsidRPr="00406019" w:rsidRDefault="00C338D9" w:rsidP="00C338D9">
      <w:pPr>
        <w:rPr>
          <w:lang w:val="en-NZ"/>
        </w:rPr>
      </w:pPr>
      <w:r w:rsidRPr="00406019">
        <w:rPr>
          <w:lang w:val="en-NZ"/>
        </w:rPr>
        <w:br w:type="page"/>
      </w:r>
    </w:p>
    <w:p w:rsidR="00EB5A69" w:rsidRPr="00406019" w:rsidRDefault="00EB5A69" w:rsidP="006B12FA">
      <w:pPr>
        <w:pStyle w:val="Heading1"/>
      </w:pPr>
      <w:bookmarkStart w:id="7" w:name="_Toc428169670"/>
      <w:r w:rsidRPr="00406019">
        <w:t>Overview</w:t>
      </w:r>
      <w:bookmarkEnd w:id="7"/>
    </w:p>
    <w:p w:rsidR="00EB5A69" w:rsidRPr="00406019" w:rsidRDefault="00EB5A69" w:rsidP="00EB5A69">
      <w:pPr>
        <w:rPr>
          <w:lang w:val="en-NZ"/>
        </w:rPr>
      </w:pPr>
    </w:p>
    <w:p w:rsidR="00607BF2" w:rsidRPr="00406019" w:rsidRDefault="00607BF2" w:rsidP="00FC0565">
      <w:pPr>
        <w:rPr>
          <w:lang w:val="en-NZ"/>
        </w:rPr>
      </w:pPr>
    </w:p>
    <w:p w:rsidR="006C32FB" w:rsidRPr="00406019" w:rsidRDefault="006C32FB" w:rsidP="00FC0565">
      <w:pPr>
        <w:rPr>
          <w:lang w:val="en-NZ"/>
        </w:rPr>
      </w:pPr>
      <w:r w:rsidRPr="00406019">
        <w:rPr>
          <w:lang w:val="en-NZ"/>
        </w:rPr>
        <w:t>T</w:t>
      </w:r>
      <w:r w:rsidR="00FC0565" w:rsidRPr="00406019">
        <w:rPr>
          <w:lang w:val="en-NZ"/>
        </w:rPr>
        <w:t xml:space="preserve">his </w:t>
      </w:r>
      <w:r w:rsidR="00C638DD" w:rsidRPr="00406019">
        <w:rPr>
          <w:lang w:val="en-NZ"/>
        </w:rPr>
        <w:t>b</w:t>
      </w:r>
      <w:r w:rsidR="00FC0565" w:rsidRPr="00406019">
        <w:rPr>
          <w:lang w:val="en-NZ"/>
        </w:rPr>
        <w:t>ill proposes a new objective “bright-line” land sale test</w:t>
      </w:r>
      <w:r w:rsidR="006C223E" w:rsidRPr="00406019">
        <w:rPr>
          <w:lang w:val="en-NZ"/>
        </w:rPr>
        <w:t xml:space="preserve"> for residential land</w:t>
      </w:r>
      <w:r w:rsidR="00B32D70" w:rsidRPr="00406019">
        <w:rPr>
          <w:lang w:val="en-NZ"/>
        </w:rPr>
        <w:t>,</w:t>
      </w:r>
      <w:r w:rsidR="00FC0565" w:rsidRPr="00406019">
        <w:rPr>
          <w:lang w:val="en-NZ"/>
        </w:rPr>
        <w:t xml:space="preserve"> to improve compliance</w:t>
      </w:r>
      <w:r w:rsidR="00C638DD" w:rsidRPr="00406019">
        <w:rPr>
          <w:lang w:val="en-NZ"/>
        </w:rPr>
        <w:t xml:space="preserve"> with the </w:t>
      </w:r>
      <w:r w:rsidR="006C223E" w:rsidRPr="00406019">
        <w:rPr>
          <w:lang w:val="en-NZ"/>
        </w:rPr>
        <w:t>current land sale</w:t>
      </w:r>
      <w:r w:rsidR="00C638DD" w:rsidRPr="00406019">
        <w:rPr>
          <w:lang w:val="en-NZ"/>
        </w:rPr>
        <w:t xml:space="preserve"> rules. </w:t>
      </w:r>
      <w:r w:rsidRPr="00406019">
        <w:rPr>
          <w:lang w:val="en-NZ"/>
        </w:rPr>
        <w:t xml:space="preserve"> The bright-line test will require income tax to </w:t>
      </w:r>
      <w:proofErr w:type="gramStart"/>
      <w:r w:rsidRPr="00406019">
        <w:rPr>
          <w:lang w:val="en-NZ"/>
        </w:rPr>
        <w:t>be paid</w:t>
      </w:r>
      <w:proofErr w:type="gramEnd"/>
      <w:r w:rsidRPr="00406019">
        <w:rPr>
          <w:lang w:val="en-NZ"/>
        </w:rPr>
        <w:t xml:space="preserve"> on any gains from the disposal of residential </w:t>
      </w:r>
      <w:r w:rsidR="00355176" w:rsidRPr="00406019">
        <w:rPr>
          <w:lang w:val="en-NZ"/>
        </w:rPr>
        <w:t>land</w:t>
      </w:r>
      <w:r w:rsidRPr="00406019">
        <w:rPr>
          <w:lang w:val="en-NZ"/>
        </w:rPr>
        <w:t xml:space="preserve"> that is acquired and disposed of within two years, subject to some exceptions.</w:t>
      </w:r>
    </w:p>
    <w:p w:rsidR="006C32FB" w:rsidRPr="00406019" w:rsidRDefault="006C32FB" w:rsidP="00FC0565">
      <w:pPr>
        <w:rPr>
          <w:lang w:val="en-NZ"/>
        </w:rPr>
      </w:pPr>
    </w:p>
    <w:p w:rsidR="006C32FB" w:rsidRPr="00406019" w:rsidRDefault="00B32D70" w:rsidP="00607BF2">
      <w:pPr>
        <w:rPr>
          <w:lang w:val="en-NZ"/>
        </w:rPr>
      </w:pPr>
      <w:r w:rsidRPr="00406019">
        <w:rPr>
          <w:lang w:val="en-NZ"/>
        </w:rPr>
        <w:t>T</w:t>
      </w:r>
      <w:r w:rsidR="006C32FB" w:rsidRPr="00406019">
        <w:rPr>
          <w:lang w:val="en-NZ"/>
        </w:rPr>
        <w:t>he Government announced plans to introduce a new land sale rule to supplement the “intention test” in the current land sale rules</w:t>
      </w:r>
      <w:r w:rsidRPr="00406019">
        <w:rPr>
          <w:lang w:val="en-NZ"/>
        </w:rPr>
        <w:t>, as part of Budget 2015</w:t>
      </w:r>
      <w:r w:rsidR="006C32FB" w:rsidRPr="00406019">
        <w:rPr>
          <w:lang w:val="en-NZ"/>
        </w:rPr>
        <w:t xml:space="preserve">.  The “intention test” makes gains from the sale of land taxable when bought with an intention or purpose of resale.  This intention test is difficult to enforce due to its subjectivity.  The bright-line test </w:t>
      </w:r>
      <w:proofErr w:type="gramStart"/>
      <w:r w:rsidR="006C32FB" w:rsidRPr="00406019">
        <w:rPr>
          <w:lang w:val="en-NZ"/>
        </w:rPr>
        <w:t>is intended</w:t>
      </w:r>
      <w:proofErr w:type="gramEnd"/>
      <w:r w:rsidR="006C32FB" w:rsidRPr="00406019">
        <w:rPr>
          <w:lang w:val="en-NZ"/>
        </w:rPr>
        <w:t xml:space="preserve"> to deal with the problem by supplementing the current intention test with an objective test.  Proposals for the bright-line test </w:t>
      </w:r>
      <w:proofErr w:type="gramStart"/>
      <w:r w:rsidR="006C32FB" w:rsidRPr="00406019">
        <w:rPr>
          <w:lang w:val="en-NZ"/>
        </w:rPr>
        <w:t>were consulted</w:t>
      </w:r>
      <w:proofErr w:type="gramEnd"/>
      <w:r w:rsidR="006C32FB" w:rsidRPr="00406019">
        <w:rPr>
          <w:lang w:val="en-NZ"/>
        </w:rPr>
        <w:t xml:space="preserve"> on in an officials’ issues paper</w:t>
      </w:r>
      <w:r w:rsidR="00C54249" w:rsidRPr="00406019">
        <w:rPr>
          <w:lang w:val="en-NZ"/>
        </w:rPr>
        <w:t>,</w:t>
      </w:r>
      <w:r w:rsidR="006C32FB" w:rsidRPr="00406019">
        <w:rPr>
          <w:lang w:val="en-NZ"/>
        </w:rPr>
        <w:t xml:space="preserve"> </w:t>
      </w:r>
      <w:r w:rsidR="006C32FB" w:rsidRPr="00406019">
        <w:rPr>
          <w:i/>
          <w:lang w:val="en-NZ"/>
        </w:rPr>
        <w:t>Bright-line test for sales of residential property</w:t>
      </w:r>
      <w:r w:rsidR="00C54249" w:rsidRPr="00406019">
        <w:rPr>
          <w:i/>
          <w:lang w:val="en-NZ"/>
        </w:rPr>
        <w:t>,</w:t>
      </w:r>
      <w:r w:rsidR="00A77407" w:rsidRPr="00406019">
        <w:rPr>
          <w:i/>
          <w:lang w:val="en-NZ"/>
        </w:rPr>
        <w:t xml:space="preserve"> </w:t>
      </w:r>
      <w:r w:rsidR="00A77407" w:rsidRPr="00406019">
        <w:rPr>
          <w:lang w:val="en-NZ"/>
        </w:rPr>
        <w:t>released on 29 June 2015</w:t>
      </w:r>
      <w:r w:rsidR="006C32FB" w:rsidRPr="00406019">
        <w:rPr>
          <w:i/>
          <w:lang w:val="en-NZ"/>
        </w:rPr>
        <w:t>.</w:t>
      </w:r>
    </w:p>
    <w:p w:rsidR="006C32FB" w:rsidRPr="00406019" w:rsidRDefault="006C32FB" w:rsidP="00FC0565">
      <w:pPr>
        <w:rPr>
          <w:lang w:val="en-NZ"/>
        </w:rPr>
      </w:pPr>
    </w:p>
    <w:p w:rsidR="006C32FB" w:rsidRPr="00406019" w:rsidRDefault="006C32FB" w:rsidP="006C32FB">
      <w:pPr>
        <w:rPr>
          <w:lang w:val="en-NZ"/>
        </w:rPr>
      </w:pPr>
      <w:r w:rsidRPr="00406019">
        <w:rPr>
          <w:lang w:val="en-NZ"/>
        </w:rPr>
        <w:t xml:space="preserve">The </w:t>
      </w:r>
      <w:r w:rsidR="00C54249" w:rsidRPr="00406019">
        <w:rPr>
          <w:lang w:val="en-NZ"/>
        </w:rPr>
        <w:t>two</w:t>
      </w:r>
      <w:r w:rsidRPr="00406019">
        <w:rPr>
          <w:lang w:val="en-NZ"/>
        </w:rPr>
        <w:t xml:space="preserve">-year period for the bright-line test runs from the date of acquisition of the land to the date of disposal.  The date of acquisition is the latest date on which the person acquires an estate or interest in the land.  Generally, this will be the date the </w:t>
      </w:r>
      <w:r w:rsidR="00B32D70" w:rsidRPr="00406019">
        <w:rPr>
          <w:lang w:val="en-NZ"/>
        </w:rPr>
        <w:t xml:space="preserve">title to the </w:t>
      </w:r>
      <w:r w:rsidRPr="00406019">
        <w:rPr>
          <w:lang w:val="en-NZ"/>
        </w:rPr>
        <w:t xml:space="preserve">land is registered for the purchase of the property.  The date of disposal is generally the date that a person enters into an agreement for the sale of the property. </w:t>
      </w:r>
      <w:r w:rsidR="00B32D70" w:rsidRPr="00406019">
        <w:rPr>
          <w:lang w:val="en-NZ"/>
        </w:rPr>
        <w:t xml:space="preserve"> </w:t>
      </w:r>
      <w:r w:rsidR="00A77407" w:rsidRPr="00406019">
        <w:rPr>
          <w:lang w:val="en-NZ"/>
        </w:rPr>
        <w:t>An additional rule applies for sales “off the plan”.</w:t>
      </w:r>
    </w:p>
    <w:p w:rsidR="006C32FB" w:rsidRPr="00406019" w:rsidRDefault="006C32FB" w:rsidP="006C32FB">
      <w:pPr>
        <w:rPr>
          <w:lang w:val="en-NZ"/>
        </w:rPr>
      </w:pPr>
    </w:p>
    <w:p w:rsidR="006C32FB" w:rsidRPr="00406019" w:rsidRDefault="006C32FB" w:rsidP="006C32FB">
      <w:pPr>
        <w:rPr>
          <w:lang w:val="en-NZ"/>
        </w:rPr>
      </w:pPr>
      <w:r w:rsidRPr="00406019">
        <w:rPr>
          <w:lang w:val="en-NZ"/>
        </w:rPr>
        <w:t xml:space="preserve">The bright-line test applies only to the disposal of “residential land”.  </w:t>
      </w:r>
      <w:r w:rsidR="00A77407" w:rsidRPr="00406019">
        <w:rPr>
          <w:lang w:val="en-NZ"/>
        </w:rPr>
        <w:t>Residential land includes land where the owner has an arrangement to build a dwelling on it as well as bare land that is capable of having a dwelling on it</w:t>
      </w:r>
      <w:r w:rsidR="00021CFC" w:rsidRPr="00406019">
        <w:rPr>
          <w:lang w:val="en-NZ"/>
        </w:rPr>
        <w:t xml:space="preserve">.  </w:t>
      </w:r>
      <w:r w:rsidR="00A77407" w:rsidRPr="00406019">
        <w:rPr>
          <w:lang w:val="en-NZ"/>
        </w:rPr>
        <w:t>Residential land does not include business premises or farmland.</w:t>
      </w:r>
    </w:p>
    <w:p w:rsidR="006C32FB" w:rsidRPr="00406019" w:rsidRDefault="006C32FB" w:rsidP="006C32FB">
      <w:pPr>
        <w:rPr>
          <w:lang w:val="en-NZ"/>
        </w:rPr>
      </w:pPr>
    </w:p>
    <w:p w:rsidR="006C32FB" w:rsidRPr="00406019" w:rsidRDefault="006C32FB" w:rsidP="006C32FB">
      <w:pPr>
        <w:rPr>
          <w:lang w:val="en-NZ"/>
        </w:rPr>
      </w:pPr>
      <w:r w:rsidRPr="00406019">
        <w:rPr>
          <w:lang w:val="en-NZ"/>
        </w:rPr>
        <w:t xml:space="preserve">A disposal of property that is the main home of the </w:t>
      </w:r>
      <w:r w:rsidR="005C3D8B" w:rsidRPr="00406019">
        <w:rPr>
          <w:lang w:val="en-NZ"/>
        </w:rPr>
        <w:t>owner</w:t>
      </w:r>
      <w:r w:rsidRPr="00406019">
        <w:rPr>
          <w:lang w:val="en-NZ"/>
        </w:rPr>
        <w:t xml:space="preserve"> </w:t>
      </w:r>
      <w:proofErr w:type="gramStart"/>
      <w:r w:rsidRPr="00406019">
        <w:rPr>
          <w:lang w:val="en-NZ"/>
        </w:rPr>
        <w:t>will be excluded</w:t>
      </w:r>
      <w:proofErr w:type="gramEnd"/>
      <w:r w:rsidRPr="00406019">
        <w:rPr>
          <w:lang w:val="en-NZ"/>
        </w:rPr>
        <w:t xml:space="preserve"> from the bright-line test when the property has been used predomina</w:t>
      </w:r>
      <w:r w:rsidR="005C3D8B" w:rsidRPr="00406019">
        <w:rPr>
          <w:lang w:val="en-NZ"/>
        </w:rPr>
        <w:t>n</w:t>
      </w:r>
      <w:r w:rsidRPr="00406019">
        <w:rPr>
          <w:lang w:val="en-NZ"/>
        </w:rPr>
        <w:t>tly, for most of the time that the person has owned the property, as their main home.  Whe</w:t>
      </w:r>
      <w:r w:rsidR="00145DBA" w:rsidRPr="00406019">
        <w:rPr>
          <w:lang w:val="en-NZ"/>
        </w:rPr>
        <w:t>n</w:t>
      </w:r>
      <w:r w:rsidRPr="00406019">
        <w:rPr>
          <w:lang w:val="en-NZ"/>
        </w:rPr>
        <w:t xml:space="preserve"> a person has two or more homes, their “main home” is the property with which </w:t>
      </w:r>
      <w:r w:rsidR="005C3D8B" w:rsidRPr="00406019">
        <w:rPr>
          <w:lang w:val="en-NZ"/>
        </w:rPr>
        <w:t>they have</w:t>
      </w:r>
      <w:r w:rsidRPr="00406019">
        <w:rPr>
          <w:lang w:val="en-NZ"/>
        </w:rPr>
        <w:t xml:space="preserve"> the greatest connection.  </w:t>
      </w:r>
      <w:r w:rsidR="00A77407" w:rsidRPr="00406019">
        <w:rPr>
          <w:lang w:val="en-NZ"/>
        </w:rPr>
        <w:t xml:space="preserve">The main home exception </w:t>
      </w:r>
      <w:r w:rsidR="00EC0259" w:rsidRPr="00406019">
        <w:rPr>
          <w:lang w:val="en-NZ"/>
        </w:rPr>
        <w:t xml:space="preserve">can </w:t>
      </w:r>
      <w:r w:rsidR="00A77407" w:rsidRPr="00406019">
        <w:rPr>
          <w:lang w:val="en-NZ"/>
        </w:rPr>
        <w:t>appl</w:t>
      </w:r>
      <w:r w:rsidR="00EC0259" w:rsidRPr="00406019">
        <w:rPr>
          <w:lang w:val="en-NZ"/>
        </w:rPr>
        <w:t>y to properties held in trust; t</w:t>
      </w:r>
      <w:r w:rsidR="00A77407" w:rsidRPr="00406019">
        <w:rPr>
          <w:lang w:val="en-NZ"/>
        </w:rPr>
        <w:t xml:space="preserve">here are rules preventing trusts </w:t>
      </w:r>
      <w:proofErr w:type="gramStart"/>
      <w:r w:rsidR="00A77407" w:rsidRPr="00406019">
        <w:rPr>
          <w:lang w:val="en-NZ"/>
        </w:rPr>
        <w:t>being used</w:t>
      </w:r>
      <w:proofErr w:type="gramEnd"/>
      <w:r w:rsidR="00A77407" w:rsidRPr="00406019">
        <w:rPr>
          <w:lang w:val="en-NZ"/>
        </w:rPr>
        <w:t xml:space="preserve"> to obtain the exception for multiple properties.</w:t>
      </w:r>
      <w:r w:rsidRPr="00406019">
        <w:rPr>
          <w:lang w:val="en-NZ"/>
        </w:rPr>
        <w:t xml:space="preserve">  A person cannot use the main home </w:t>
      </w:r>
      <w:r w:rsidR="00355176" w:rsidRPr="00406019">
        <w:rPr>
          <w:lang w:val="en-NZ"/>
        </w:rPr>
        <w:t>exception</w:t>
      </w:r>
      <w:r w:rsidRPr="00406019">
        <w:rPr>
          <w:lang w:val="en-NZ"/>
        </w:rPr>
        <w:t xml:space="preserve"> if they have already used the </w:t>
      </w:r>
      <w:r w:rsidR="00355176" w:rsidRPr="00406019">
        <w:rPr>
          <w:lang w:val="en-NZ"/>
        </w:rPr>
        <w:t>exception</w:t>
      </w:r>
      <w:r w:rsidRPr="00406019">
        <w:rPr>
          <w:lang w:val="en-NZ"/>
        </w:rPr>
        <w:t xml:space="preserve"> twice in the previous </w:t>
      </w:r>
      <w:r w:rsidR="005C3D8B" w:rsidRPr="00406019">
        <w:rPr>
          <w:lang w:val="en-NZ"/>
        </w:rPr>
        <w:t>two</w:t>
      </w:r>
      <w:r w:rsidRPr="00406019">
        <w:rPr>
          <w:lang w:val="en-NZ"/>
        </w:rPr>
        <w:t xml:space="preserve"> years.</w:t>
      </w:r>
    </w:p>
    <w:p w:rsidR="006C32FB" w:rsidRPr="00406019" w:rsidRDefault="006C32FB" w:rsidP="006C32FB">
      <w:pPr>
        <w:rPr>
          <w:lang w:val="en-NZ"/>
        </w:rPr>
      </w:pPr>
    </w:p>
    <w:p w:rsidR="00FC0565" w:rsidRPr="00406019" w:rsidRDefault="006C32FB" w:rsidP="00FC0565">
      <w:pPr>
        <w:rPr>
          <w:lang w:val="en-NZ"/>
        </w:rPr>
      </w:pPr>
      <w:r w:rsidRPr="00406019">
        <w:rPr>
          <w:lang w:val="en-NZ"/>
        </w:rPr>
        <w:t xml:space="preserve">Taxpayers </w:t>
      </w:r>
      <w:proofErr w:type="gramStart"/>
      <w:r w:rsidRPr="00406019">
        <w:rPr>
          <w:lang w:val="en-NZ"/>
        </w:rPr>
        <w:t>are allowed</w:t>
      </w:r>
      <w:proofErr w:type="gramEnd"/>
      <w:r w:rsidRPr="00406019">
        <w:rPr>
          <w:lang w:val="en-NZ"/>
        </w:rPr>
        <w:t xml:space="preserve"> deductions for property subject to the bright-line test according to ordinary </w:t>
      </w:r>
      <w:r w:rsidR="00145DBA" w:rsidRPr="00406019">
        <w:rPr>
          <w:lang w:val="en-NZ"/>
        </w:rPr>
        <w:t xml:space="preserve">tax </w:t>
      </w:r>
      <w:r w:rsidRPr="00406019">
        <w:rPr>
          <w:lang w:val="en-NZ"/>
        </w:rPr>
        <w:t>rules.</w:t>
      </w:r>
    </w:p>
    <w:p w:rsidR="006C223E" w:rsidRPr="00406019" w:rsidRDefault="006C223E" w:rsidP="00FC0565">
      <w:pPr>
        <w:rPr>
          <w:lang w:val="en-NZ"/>
        </w:rPr>
      </w:pPr>
    </w:p>
    <w:p w:rsidR="00B32D70" w:rsidRPr="00406019" w:rsidRDefault="00B32D70" w:rsidP="00B32D70">
      <w:pPr>
        <w:rPr>
          <w:lang w:val="en-NZ"/>
        </w:rPr>
      </w:pPr>
      <w:r w:rsidRPr="00406019">
        <w:rPr>
          <w:lang w:val="en-NZ"/>
        </w:rPr>
        <w:t xml:space="preserve">Losses arising only </w:t>
      </w:r>
      <w:proofErr w:type="gramStart"/>
      <w:r w:rsidRPr="00406019">
        <w:rPr>
          <w:lang w:val="en-NZ"/>
        </w:rPr>
        <w:t>as a result</w:t>
      </w:r>
      <w:proofErr w:type="gramEnd"/>
      <w:r w:rsidRPr="00406019">
        <w:rPr>
          <w:lang w:val="en-NZ"/>
        </w:rPr>
        <w:t xml:space="preserve"> of the bright-line test are ring-fenced so they can only be used to offset gains on other land sales that are taxable under any of the land sale provisions.  A person cannot recognise a loss under the bright-line test arising from a transfer of property to an associated person.</w:t>
      </w:r>
    </w:p>
    <w:p w:rsidR="00B32D70" w:rsidRPr="00406019" w:rsidRDefault="00B32D70" w:rsidP="00B32D70">
      <w:pPr>
        <w:rPr>
          <w:lang w:val="en-NZ"/>
        </w:rPr>
      </w:pPr>
    </w:p>
    <w:p w:rsidR="00CD15B6" w:rsidRPr="00406019" w:rsidRDefault="00CD15B6" w:rsidP="002C773A">
      <w:pPr>
        <w:rPr>
          <w:lang w:val="en-NZ"/>
        </w:rPr>
      </w:pPr>
      <w:r w:rsidRPr="00406019">
        <w:rPr>
          <w:lang w:val="en-NZ"/>
        </w:rPr>
        <w:br w:type="page"/>
      </w:r>
    </w:p>
    <w:p w:rsidR="00B32D70" w:rsidRPr="00406019" w:rsidRDefault="00B32D70" w:rsidP="00B32D70">
      <w:pPr>
        <w:rPr>
          <w:lang w:val="en-NZ"/>
        </w:rPr>
      </w:pPr>
      <w:r w:rsidRPr="00406019">
        <w:rPr>
          <w:lang w:val="en-NZ"/>
        </w:rPr>
        <w:t xml:space="preserve">Anti-avoidance rules will prevent land-rich companies or trusts </w:t>
      </w:r>
      <w:proofErr w:type="gramStart"/>
      <w:r w:rsidRPr="00406019">
        <w:rPr>
          <w:lang w:val="en-NZ"/>
        </w:rPr>
        <w:t>being used</w:t>
      </w:r>
      <w:proofErr w:type="gramEnd"/>
      <w:r w:rsidRPr="00406019">
        <w:rPr>
          <w:lang w:val="en-NZ"/>
        </w:rPr>
        <w:t xml:space="preserve"> to circumvent the bright-line test.</w:t>
      </w:r>
    </w:p>
    <w:p w:rsidR="00C54249" w:rsidRPr="00406019" w:rsidRDefault="00C54249" w:rsidP="00B32D70">
      <w:pPr>
        <w:rPr>
          <w:lang w:val="en-NZ"/>
        </w:rPr>
      </w:pPr>
    </w:p>
    <w:p w:rsidR="00C54249" w:rsidRPr="00406019" w:rsidRDefault="00C54249" w:rsidP="00C54249">
      <w:pPr>
        <w:rPr>
          <w:lang w:val="en-NZ"/>
        </w:rPr>
      </w:pPr>
      <w:r w:rsidRPr="00406019">
        <w:rPr>
          <w:lang w:val="en-NZ"/>
        </w:rPr>
        <w:t xml:space="preserve">The proposed bright-line test will apply to land for which an agreement for sale and purchase </w:t>
      </w:r>
      <w:proofErr w:type="gramStart"/>
      <w:r w:rsidRPr="00406019">
        <w:rPr>
          <w:lang w:val="en-NZ"/>
        </w:rPr>
        <w:t>is entered into</w:t>
      </w:r>
      <w:proofErr w:type="gramEnd"/>
      <w:r w:rsidRPr="00406019">
        <w:rPr>
          <w:lang w:val="en-NZ"/>
        </w:rPr>
        <w:t xml:space="preserve"> on or after 1 October 2015, and which is subsequently disposed of.  When the land </w:t>
      </w:r>
      <w:proofErr w:type="gramStart"/>
      <w:r w:rsidRPr="00406019">
        <w:rPr>
          <w:lang w:val="en-NZ"/>
        </w:rPr>
        <w:t>is acquired</w:t>
      </w:r>
      <w:proofErr w:type="gramEnd"/>
      <w:r w:rsidRPr="00406019">
        <w:rPr>
          <w:lang w:val="en-NZ"/>
        </w:rPr>
        <w:t xml:space="preserve"> other than by way of sale, the proposed bright-line test will apply when registration of title occurs on or after 1 October 2015.</w:t>
      </w:r>
    </w:p>
    <w:p w:rsidR="00C54249" w:rsidRPr="00406019" w:rsidRDefault="00C54249" w:rsidP="00B32D70">
      <w:pPr>
        <w:rPr>
          <w:lang w:val="en-NZ"/>
        </w:rPr>
      </w:pPr>
    </w:p>
    <w:p w:rsidR="00EB5A69" w:rsidRPr="00406019" w:rsidRDefault="00EB5A69" w:rsidP="002C773A">
      <w:pPr>
        <w:rPr>
          <w:lang w:val="en-NZ"/>
        </w:rPr>
      </w:pPr>
      <w:r w:rsidRPr="00406019">
        <w:rPr>
          <w:lang w:val="en-NZ"/>
        </w:rPr>
        <w:br w:type="page"/>
      </w:r>
    </w:p>
    <w:p w:rsidR="006B12FA" w:rsidRPr="00406019" w:rsidRDefault="006B12FA" w:rsidP="00C54249">
      <w:pPr>
        <w:pStyle w:val="Heading1"/>
      </w:pPr>
      <w:bookmarkStart w:id="8" w:name="_Toc428169671"/>
      <w:r w:rsidRPr="00406019">
        <w:t>Two</w:t>
      </w:r>
      <w:r w:rsidR="00C638DD" w:rsidRPr="00406019">
        <w:t>-</w:t>
      </w:r>
      <w:r w:rsidRPr="00406019">
        <w:t xml:space="preserve">year bright-line </w:t>
      </w:r>
      <w:r w:rsidR="00C54249" w:rsidRPr="00406019">
        <w:t>test</w:t>
      </w:r>
      <w:bookmarkEnd w:id="8"/>
    </w:p>
    <w:p w:rsidR="00C54249" w:rsidRPr="00406019" w:rsidRDefault="00C54249" w:rsidP="00C54249">
      <w:pPr>
        <w:rPr>
          <w:lang w:val="en-NZ"/>
        </w:rPr>
      </w:pPr>
    </w:p>
    <w:p w:rsidR="006B12FA" w:rsidRPr="00406019" w:rsidRDefault="006B12FA" w:rsidP="006B12FA">
      <w:pPr>
        <w:rPr>
          <w:b/>
          <w:i/>
          <w:lang w:val="en-NZ"/>
        </w:rPr>
      </w:pPr>
      <w:r w:rsidRPr="00406019">
        <w:rPr>
          <w:b/>
          <w:i/>
          <w:lang w:val="en-NZ"/>
        </w:rPr>
        <w:t xml:space="preserve">(Clauses </w:t>
      </w:r>
      <w:r w:rsidR="00B62C34" w:rsidRPr="00406019">
        <w:rPr>
          <w:b/>
          <w:i/>
          <w:lang w:val="en-NZ"/>
        </w:rPr>
        <w:t>4, 15(2), (3)</w:t>
      </w:r>
      <w:r w:rsidR="00C638DD" w:rsidRPr="00406019">
        <w:rPr>
          <w:b/>
          <w:i/>
          <w:lang w:val="en-NZ"/>
        </w:rPr>
        <w:t xml:space="preserve"> and</w:t>
      </w:r>
      <w:r w:rsidR="00B62C34" w:rsidRPr="00406019">
        <w:rPr>
          <w:b/>
          <w:i/>
          <w:lang w:val="en-NZ"/>
        </w:rPr>
        <w:t xml:space="preserve"> (4)</w:t>
      </w:r>
      <w:r w:rsidRPr="00406019">
        <w:rPr>
          <w:b/>
          <w:i/>
          <w:lang w:val="en-NZ"/>
        </w:rPr>
        <w:t>)</w:t>
      </w:r>
    </w:p>
    <w:p w:rsidR="006B12FA" w:rsidRPr="00406019" w:rsidRDefault="006B12FA" w:rsidP="006B12FA">
      <w:pPr>
        <w:rPr>
          <w:lang w:val="en-NZ"/>
        </w:rPr>
      </w:pPr>
    </w:p>
    <w:p w:rsidR="00175701" w:rsidRPr="00406019" w:rsidRDefault="00175701" w:rsidP="006B12FA">
      <w:pPr>
        <w:rPr>
          <w:lang w:val="en-NZ"/>
        </w:rPr>
      </w:pPr>
    </w:p>
    <w:p w:rsidR="00D47660" w:rsidRPr="00406019" w:rsidRDefault="00D47660" w:rsidP="00D47660">
      <w:pPr>
        <w:pStyle w:val="Heading2"/>
        <w:rPr>
          <w:lang w:val="en-NZ"/>
        </w:rPr>
      </w:pPr>
      <w:r w:rsidRPr="00406019">
        <w:rPr>
          <w:lang w:val="en-NZ"/>
        </w:rPr>
        <w:t>Summary of proposed amendment</w:t>
      </w:r>
    </w:p>
    <w:p w:rsidR="006B12FA" w:rsidRPr="00406019" w:rsidRDefault="006B12FA" w:rsidP="006B12FA">
      <w:pPr>
        <w:rPr>
          <w:lang w:val="en-NZ"/>
        </w:rPr>
      </w:pPr>
    </w:p>
    <w:p w:rsidR="009503B3" w:rsidRPr="00406019" w:rsidRDefault="004278AA" w:rsidP="006B12FA">
      <w:pPr>
        <w:rPr>
          <w:lang w:val="en-NZ"/>
        </w:rPr>
      </w:pPr>
      <w:r w:rsidRPr="00406019">
        <w:rPr>
          <w:lang w:val="en-NZ"/>
        </w:rPr>
        <w:t xml:space="preserve">The bill proposes that an amount a person derives from disposing of residential land is income of the person if it is disposed of within two years from acquisition.  </w:t>
      </w:r>
      <w:r w:rsidR="00D47660" w:rsidRPr="00406019">
        <w:rPr>
          <w:lang w:val="en-NZ"/>
        </w:rPr>
        <w:t xml:space="preserve">The </w:t>
      </w:r>
      <w:r w:rsidR="00C638DD" w:rsidRPr="00406019">
        <w:rPr>
          <w:lang w:val="en-NZ"/>
        </w:rPr>
        <w:t>b</w:t>
      </w:r>
      <w:r w:rsidR="00D47660" w:rsidRPr="00406019">
        <w:rPr>
          <w:lang w:val="en-NZ"/>
        </w:rPr>
        <w:t xml:space="preserve">ill proposes to define the </w:t>
      </w:r>
      <w:r w:rsidRPr="00406019">
        <w:rPr>
          <w:lang w:val="en-NZ"/>
        </w:rPr>
        <w:t>acquisition and disposal</w:t>
      </w:r>
      <w:r w:rsidR="00D47660" w:rsidRPr="00406019">
        <w:rPr>
          <w:lang w:val="en-NZ"/>
        </w:rPr>
        <w:t xml:space="preserve"> dates for the two-year bright-line period depending on the nature of the transaction.</w:t>
      </w:r>
    </w:p>
    <w:p w:rsidR="009503B3" w:rsidRPr="00406019" w:rsidRDefault="009503B3" w:rsidP="006B12FA">
      <w:pPr>
        <w:rPr>
          <w:lang w:val="en-NZ"/>
        </w:rPr>
      </w:pPr>
    </w:p>
    <w:p w:rsidR="00175701" w:rsidRPr="00406019" w:rsidRDefault="00175701" w:rsidP="006B12FA">
      <w:pPr>
        <w:rPr>
          <w:lang w:val="en-NZ"/>
        </w:rPr>
      </w:pPr>
    </w:p>
    <w:p w:rsidR="009503B3" w:rsidRPr="00406019" w:rsidRDefault="009503B3" w:rsidP="009503B3">
      <w:pPr>
        <w:pStyle w:val="Heading2"/>
        <w:rPr>
          <w:lang w:val="en-NZ"/>
        </w:rPr>
      </w:pPr>
      <w:r w:rsidRPr="00406019">
        <w:rPr>
          <w:lang w:val="en-NZ"/>
        </w:rPr>
        <w:t>Key features</w:t>
      </w:r>
    </w:p>
    <w:p w:rsidR="00D47660" w:rsidRPr="00406019" w:rsidRDefault="00D47660" w:rsidP="006B12FA">
      <w:pPr>
        <w:rPr>
          <w:lang w:val="en-NZ"/>
        </w:rPr>
      </w:pPr>
    </w:p>
    <w:p w:rsidR="006B12FA" w:rsidRPr="00406019" w:rsidRDefault="006B12FA" w:rsidP="00CD15B6">
      <w:pPr>
        <w:pStyle w:val="Heading3"/>
        <w:rPr>
          <w:lang w:val="en-NZ"/>
        </w:rPr>
      </w:pPr>
      <w:r w:rsidRPr="00406019">
        <w:rPr>
          <w:lang w:val="en-NZ"/>
        </w:rPr>
        <w:t>Standard sales of land</w:t>
      </w:r>
    </w:p>
    <w:p w:rsidR="006B12FA" w:rsidRPr="00406019" w:rsidRDefault="006B12FA" w:rsidP="006B12FA">
      <w:pPr>
        <w:rPr>
          <w:lang w:val="en-NZ"/>
        </w:rPr>
      </w:pPr>
    </w:p>
    <w:p w:rsidR="006B12FA" w:rsidRPr="00406019" w:rsidRDefault="006B12FA" w:rsidP="006B12FA">
      <w:pPr>
        <w:rPr>
          <w:lang w:val="en-NZ"/>
        </w:rPr>
      </w:pPr>
      <w:r w:rsidRPr="00406019">
        <w:rPr>
          <w:lang w:val="en-NZ"/>
        </w:rPr>
        <w:t xml:space="preserve">For most standard sales of </w:t>
      </w:r>
      <w:proofErr w:type="gramStart"/>
      <w:r w:rsidRPr="00406019">
        <w:rPr>
          <w:lang w:val="en-NZ"/>
        </w:rPr>
        <w:t>land</w:t>
      </w:r>
      <w:proofErr w:type="gramEnd"/>
      <w:r w:rsidRPr="00406019">
        <w:rPr>
          <w:lang w:val="en-NZ"/>
        </w:rPr>
        <w:t xml:space="preserve"> </w:t>
      </w:r>
      <w:r w:rsidR="00EC0259" w:rsidRPr="00406019">
        <w:rPr>
          <w:lang w:val="en-NZ"/>
        </w:rPr>
        <w:t>there are</w:t>
      </w:r>
      <w:r w:rsidR="009503B3" w:rsidRPr="00406019">
        <w:rPr>
          <w:lang w:val="en-NZ"/>
        </w:rPr>
        <w:t xml:space="preserve"> </w:t>
      </w:r>
      <w:r w:rsidRPr="00406019">
        <w:rPr>
          <w:lang w:val="en-NZ"/>
        </w:rPr>
        <w:t>four relevant dates</w:t>
      </w:r>
      <w:r w:rsidR="00EC0259" w:rsidRPr="00406019">
        <w:rPr>
          <w:lang w:val="en-NZ"/>
        </w:rPr>
        <w:t>:</w:t>
      </w:r>
    </w:p>
    <w:p w:rsidR="006B12FA" w:rsidRPr="00406019" w:rsidRDefault="006B12FA" w:rsidP="006B12FA">
      <w:pPr>
        <w:rPr>
          <w:lang w:val="en-NZ"/>
        </w:rPr>
      </w:pPr>
    </w:p>
    <w:p w:rsidR="006B12FA" w:rsidRPr="00406019" w:rsidRDefault="009D5A3E" w:rsidP="006B12FA">
      <w:pPr>
        <w:rPr>
          <w:lang w:val="en-NZ"/>
        </w:rPr>
      </w:pPr>
      <w:r w:rsidRPr="00406019">
        <w:rPr>
          <w:lang w:val="en-NZ" w:eastAsia="en-NZ"/>
        </w:rPr>
        <w:drawing>
          <wp:inline distT="0" distB="0" distL="0" distR="0" wp14:anchorId="4F946159" wp14:editId="0A678514">
            <wp:extent cx="5191125" cy="93345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933450"/>
                    </a:xfrm>
                    <a:prstGeom prst="rect">
                      <a:avLst/>
                    </a:prstGeom>
                    <a:noFill/>
                    <a:ln>
                      <a:noFill/>
                    </a:ln>
                  </pic:spPr>
                </pic:pic>
              </a:graphicData>
            </a:graphic>
          </wp:inline>
        </w:drawing>
      </w:r>
    </w:p>
    <w:p w:rsidR="006B12FA" w:rsidRPr="00406019" w:rsidRDefault="006B12FA" w:rsidP="006B12FA">
      <w:pPr>
        <w:rPr>
          <w:lang w:val="en-NZ"/>
        </w:rPr>
      </w:pPr>
    </w:p>
    <w:p w:rsidR="009D5A3E" w:rsidRPr="00406019" w:rsidRDefault="009D5A3E" w:rsidP="006B12FA">
      <w:pPr>
        <w:rPr>
          <w:lang w:val="en-NZ"/>
        </w:rPr>
      </w:pPr>
    </w:p>
    <w:p w:rsidR="006B12FA" w:rsidRPr="00406019" w:rsidRDefault="006B12FA" w:rsidP="006B12FA">
      <w:pPr>
        <w:rPr>
          <w:lang w:val="en-NZ"/>
        </w:rPr>
      </w:pPr>
      <w:r w:rsidRPr="00406019">
        <w:rPr>
          <w:lang w:val="en-NZ"/>
        </w:rPr>
        <w:t>For standard sales of land</w:t>
      </w:r>
      <w:r w:rsidR="00D47660" w:rsidRPr="00406019">
        <w:rPr>
          <w:lang w:val="en-NZ"/>
        </w:rPr>
        <w:t>,</w:t>
      </w:r>
      <w:r w:rsidRPr="00406019">
        <w:rPr>
          <w:lang w:val="en-NZ"/>
        </w:rPr>
        <w:t xml:space="preserve"> the proposed start date for the bright-line period is the date th</w:t>
      </w:r>
      <w:r w:rsidR="004278AA" w:rsidRPr="00406019">
        <w:rPr>
          <w:lang w:val="en-NZ"/>
        </w:rPr>
        <w:t>e</w:t>
      </w:r>
      <w:r w:rsidRPr="00406019">
        <w:rPr>
          <w:lang w:val="en-NZ"/>
        </w:rPr>
        <w:t xml:space="preserve"> transfer </w:t>
      </w:r>
      <w:r w:rsidR="004278AA" w:rsidRPr="00406019">
        <w:rPr>
          <w:lang w:val="en-NZ"/>
        </w:rPr>
        <w:t xml:space="preserve">of </w:t>
      </w:r>
      <w:r w:rsidRPr="00406019">
        <w:rPr>
          <w:lang w:val="en-NZ"/>
        </w:rPr>
        <w:t xml:space="preserve">the land </w:t>
      </w:r>
      <w:proofErr w:type="gramStart"/>
      <w:r w:rsidR="004278AA" w:rsidRPr="00406019">
        <w:rPr>
          <w:lang w:val="en-NZ"/>
        </w:rPr>
        <w:t>is registered</w:t>
      </w:r>
      <w:proofErr w:type="gramEnd"/>
      <w:r w:rsidR="004278AA" w:rsidRPr="00406019">
        <w:rPr>
          <w:lang w:val="en-NZ"/>
        </w:rPr>
        <w:t xml:space="preserve"> </w:t>
      </w:r>
      <w:r w:rsidRPr="00406019">
        <w:rPr>
          <w:lang w:val="en-NZ"/>
        </w:rPr>
        <w:t>to the person under the Land Transfer Act 1952</w:t>
      </w:r>
      <w:r w:rsidR="00021CFC" w:rsidRPr="00406019">
        <w:rPr>
          <w:lang w:val="en-NZ"/>
        </w:rPr>
        <w:t xml:space="preserve">.  </w:t>
      </w:r>
      <w:r w:rsidRPr="00406019">
        <w:rPr>
          <w:lang w:val="en-NZ"/>
        </w:rPr>
        <w:t>The proposed end date is the date that a person enters into an agreement to dispose of the</w:t>
      </w:r>
      <w:r w:rsidR="004278AA" w:rsidRPr="00406019">
        <w:rPr>
          <w:lang w:val="en-NZ"/>
        </w:rPr>
        <w:t xml:space="preserve"> land.</w:t>
      </w:r>
    </w:p>
    <w:p w:rsidR="006B12FA" w:rsidRPr="00406019" w:rsidRDefault="006B12FA" w:rsidP="006B12FA">
      <w:pPr>
        <w:rPr>
          <w:lang w:val="en-NZ"/>
        </w:rPr>
      </w:pPr>
    </w:p>
    <w:p w:rsidR="006B12FA" w:rsidRPr="00406019" w:rsidRDefault="006B12FA" w:rsidP="006B12FA">
      <w:pPr>
        <w:rPr>
          <w:lang w:val="en-NZ"/>
        </w:rPr>
      </w:pPr>
      <w:r w:rsidRPr="00406019">
        <w:rPr>
          <w:lang w:val="en-NZ"/>
        </w:rPr>
        <w:t>There are a number of situations whe</w:t>
      </w:r>
      <w:r w:rsidR="009503B3" w:rsidRPr="00406019">
        <w:rPr>
          <w:lang w:val="en-NZ"/>
        </w:rPr>
        <w:t>n</w:t>
      </w:r>
      <w:r w:rsidRPr="00406019">
        <w:rPr>
          <w:lang w:val="en-NZ"/>
        </w:rPr>
        <w:t xml:space="preserve"> land </w:t>
      </w:r>
      <w:proofErr w:type="gramStart"/>
      <w:r w:rsidRPr="00406019">
        <w:rPr>
          <w:lang w:val="en-NZ"/>
        </w:rPr>
        <w:t>is acquired</w:t>
      </w:r>
      <w:proofErr w:type="gramEnd"/>
      <w:r w:rsidRPr="00406019">
        <w:rPr>
          <w:lang w:val="en-NZ"/>
        </w:rPr>
        <w:t xml:space="preserve"> that do not follow the standard land sale</w:t>
      </w:r>
      <w:r w:rsidR="009503B3" w:rsidRPr="00406019">
        <w:rPr>
          <w:lang w:val="en-NZ"/>
        </w:rPr>
        <w:t>-</w:t>
      </w:r>
      <w:r w:rsidRPr="00406019">
        <w:rPr>
          <w:lang w:val="en-NZ"/>
        </w:rPr>
        <w:t>process.</w:t>
      </w:r>
      <w:r w:rsidR="00532A11" w:rsidRPr="00406019">
        <w:rPr>
          <w:lang w:val="en-NZ"/>
        </w:rPr>
        <w:t xml:space="preserve">  </w:t>
      </w:r>
      <w:r w:rsidRPr="00406019">
        <w:rPr>
          <w:lang w:val="en-NZ"/>
        </w:rPr>
        <w:t>For these situations</w:t>
      </w:r>
      <w:r w:rsidR="00D47660" w:rsidRPr="00406019">
        <w:rPr>
          <w:lang w:val="en-NZ"/>
        </w:rPr>
        <w:t>,</w:t>
      </w:r>
      <w:r w:rsidRPr="00406019">
        <w:rPr>
          <w:lang w:val="en-NZ"/>
        </w:rPr>
        <w:t xml:space="preserve"> there are separate rules for when the brig</w:t>
      </w:r>
      <w:r w:rsidR="00532A11" w:rsidRPr="00406019">
        <w:rPr>
          <w:lang w:val="en-NZ"/>
        </w:rPr>
        <w:t>ht-line period starts and ends.</w:t>
      </w:r>
    </w:p>
    <w:p w:rsidR="006B12FA" w:rsidRPr="00406019" w:rsidRDefault="006B12FA" w:rsidP="006B12FA">
      <w:pPr>
        <w:rPr>
          <w:lang w:val="en-NZ"/>
        </w:rPr>
      </w:pPr>
    </w:p>
    <w:p w:rsidR="006B12FA" w:rsidRPr="00406019" w:rsidRDefault="006B12FA" w:rsidP="00CD15B6">
      <w:pPr>
        <w:pStyle w:val="Heading3"/>
        <w:rPr>
          <w:lang w:val="en-NZ"/>
        </w:rPr>
      </w:pPr>
      <w:r w:rsidRPr="00406019">
        <w:rPr>
          <w:lang w:val="en-NZ"/>
        </w:rPr>
        <w:t>Start dates</w:t>
      </w:r>
    </w:p>
    <w:p w:rsidR="006B12FA" w:rsidRPr="00406019" w:rsidRDefault="006B12FA" w:rsidP="006B12FA">
      <w:pPr>
        <w:rPr>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264"/>
        <w:gridCol w:w="4264"/>
      </w:tblGrid>
      <w:tr w:rsidR="006B12FA" w:rsidRPr="00406019" w:rsidTr="006B3925">
        <w:trPr>
          <w:trHeight w:val="283"/>
        </w:trPr>
        <w:tc>
          <w:tcPr>
            <w:tcW w:w="4264" w:type="dxa"/>
          </w:tcPr>
          <w:p w:rsidR="006B12FA" w:rsidRPr="00406019" w:rsidRDefault="006B12FA" w:rsidP="00DF1369">
            <w:pPr>
              <w:spacing w:before="40" w:after="40"/>
              <w:rPr>
                <w:b/>
                <w:sz w:val="20"/>
                <w:lang w:val="en-NZ"/>
              </w:rPr>
            </w:pPr>
            <w:r w:rsidRPr="00406019">
              <w:rPr>
                <w:b/>
                <w:sz w:val="20"/>
                <w:lang w:val="en-NZ"/>
              </w:rPr>
              <w:t>Type of acquisition</w:t>
            </w:r>
          </w:p>
        </w:tc>
        <w:tc>
          <w:tcPr>
            <w:tcW w:w="4264" w:type="dxa"/>
          </w:tcPr>
          <w:p w:rsidR="006B12FA" w:rsidRPr="00406019" w:rsidRDefault="006B12FA" w:rsidP="00DF1369">
            <w:pPr>
              <w:spacing w:before="40" w:after="40"/>
              <w:rPr>
                <w:b/>
                <w:sz w:val="20"/>
                <w:lang w:val="en-NZ"/>
              </w:rPr>
            </w:pPr>
            <w:r w:rsidRPr="00406019">
              <w:rPr>
                <w:b/>
                <w:sz w:val="20"/>
                <w:lang w:val="en-NZ"/>
              </w:rPr>
              <w:t>Start date of bright-line</w:t>
            </w:r>
            <w:r w:rsidR="009503B3" w:rsidRPr="00406019">
              <w:rPr>
                <w:b/>
                <w:sz w:val="20"/>
                <w:lang w:val="en-NZ"/>
              </w:rPr>
              <w:t xml:space="preserve"> test</w:t>
            </w:r>
          </w:p>
        </w:tc>
      </w:tr>
      <w:tr w:rsidR="006B12FA" w:rsidRPr="00406019" w:rsidTr="006B3925">
        <w:trPr>
          <w:trHeight w:val="283"/>
        </w:trPr>
        <w:tc>
          <w:tcPr>
            <w:tcW w:w="4264" w:type="dxa"/>
          </w:tcPr>
          <w:p w:rsidR="006B12FA" w:rsidRPr="00406019" w:rsidRDefault="006B12FA" w:rsidP="00DF1369">
            <w:pPr>
              <w:spacing w:before="40" w:after="40"/>
              <w:rPr>
                <w:sz w:val="20"/>
                <w:lang w:val="en-NZ"/>
              </w:rPr>
            </w:pPr>
            <w:r w:rsidRPr="00406019">
              <w:rPr>
                <w:sz w:val="20"/>
                <w:lang w:val="en-NZ"/>
              </w:rPr>
              <w:t>Standard purchase of land</w:t>
            </w:r>
          </w:p>
        </w:tc>
        <w:tc>
          <w:tcPr>
            <w:tcW w:w="4264" w:type="dxa"/>
          </w:tcPr>
          <w:p w:rsidR="006B12FA" w:rsidRPr="00406019" w:rsidRDefault="006B12FA" w:rsidP="00DF1369">
            <w:pPr>
              <w:spacing w:before="40" w:after="40"/>
              <w:rPr>
                <w:sz w:val="20"/>
                <w:lang w:val="en-NZ"/>
              </w:rPr>
            </w:pPr>
            <w:r w:rsidRPr="00406019">
              <w:rPr>
                <w:sz w:val="20"/>
                <w:lang w:val="en-NZ"/>
              </w:rPr>
              <w:t>Registration</w:t>
            </w:r>
          </w:p>
        </w:tc>
      </w:tr>
      <w:tr w:rsidR="006B12FA" w:rsidRPr="00406019" w:rsidTr="006B3925">
        <w:trPr>
          <w:trHeight w:val="283"/>
        </w:trPr>
        <w:tc>
          <w:tcPr>
            <w:tcW w:w="4264" w:type="dxa"/>
          </w:tcPr>
          <w:p w:rsidR="006B12FA" w:rsidRPr="00406019" w:rsidRDefault="006B12FA" w:rsidP="00DF1369">
            <w:pPr>
              <w:spacing w:before="40" w:after="40"/>
              <w:rPr>
                <w:sz w:val="20"/>
                <w:lang w:val="en-NZ"/>
              </w:rPr>
            </w:pPr>
            <w:r w:rsidRPr="00406019">
              <w:rPr>
                <w:sz w:val="20"/>
                <w:lang w:val="en-NZ"/>
              </w:rPr>
              <w:t>Sales “off the plan”</w:t>
            </w:r>
          </w:p>
        </w:tc>
        <w:tc>
          <w:tcPr>
            <w:tcW w:w="4264" w:type="dxa"/>
          </w:tcPr>
          <w:p w:rsidR="006B12FA" w:rsidRPr="00406019" w:rsidRDefault="006B12FA" w:rsidP="00DF1369">
            <w:pPr>
              <w:spacing w:before="40" w:after="40"/>
              <w:rPr>
                <w:sz w:val="20"/>
                <w:lang w:val="en-NZ"/>
              </w:rPr>
            </w:pPr>
            <w:r w:rsidRPr="00406019">
              <w:rPr>
                <w:sz w:val="20"/>
                <w:lang w:val="en-NZ"/>
              </w:rPr>
              <w:t xml:space="preserve">Date </w:t>
            </w:r>
            <w:r w:rsidR="00A35164" w:rsidRPr="00406019">
              <w:rPr>
                <w:sz w:val="20"/>
                <w:lang w:val="en-NZ"/>
              </w:rPr>
              <w:t xml:space="preserve">of entry into </w:t>
            </w:r>
            <w:r w:rsidRPr="00406019">
              <w:rPr>
                <w:sz w:val="20"/>
                <w:lang w:val="en-NZ"/>
              </w:rPr>
              <w:t>a contract to purchase</w:t>
            </w:r>
          </w:p>
        </w:tc>
      </w:tr>
      <w:tr w:rsidR="006B12FA" w:rsidRPr="00406019" w:rsidTr="006B3925">
        <w:trPr>
          <w:trHeight w:val="283"/>
        </w:trPr>
        <w:tc>
          <w:tcPr>
            <w:tcW w:w="4264" w:type="dxa"/>
          </w:tcPr>
          <w:p w:rsidR="006B12FA" w:rsidRPr="00406019" w:rsidRDefault="006B12FA" w:rsidP="00DF1369">
            <w:pPr>
              <w:spacing w:before="40" w:after="40"/>
              <w:rPr>
                <w:sz w:val="20"/>
                <w:lang w:val="en-NZ"/>
              </w:rPr>
            </w:pPr>
            <w:r w:rsidRPr="00406019">
              <w:rPr>
                <w:sz w:val="20"/>
                <w:lang w:val="en-NZ"/>
              </w:rPr>
              <w:t>Other sales where no registration</w:t>
            </w:r>
          </w:p>
        </w:tc>
        <w:tc>
          <w:tcPr>
            <w:tcW w:w="4264" w:type="dxa"/>
          </w:tcPr>
          <w:p w:rsidR="006B12FA" w:rsidRPr="00406019" w:rsidRDefault="006B12FA" w:rsidP="00DF1369">
            <w:pPr>
              <w:spacing w:before="40" w:after="40"/>
              <w:rPr>
                <w:sz w:val="20"/>
                <w:lang w:val="en-NZ"/>
              </w:rPr>
            </w:pPr>
            <w:r w:rsidRPr="00406019">
              <w:rPr>
                <w:sz w:val="20"/>
                <w:lang w:val="en-NZ"/>
              </w:rPr>
              <w:t xml:space="preserve">Latest date property </w:t>
            </w:r>
            <w:r w:rsidR="00A35164" w:rsidRPr="00406019">
              <w:rPr>
                <w:sz w:val="20"/>
                <w:lang w:val="en-NZ"/>
              </w:rPr>
              <w:t xml:space="preserve">acquired </w:t>
            </w:r>
            <w:r w:rsidRPr="00406019">
              <w:rPr>
                <w:sz w:val="20"/>
                <w:lang w:val="en-NZ"/>
              </w:rPr>
              <w:t>(according to ordinary rules)</w:t>
            </w:r>
          </w:p>
        </w:tc>
      </w:tr>
      <w:tr w:rsidR="006B12FA" w:rsidRPr="00406019" w:rsidTr="006B3925">
        <w:trPr>
          <w:trHeight w:val="283"/>
        </w:trPr>
        <w:tc>
          <w:tcPr>
            <w:tcW w:w="4264" w:type="dxa"/>
          </w:tcPr>
          <w:p w:rsidR="006B12FA" w:rsidRPr="00406019" w:rsidRDefault="006B12FA" w:rsidP="00DF1369">
            <w:pPr>
              <w:spacing w:before="40" w:after="40"/>
              <w:rPr>
                <w:sz w:val="20"/>
                <w:lang w:val="en-NZ"/>
              </w:rPr>
            </w:pPr>
            <w:r w:rsidRPr="00406019">
              <w:rPr>
                <w:sz w:val="20"/>
                <w:lang w:val="en-NZ"/>
              </w:rPr>
              <w:t>Subdivided land</w:t>
            </w:r>
          </w:p>
        </w:tc>
        <w:tc>
          <w:tcPr>
            <w:tcW w:w="4264" w:type="dxa"/>
          </w:tcPr>
          <w:p w:rsidR="006B12FA" w:rsidRPr="00406019" w:rsidRDefault="006B12FA" w:rsidP="00DF1369">
            <w:pPr>
              <w:spacing w:before="40" w:after="40"/>
              <w:rPr>
                <w:sz w:val="20"/>
                <w:lang w:val="en-NZ"/>
              </w:rPr>
            </w:pPr>
            <w:r w:rsidRPr="00406019">
              <w:rPr>
                <w:sz w:val="20"/>
                <w:lang w:val="en-NZ"/>
              </w:rPr>
              <w:t>The original date of registration for the undivided land</w:t>
            </w:r>
          </w:p>
        </w:tc>
      </w:tr>
    </w:tbl>
    <w:p w:rsidR="006B12FA" w:rsidRPr="00406019" w:rsidRDefault="006B12FA" w:rsidP="006B12FA">
      <w:pPr>
        <w:rPr>
          <w:lang w:val="en-NZ"/>
        </w:rPr>
      </w:pPr>
    </w:p>
    <w:p w:rsidR="004979FB" w:rsidRPr="00406019" w:rsidRDefault="004979FB" w:rsidP="002C773A">
      <w:pPr>
        <w:rPr>
          <w:lang w:val="en-NZ"/>
        </w:rPr>
      </w:pPr>
      <w:r w:rsidRPr="00406019">
        <w:rPr>
          <w:lang w:val="en-NZ"/>
        </w:rPr>
        <w:br w:type="page"/>
      </w:r>
    </w:p>
    <w:p w:rsidR="006B12FA" w:rsidRPr="00406019" w:rsidRDefault="006B12FA" w:rsidP="00CD15B6">
      <w:pPr>
        <w:pStyle w:val="Heading4"/>
        <w:rPr>
          <w:lang w:val="en-NZ"/>
        </w:rPr>
      </w:pPr>
      <w:r w:rsidRPr="00406019">
        <w:rPr>
          <w:lang w:val="en-NZ"/>
        </w:rPr>
        <w:t xml:space="preserve">Sales where </w:t>
      </w:r>
      <w:r w:rsidR="009503B3" w:rsidRPr="00406019">
        <w:rPr>
          <w:lang w:val="en-NZ"/>
        </w:rPr>
        <w:t xml:space="preserve">there is </w:t>
      </w:r>
      <w:r w:rsidRPr="00406019">
        <w:rPr>
          <w:lang w:val="en-NZ"/>
        </w:rPr>
        <w:t>no registration of title</w:t>
      </w:r>
    </w:p>
    <w:p w:rsidR="006B12FA" w:rsidRPr="00406019" w:rsidRDefault="006B12FA" w:rsidP="006B12FA">
      <w:pPr>
        <w:rPr>
          <w:lang w:val="en-NZ"/>
        </w:rPr>
      </w:pPr>
    </w:p>
    <w:p w:rsidR="006B12FA" w:rsidRPr="00406019" w:rsidRDefault="006B12FA" w:rsidP="006B12FA">
      <w:pPr>
        <w:rPr>
          <w:lang w:val="en-NZ"/>
        </w:rPr>
      </w:pPr>
      <w:r w:rsidRPr="00406019">
        <w:rPr>
          <w:lang w:val="en-NZ"/>
        </w:rPr>
        <w:t>Whe</w:t>
      </w:r>
      <w:r w:rsidR="009503B3" w:rsidRPr="00406019">
        <w:rPr>
          <w:lang w:val="en-NZ"/>
        </w:rPr>
        <w:t>n</w:t>
      </w:r>
      <w:r w:rsidRPr="00406019">
        <w:rPr>
          <w:lang w:val="en-NZ"/>
        </w:rPr>
        <w:t xml:space="preserve"> there is no registration</w:t>
      </w:r>
      <w:r w:rsidR="00D47660" w:rsidRPr="00406019">
        <w:rPr>
          <w:lang w:val="en-NZ"/>
        </w:rPr>
        <w:t xml:space="preserve"> of the title</w:t>
      </w:r>
      <w:r w:rsidRPr="00406019">
        <w:rPr>
          <w:lang w:val="en-NZ"/>
        </w:rPr>
        <w:t xml:space="preserve">, the </w:t>
      </w:r>
      <w:r w:rsidR="009503B3" w:rsidRPr="00406019">
        <w:rPr>
          <w:lang w:val="en-NZ"/>
        </w:rPr>
        <w:t xml:space="preserve">proposed </w:t>
      </w:r>
      <w:r w:rsidRPr="00406019">
        <w:rPr>
          <w:lang w:val="en-NZ"/>
        </w:rPr>
        <w:t>start date of the bright-line test is the latest date that the person acquired the land under ordinary rules.</w:t>
      </w:r>
    </w:p>
    <w:p w:rsidR="006B12FA" w:rsidRPr="00406019" w:rsidRDefault="006B12FA" w:rsidP="006B12FA">
      <w:pPr>
        <w:rPr>
          <w:lang w:val="en-NZ"/>
        </w:rPr>
      </w:pPr>
    </w:p>
    <w:p w:rsidR="006B12FA" w:rsidRPr="00406019" w:rsidRDefault="006B12FA" w:rsidP="006B12FA">
      <w:pPr>
        <w:rPr>
          <w:lang w:val="en-NZ"/>
        </w:rPr>
      </w:pPr>
      <w:proofErr w:type="gramStart"/>
      <w:r w:rsidRPr="00406019">
        <w:rPr>
          <w:lang w:val="en-NZ"/>
        </w:rPr>
        <w:t>For sales of a contract to buy land</w:t>
      </w:r>
      <w:r w:rsidR="00D47660" w:rsidRPr="00406019">
        <w:rPr>
          <w:lang w:val="en-NZ"/>
        </w:rPr>
        <w:t>,</w:t>
      </w:r>
      <w:r w:rsidRPr="00406019">
        <w:rPr>
          <w:lang w:val="en-NZ"/>
        </w:rPr>
        <w:t xml:space="preserve"> this will be the date that a person enters into a contract to purchase the property</w:t>
      </w:r>
      <w:r w:rsidR="00021CFC" w:rsidRPr="00406019">
        <w:rPr>
          <w:lang w:val="en-NZ"/>
        </w:rPr>
        <w:t>.</w:t>
      </w:r>
      <w:proofErr w:type="gramEnd"/>
      <w:r w:rsidR="00021CFC" w:rsidRPr="00406019">
        <w:rPr>
          <w:lang w:val="en-NZ"/>
        </w:rPr>
        <w:t xml:space="preserve">  </w:t>
      </w:r>
      <w:r w:rsidRPr="00406019">
        <w:rPr>
          <w:lang w:val="en-NZ"/>
        </w:rPr>
        <w:t>This means that for sales of contracts to buy</w:t>
      </w:r>
      <w:r w:rsidR="009503B3" w:rsidRPr="00406019">
        <w:rPr>
          <w:lang w:val="en-NZ"/>
        </w:rPr>
        <w:t>,</w:t>
      </w:r>
      <w:r w:rsidRPr="00406019">
        <w:rPr>
          <w:lang w:val="en-NZ"/>
        </w:rPr>
        <w:t xml:space="preserve"> the bright-line </w:t>
      </w:r>
      <w:r w:rsidR="00B62C34" w:rsidRPr="00406019">
        <w:rPr>
          <w:lang w:val="en-NZ"/>
        </w:rPr>
        <w:t>period</w:t>
      </w:r>
      <w:r w:rsidRPr="00406019">
        <w:rPr>
          <w:lang w:val="en-NZ"/>
        </w:rPr>
        <w:t xml:space="preserve"> runs from the date that a person enters into a contract to purchase the land to the date that a person enters into a contract to sell the land.</w:t>
      </w:r>
    </w:p>
    <w:p w:rsidR="006B12FA" w:rsidRPr="00406019" w:rsidRDefault="006B12FA" w:rsidP="006B12FA">
      <w:pPr>
        <w:rPr>
          <w:lang w:val="en-NZ"/>
        </w:rPr>
      </w:pPr>
    </w:p>
    <w:p w:rsidR="006B12FA" w:rsidRPr="00406019" w:rsidRDefault="009D5A3E" w:rsidP="004F39B7">
      <w:pPr>
        <w:jc w:val="center"/>
        <w:rPr>
          <w:lang w:val="en-NZ"/>
        </w:rPr>
      </w:pPr>
      <w:r w:rsidRPr="00406019">
        <w:rPr>
          <w:lang w:val="en-NZ" w:eastAsia="en-NZ"/>
        </w:rPr>
        <w:drawing>
          <wp:inline distT="0" distB="0" distL="0" distR="0" wp14:anchorId="4068F967" wp14:editId="1634B38C">
            <wp:extent cx="5076825" cy="1228725"/>
            <wp:effectExtent l="0" t="0" r="9525"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6825" cy="1228725"/>
                    </a:xfrm>
                    <a:prstGeom prst="rect">
                      <a:avLst/>
                    </a:prstGeom>
                    <a:noFill/>
                    <a:ln>
                      <a:noFill/>
                    </a:ln>
                  </pic:spPr>
                </pic:pic>
              </a:graphicData>
            </a:graphic>
          </wp:inline>
        </w:drawing>
      </w:r>
    </w:p>
    <w:p w:rsidR="006B12FA" w:rsidRPr="00406019" w:rsidRDefault="006B12FA" w:rsidP="006B12FA">
      <w:pPr>
        <w:rPr>
          <w:lang w:val="en-NZ"/>
        </w:rPr>
      </w:pPr>
    </w:p>
    <w:p w:rsidR="00614D99" w:rsidRPr="00406019" w:rsidRDefault="00614D99" w:rsidP="006B12FA">
      <w:pPr>
        <w:rPr>
          <w:lang w:val="en-NZ"/>
        </w:rPr>
      </w:pPr>
    </w:p>
    <w:p w:rsidR="006B12FA" w:rsidRPr="00406019" w:rsidRDefault="006B12FA" w:rsidP="00CD15B6">
      <w:pPr>
        <w:pStyle w:val="Heading4"/>
        <w:rPr>
          <w:lang w:val="en-NZ"/>
        </w:rPr>
      </w:pPr>
      <w:r w:rsidRPr="00406019">
        <w:rPr>
          <w:lang w:val="en-NZ"/>
        </w:rPr>
        <w:t>Subdivisions</w:t>
      </w:r>
    </w:p>
    <w:p w:rsidR="006B12FA" w:rsidRPr="00406019" w:rsidRDefault="006B12FA" w:rsidP="006B12FA">
      <w:pPr>
        <w:rPr>
          <w:lang w:val="en-NZ"/>
        </w:rPr>
      </w:pPr>
    </w:p>
    <w:p w:rsidR="006B12FA" w:rsidRPr="00406019" w:rsidRDefault="006B12FA" w:rsidP="006B12FA">
      <w:pPr>
        <w:rPr>
          <w:lang w:val="en-NZ"/>
        </w:rPr>
      </w:pPr>
      <w:r w:rsidRPr="00406019">
        <w:rPr>
          <w:lang w:val="en-NZ"/>
        </w:rPr>
        <w:t xml:space="preserve">The </w:t>
      </w:r>
      <w:r w:rsidR="009503B3" w:rsidRPr="00406019">
        <w:rPr>
          <w:lang w:val="en-NZ"/>
        </w:rPr>
        <w:t xml:space="preserve">proposed </w:t>
      </w:r>
      <w:r w:rsidRPr="00406019">
        <w:rPr>
          <w:lang w:val="en-NZ"/>
        </w:rPr>
        <w:t xml:space="preserve">start date </w:t>
      </w:r>
      <w:r w:rsidR="00B62C34" w:rsidRPr="00406019">
        <w:rPr>
          <w:lang w:val="en-NZ"/>
        </w:rPr>
        <w:t>for the bright-line period when</w:t>
      </w:r>
      <w:r w:rsidRPr="00406019">
        <w:rPr>
          <w:lang w:val="en-NZ"/>
        </w:rPr>
        <w:t xml:space="preserve"> land is subdivided is the date the owner originally acquired the undivided land.</w:t>
      </w:r>
    </w:p>
    <w:p w:rsidR="009D5A3E" w:rsidRPr="00406019" w:rsidRDefault="009D5A3E" w:rsidP="006B12FA">
      <w:pPr>
        <w:rPr>
          <w:lang w:val="en-NZ"/>
        </w:rPr>
      </w:pPr>
    </w:p>
    <w:p w:rsidR="006B12FA" w:rsidRPr="00406019" w:rsidRDefault="009D5A3E" w:rsidP="009D5A3E">
      <w:pPr>
        <w:pBdr>
          <w:top w:val="single" w:sz="4" w:space="10" w:color="auto"/>
          <w:left w:val="single" w:sz="4" w:space="10" w:color="auto"/>
          <w:bottom w:val="single" w:sz="4" w:space="10" w:color="auto"/>
          <w:right w:val="single" w:sz="4" w:space="10" w:color="auto"/>
        </w:pBdr>
        <w:rPr>
          <w:b/>
          <w:sz w:val="20"/>
          <w:lang w:val="en-NZ"/>
        </w:rPr>
      </w:pPr>
      <w:r w:rsidRPr="00406019">
        <w:rPr>
          <w:b/>
          <w:sz w:val="20"/>
          <w:lang w:val="en-NZ"/>
        </w:rPr>
        <w:t>Example: Subdivision</w:t>
      </w:r>
    </w:p>
    <w:p w:rsidR="009D5A3E" w:rsidRPr="00406019" w:rsidRDefault="009D5A3E" w:rsidP="009D5A3E">
      <w:pPr>
        <w:pBdr>
          <w:top w:val="single" w:sz="4" w:space="10" w:color="auto"/>
          <w:left w:val="single" w:sz="4" w:space="10" w:color="auto"/>
          <w:bottom w:val="single" w:sz="4" w:space="10" w:color="auto"/>
          <w:right w:val="single" w:sz="4" w:space="10" w:color="auto"/>
        </w:pBdr>
        <w:rPr>
          <w:sz w:val="20"/>
          <w:lang w:val="en-NZ"/>
        </w:rPr>
      </w:pPr>
    </w:p>
    <w:p w:rsidR="00841A91" w:rsidRPr="00406019" w:rsidRDefault="00841A91" w:rsidP="004F39B7">
      <w:pPr>
        <w:pBdr>
          <w:top w:val="single" w:sz="4" w:space="10" w:color="auto"/>
          <w:left w:val="single" w:sz="4" w:space="10" w:color="auto"/>
          <w:bottom w:val="single" w:sz="4" w:space="10" w:color="auto"/>
          <w:right w:val="single" w:sz="4" w:space="10" w:color="auto"/>
        </w:pBdr>
        <w:jc w:val="center"/>
        <w:rPr>
          <w:sz w:val="20"/>
          <w:lang w:val="en-NZ"/>
        </w:rPr>
      </w:pPr>
      <w:r w:rsidRPr="00406019">
        <w:rPr>
          <w:sz w:val="20"/>
          <w:lang w:val="en-NZ" w:eastAsia="en-NZ"/>
        </w:rPr>
        <w:drawing>
          <wp:inline distT="0" distB="0" distL="0" distR="0" wp14:anchorId="7ED8AE23" wp14:editId="599D8254">
            <wp:extent cx="5278120" cy="843456"/>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8120" cy="843456"/>
                    </a:xfrm>
                    <a:prstGeom prst="rect">
                      <a:avLst/>
                    </a:prstGeom>
                    <a:noFill/>
                    <a:ln>
                      <a:noFill/>
                    </a:ln>
                  </pic:spPr>
                </pic:pic>
              </a:graphicData>
            </a:graphic>
          </wp:inline>
        </w:drawing>
      </w:r>
    </w:p>
    <w:p w:rsidR="00841A91" w:rsidRPr="00406019" w:rsidRDefault="00841A91" w:rsidP="009D5A3E">
      <w:pPr>
        <w:pBdr>
          <w:top w:val="single" w:sz="4" w:space="10" w:color="auto"/>
          <w:left w:val="single" w:sz="4" w:space="10" w:color="auto"/>
          <w:bottom w:val="single" w:sz="4" w:space="10" w:color="auto"/>
          <w:right w:val="single" w:sz="4" w:space="10" w:color="auto"/>
        </w:pBdr>
        <w:rPr>
          <w:sz w:val="20"/>
          <w:lang w:val="en-NZ"/>
        </w:rPr>
      </w:pPr>
    </w:p>
    <w:p w:rsidR="009D5A3E" w:rsidRPr="00406019" w:rsidRDefault="009D5A3E" w:rsidP="009D5A3E">
      <w:pPr>
        <w:pBdr>
          <w:top w:val="single" w:sz="4" w:space="10" w:color="auto"/>
          <w:left w:val="single" w:sz="4" w:space="10" w:color="auto"/>
          <w:bottom w:val="single" w:sz="4" w:space="10" w:color="auto"/>
          <w:right w:val="single" w:sz="4" w:space="10" w:color="auto"/>
        </w:pBdr>
        <w:rPr>
          <w:sz w:val="20"/>
          <w:lang w:val="en-NZ"/>
        </w:rPr>
      </w:pPr>
      <w:r w:rsidRPr="00406019">
        <w:rPr>
          <w:sz w:val="20"/>
          <w:lang w:val="en-NZ"/>
        </w:rPr>
        <w:t xml:space="preserve">The start date for the bright-line period is 1 May 2016 and the end date is 1 May 2022.  As a result, Bob’s sale of the second section to Carla </w:t>
      </w:r>
      <w:proofErr w:type="gramStart"/>
      <w:r w:rsidRPr="00406019">
        <w:rPr>
          <w:sz w:val="20"/>
          <w:lang w:val="en-NZ"/>
        </w:rPr>
        <w:t>is not covered</w:t>
      </w:r>
      <w:proofErr w:type="gramEnd"/>
      <w:r w:rsidRPr="00406019">
        <w:rPr>
          <w:sz w:val="20"/>
          <w:lang w:val="en-NZ"/>
        </w:rPr>
        <w:t xml:space="preserve"> by the bright-line test.</w:t>
      </w:r>
    </w:p>
    <w:p w:rsidR="009D5A3E" w:rsidRPr="00406019" w:rsidRDefault="009D5A3E" w:rsidP="006B12FA">
      <w:pPr>
        <w:rPr>
          <w:lang w:val="en-NZ"/>
        </w:rPr>
      </w:pPr>
    </w:p>
    <w:p w:rsidR="00614D99" w:rsidRPr="00406019" w:rsidRDefault="00614D99" w:rsidP="006B12FA">
      <w:pPr>
        <w:rPr>
          <w:lang w:val="en-NZ"/>
        </w:rPr>
      </w:pPr>
    </w:p>
    <w:p w:rsidR="006B12FA" w:rsidRPr="00406019" w:rsidRDefault="006B12FA" w:rsidP="00CD15B6">
      <w:pPr>
        <w:pStyle w:val="Heading3"/>
        <w:rPr>
          <w:lang w:val="en-NZ"/>
        </w:rPr>
      </w:pPr>
      <w:r w:rsidRPr="00406019">
        <w:rPr>
          <w:lang w:val="en-NZ"/>
        </w:rPr>
        <w:t>Disposals of land where there is no contract to sell</w:t>
      </w:r>
    </w:p>
    <w:p w:rsidR="006B12FA" w:rsidRPr="00406019" w:rsidRDefault="006B12FA" w:rsidP="006B12FA">
      <w:pPr>
        <w:rPr>
          <w:lang w:val="en-NZ"/>
        </w:rPr>
      </w:pPr>
    </w:p>
    <w:p w:rsidR="006B12FA" w:rsidRPr="00406019" w:rsidRDefault="006B12FA" w:rsidP="006B12FA">
      <w:pPr>
        <w:rPr>
          <w:lang w:val="en-NZ"/>
        </w:rPr>
      </w:pPr>
      <w:r w:rsidRPr="00406019">
        <w:rPr>
          <w:lang w:val="en-NZ"/>
        </w:rPr>
        <w:t>There are several situations whe</w:t>
      </w:r>
      <w:r w:rsidR="00EC0259" w:rsidRPr="00406019">
        <w:rPr>
          <w:lang w:val="en-NZ"/>
        </w:rPr>
        <w:t>n</w:t>
      </w:r>
      <w:r w:rsidRPr="00406019">
        <w:rPr>
          <w:lang w:val="en-NZ"/>
        </w:rPr>
        <w:t xml:space="preserve"> land is disposed of and there is no agreement to dispose of the property</w:t>
      </w:r>
      <w:r w:rsidR="00021CFC" w:rsidRPr="00406019">
        <w:rPr>
          <w:lang w:val="en-NZ"/>
        </w:rPr>
        <w:t xml:space="preserve">.  </w:t>
      </w:r>
      <w:r w:rsidRPr="00406019">
        <w:rPr>
          <w:lang w:val="en-NZ"/>
        </w:rPr>
        <w:t>In these situations</w:t>
      </w:r>
      <w:r w:rsidR="00D47660" w:rsidRPr="00406019">
        <w:rPr>
          <w:lang w:val="en-NZ"/>
        </w:rPr>
        <w:t>,</w:t>
      </w:r>
      <w:r w:rsidRPr="00406019">
        <w:rPr>
          <w:lang w:val="en-NZ"/>
        </w:rPr>
        <w:t xml:space="preserve"> the </w:t>
      </w:r>
      <w:r w:rsidR="009503B3" w:rsidRPr="00406019">
        <w:rPr>
          <w:lang w:val="en-NZ"/>
        </w:rPr>
        <w:t xml:space="preserve">proposed </w:t>
      </w:r>
      <w:r w:rsidRPr="00406019">
        <w:rPr>
          <w:lang w:val="en-NZ"/>
        </w:rPr>
        <w:t xml:space="preserve">end date for the bright-line </w:t>
      </w:r>
      <w:r w:rsidR="00B62C34" w:rsidRPr="00406019">
        <w:rPr>
          <w:lang w:val="en-NZ"/>
        </w:rPr>
        <w:t xml:space="preserve">period </w:t>
      </w:r>
      <w:r w:rsidR="00CD15B6" w:rsidRPr="00406019">
        <w:rPr>
          <w:lang w:val="en-NZ"/>
        </w:rPr>
        <w:t>differs from the standard rule.</w:t>
      </w:r>
    </w:p>
    <w:p w:rsidR="002C773A" w:rsidRPr="00406019" w:rsidRDefault="002C773A" w:rsidP="006B12FA">
      <w:pPr>
        <w:rPr>
          <w:lang w:val="en-NZ"/>
        </w:rPr>
      </w:pPr>
    </w:p>
    <w:p w:rsidR="00614D99" w:rsidRPr="00406019" w:rsidRDefault="00614D99" w:rsidP="002C773A">
      <w:pPr>
        <w:rPr>
          <w:lang w:val="en-NZ"/>
        </w:rPr>
      </w:pPr>
      <w:r w:rsidRPr="00406019">
        <w:rPr>
          <w:lang w:val="en-N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264"/>
        <w:gridCol w:w="4264"/>
      </w:tblGrid>
      <w:tr w:rsidR="006B12FA" w:rsidRPr="00406019" w:rsidTr="006B3925">
        <w:trPr>
          <w:trHeight w:val="283"/>
        </w:trPr>
        <w:tc>
          <w:tcPr>
            <w:tcW w:w="4264" w:type="dxa"/>
            <w:vAlign w:val="center"/>
          </w:tcPr>
          <w:p w:rsidR="006B12FA" w:rsidRPr="00406019" w:rsidRDefault="006B12FA" w:rsidP="00DF1369">
            <w:pPr>
              <w:spacing w:before="40" w:after="40"/>
              <w:jc w:val="left"/>
              <w:rPr>
                <w:b/>
                <w:sz w:val="20"/>
                <w:lang w:val="en-NZ"/>
              </w:rPr>
            </w:pPr>
            <w:r w:rsidRPr="00406019">
              <w:rPr>
                <w:b/>
                <w:sz w:val="20"/>
                <w:lang w:val="en-NZ"/>
              </w:rPr>
              <w:t>Type of disposal</w:t>
            </w:r>
          </w:p>
        </w:tc>
        <w:tc>
          <w:tcPr>
            <w:tcW w:w="4264" w:type="dxa"/>
            <w:vAlign w:val="center"/>
          </w:tcPr>
          <w:p w:rsidR="006B12FA" w:rsidRPr="00406019" w:rsidRDefault="006B12FA" w:rsidP="00DF1369">
            <w:pPr>
              <w:spacing w:before="40" w:after="40"/>
              <w:jc w:val="left"/>
              <w:rPr>
                <w:b/>
                <w:sz w:val="20"/>
                <w:lang w:val="en-NZ"/>
              </w:rPr>
            </w:pPr>
            <w:r w:rsidRPr="00406019">
              <w:rPr>
                <w:b/>
                <w:sz w:val="20"/>
                <w:lang w:val="en-NZ"/>
              </w:rPr>
              <w:t>End date of bright-line</w:t>
            </w:r>
            <w:r w:rsidR="00B62C34" w:rsidRPr="00406019">
              <w:rPr>
                <w:b/>
                <w:sz w:val="20"/>
                <w:lang w:val="en-NZ"/>
              </w:rPr>
              <w:t xml:space="preserve"> period</w:t>
            </w:r>
          </w:p>
        </w:tc>
      </w:tr>
      <w:tr w:rsidR="006B12FA" w:rsidRPr="00406019" w:rsidTr="006B3925">
        <w:trPr>
          <w:trHeight w:val="283"/>
        </w:trPr>
        <w:tc>
          <w:tcPr>
            <w:tcW w:w="4264" w:type="dxa"/>
            <w:vAlign w:val="center"/>
          </w:tcPr>
          <w:p w:rsidR="006B12FA" w:rsidRPr="00406019" w:rsidRDefault="006B12FA" w:rsidP="00DF1369">
            <w:pPr>
              <w:spacing w:before="40" w:after="40"/>
              <w:jc w:val="left"/>
              <w:rPr>
                <w:sz w:val="20"/>
                <w:lang w:val="en-NZ"/>
              </w:rPr>
            </w:pPr>
            <w:r w:rsidRPr="00406019">
              <w:rPr>
                <w:sz w:val="20"/>
                <w:lang w:val="en-NZ"/>
              </w:rPr>
              <w:t>Standard purchase of land</w:t>
            </w:r>
          </w:p>
        </w:tc>
        <w:tc>
          <w:tcPr>
            <w:tcW w:w="4264" w:type="dxa"/>
            <w:vAlign w:val="center"/>
          </w:tcPr>
          <w:p w:rsidR="006B12FA" w:rsidRPr="00406019" w:rsidRDefault="006B12FA" w:rsidP="00DF1369">
            <w:pPr>
              <w:spacing w:before="40" w:after="40"/>
              <w:jc w:val="left"/>
              <w:rPr>
                <w:sz w:val="20"/>
                <w:lang w:val="en-NZ"/>
              </w:rPr>
            </w:pPr>
            <w:r w:rsidRPr="00406019">
              <w:rPr>
                <w:sz w:val="20"/>
                <w:lang w:val="en-NZ"/>
              </w:rPr>
              <w:t xml:space="preserve">Date </w:t>
            </w:r>
            <w:r w:rsidR="00A35164" w:rsidRPr="00406019">
              <w:rPr>
                <w:sz w:val="20"/>
                <w:lang w:val="en-NZ"/>
              </w:rPr>
              <w:t xml:space="preserve">of </w:t>
            </w:r>
            <w:r w:rsidRPr="00406019">
              <w:rPr>
                <w:sz w:val="20"/>
                <w:lang w:val="en-NZ"/>
              </w:rPr>
              <w:t>ent</w:t>
            </w:r>
            <w:r w:rsidR="00A35164" w:rsidRPr="00406019">
              <w:rPr>
                <w:sz w:val="20"/>
                <w:lang w:val="en-NZ"/>
              </w:rPr>
              <w:t>ry</w:t>
            </w:r>
            <w:r w:rsidRPr="00406019">
              <w:rPr>
                <w:sz w:val="20"/>
                <w:lang w:val="en-NZ"/>
              </w:rPr>
              <w:t xml:space="preserve"> into agreement for sale</w:t>
            </w:r>
          </w:p>
        </w:tc>
      </w:tr>
      <w:tr w:rsidR="006B12FA" w:rsidRPr="00406019" w:rsidTr="006B3925">
        <w:trPr>
          <w:trHeight w:val="283"/>
        </w:trPr>
        <w:tc>
          <w:tcPr>
            <w:tcW w:w="4264" w:type="dxa"/>
            <w:vAlign w:val="center"/>
          </w:tcPr>
          <w:p w:rsidR="006B12FA" w:rsidRPr="00406019" w:rsidRDefault="006B12FA" w:rsidP="00DF1369">
            <w:pPr>
              <w:spacing w:before="40" w:after="40"/>
              <w:jc w:val="left"/>
              <w:rPr>
                <w:sz w:val="20"/>
                <w:lang w:val="en-NZ"/>
              </w:rPr>
            </w:pPr>
            <w:r w:rsidRPr="00406019">
              <w:rPr>
                <w:sz w:val="20"/>
                <w:lang w:val="en-NZ"/>
              </w:rPr>
              <w:t>Gift</w:t>
            </w:r>
          </w:p>
        </w:tc>
        <w:tc>
          <w:tcPr>
            <w:tcW w:w="4264" w:type="dxa"/>
            <w:vAlign w:val="center"/>
          </w:tcPr>
          <w:p w:rsidR="006B12FA" w:rsidRPr="00406019" w:rsidRDefault="006B12FA" w:rsidP="00DF1369">
            <w:pPr>
              <w:spacing w:before="40" w:after="40"/>
              <w:jc w:val="left"/>
              <w:rPr>
                <w:sz w:val="20"/>
                <w:lang w:val="en-NZ"/>
              </w:rPr>
            </w:pPr>
            <w:r w:rsidRPr="00406019">
              <w:rPr>
                <w:sz w:val="20"/>
                <w:lang w:val="en-NZ"/>
              </w:rPr>
              <w:t>Date of gift (generally registration of title)</w:t>
            </w:r>
          </w:p>
        </w:tc>
      </w:tr>
      <w:tr w:rsidR="006B12FA" w:rsidRPr="00406019" w:rsidTr="006B3925">
        <w:trPr>
          <w:trHeight w:val="283"/>
        </w:trPr>
        <w:tc>
          <w:tcPr>
            <w:tcW w:w="4264" w:type="dxa"/>
            <w:vAlign w:val="center"/>
          </w:tcPr>
          <w:p w:rsidR="006B12FA" w:rsidRPr="00406019" w:rsidRDefault="006B12FA" w:rsidP="00DF1369">
            <w:pPr>
              <w:spacing w:before="40" w:after="40"/>
              <w:jc w:val="left"/>
              <w:rPr>
                <w:sz w:val="20"/>
                <w:lang w:val="en-NZ"/>
              </w:rPr>
            </w:pPr>
            <w:r w:rsidRPr="00406019">
              <w:rPr>
                <w:sz w:val="20"/>
                <w:lang w:val="en-NZ"/>
              </w:rPr>
              <w:t>Compulsory acquisition</w:t>
            </w:r>
          </w:p>
        </w:tc>
        <w:tc>
          <w:tcPr>
            <w:tcW w:w="4264" w:type="dxa"/>
            <w:vAlign w:val="center"/>
          </w:tcPr>
          <w:p w:rsidR="006B12FA" w:rsidRPr="00406019" w:rsidRDefault="006B12FA" w:rsidP="00DF1369">
            <w:pPr>
              <w:spacing w:before="40" w:after="40"/>
              <w:jc w:val="left"/>
              <w:rPr>
                <w:sz w:val="20"/>
                <w:lang w:val="en-NZ"/>
              </w:rPr>
            </w:pPr>
            <w:r w:rsidRPr="00406019">
              <w:rPr>
                <w:sz w:val="20"/>
                <w:lang w:val="en-NZ"/>
              </w:rPr>
              <w:t>Date of compulsory acquisition</w:t>
            </w:r>
          </w:p>
        </w:tc>
      </w:tr>
      <w:tr w:rsidR="006B12FA" w:rsidRPr="00406019" w:rsidTr="006B3925">
        <w:trPr>
          <w:trHeight w:val="283"/>
        </w:trPr>
        <w:tc>
          <w:tcPr>
            <w:tcW w:w="4264" w:type="dxa"/>
            <w:vAlign w:val="center"/>
          </w:tcPr>
          <w:p w:rsidR="006B12FA" w:rsidRPr="00406019" w:rsidRDefault="006B12FA" w:rsidP="00DF1369">
            <w:pPr>
              <w:spacing w:before="40" w:after="40"/>
              <w:jc w:val="left"/>
              <w:rPr>
                <w:sz w:val="20"/>
                <w:lang w:val="en-NZ"/>
              </w:rPr>
            </w:pPr>
            <w:r w:rsidRPr="00406019">
              <w:rPr>
                <w:sz w:val="20"/>
                <w:lang w:val="en-NZ"/>
              </w:rPr>
              <w:t>Mortgagee sale</w:t>
            </w:r>
          </w:p>
        </w:tc>
        <w:tc>
          <w:tcPr>
            <w:tcW w:w="4264" w:type="dxa"/>
            <w:vAlign w:val="center"/>
          </w:tcPr>
          <w:p w:rsidR="006B12FA" w:rsidRPr="00406019" w:rsidRDefault="006B12FA" w:rsidP="00DF1369">
            <w:pPr>
              <w:spacing w:before="40" w:after="40"/>
              <w:jc w:val="left"/>
              <w:rPr>
                <w:sz w:val="20"/>
                <w:lang w:val="en-NZ"/>
              </w:rPr>
            </w:pPr>
            <w:r w:rsidRPr="00406019">
              <w:rPr>
                <w:sz w:val="20"/>
                <w:lang w:val="en-NZ"/>
              </w:rPr>
              <w:t xml:space="preserve">Date land disposed of by mortgagee </w:t>
            </w:r>
          </w:p>
        </w:tc>
      </w:tr>
      <w:tr w:rsidR="006B12FA" w:rsidRPr="00406019" w:rsidTr="006B3925">
        <w:trPr>
          <w:trHeight w:val="283"/>
        </w:trPr>
        <w:tc>
          <w:tcPr>
            <w:tcW w:w="4264" w:type="dxa"/>
            <w:vAlign w:val="center"/>
          </w:tcPr>
          <w:p w:rsidR="006B12FA" w:rsidRPr="00406019" w:rsidRDefault="006B12FA" w:rsidP="00DF1369">
            <w:pPr>
              <w:spacing w:before="40" w:after="40"/>
              <w:jc w:val="left"/>
              <w:rPr>
                <w:sz w:val="20"/>
                <w:lang w:val="en-NZ"/>
              </w:rPr>
            </w:pPr>
            <w:r w:rsidRPr="00406019">
              <w:rPr>
                <w:sz w:val="20"/>
                <w:lang w:val="en-NZ"/>
              </w:rPr>
              <w:t>Other disposals where no contract to sell</w:t>
            </w:r>
          </w:p>
        </w:tc>
        <w:tc>
          <w:tcPr>
            <w:tcW w:w="4264" w:type="dxa"/>
            <w:vAlign w:val="center"/>
          </w:tcPr>
          <w:p w:rsidR="006B12FA" w:rsidRPr="00406019" w:rsidRDefault="006B12FA" w:rsidP="00DF1369">
            <w:pPr>
              <w:spacing w:before="40" w:after="40"/>
              <w:jc w:val="left"/>
              <w:rPr>
                <w:sz w:val="20"/>
                <w:lang w:val="en-NZ"/>
              </w:rPr>
            </w:pPr>
            <w:r w:rsidRPr="00406019">
              <w:rPr>
                <w:sz w:val="20"/>
                <w:lang w:val="en-NZ"/>
              </w:rPr>
              <w:t>Date of disposal according to ordinary rules</w:t>
            </w:r>
          </w:p>
        </w:tc>
      </w:tr>
    </w:tbl>
    <w:p w:rsidR="00D47660" w:rsidRPr="00406019" w:rsidRDefault="00D47660" w:rsidP="006B12FA">
      <w:pPr>
        <w:rPr>
          <w:lang w:val="en-NZ"/>
        </w:rPr>
      </w:pPr>
    </w:p>
    <w:p w:rsidR="006B12FA" w:rsidRPr="00406019" w:rsidRDefault="006B12FA" w:rsidP="00CD15B6">
      <w:pPr>
        <w:pStyle w:val="Heading4"/>
        <w:rPr>
          <w:lang w:val="en-NZ"/>
        </w:rPr>
      </w:pPr>
      <w:r w:rsidRPr="00406019">
        <w:rPr>
          <w:lang w:val="en-NZ"/>
        </w:rPr>
        <w:t>Gifts</w:t>
      </w:r>
    </w:p>
    <w:p w:rsidR="006B12FA" w:rsidRPr="00406019" w:rsidRDefault="006B12FA" w:rsidP="006B12FA">
      <w:pPr>
        <w:rPr>
          <w:i/>
          <w:lang w:val="en-NZ"/>
        </w:rPr>
      </w:pPr>
    </w:p>
    <w:p w:rsidR="006B12FA" w:rsidRPr="00406019" w:rsidRDefault="006B12FA" w:rsidP="006B12FA">
      <w:pPr>
        <w:rPr>
          <w:lang w:val="en-NZ"/>
        </w:rPr>
      </w:pPr>
      <w:r w:rsidRPr="00406019">
        <w:rPr>
          <w:lang w:val="en-NZ"/>
        </w:rPr>
        <w:t>For gifts</w:t>
      </w:r>
      <w:r w:rsidR="00D47660" w:rsidRPr="00406019">
        <w:rPr>
          <w:lang w:val="en-NZ"/>
        </w:rPr>
        <w:t>,</w:t>
      </w:r>
      <w:r w:rsidRPr="00406019">
        <w:rPr>
          <w:lang w:val="en-NZ"/>
        </w:rPr>
        <w:t xml:space="preserve"> the </w:t>
      </w:r>
      <w:r w:rsidR="009503B3" w:rsidRPr="00406019">
        <w:rPr>
          <w:lang w:val="en-NZ"/>
        </w:rPr>
        <w:t xml:space="preserve">proposed </w:t>
      </w:r>
      <w:r w:rsidRPr="00406019">
        <w:rPr>
          <w:lang w:val="en-NZ"/>
        </w:rPr>
        <w:t xml:space="preserve">end date for the bright-line </w:t>
      </w:r>
      <w:r w:rsidR="00D47660" w:rsidRPr="00406019">
        <w:rPr>
          <w:lang w:val="en-NZ"/>
        </w:rPr>
        <w:t xml:space="preserve">period </w:t>
      </w:r>
      <w:r w:rsidRPr="00406019">
        <w:rPr>
          <w:lang w:val="en-NZ"/>
        </w:rPr>
        <w:t>is the date the person makes the gift of the residential land</w:t>
      </w:r>
      <w:r w:rsidR="00021CFC" w:rsidRPr="00406019">
        <w:rPr>
          <w:lang w:val="en-NZ"/>
        </w:rPr>
        <w:t xml:space="preserve">.  </w:t>
      </w:r>
      <w:r w:rsidRPr="00406019">
        <w:rPr>
          <w:lang w:val="en-NZ"/>
        </w:rPr>
        <w:t>This will be the date when the donor has done everything necessary to be done in order to transfer the property and render the</w:t>
      </w:r>
      <w:r w:rsidR="00D47660" w:rsidRPr="00406019">
        <w:rPr>
          <w:lang w:val="en-NZ"/>
        </w:rPr>
        <w:t xml:space="preserve"> settlement binding</w:t>
      </w:r>
      <w:r w:rsidRPr="00406019">
        <w:rPr>
          <w:lang w:val="en-NZ"/>
        </w:rPr>
        <w:t>.</w:t>
      </w:r>
    </w:p>
    <w:p w:rsidR="006B12FA" w:rsidRPr="00406019" w:rsidRDefault="006B12FA" w:rsidP="006B12FA">
      <w:pPr>
        <w:rPr>
          <w:lang w:val="en-NZ"/>
        </w:rPr>
      </w:pPr>
    </w:p>
    <w:p w:rsidR="006B12FA" w:rsidRPr="00406019" w:rsidRDefault="006B12FA" w:rsidP="006B12FA">
      <w:pPr>
        <w:rPr>
          <w:lang w:val="en-NZ"/>
        </w:rPr>
      </w:pPr>
      <w:r w:rsidRPr="00406019">
        <w:rPr>
          <w:lang w:val="en-NZ"/>
        </w:rPr>
        <w:t xml:space="preserve">For a gift of a </w:t>
      </w:r>
      <w:proofErr w:type="spellStart"/>
      <w:r w:rsidRPr="00406019">
        <w:rPr>
          <w:lang w:val="en-NZ"/>
        </w:rPr>
        <w:t>registrable</w:t>
      </w:r>
      <w:proofErr w:type="spellEnd"/>
      <w:r w:rsidRPr="00406019">
        <w:rPr>
          <w:lang w:val="en-NZ"/>
        </w:rPr>
        <w:t xml:space="preserve"> interest in land, this will mean the end date for t</w:t>
      </w:r>
      <w:r w:rsidR="00D47660" w:rsidRPr="00406019">
        <w:rPr>
          <w:lang w:val="en-NZ"/>
        </w:rPr>
        <w:t xml:space="preserve">he bright-line </w:t>
      </w:r>
      <w:r w:rsidR="00B62C34" w:rsidRPr="00406019">
        <w:rPr>
          <w:lang w:val="en-NZ"/>
        </w:rPr>
        <w:t xml:space="preserve">period </w:t>
      </w:r>
      <w:r w:rsidR="00D47660" w:rsidRPr="00406019">
        <w:rPr>
          <w:lang w:val="en-NZ"/>
        </w:rPr>
        <w:t xml:space="preserve">is the date </w:t>
      </w:r>
      <w:r w:rsidRPr="00406019">
        <w:rPr>
          <w:lang w:val="en-NZ"/>
        </w:rPr>
        <w:t>the interest is registered.</w:t>
      </w:r>
    </w:p>
    <w:p w:rsidR="00607BF2" w:rsidRPr="00406019" w:rsidRDefault="00607BF2" w:rsidP="006B12FA">
      <w:pPr>
        <w:rPr>
          <w:szCs w:val="24"/>
          <w:lang w:val="en-NZ"/>
        </w:rPr>
      </w:pPr>
    </w:p>
    <w:p w:rsidR="00614D99" w:rsidRPr="00406019" w:rsidRDefault="004F39B7" w:rsidP="00176010">
      <w:pPr>
        <w:jc w:val="center"/>
        <w:rPr>
          <w:szCs w:val="24"/>
          <w:lang w:val="en-NZ"/>
        </w:rPr>
      </w:pPr>
      <w:r w:rsidRPr="00406019">
        <w:rPr>
          <w:szCs w:val="24"/>
          <w:lang w:val="en-NZ"/>
        </w:rPr>
        <w:t>Gifts – start and end dates</w:t>
      </w:r>
    </w:p>
    <w:p w:rsidR="004F39B7" w:rsidRPr="00406019" w:rsidRDefault="004F39B7" w:rsidP="006B12FA">
      <w:pPr>
        <w:rPr>
          <w:lang w:val="en-NZ"/>
        </w:rPr>
      </w:pPr>
    </w:p>
    <w:p w:rsidR="004F39B7" w:rsidRPr="00406019" w:rsidRDefault="004F39B7" w:rsidP="004F39B7">
      <w:pPr>
        <w:jc w:val="center"/>
        <w:rPr>
          <w:lang w:val="en-NZ"/>
        </w:rPr>
      </w:pPr>
      <w:r w:rsidRPr="00406019">
        <w:rPr>
          <w:lang w:val="en-NZ" w:eastAsia="en-NZ"/>
        </w:rPr>
        <w:drawing>
          <wp:inline distT="0" distB="0" distL="0" distR="0" wp14:anchorId="0A9DB5E6" wp14:editId="5F57E2D0">
            <wp:extent cx="5191125" cy="93345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1125" cy="933450"/>
                    </a:xfrm>
                    <a:prstGeom prst="rect">
                      <a:avLst/>
                    </a:prstGeom>
                    <a:noFill/>
                    <a:ln>
                      <a:noFill/>
                    </a:ln>
                  </pic:spPr>
                </pic:pic>
              </a:graphicData>
            </a:graphic>
          </wp:inline>
        </w:drawing>
      </w:r>
    </w:p>
    <w:p w:rsidR="004F39B7" w:rsidRPr="00406019" w:rsidRDefault="004F39B7" w:rsidP="006B12FA">
      <w:pPr>
        <w:rPr>
          <w:lang w:val="en-NZ"/>
        </w:rPr>
      </w:pPr>
    </w:p>
    <w:p w:rsidR="006D4DF9" w:rsidRPr="00406019" w:rsidRDefault="006D4DF9" w:rsidP="006B12FA">
      <w:pPr>
        <w:rPr>
          <w:lang w:val="en-NZ"/>
        </w:rPr>
      </w:pPr>
    </w:p>
    <w:p w:rsidR="006B12FA" w:rsidRPr="00406019" w:rsidRDefault="006B12FA" w:rsidP="00CD15B6">
      <w:pPr>
        <w:pStyle w:val="Heading4"/>
        <w:rPr>
          <w:lang w:val="en-NZ"/>
        </w:rPr>
      </w:pPr>
      <w:r w:rsidRPr="00406019">
        <w:rPr>
          <w:lang w:val="en-NZ"/>
        </w:rPr>
        <w:t>Compulsory acquisition</w:t>
      </w:r>
    </w:p>
    <w:p w:rsidR="006B12FA" w:rsidRPr="00406019" w:rsidRDefault="006B12FA" w:rsidP="006B12FA">
      <w:pPr>
        <w:rPr>
          <w:lang w:val="en-NZ"/>
        </w:rPr>
      </w:pPr>
    </w:p>
    <w:p w:rsidR="006B12FA" w:rsidRPr="00406019" w:rsidRDefault="006B12FA" w:rsidP="006B12FA">
      <w:pPr>
        <w:rPr>
          <w:lang w:val="en-NZ"/>
        </w:rPr>
      </w:pPr>
      <w:r w:rsidRPr="00406019">
        <w:rPr>
          <w:lang w:val="en-NZ"/>
        </w:rPr>
        <w:t xml:space="preserve">Where the </w:t>
      </w:r>
      <w:proofErr w:type="gramStart"/>
      <w:r w:rsidRPr="00406019">
        <w:rPr>
          <w:lang w:val="en-NZ"/>
        </w:rPr>
        <w:t>land is compulsorily acquired by the Crown</w:t>
      </w:r>
      <w:proofErr w:type="gramEnd"/>
      <w:r w:rsidRPr="00406019">
        <w:rPr>
          <w:lang w:val="en-NZ"/>
        </w:rPr>
        <w:t xml:space="preserve">, the </w:t>
      </w:r>
      <w:r w:rsidR="009503B3" w:rsidRPr="00406019">
        <w:rPr>
          <w:lang w:val="en-NZ"/>
        </w:rPr>
        <w:t xml:space="preserve">proposed </w:t>
      </w:r>
      <w:r w:rsidRPr="00406019">
        <w:rPr>
          <w:lang w:val="en-NZ"/>
        </w:rPr>
        <w:t xml:space="preserve">end date of the bright-line </w:t>
      </w:r>
      <w:r w:rsidR="00D47660" w:rsidRPr="00406019">
        <w:rPr>
          <w:lang w:val="en-NZ"/>
        </w:rPr>
        <w:t xml:space="preserve">period </w:t>
      </w:r>
      <w:r w:rsidRPr="00406019">
        <w:rPr>
          <w:lang w:val="en-NZ"/>
        </w:rPr>
        <w:t>is the date that the land is compulsorily acquired</w:t>
      </w:r>
      <w:r w:rsidR="00021CFC" w:rsidRPr="00406019">
        <w:rPr>
          <w:lang w:val="en-NZ"/>
        </w:rPr>
        <w:t xml:space="preserve">.  </w:t>
      </w:r>
      <w:r w:rsidRPr="00406019">
        <w:rPr>
          <w:lang w:val="en-NZ"/>
        </w:rPr>
        <w:t xml:space="preserve">This will generally be 14 days after the proclamation taking the land </w:t>
      </w:r>
      <w:proofErr w:type="gramStart"/>
      <w:r w:rsidRPr="00406019">
        <w:rPr>
          <w:lang w:val="en-NZ"/>
        </w:rPr>
        <w:t>is published</w:t>
      </w:r>
      <w:proofErr w:type="gramEnd"/>
      <w:r w:rsidRPr="00406019">
        <w:rPr>
          <w:lang w:val="en-NZ"/>
        </w:rPr>
        <w:t xml:space="preserve"> in the </w:t>
      </w:r>
      <w:r w:rsidRPr="00406019">
        <w:rPr>
          <w:i/>
          <w:lang w:val="en-NZ"/>
        </w:rPr>
        <w:t>Gazette</w:t>
      </w:r>
      <w:r w:rsidR="009503B3" w:rsidRPr="00406019">
        <w:rPr>
          <w:i/>
          <w:lang w:val="en-NZ"/>
        </w:rPr>
        <w:t>.</w:t>
      </w:r>
      <w:r w:rsidRPr="00406019">
        <w:rPr>
          <w:rStyle w:val="FootnoteReference"/>
          <w:i/>
          <w:lang w:val="en-NZ"/>
        </w:rPr>
        <w:footnoteReference w:id="1"/>
      </w:r>
    </w:p>
    <w:p w:rsidR="00614D99" w:rsidRPr="00406019" w:rsidRDefault="00614D99" w:rsidP="006B12FA">
      <w:pPr>
        <w:rPr>
          <w:lang w:val="en-NZ"/>
        </w:rPr>
      </w:pPr>
    </w:p>
    <w:p w:rsidR="006B12FA" w:rsidRPr="00406019" w:rsidRDefault="006B12FA" w:rsidP="00CD15B6">
      <w:pPr>
        <w:pStyle w:val="Heading4"/>
        <w:rPr>
          <w:lang w:val="en-NZ"/>
        </w:rPr>
      </w:pPr>
      <w:r w:rsidRPr="00406019">
        <w:rPr>
          <w:lang w:val="en-NZ"/>
        </w:rPr>
        <w:t>Mortgagee sale</w:t>
      </w:r>
    </w:p>
    <w:p w:rsidR="006B12FA" w:rsidRPr="00406019" w:rsidRDefault="006B12FA" w:rsidP="006B12FA">
      <w:pPr>
        <w:rPr>
          <w:lang w:val="en-NZ"/>
        </w:rPr>
      </w:pPr>
    </w:p>
    <w:p w:rsidR="006B12FA" w:rsidRPr="00406019" w:rsidRDefault="006B12FA" w:rsidP="006B12FA">
      <w:pPr>
        <w:rPr>
          <w:lang w:val="en-NZ"/>
        </w:rPr>
      </w:pPr>
      <w:r w:rsidRPr="00406019">
        <w:rPr>
          <w:lang w:val="en-NZ"/>
        </w:rPr>
        <w:t>Whe</w:t>
      </w:r>
      <w:r w:rsidR="009503B3" w:rsidRPr="00406019">
        <w:rPr>
          <w:lang w:val="en-NZ"/>
        </w:rPr>
        <w:t>n</w:t>
      </w:r>
      <w:r w:rsidRPr="00406019">
        <w:rPr>
          <w:lang w:val="en-NZ"/>
        </w:rPr>
        <w:t xml:space="preserve"> </w:t>
      </w:r>
      <w:proofErr w:type="gramStart"/>
      <w:r w:rsidRPr="00406019">
        <w:rPr>
          <w:lang w:val="en-NZ"/>
        </w:rPr>
        <w:t>land is disposed of by a mortgagee exercising their right to dispose of the property</w:t>
      </w:r>
      <w:proofErr w:type="gramEnd"/>
      <w:r w:rsidR="00D47660" w:rsidRPr="00406019">
        <w:rPr>
          <w:lang w:val="en-NZ"/>
        </w:rPr>
        <w:t>,</w:t>
      </w:r>
      <w:r w:rsidRPr="00406019">
        <w:rPr>
          <w:lang w:val="en-NZ"/>
        </w:rPr>
        <w:t xml:space="preserve"> the </w:t>
      </w:r>
      <w:r w:rsidR="009503B3" w:rsidRPr="00406019">
        <w:rPr>
          <w:lang w:val="en-NZ"/>
        </w:rPr>
        <w:t xml:space="preserve">proposed </w:t>
      </w:r>
      <w:r w:rsidRPr="00406019">
        <w:rPr>
          <w:lang w:val="en-NZ"/>
        </w:rPr>
        <w:t xml:space="preserve">end date for the bright-line </w:t>
      </w:r>
      <w:r w:rsidR="00D47660" w:rsidRPr="00406019">
        <w:rPr>
          <w:lang w:val="en-NZ"/>
        </w:rPr>
        <w:t>period is the date when</w:t>
      </w:r>
      <w:r w:rsidRPr="00406019">
        <w:rPr>
          <w:lang w:val="en-NZ"/>
        </w:rPr>
        <w:t xml:space="preserve"> the land is disposed of by the mortgagee.</w:t>
      </w:r>
    </w:p>
    <w:p w:rsidR="00614D99" w:rsidRPr="00406019" w:rsidRDefault="00614D99" w:rsidP="006B12FA">
      <w:pPr>
        <w:rPr>
          <w:lang w:val="en-NZ"/>
        </w:rPr>
      </w:pPr>
    </w:p>
    <w:p w:rsidR="006B12FA" w:rsidRPr="00406019" w:rsidRDefault="006B12FA" w:rsidP="001C31B2">
      <w:pPr>
        <w:pStyle w:val="Heading4"/>
        <w:rPr>
          <w:lang w:val="en-NZ"/>
        </w:rPr>
      </w:pPr>
      <w:r w:rsidRPr="00406019">
        <w:rPr>
          <w:lang w:val="en-NZ"/>
        </w:rPr>
        <w:t>Other sales</w:t>
      </w:r>
    </w:p>
    <w:p w:rsidR="006B12FA" w:rsidRPr="00406019" w:rsidRDefault="006B12FA" w:rsidP="006B12FA">
      <w:pPr>
        <w:rPr>
          <w:i/>
          <w:lang w:val="en-NZ"/>
        </w:rPr>
      </w:pPr>
    </w:p>
    <w:p w:rsidR="006D4DF9" w:rsidRPr="00406019" w:rsidRDefault="006B12FA" w:rsidP="00614D99">
      <w:pPr>
        <w:rPr>
          <w:lang w:val="en-NZ"/>
        </w:rPr>
      </w:pPr>
      <w:r w:rsidRPr="00406019">
        <w:rPr>
          <w:lang w:val="en-NZ"/>
        </w:rPr>
        <w:t>If there is another type of disposal of land</w:t>
      </w:r>
      <w:r w:rsidR="009503B3" w:rsidRPr="00406019">
        <w:rPr>
          <w:lang w:val="en-NZ"/>
        </w:rPr>
        <w:t xml:space="preserve">, </w:t>
      </w:r>
      <w:r w:rsidRPr="00406019">
        <w:rPr>
          <w:lang w:val="en-NZ"/>
        </w:rPr>
        <w:t>the date of disposal is the date that the land is disposed of according to ordinary rules</w:t>
      </w:r>
      <w:r w:rsidR="00C54249" w:rsidRPr="00406019">
        <w:rPr>
          <w:lang w:val="en-NZ"/>
        </w:rPr>
        <w:t>.</w:t>
      </w:r>
    </w:p>
    <w:p w:rsidR="006D4DF9" w:rsidRPr="00406019" w:rsidRDefault="006D4DF9" w:rsidP="00614D99">
      <w:pPr>
        <w:rPr>
          <w:lang w:val="en-NZ"/>
        </w:rPr>
      </w:pPr>
    </w:p>
    <w:p w:rsidR="006F5BED" w:rsidRPr="00406019" w:rsidRDefault="006F5BED" w:rsidP="00614D99">
      <w:pPr>
        <w:rPr>
          <w:lang w:val="en-NZ"/>
        </w:rPr>
      </w:pPr>
      <w:r w:rsidRPr="00406019">
        <w:rPr>
          <w:lang w:val="en-NZ"/>
        </w:rPr>
        <w:br w:type="page"/>
      </w:r>
    </w:p>
    <w:p w:rsidR="006B12FA" w:rsidRPr="00406019" w:rsidRDefault="006B12FA" w:rsidP="006B12FA">
      <w:pPr>
        <w:pStyle w:val="Heading1"/>
      </w:pPr>
      <w:bookmarkStart w:id="9" w:name="_Toc428169672"/>
      <w:r w:rsidRPr="00406019">
        <w:t>Residential land</w:t>
      </w:r>
      <w:bookmarkEnd w:id="9"/>
    </w:p>
    <w:p w:rsidR="006B12FA" w:rsidRPr="00406019" w:rsidRDefault="006B12FA" w:rsidP="006B12FA">
      <w:pPr>
        <w:rPr>
          <w:lang w:val="en-NZ"/>
        </w:rPr>
      </w:pPr>
    </w:p>
    <w:p w:rsidR="006B12FA" w:rsidRPr="00406019" w:rsidRDefault="006B12FA" w:rsidP="006B12FA">
      <w:pPr>
        <w:rPr>
          <w:b/>
          <w:i/>
          <w:lang w:val="en-NZ"/>
        </w:rPr>
      </w:pPr>
      <w:r w:rsidRPr="00406019">
        <w:rPr>
          <w:b/>
          <w:i/>
          <w:lang w:val="en-NZ"/>
        </w:rPr>
        <w:t xml:space="preserve">(Clause </w:t>
      </w:r>
      <w:r w:rsidR="00B62C34" w:rsidRPr="00406019">
        <w:rPr>
          <w:b/>
          <w:i/>
          <w:lang w:val="en-NZ"/>
        </w:rPr>
        <w:t>15(5), (7)</w:t>
      </w:r>
      <w:r w:rsidR="007A181F" w:rsidRPr="00406019">
        <w:rPr>
          <w:b/>
          <w:i/>
          <w:lang w:val="en-NZ"/>
        </w:rPr>
        <w:t xml:space="preserve"> and</w:t>
      </w:r>
      <w:r w:rsidR="00B62C34" w:rsidRPr="00406019">
        <w:rPr>
          <w:b/>
          <w:i/>
          <w:lang w:val="en-NZ"/>
        </w:rPr>
        <w:t xml:space="preserve"> (1</w:t>
      </w:r>
      <w:r w:rsidR="00A35164" w:rsidRPr="00406019">
        <w:rPr>
          <w:b/>
          <w:i/>
          <w:lang w:val="en-NZ"/>
        </w:rPr>
        <w:t>1</w:t>
      </w:r>
      <w:r w:rsidR="00B62C34" w:rsidRPr="00406019">
        <w:rPr>
          <w:b/>
          <w:i/>
          <w:lang w:val="en-NZ"/>
        </w:rPr>
        <w:t>)</w:t>
      </w:r>
      <w:r w:rsidRPr="00406019">
        <w:rPr>
          <w:b/>
          <w:i/>
          <w:lang w:val="en-NZ"/>
        </w:rPr>
        <w:t>)</w:t>
      </w:r>
    </w:p>
    <w:p w:rsidR="006B12FA" w:rsidRPr="00406019" w:rsidRDefault="006B12FA" w:rsidP="006B12FA">
      <w:pPr>
        <w:rPr>
          <w:lang w:val="en-NZ"/>
        </w:rPr>
      </w:pPr>
    </w:p>
    <w:p w:rsidR="00175701" w:rsidRPr="00406019" w:rsidRDefault="00175701" w:rsidP="006B12FA">
      <w:pPr>
        <w:rPr>
          <w:lang w:val="en-NZ"/>
        </w:rPr>
      </w:pPr>
    </w:p>
    <w:p w:rsidR="00D47660" w:rsidRPr="00406019" w:rsidRDefault="00D47660" w:rsidP="00D47660">
      <w:pPr>
        <w:pStyle w:val="Heading2"/>
        <w:rPr>
          <w:lang w:val="en-NZ"/>
        </w:rPr>
      </w:pPr>
      <w:r w:rsidRPr="00406019">
        <w:rPr>
          <w:lang w:val="en-NZ"/>
        </w:rPr>
        <w:t>Summary of proposed amendment</w:t>
      </w:r>
    </w:p>
    <w:p w:rsidR="00D47660" w:rsidRPr="00406019" w:rsidRDefault="00D47660" w:rsidP="00D47660">
      <w:pPr>
        <w:rPr>
          <w:lang w:val="en-NZ"/>
        </w:rPr>
      </w:pPr>
    </w:p>
    <w:p w:rsidR="00D47660" w:rsidRPr="00406019" w:rsidRDefault="00D47660" w:rsidP="00D47660">
      <w:pPr>
        <w:rPr>
          <w:lang w:val="en-NZ"/>
        </w:rPr>
      </w:pPr>
      <w:r w:rsidRPr="00406019">
        <w:rPr>
          <w:lang w:val="en-NZ"/>
        </w:rPr>
        <w:t>The proposed bright-line test will only apply if the land disposed of is residential land at the date of disposal.</w:t>
      </w:r>
    </w:p>
    <w:p w:rsidR="009503B3" w:rsidRPr="00406019" w:rsidRDefault="009503B3" w:rsidP="006B12FA">
      <w:pPr>
        <w:rPr>
          <w:lang w:val="en-NZ"/>
        </w:rPr>
      </w:pPr>
    </w:p>
    <w:p w:rsidR="009503B3" w:rsidRPr="00406019" w:rsidRDefault="009503B3" w:rsidP="006B12FA">
      <w:pPr>
        <w:rPr>
          <w:lang w:val="en-NZ"/>
        </w:rPr>
      </w:pPr>
    </w:p>
    <w:p w:rsidR="006B12FA" w:rsidRPr="00406019" w:rsidRDefault="006B12FA" w:rsidP="006B12FA">
      <w:pPr>
        <w:pStyle w:val="Heading2"/>
        <w:rPr>
          <w:lang w:val="en-NZ"/>
        </w:rPr>
      </w:pPr>
      <w:r w:rsidRPr="00406019">
        <w:rPr>
          <w:lang w:val="en-NZ"/>
        </w:rPr>
        <w:t>Key features</w:t>
      </w:r>
    </w:p>
    <w:p w:rsidR="006B12FA" w:rsidRPr="00406019" w:rsidRDefault="006B12FA" w:rsidP="006B12FA">
      <w:pPr>
        <w:rPr>
          <w:lang w:val="en-NZ"/>
        </w:rPr>
      </w:pPr>
    </w:p>
    <w:p w:rsidR="006B12FA" w:rsidRPr="00406019" w:rsidRDefault="006B12FA" w:rsidP="006B12FA">
      <w:pPr>
        <w:rPr>
          <w:lang w:val="en-NZ"/>
        </w:rPr>
      </w:pPr>
      <w:r w:rsidRPr="00406019">
        <w:rPr>
          <w:lang w:val="en-NZ"/>
        </w:rPr>
        <w:t xml:space="preserve">The proposed definition of </w:t>
      </w:r>
      <w:r w:rsidR="00D47660" w:rsidRPr="00406019">
        <w:rPr>
          <w:lang w:val="en-NZ"/>
        </w:rPr>
        <w:t>“</w:t>
      </w:r>
      <w:r w:rsidRPr="00406019">
        <w:rPr>
          <w:lang w:val="en-NZ"/>
        </w:rPr>
        <w:t>residential land</w:t>
      </w:r>
      <w:r w:rsidR="00D47660" w:rsidRPr="00406019">
        <w:rPr>
          <w:lang w:val="en-NZ"/>
        </w:rPr>
        <w:t>”</w:t>
      </w:r>
      <w:r w:rsidRPr="00406019">
        <w:rPr>
          <w:lang w:val="en-NZ"/>
        </w:rPr>
        <w:t xml:space="preserve"> is land that:</w:t>
      </w:r>
    </w:p>
    <w:p w:rsidR="00642AB3" w:rsidRPr="00406019" w:rsidRDefault="00642AB3" w:rsidP="006B12FA">
      <w:pPr>
        <w:rPr>
          <w:lang w:val="en-NZ"/>
        </w:rPr>
      </w:pPr>
    </w:p>
    <w:p w:rsidR="006B12FA" w:rsidRPr="00406019" w:rsidRDefault="00642AB3" w:rsidP="00511E52">
      <w:pPr>
        <w:pStyle w:val="Bullets"/>
        <w:rPr>
          <w:lang w:val="en-NZ"/>
        </w:rPr>
      </w:pPr>
      <w:r w:rsidRPr="00406019">
        <w:rPr>
          <w:lang w:val="en-NZ"/>
        </w:rPr>
        <w:t>h</w:t>
      </w:r>
      <w:r w:rsidR="006B12FA" w:rsidRPr="00406019">
        <w:rPr>
          <w:lang w:val="en-NZ"/>
        </w:rPr>
        <w:t>as a dwelling on it;</w:t>
      </w:r>
      <w:r w:rsidR="00EC0259" w:rsidRPr="00406019">
        <w:rPr>
          <w:lang w:val="en-NZ"/>
        </w:rPr>
        <w:t xml:space="preserve"> or</w:t>
      </w:r>
    </w:p>
    <w:p w:rsidR="006B12FA" w:rsidRPr="00406019" w:rsidRDefault="00642AB3" w:rsidP="00511E52">
      <w:pPr>
        <w:pStyle w:val="Bullets"/>
        <w:rPr>
          <w:lang w:val="en-NZ"/>
        </w:rPr>
      </w:pPr>
      <w:r w:rsidRPr="00406019">
        <w:rPr>
          <w:lang w:val="en-NZ"/>
        </w:rPr>
        <w:t>t</w:t>
      </w:r>
      <w:r w:rsidR="006B12FA" w:rsidRPr="00406019">
        <w:rPr>
          <w:lang w:val="en-NZ"/>
        </w:rPr>
        <w:t>he seller of land is a party to an arrangement that relates to erecting a dwelling on it; or</w:t>
      </w:r>
    </w:p>
    <w:p w:rsidR="006B12FA" w:rsidRPr="00406019" w:rsidRDefault="00EC0259" w:rsidP="00511E52">
      <w:pPr>
        <w:pStyle w:val="Bullets-last"/>
        <w:rPr>
          <w:lang w:val="en-NZ"/>
        </w:rPr>
      </w:pPr>
      <w:proofErr w:type="gramStart"/>
      <w:r w:rsidRPr="00406019">
        <w:rPr>
          <w:lang w:val="en-NZ"/>
        </w:rPr>
        <w:t>is</w:t>
      </w:r>
      <w:proofErr w:type="gramEnd"/>
      <w:r w:rsidRPr="00406019">
        <w:rPr>
          <w:lang w:val="en-NZ"/>
        </w:rPr>
        <w:t xml:space="preserve"> bare land and </w:t>
      </w:r>
      <w:r w:rsidR="00642AB3" w:rsidRPr="00406019">
        <w:rPr>
          <w:lang w:val="en-NZ"/>
        </w:rPr>
        <w:t>b</w:t>
      </w:r>
      <w:r w:rsidR="006B12FA" w:rsidRPr="00406019">
        <w:rPr>
          <w:lang w:val="en-NZ"/>
        </w:rPr>
        <w:t>ecause of its area and nature is capable of having a dwelling erected on it.</w:t>
      </w:r>
    </w:p>
    <w:p w:rsidR="006B12FA" w:rsidRPr="00406019" w:rsidRDefault="006B12FA" w:rsidP="006B12FA">
      <w:pPr>
        <w:rPr>
          <w:lang w:val="en-NZ"/>
        </w:rPr>
      </w:pPr>
    </w:p>
    <w:p w:rsidR="002822B1" w:rsidRPr="00406019" w:rsidRDefault="00D47660" w:rsidP="002822B1">
      <w:pPr>
        <w:rPr>
          <w:lang w:val="en-NZ"/>
        </w:rPr>
      </w:pPr>
      <w:r w:rsidRPr="00406019">
        <w:rPr>
          <w:lang w:val="en-NZ"/>
        </w:rPr>
        <w:t xml:space="preserve">The first </w:t>
      </w:r>
      <w:r w:rsidR="002822B1" w:rsidRPr="00406019">
        <w:rPr>
          <w:lang w:val="en-NZ"/>
        </w:rPr>
        <w:t>criterion includes</w:t>
      </w:r>
      <w:r w:rsidRPr="00406019">
        <w:rPr>
          <w:lang w:val="en-NZ"/>
        </w:rPr>
        <w:t xml:space="preserve"> land that has a dwelling on it.  </w:t>
      </w:r>
      <w:r w:rsidR="002822B1" w:rsidRPr="00406019">
        <w:rPr>
          <w:lang w:val="en-NZ"/>
        </w:rPr>
        <w:t xml:space="preserve">The definition of </w:t>
      </w:r>
      <w:r w:rsidR="00642AB3" w:rsidRPr="00406019">
        <w:rPr>
          <w:lang w:val="en-NZ"/>
        </w:rPr>
        <w:t>“</w:t>
      </w:r>
      <w:r w:rsidR="002822B1" w:rsidRPr="00406019">
        <w:rPr>
          <w:lang w:val="en-NZ"/>
        </w:rPr>
        <w:t>dwelling</w:t>
      </w:r>
      <w:r w:rsidR="00642AB3" w:rsidRPr="00406019">
        <w:rPr>
          <w:lang w:val="en-NZ"/>
        </w:rPr>
        <w:t>”</w:t>
      </w:r>
      <w:r w:rsidR="002822B1" w:rsidRPr="00406019">
        <w:rPr>
          <w:lang w:val="en-NZ"/>
        </w:rPr>
        <w:t xml:space="preserve"> is the same as that currently used in the Income Tax Act 2007 and Goods and Services Tax Act 1985.  However, two </w:t>
      </w:r>
      <w:r w:rsidR="00642AB3" w:rsidRPr="00406019">
        <w:rPr>
          <w:lang w:val="en-NZ"/>
        </w:rPr>
        <w:t xml:space="preserve">new </w:t>
      </w:r>
      <w:r w:rsidR="002822B1" w:rsidRPr="00406019">
        <w:rPr>
          <w:lang w:val="en-NZ"/>
        </w:rPr>
        <w:t xml:space="preserve">adjustments </w:t>
      </w:r>
      <w:proofErr w:type="gramStart"/>
      <w:r w:rsidR="00642AB3" w:rsidRPr="00406019">
        <w:rPr>
          <w:lang w:val="en-NZ"/>
        </w:rPr>
        <w:t>are proposed</w:t>
      </w:r>
      <w:proofErr w:type="gramEnd"/>
      <w:r w:rsidR="00642AB3" w:rsidRPr="00406019">
        <w:rPr>
          <w:lang w:val="en-NZ"/>
        </w:rPr>
        <w:t xml:space="preserve"> </w:t>
      </w:r>
      <w:r w:rsidR="00EC0259" w:rsidRPr="00406019">
        <w:rPr>
          <w:lang w:val="en-NZ"/>
        </w:rPr>
        <w:t xml:space="preserve">to </w:t>
      </w:r>
      <w:r w:rsidR="002822B1" w:rsidRPr="00406019">
        <w:rPr>
          <w:lang w:val="en-NZ"/>
        </w:rPr>
        <w:t>the definition for the purposes of the bright-line test</w:t>
      </w:r>
      <w:r w:rsidR="00021CFC" w:rsidRPr="00406019">
        <w:rPr>
          <w:lang w:val="en-NZ"/>
        </w:rPr>
        <w:t xml:space="preserve">.  </w:t>
      </w:r>
      <w:r w:rsidR="002822B1" w:rsidRPr="00406019">
        <w:rPr>
          <w:lang w:val="en-NZ"/>
        </w:rPr>
        <w:t xml:space="preserve">The two adjustments are to include serviced apartments within the definition of </w:t>
      </w:r>
      <w:r w:rsidR="00642AB3" w:rsidRPr="00406019">
        <w:rPr>
          <w:lang w:val="en-NZ"/>
        </w:rPr>
        <w:t>“</w:t>
      </w:r>
      <w:r w:rsidR="002822B1" w:rsidRPr="00406019">
        <w:rPr>
          <w:lang w:val="en-NZ"/>
        </w:rPr>
        <w:t>residential land</w:t>
      </w:r>
      <w:r w:rsidR="00642AB3" w:rsidRPr="00406019">
        <w:rPr>
          <w:lang w:val="en-NZ"/>
        </w:rPr>
        <w:t>”</w:t>
      </w:r>
      <w:r w:rsidR="002822B1" w:rsidRPr="00406019">
        <w:rPr>
          <w:lang w:val="en-NZ"/>
        </w:rPr>
        <w:t xml:space="preserve"> and exclude all rest homes and retirement villages from the definition.</w:t>
      </w:r>
    </w:p>
    <w:p w:rsidR="006B12FA" w:rsidRPr="00406019" w:rsidRDefault="006B12FA" w:rsidP="006B12FA">
      <w:pPr>
        <w:rPr>
          <w:lang w:val="en-NZ"/>
        </w:rPr>
      </w:pPr>
    </w:p>
    <w:p w:rsidR="006B12FA" w:rsidRPr="00406019" w:rsidRDefault="002822B1" w:rsidP="006B12FA">
      <w:pPr>
        <w:rPr>
          <w:lang w:val="en-NZ"/>
        </w:rPr>
      </w:pPr>
      <w:r w:rsidRPr="00406019">
        <w:rPr>
          <w:lang w:val="en-NZ"/>
        </w:rPr>
        <w:t>The second criterion</w:t>
      </w:r>
      <w:r w:rsidR="006B12FA" w:rsidRPr="00406019">
        <w:rPr>
          <w:lang w:val="en-NZ"/>
        </w:rPr>
        <w:t xml:space="preserve"> </w:t>
      </w:r>
      <w:proofErr w:type="gramStart"/>
      <w:r w:rsidR="006B12FA" w:rsidRPr="00406019">
        <w:rPr>
          <w:lang w:val="en-NZ"/>
        </w:rPr>
        <w:t>is intended</w:t>
      </w:r>
      <w:proofErr w:type="gramEnd"/>
      <w:r w:rsidR="006B12FA" w:rsidRPr="00406019">
        <w:rPr>
          <w:lang w:val="en-NZ"/>
        </w:rPr>
        <w:t xml:space="preserve"> to ensure that the bright-line test covers land that does not have a dwelling </w:t>
      </w:r>
      <w:r w:rsidR="00642AB3" w:rsidRPr="00406019">
        <w:rPr>
          <w:lang w:val="en-NZ"/>
        </w:rPr>
        <w:t xml:space="preserve">on it </w:t>
      </w:r>
      <w:r w:rsidR="006B12FA" w:rsidRPr="00406019">
        <w:rPr>
          <w:lang w:val="en-NZ"/>
        </w:rPr>
        <w:t xml:space="preserve">at present but there is a plan or understanding to build a dwelling on it. </w:t>
      </w:r>
      <w:r w:rsidR="00B62C34" w:rsidRPr="00406019">
        <w:rPr>
          <w:lang w:val="en-NZ"/>
        </w:rPr>
        <w:t xml:space="preserve"> For example, this criterion </w:t>
      </w:r>
      <w:r w:rsidR="00642AB3" w:rsidRPr="00406019">
        <w:rPr>
          <w:lang w:val="en-NZ"/>
        </w:rPr>
        <w:t>would</w:t>
      </w:r>
      <w:r w:rsidR="00B62C34" w:rsidRPr="00406019">
        <w:rPr>
          <w:lang w:val="en-NZ"/>
        </w:rPr>
        <w:t xml:space="preserve"> apply when the owner of a</w:t>
      </w:r>
      <w:r w:rsidR="00A35164" w:rsidRPr="00406019">
        <w:rPr>
          <w:lang w:val="en-NZ"/>
        </w:rPr>
        <w:t xml:space="preserve"> commercial office </w:t>
      </w:r>
      <w:r w:rsidR="00B62C34" w:rsidRPr="00406019">
        <w:rPr>
          <w:lang w:val="en-NZ"/>
        </w:rPr>
        <w:t>has an arrangement to convert it into dwellings.</w:t>
      </w:r>
    </w:p>
    <w:p w:rsidR="006B12FA" w:rsidRPr="00406019" w:rsidRDefault="006B12FA" w:rsidP="006B12FA">
      <w:pPr>
        <w:rPr>
          <w:lang w:val="en-NZ"/>
        </w:rPr>
      </w:pPr>
    </w:p>
    <w:p w:rsidR="006B12FA" w:rsidRPr="00406019" w:rsidRDefault="002822B1" w:rsidP="006B12FA">
      <w:pPr>
        <w:rPr>
          <w:lang w:val="en-NZ"/>
        </w:rPr>
      </w:pPr>
      <w:r w:rsidRPr="00406019">
        <w:rPr>
          <w:lang w:val="en-NZ"/>
        </w:rPr>
        <w:t>The third criterion</w:t>
      </w:r>
      <w:r w:rsidR="006B12FA" w:rsidRPr="00406019">
        <w:rPr>
          <w:lang w:val="en-NZ"/>
        </w:rPr>
        <w:t xml:space="preserve"> </w:t>
      </w:r>
      <w:proofErr w:type="gramStart"/>
      <w:r w:rsidR="006B12FA" w:rsidRPr="00406019">
        <w:rPr>
          <w:lang w:val="en-NZ"/>
        </w:rPr>
        <w:t>is intended</w:t>
      </w:r>
      <w:proofErr w:type="gramEnd"/>
      <w:r w:rsidR="006B12FA" w:rsidRPr="00406019">
        <w:rPr>
          <w:lang w:val="en-NZ"/>
        </w:rPr>
        <w:t xml:space="preserve"> to ensure </w:t>
      </w:r>
      <w:r w:rsidR="00AD1FAE" w:rsidRPr="00406019">
        <w:rPr>
          <w:lang w:val="en-NZ"/>
        </w:rPr>
        <w:t xml:space="preserve">the bright-line test </w:t>
      </w:r>
      <w:r w:rsidR="00A35164" w:rsidRPr="00406019">
        <w:rPr>
          <w:lang w:val="en-NZ"/>
        </w:rPr>
        <w:t>applies to</w:t>
      </w:r>
      <w:r w:rsidR="006B12FA" w:rsidRPr="00406019">
        <w:rPr>
          <w:lang w:val="en-NZ"/>
        </w:rPr>
        <w:t xml:space="preserve"> bare land that</w:t>
      </w:r>
      <w:r w:rsidR="00AD1FAE" w:rsidRPr="00406019">
        <w:rPr>
          <w:lang w:val="en-NZ"/>
        </w:rPr>
        <w:t>,</w:t>
      </w:r>
      <w:r w:rsidR="006B12FA" w:rsidRPr="00406019">
        <w:rPr>
          <w:lang w:val="en-NZ"/>
        </w:rPr>
        <w:t xml:space="preserve"> because of the characteristics of the land</w:t>
      </w:r>
      <w:r w:rsidR="00AD1FAE" w:rsidRPr="00406019">
        <w:rPr>
          <w:lang w:val="en-NZ"/>
        </w:rPr>
        <w:t>,</w:t>
      </w:r>
      <w:r w:rsidR="006B12FA" w:rsidRPr="00406019">
        <w:rPr>
          <w:lang w:val="en-NZ"/>
        </w:rPr>
        <w:t xml:space="preserve"> is likely to have a dwelling on it in the future</w:t>
      </w:r>
      <w:r w:rsidR="00021CFC" w:rsidRPr="00406019">
        <w:rPr>
          <w:lang w:val="en-NZ"/>
        </w:rPr>
        <w:t xml:space="preserve">.  </w:t>
      </w:r>
      <w:r w:rsidR="006B12FA" w:rsidRPr="00406019">
        <w:rPr>
          <w:lang w:val="en-NZ"/>
        </w:rPr>
        <w:t>This would include bare land zoned as residential under the relevant unitary or district plan.</w:t>
      </w:r>
    </w:p>
    <w:p w:rsidR="00614D99" w:rsidRPr="00406019" w:rsidRDefault="00614D99" w:rsidP="006B12FA">
      <w:pPr>
        <w:rPr>
          <w:lang w:val="en-NZ"/>
        </w:rPr>
      </w:pPr>
    </w:p>
    <w:p w:rsidR="00614D99" w:rsidRPr="00406019" w:rsidRDefault="00614D99" w:rsidP="002C773A">
      <w:pPr>
        <w:rPr>
          <w:lang w:val="en-NZ"/>
        </w:rPr>
      </w:pPr>
      <w:r w:rsidRPr="00406019">
        <w:rPr>
          <w:lang w:val="en-NZ"/>
        </w:rPr>
        <w:br w:type="page"/>
      </w:r>
    </w:p>
    <w:p w:rsidR="006B12FA" w:rsidRPr="00406019" w:rsidRDefault="006B12FA" w:rsidP="00614D99">
      <w:pPr>
        <w:pBdr>
          <w:top w:val="single" w:sz="4" w:space="10" w:color="auto"/>
          <w:left w:val="single" w:sz="4" w:space="10" w:color="auto"/>
          <w:bottom w:val="single" w:sz="4" w:space="10" w:color="auto"/>
          <w:right w:val="single" w:sz="4" w:space="10" w:color="auto"/>
        </w:pBdr>
        <w:rPr>
          <w:b/>
          <w:sz w:val="20"/>
          <w:lang w:val="en-NZ"/>
        </w:rPr>
      </w:pPr>
      <w:r w:rsidRPr="00406019">
        <w:rPr>
          <w:b/>
          <w:sz w:val="20"/>
          <w:lang w:val="en-NZ"/>
        </w:rPr>
        <w:t>Example</w:t>
      </w:r>
      <w:r w:rsidR="00AD1FAE" w:rsidRPr="00406019">
        <w:rPr>
          <w:b/>
          <w:sz w:val="20"/>
          <w:lang w:val="en-NZ"/>
        </w:rPr>
        <w:t>: D</w:t>
      </w:r>
      <w:r w:rsidRPr="00406019">
        <w:rPr>
          <w:b/>
          <w:sz w:val="20"/>
          <w:lang w:val="en-NZ"/>
        </w:rPr>
        <w:t>evelopment</w:t>
      </w:r>
    </w:p>
    <w:p w:rsidR="006B12FA" w:rsidRPr="00406019" w:rsidRDefault="006B12FA" w:rsidP="00614D99">
      <w:pPr>
        <w:pBdr>
          <w:top w:val="single" w:sz="4" w:space="10" w:color="auto"/>
          <w:left w:val="single" w:sz="4" w:space="10" w:color="auto"/>
          <w:bottom w:val="single" w:sz="4" w:space="10" w:color="auto"/>
          <w:right w:val="single" w:sz="4" w:space="10" w:color="auto"/>
        </w:pBdr>
        <w:rPr>
          <w:sz w:val="20"/>
          <w:lang w:val="en-NZ"/>
        </w:rPr>
      </w:pPr>
    </w:p>
    <w:p w:rsidR="006B12FA" w:rsidRPr="00406019" w:rsidRDefault="006B12FA" w:rsidP="00614D99">
      <w:pPr>
        <w:pBdr>
          <w:top w:val="single" w:sz="4" w:space="10" w:color="auto"/>
          <w:left w:val="single" w:sz="4" w:space="10" w:color="auto"/>
          <w:bottom w:val="single" w:sz="4" w:space="10" w:color="auto"/>
          <w:right w:val="single" w:sz="4" w:space="10" w:color="auto"/>
        </w:pBdr>
        <w:rPr>
          <w:sz w:val="20"/>
          <w:lang w:val="en-NZ"/>
        </w:rPr>
      </w:pPr>
      <w:r w:rsidRPr="00406019">
        <w:rPr>
          <w:sz w:val="20"/>
          <w:lang w:val="en-NZ"/>
        </w:rPr>
        <w:t>Andrew buys an empty plot of land</w:t>
      </w:r>
      <w:r w:rsidR="00021CFC" w:rsidRPr="00406019">
        <w:rPr>
          <w:sz w:val="20"/>
          <w:lang w:val="en-NZ"/>
        </w:rPr>
        <w:t xml:space="preserve">.  </w:t>
      </w:r>
      <w:r w:rsidRPr="00406019">
        <w:rPr>
          <w:sz w:val="20"/>
          <w:lang w:val="en-NZ"/>
        </w:rPr>
        <w:t xml:space="preserve">He plans to develop the plot by subdividing it into </w:t>
      </w:r>
      <w:r w:rsidR="00AD1FAE" w:rsidRPr="00406019">
        <w:rPr>
          <w:sz w:val="20"/>
          <w:lang w:val="en-NZ"/>
        </w:rPr>
        <w:t>four</w:t>
      </w:r>
      <w:r w:rsidRPr="00406019">
        <w:rPr>
          <w:sz w:val="20"/>
          <w:lang w:val="en-NZ"/>
        </w:rPr>
        <w:t xml:space="preserve"> lots and building houses on each lot.</w:t>
      </w:r>
    </w:p>
    <w:p w:rsidR="006B12FA" w:rsidRPr="00406019" w:rsidRDefault="006B12FA" w:rsidP="00614D99">
      <w:pPr>
        <w:pBdr>
          <w:top w:val="single" w:sz="4" w:space="10" w:color="auto"/>
          <w:left w:val="single" w:sz="4" w:space="10" w:color="auto"/>
          <w:bottom w:val="single" w:sz="4" w:space="10" w:color="auto"/>
          <w:right w:val="single" w:sz="4" w:space="10" w:color="auto"/>
        </w:pBdr>
        <w:rPr>
          <w:sz w:val="20"/>
          <w:lang w:val="en-NZ"/>
        </w:rPr>
      </w:pPr>
    </w:p>
    <w:p w:rsidR="006B12FA" w:rsidRPr="00406019" w:rsidRDefault="006B12FA" w:rsidP="00614D99">
      <w:pPr>
        <w:pBdr>
          <w:top w:val="single" w:sz="4" w:space="10" w:color="auto"/>
          <w:left w:val="single" w:sz="4" w:space="10" w:color="auto"/>
          <w:bottom w:val="single" w:sz="4" w:space="10" w:color="auto"/>
          <w:right w:val="single" w:sz="4" w:space="10" w:color="auto"/>
        </w:pBdr>
        <w:rPr>
          <w:sz w:val="20"/>
          <w:lang w:val="en-NZ"/>
        </w:rPr>
      </w:pPr>
      <w:r w:rsidRPr="00406019">
        <w:rPr>
          <w:sz w:val="20"/>
          <w:lang w:val="en-NZ"/>
        </w:rPr>
        <w:t xml:space="preserve">Andrew sells </w:t>
      </w:r>
      <w:r w:rsidR="00614D99" w:rsidRPr="00406019">
        <w:rPr>
          <w:sz w:val="20"/>
          <w:lang w:val="en-NZ"/>
        </w:rPr>
        <w:t>Lot</w:t>
      </w:r>
      <w:r w:rsidRPr="00406019">
        <w:rPr>
          <w:sz w:val="20"/>
          <w:lang w:val="en-NZ"/>
        </w:rPr>
        <w:t xml:space="preserve"> 1 off the plan to Bob</w:t>
      </w:r>
      <w:r w:rsidR="00021CFC" w:rsidRPr="00406019">
        <w:rPr>
          <w:sz w:val="20"/>
          <w:lang w:val="en-NZ"/>
        </w:rPr>
        <w:t xml:space="preserve">.  </w:t>
      </w:r>
      <w:r w:rsidRPr="00406019">
        <w:rPr>
          <w:sz w:val="20"/>
          <w:lang w:val="en-NZ"/>
        </w:rPr>
        <w:t xml:space="preserve">One month later, Bob sells </w:t>
      </w:r>
      <w:r w:rsidR="00614D99" w:rsidRPr="00406019">
        <w:rPr>
          <w:sz w:val="20"/>
          <w:lang w:val="en-NZ"/>
        </w:rPr>
        <w:t>Lot</w:t>
      </w:r>
      <w:r w:rsidRPr="00406019">
        <w:rPr>
          <w:sz w:val="20"/>
          <w:lang w:val="en-NZ"/>
        </w:rPr>
        <w:t xml:space="preserve"> 1 to Car</w:t>
      </w:r>
      <w:r w:rsidR="00A35164" w:rsidRPr="00406019">
        <w:rPr>
          <w:sz w:val="20"/>
          <w:lang w:val="en-NZ"/>
        </w:rPr>
        <w:t>l</w:t>
      </w:r>
      <w:r w:rsidRPr="00406019">
        <w:rPr>
          <w:sz w:val="20"/>
          <w:lang w:val="en-NZ"/>
        </w:rPr>
        <w:t>a.</w:t>
      </w:r>
    </w:p>
    <w:p w:rsidR="006B12FA" w:rsidRPr="00406019" w:rsidRDefault="006B12FA" w:rsidP="00614D99">
      <w:pPr>
        <w:pBdr>
          <w:top w:val="single" w:sz="4" w:space="10" w:color="auto"/>
          <w:left w:val="single" w:sz="4" w:space="10" w:color="auto"/>
          <w:bottom w:val="single" w:sz="4" w:space="10" w:color="auto"/>
          <w:right w:val="single" w:sz="4" w:space="10" w:color="auto"/>
        </w:pBdr>
        <w:rPr>
          <w:sz w:val="20"/>
          <w:lang w:val="en-NZ"/>
        </w:rPr>
      </w:pPr>
      <w:r w:rsidRPr="00406019">
        <w:rPr>
          <w:sz w:val="20"/>
          <w:lang w:val="en-NZ"/>
        </w:rPr>
        <w:t xml:space="preserve">Lot 1 </w:t>
      </w:r>
      <w:r w:rsidR="00EC0259" w:rsidRPr="00406019">
        <w:rPr>
          <w:sz w:val="20"/>
          <w:lang w:val="en-NZ"/>
        </w:rPr>
        <w:t>is</w:t>
      </w:r>
      <w:r w:rsidRPr="00406019">
        <w:rPr>
          <w:sz w:val="20"/>
          <w:lang w:val="en-NZ"/>
        </w:rPr>
        <w:t xml:space="preserve"> residential land </w:t>
      </w:r>
      <w:proofErr w:type="gramStart"/>
      <w:r w:rsidR="00EC0259" w:rsidRPr="00406019">
        <w:rPr>
          <w:sz w:val="20"/>
          <w:lang w:val="en-NZ"/>
        </w:rPr>
        <w:t>as it is bare land that, because of its area and nature, is capable of having a dwelling on it</w:t>
      </w:r>
      <w:proofErr w:type="gramEnd"/>
      <w:r w:rsidR="00EC0259" w:rsidRPr="00406019">
        <w:rPr>
          <w:sz w:val="20"/>
          <w:lang w:val="en-NZ"/>
        </w:rPr>
        <w:t xml:space="preserve">.  Therefore, </w:t>
      </w:r>
      <w:r w:rsidRPr="00406019">
        <w:rPr>
          <w:sz w:val="20"/>
          <w:lang w:val="en-NZ"/>
        </w:rPr>
        <w:t xml:space="preserve">Bob would be subject to the bright-line </w:t>
      </w:r>
      <w:r w:rsidR="002822B1" w:rsidRPr="00406019">
        <w:rPr>
          <w:sz w:val="20"/>
          <w:lang w:val="en-NZ"/>
        </w:rPr>
        <w:t>test</w:t>
      </w:r>
      <w:r w:rsidRPr="00406019">
        <w:rPr>
          <w:sz w:val="20"/>
          <w:lang w:val="en-NZ"/>
        </w:rPr>
        <w:t>.</w:t>
      </w:r>
    </w:p>
    <w:p w:rsidR="006B12FA" w:rsidRPr="00406019" w:rsidRDefault="006B12FA" w:rsidP="006B12FA">
      <w:pPr>
        <w:rPr>
          <w:lang w:val="en-NZ"/>
        </w:rPr>
      </w:pPr>
    </w:p>
    <w:p w:rsidR="006B12FA" w:rsidRPr="00406019" w:rsidRDefault="006B12FA" w:rsidP="006B12FA">
      <w:pPr>
        <w:rPr>
          <w:lang w:val="en-NZ"/>
        </w:rPr>
      </w:pPr>
    </w:p>
    <w:p w:rsidR="006B12FA" w:rsidRPr="00406019" w:rsidRDefault="006B12FA" w:rsidP="001C31B2">
      <w:pPr>
        <w:pStyle w:val="Heading3"/>
        <w:rPr>
          <w:lang w:val="en-NZ"/>
        </w:rPr>
      </w:pPr>
      <w:r w:rsidRPr="00406019">
        <w:rPr>
          <w:lang w:val="en-NZ"/>
        </w:rPr>
        <w:t xml:space="preserve">Business premises or </w:t>
      </w:r>
      <w:r w:rsidR="00E22722" w:rsidRPr="00406019">
        <w:rPr>
          <w:lang w:val="en-NZ"/>
        </w:rPr>
        <w:t>farmland</w:t>
      </w:r>
    </w:p>
    <w:p w:rsidR="006B12FA" w:rsidRPr="00406019" w:rsidRDefault="006B12FA" w:rsidP="006B12FA">
      <w:pPr>
        <w:rPr>
          <w:lang w:val="en-NZ"/>
        </w:rPr>
      </w:pPr>
    </w:p>
    <w:p w:rsidR="006B12FA" w:rsidRPr="00406019" w:rsidRDefault="006B12FA" w:rsidP="006B12FA">
      <w:pPr>
        <w:rPr>
          <w:lang w:val="en-NZ"/>
        </w:rPr>
      </w:pPr>
      <w:r w:rsidRPr="00406019">
        <w:rPr>
          <w:lang w:val="en-NZ"/>
        </w:rPr>
        <w:t>Residential land does not include land used predominantly as business premises or farmland.</w:t>
      </w:r>
    </w:p>
    <w:p w:rsidR="002822B1" w:rsidRPr="00406019" w:rsidRDefault="002822B1" w:rsidP="006B12FA">
      <w:pPr>
        <w:rPr>
          <w:lang w:val="en-NZ"/>
        </w:rPr>
      </w:pPr>
    </w:p>
    <w:p w:rsidR="006B12FA" w:rsidRPr="00406019" w:rsidRDefault="006B12FA" w:rsidP="001C31B2">
      <w:pPr>
        <w:pStyle w:val="Heading4"/>
        <w:rPr>
          <w:lang w:val="en-NZ"/>
        </w:rPr>
      </w:pPr>
      <w:r w:rsidRPr="00406019">
        <w:rPr>
          <w:lang w:val="en-NZ"/>
        </w:rPr>
        <w:t>Business premises</w:t>
      </w:r>
    </w:p>
    <w:p w:rsidR="006B12FA" w:rsidRPr="00406019" w:rsidRDefault="006B12FA" w:rsidP="006B12FA">
      <w:pPr>
        <w:rPr>
          <w:lang w:val="en-NZ"/>
        </w:rPr>
      </w:pPr>
    </w:p>
    <w:p w:rsidR="006B12FA" w:rsidRPr="00406019" w:rsidRDefault="00AD1FAE" w:rsidP="006B12FA">
      <w:pPr>
        <w:rPr>
          <w:lang w:val="en-NZ"/>
        </w:rPr>
      </w:pPr>
      <w:r w:rsidRPr="00406019">
        <w:rPr>
          <w:lang w:val="en-NZ"/>
        </w:rPr>
        <w:t>“</w:t>
      </w:r>
      <w:r w:rsidR="006B12FA" w:rsidRPr="00406019">
        <w:rPr>
          <w:lang w:val="en-NZ"/>
        </w:rPr>
        <w:t>Business premises</w:t>
      </w:r>
      <w:r w:rsidRPr="00406019">
        <w:rPr>
          <w:lang w:val="en-NZ"/>
        </w:rPr>
        <w:t>”</w:t>
      </w:r>
      <w:r w:rsidR="006B12FA" w:rsidRPr="00406019">
        <w:rPr>
          <w:lang w:val="en-NZ"/>
        </w:rPr>
        <w:t xml:space="preserve"> has its ordinary meaning as within the rest of the Income Tax Act 2007</w:t>
      </w:r>
      <w:r w:rsidR="00021CFC" w:rsidRPr="00406019">
        <w:rPr>
          <w:lang w:val="en-NZ"/>
        </w:rPr>
        <w:t xml:space="preserve">.  </w:t>
      </w:r>
      <w:r w:rsidR="006B12FA" w:rsidRPr="00406019">
        <w:rPr>
          <w:lang w:val="en-NZ"/>
        </w:rPr>
        <w:t xml:space="preserve">Properties rented out for residential purposes are not </w:t>
      </w:r>
      <w:r w:rsidRPr="00406019">
        <w:rPr>
          <w:lang w:val="en-NZ"/>
        </w:rPr>
        <w:t>“</w:t>
      </w:r>
      <w:r w:rsidR="00B62C34" w:rsidRPr="00406019">
        <w:rPr>
          <w:lang w:val="en-NZ"/>
        </w:rPr>
        <w:t>business premises</w:t>
      </w:r>
      <w:r w:rsidRPr="00406019">
        <w:rPr>
          <w:lang w:val="en-NZ"/>
        </w:rPr>
        <w:t>”</w:t>
      </w:r>
      <w:r w:rsidR="00C54249" w:rsidRPr="00406019">
        <w:rPr>
          <w:lang w:val="en-NZ"/>
        </w:rPr>
        <w:t>.</w:t>
      </w:r>
      <w:r w:rsidR="002822B1" w:rsidRPr="00406019">
        <w:rPr>
          <w:lang w:val="en-NZ"/>
        </w:rPr>
        <w:t xml:space="preserve">  However, </w:t>
      </w:r>
      <w:r w:rsidR="006B12FA" w:rsidRPr="00406019">
        <w:rPr>
          <w:lang w:val="en-NZ"/>
        </w:rPr>
        <w:t xml:space="preserve">properties rented out to other businesses to use as premises </w:t>
      </w:r>
      <w:proofErr w:type="gramStart"/>
      <w:r w:rsidR="006B12FA" w:rsidRPr="00406019">
        <w:rPr>
          <w:lang w:val="en-NZ"/>
        </w:rPr>
        <w:t>are covered</w:t>
      </w:r>
      <w:proofErr w:type="gramEnd"/>
      <w:r w:rsidR="006B12FA" w:rsidRPr="00406019">
        <w:rPr>
          <w:lang w:val="en-NZ"/>
        </w:rPr>
        <w:t xml:space="preserve"> by the exclusion.</w:t>
      </w:r>
    </w:p>
    <w:p w:rsidR="006B12FA" w:rsidRPr="00406019" w:rsidRDefault="006B12FA" w:rsidP="006B12FA">
      <w:pPr>
        <w:rPr>
          <w:lang w:val="en-NZ"/>
        </w:rPr>
      </w:pPr>
    </w:p>
    <w:p w:rsidR="006B12FA" w:rsidRPr="00406019" w:rsidRDefault="006B12FA" w:rsidP="00614D99">
      <w:pPr>
        <w:pBdr>
          <w:top w:val="single" w:sz="4" w:space="10" w:color="auto"/>
          <w:left w:val="single" w:sz="4" w:space="10" w:color="auto"/>
          <w:bottom w:val="single" w:sz="4" w:space="10" w:color="auto"/>
          <w:right w:val="single" w:sz="4" w:space="10" w:color="auto"/>
        </w:pBdr>
        <w:rPr>
          <w:b/>
          <w:sz w:val="20"/>
          <w:lang w:val="en-NZ"/>
        </w:rPr>
      </w:pPr>
      <w:r w:rsidRPr="00406019">
        <w:rPr>
          <w:b/>
          <w:sz w:val="20"/>
          <w:lang w:val="en-NZ"/>
        </w:rPr>
        <w:t>Example</w:t>
      </w:r>
      <w:r w:rsidR="00AD1FAE" w:rsidRPr="00406019">
        <w:rPr>
          <w:b/>
          <w:sz w:val="20"/>
          <w:lang w:val="en-NZ"/>
        </w:rPr>
        <w:t>: B</w:t>
      </w:r>
      <w:r w:rsidRPr="00406019">
        <w:rPr>
          <w:b/>
          <w:sz w:val="20"/>
          <w:lang w:val="en-NZ"/>
        </w:rPr>
        <w:t>ed and breakfast</w:t>
      </w:r>
    </w:p>
    <w:p w:rsidR="006B12FA" w:rsidRPr="00406019" w:rsidRDefault="006B12FA" w:rsidP="00614D99">
      <w:pPr>
        <w:pBdr>
          <w:top w:val="single" w:sz="4" w:space="10" w:color="auto"/>
          <w:left w:val="single" w:sz="4" w:space="10" w:color="auto"/>
          <w:bottom w:val="single" w:sz="4" w:space="10" w:color="auto"/>
          <w:right w:val="single" w:sz="4" w:space="10" w:color="auto"/>
        </w:pBdr>
        <w:rPr>
          <w:sz w:val="20"/>
          <w:lang w:val="en-NZ"/>
        </w:rPr>
      </w:pPr>
    </w:p>
    <w:p w:rsidR="006B12FA" w:rsidRPr="00406019" w:rsidRDefault="006B12FA" w:rsidP="00614D99">
      <w:pPr>
        <w:pBdr>
          <w:top w:val="single" w:sz="4" w:space="10" w:color="auto"/>
          <w:left w:val="single" w:sz="4" w:space="10" w:color="auto"/>
          <w:bottom w:val="single" w:sz="4" w:space="10" w:color="auto"/>
          <w:right w:val="single" w:sz="4" w:space="10" w:color="auto"/>
        </w:pBdr>
        <w:rPr>
          <w:sz w:val="20"/>
          <w:lang w:val="en-NZ"/>
        </w:rPr>
      </w:pPr>
      <w:r w:rsidRPr="00406019">
        <w:rPr>
          <w:sz w:val="20"/>
          <w:lang w:val="en-NZ"/>
        </w:rPr>
        <w:t xml:space="preserve">Mary owns a bed and breakfast. </w:t>
      </w:r>
      <w:r w:rsidR="00AD1FAE" w:rsidRPr="00406019">
        <w:rPr>
          <w:sz w:val="20"/>
          <w:lang w:val="en-NZ"/>
        </w:rPr>
        <w:t xml:space="preserve"> She</w:t>
      </w:r>
      <w:r w:rsidRPr="00406019">
        <w:rPr>
          <w:sz w:val="20"/>
          <w:lang w:val="en-NZ"/>
        </w:rPr>
        <w:t xml:space="preserve"> provides food to the residents, room service and cleans the rooms she lets out every day.</w:t>
      </w:r>
    </w:p>
    <w:p w:rsidR="006B12FA" w:rsidRPr="00406019" w:rsidRDefault="006B12FA" w:rsidP="00614D99">
      <w:pPr>
        <w:pBdr>
          <w:top w:val="single" w:sz="4" w:space="10" w:color="auto"/>
          <w:left w:val="single" w:sz="4" w:space="10" w:color="auto"/>
          <w:bottom w:val="single" w:sz="4" w:space="10" w:color="auto"/>
          <w:right w:val="single" w:sz="4" w:space="10" w:color="auto"/>
        </w:pBdr>
        <w:rPr>
          <w:sz w:val="20"/>
          <w:lang w:val="en-NZ"/>
        </w:rPr>
      </w:pPr>
    </w:p>
    <w:p w:rsidR="006B12FA" w:rsidRPr="00406019" w:rsidRDefault="006B12FA" w:rsidP="00614D99">
      <w:pPr>
        <w:pBdr>
          <w:top w:val="single" w:sz="4" w:space="10" w:color="auto"/>
          <w:left w:val="single" w:sz="4" w:space="10" w:color="auto"/>
          <w:bottom w:val="single" w:sz="4" w:space="10" w:color="auto"/>
          <w:right w:val="single" w:sz="4" w:space="10" w:color="auto"/>
        </w:pBdr>
        <w:rPr>
          <w:sz w:val="20"/>
          <w:lang w:val="en-NZ"/>
        </w:rPr>
      </w:pPr>
      <w:r w:rsidRPr="00406019">
        <w:rPr>
          <w:sz w:val="20"/>
          <w:lang w:val="en-NZ"/>
        </w:rPr>
        <w:t>The land has a dwelling on it so meets the first criteri</w:t>
      </w:r>
      <w:r w:rsidR="00EC0259" w:rsidRPr="00406019">
        <w:rPr>
          <w:sz w:val="20"/>
          <w:lang w:val="en-NZ"/>
        </w:rPr>
        <w:t>on</w:t>
      </w:r>
      <w:r w:rsidRPr="00406019">
        <w:rPr>
          <w:sz w:val="20"/>
          <w:lang w:val="en-NZ"/>
        </w:rPr>
        <w:t xml:space="preserve"> for </w:t>
      </w:r>
      <w:r w:rsidR="00AD1FAE" w:rsidRPr="00406019">
        <w:rPr>
          <w:sz w:val="20"/>
          <w:lang w:val="en-NZ"/>
        </w:rPr>
        <w:t>“</w:t>
      </w:r>
      <w:r w:rsidRPr="00406019">
        <w:rPr>
          <w:sz w:val="20"/>
          <w:lang w:val="en-NZ"/>
        </w:rPr>
        <w:t>residential land.</w:t>
      </w:r>
      <w:r w:rsidR="00AD1FAE" w:rsidRPr="00406019">
        <w:rPr>
          <w:sz w:val="20"/>
          <w:lang w:val="en-NZ"/>
        </w:rPr>
        <w:t>”</w:t>
      </w:r>
      <w:r w:rsidRPr="00406019">
        <w:rPr>
          <w:sz w:val="20"/>
          <w:lang w:val="en-NZ"/>
        </w:rPr>
        <w:t xml:space="preserve"> However, the land would not be residential as </w:t>
      </w:r>
      <w:r w:rsidR="00AD1FAE" w:rsidRPr="00406019">
        <w:rPr>
          <w:sz w:val="20"/>
          <w:lang w:val="en-NZ"/>
        </w:rPr>
        <w:t xml:space="preserve">it </w:t>
      </w:r>
      <w:proofErr w:type="gramStart"/>
      <w:r w:rsidRPr="00406019">
        <w:rPr>
          <w:sz w:val="20"/>
          <w:lang w:val="en-NZ"/>
        </w:rPr>
        <w:t>is used</w:t>
      </w:r>
      <w:proofErr w:type="gramEnd"/>
      <w:r w:rsidRPr="00406019">
        <w:rPr>
          <w:sz w:val="20"/>
          <w:lang w:val="en-NZ"/>
        </w:rPr>
        <w:t xml:space="preserve"> predominantly as the business premises for the bed and breakfast.</w:t>
      </w:r>
    </w:p>
    <w:p w:rsidR="006B12FA" w:rsidRPr="00406019" w:rsidRDefault="006B12FA" w:rsidP="006B12FA">
      <w:pPr>
        <w:rPr>
          <w:lang w:val="en-NZ"/>
        </w:rPr>
      </w:pPr>
    </w:p>
    <w:p w:rsidR="00614D99" w:rsidRPr="00406019" w:rsidRDefault="00614D99" w:rsidP="006B12FA">
      <w:pPr>
        <w:rPr>
          <w:lang w:val="en-NZ"/>
        </w:rPr>
      </w:pPr>
    </w:p>
    <w:p w:rsidR="006B12FA" w:rsidRPr="00406019" w:rsidRDefault="006B12FA" w:rsidP="001C31B2">
      <w:pPr>
        <w:pStyle w:val="Heading4"/>
        <w:rPr>
          <w:lang w:val="en-NZ"/>
        </w:rPr>
      </w:pPr>
      <w:r w:rsidRPr="00406019">
        <w:rPr>
          <w:lang w:val="en-NZ"/>
        </w:rPr>
        <w:t>Farmland</w:t>
      </w:r>
    </w:p>
    <w:p w:rsidR="006B12FA" w:rsidRPr="00406019" w:rsidRDefault="006B12FA" w:rsidP="006B12FA">
      <w:pPr>
        <w:rPr>
          <w:lang w:val="en-NZ"/>
        </w:rPr>
      </w:pPr>
    </w:p>
    <w:p w:rsidR="006B12FA" w:rsidRPr="00406019" w:rsidRDefault="006B12FA" w:rsidP="006B12FA">
      <w:pPr>
        <w:rPr>
          <w:lang w:val="en-NZ"/>
        </w:rPr>
      </w:pPr>
      <w:r w:rsidRPr="00406019">
        <w:rPr>
          <w:lang w:val="en-NZ"/>
        </w:rPr>
        <w:t xml:space="preserve">Farmland is defined as </w:t>
      </w:r>
      <w:r w:rsidR="00AD1FAE" w:rsidRPr="00406019">
        <w:rPr>
          <w:lang w:val="en-NZ"/>
        </w:rPr>
        <w:t>“</w:t>
      </w:r>
      <w:r w:rsidRPr="00406019">
        <w:rPr>
          <w:lang w:val="en-NZ"/>
        </w:rPr>
        <w:t>land that because of its area and nature is capable of being worked as an economic unit as a farming or agricultural business</w:t>
      </w:r>
      <w:r w:rsidR="00AD1FAE" w:rsidRPr="00406019">
        <w:rPr>
          <w:lang w:val="en-NZ"/>
        </w:rPr>
        <w:t>”</w:t>
      </w:r>
      <w:r w:rsidR="00C54249" w:rsidRPr="00406019">
        <w:rPr>
          <w:lang w:val="en-NZ"/>
        </w:rPr>
        <w:t>.</w:t>
      </w:r>
    </w:p>
    <w:p w:rsidR="006B12FA" w:rsidRPr="00406019" w:rsidRDefault="006B12FA" w:rsidP="006B12FA">
      <w:pPr>
        <w:rPr>
          <w:lang w:val="en-NZ"/>
        </w:rPr>
      </w:pPr>
    </w:p>
    <w:p w:rsidR="006B12FA" w:rsidRPr="00406019" w:rsidRDefault="006B12FA" w:rsidP="006B12FA">
      <w:pPr>
        <w:rPr>
          <w:lang w:val="en-NZ"/>
        </w:rPr>
      </w:pPr>
      <w:r w:rsidRPr="00406019">
        <w:rPr>
          <w:lang w:val="en-NZ"/>
        </w:rPr>
        <w:t>A farming or agricultural business includes forestry, horticultural and pastoral businesses.</w:t>
      </w:r>
    </w:p>
    <w:p w:rsidR="006B12FA" w:rsidRPr="00406019" w:rsidRDefault="006B12FA" w:rsidP="006B12FA">
      <w:pPr>
        <w:rPr>
          <w:lang w:val="en-NZ"/>
        </w:rPr>
      </w:pPr>
    </w:p>
    <w:p w:rsidR="006B12FA" w:rsidRPr="00406019" w:rsidRDefault="006B12FA" w:rsidP="006B12FA">
      <w:pPr>
        <w:rPr>
          <w:lang w:val="en-NZ"/>
        </w:rPr>
      </w:pPr>
      <w:r w:rsidRPr="00406019">
        <w:rPr>
          <w:lang w:val="en-NZ"/>
        </w:rPr>
        <w:t>To be capable of being worked as an economic unit as a farming or agricultural business</w:t>
      </w:r>
      <w:r w:rsidR="00AD1FAE" w:rsidRPr="00406019">
        <w:rPr>
          <w:lang w:val="en-NZ"/>
        </w:rPr>
        <w:t>,</w:t>
      </w:r>
      <w:r w:rsidRPr="00406019">
        <w:rPr>
          <w:lang w:val="en-NZ"/>
        </w:rPr>
        <w:t xml:space="preserve"> the land must be capable of producing revenue sufficient to cover all costs of holding and operating the land</w:t>
      </w:r>
      <w:r w:rsidR="00AD1FAE" w:rsidRPr="00406019">
        <w:rPr>
          <w:lang w:val="en-NZ"/>
        </w:rPr>
        <w:t>.  This includes</w:t>
      </w:r>
      <w:r w:rsidRPr="00406019">
        <w:rPr>
          <w:lang w:val="en-NZ"/>
        </w:rPr>
        <w:t xml:space="preserve"> the cost of capital employed and a reasonable recompense for the proprietor’s labour.</w:t>
      </w:r>
    </w:p>
    <w:p w:rsidR="006B12FA" w:rsidRPr="00406019" w:rsidRDefault="006B12FA" w:rsidP="006B12FA">
      <w:pPr>
        <w:rPr>
          <w:lang w:val="en-NZ"/>
        </w:rPr>
      </w:pPr>
    </w:p>
    <w:p w:rsidR="006D4DF9" w:rsidRPr="00406019" w:rsidRDefault="006D4DF9">
      <w:pPr>
        <w:jc w:val="left"/>
        <w:rPr>
          <w:b/>
          <w:sz w:val="20"/>
          <w:lang w:val="en-NZ"/>
        </w:rPr>
      </w:pPr>
      <w:r w:rsidRPr="00406019">
        <w:rPr>
          <w:b/>
          <w:sz w:val="20"/>
          <w:lang w:val="en-NZ"/>
        </w:rPr>
        <w:br w:type="page"/>
      </w:r>
    </w:p>
    <w:p w:rsidR="006B12FA" w:rsidRPr="00406019" w:rsidRDefault="006B12FA" w:rsidP="00614D99">
      <w:pPr>
        <w:pBdr>
          <w:top w:val="single" w:sz="4" w:space="10" w:color="auto"/>
          <w:left w:val="single" w:sz="4" w:space="10" w:color="auto"/>
          <w:bottom w:val="single" w:sz="4" w:space="10" w:color="auto"/>
          <w:right w:val="single" w:sz="4" w:space="10" w:color="auto"/>
        </w:pBdr>
        <w:rPr>
          <w:b/>
          <w:sz w:val="20"/>
          <w:lang w:val="en-NZ"/>
        </w:rPr>
      </w:pPr>
      <w:r w:rsidRPr="00406019">
        <w:rPr>
          <w:b/>
          <w:sz w:val="20"/>
          <w:lang w:val="en-NZ"/>
        </w:rPr>
        <w:t>Example</w:t>
      </w:r>
      <w:r w:rsidR="00AD1FAE" w:rsidRPr="00406019">
        <w:rPr>
          <w:b/>
          <w:sz w:val="20"/>
          <w:lang w:val="en-NZ"/>
        </w:rPr>
        <w:t>: L</w:t>
      </w:r>
      <w:r w:rsidRPr="00406019">
        <w:rPr>
          <w:b/>
          <w:sz w:val="20"/>
          <w:lang w:val="en-NZ"/>
        </w:rPr>
        <w:t>ifestyle block</w:t>
      </w:r>
    </w:p>
    <w:p w:rsidR="006B12FA" w:rsidRPr="00406019" w:rsidRDefault="006B12FA" w:rsidP="00614D99">
      <w:pPr>
        <w:pBdr>
          <w:top w:val="single" w:sz="4" w:space="10" w:color="auto"/>
          <w:left w:val="single" w:sz="4" w:space="10" w:color="auto"/>
          <w:bottom w:val="single" w:sz="4" w:space="10" w:color="auto"/>
          <w:right w:val="single" w:sz="4" w:space="10" w:color="auto"/>
        </w:pBdr>
        <w:rPr>
          <w:sz w:val="20"/>
          <w:lang w:val="en-NZ"/>
        </w:rPr>
      </w:pPr>
    </w:p>
    <w:p w:rsidR="006B12FA" w:rsidRPr="00406019" w:rsidRDefault="00DD2509" w:rsidP="00614D99">
      <w:pPr>
        <w:pBdr>
          <w:top w:val="single" w:sz="4" w:space="10" w:color="auto"/>
          <w:left w:val="single" w:sz="4" w:space="10" w:color="auto"/>
          <w:bottom w:val="single" w:sz="4" w:space="10" w:color="auto"/>
          <w:right w:val="single" w:sz="4" w:space="10" w:color="auto"/>
        </w:pBdr>
        <w:rPr>
          <w:sz w:val="20"/>
          <w:lang w:val="en-NZ"/>
        </w:rPr>
      </w:pPr>
      <w:proofErr w:type="spellStart"/>
      <w:r w:rsidRPr="00406019">
        <w:rPr>
          <w:sz w:val="20"/>
          <w:lang w:val="en-NZ"/>
        </w:rPr>
        <w:t>Marama</w:t>
      </w:r>
      <w:proofErr w:type="spellEnd"/>
      <w:r w:rsidRPr="00406019">
        <w:rPr>
          <w:sz w:val="20"/>
          <w:lang w:val="en-NZ"/>
        </w:rPr>
        <w:t xml:space="preserve"> purchases a l</w:t>
      </w:r>
      <w:r w:rsidR="006B12FA" w:rsidRPr="00406019">
        <w:rPr>
          <w:sz w:val="20"/>
          <w:lang w:val="en-NZ"/>
        </w:rPr>
        <w:t xml:space="preserve">ifestyle block with </w:t>
      </w:r>
      <w:r w:rsidRPr="00406019">
        <w:rPr>
          <w:sz w:val="20"/>
          <w:lang w:val="en-NZ"/>
        </w:rPr>
        <w:t xml:space="preserve">a </w:t>
      </w:r>
      <w:r w:rsidR="006B12FA" w:rsidRPr="00406019">
        <w:rPr>
          <w:sz w:val="20"/>
          <w:lang w:val="en-NZ"/>
        </w:rPr>
        <w:t xml:space="preserve">house and </w:t>
      </w:r>
      <w:r w:rsidRPr="00406019">
        <w:rPr>
          <w:sz w:val="20"/>
          <w:lang w:val="en-NZ"/>
        </w:rPr>
        <w:t xml:space="preserve">a </w:t>
      </w:r>
      <w:r w:rsidR="006B12FA" w:rsidRPr="00406019">
        <w:rPr>
          <w:sz w:val="20"/>
          <w:lang w:val="en-NZ"/>
        </w:rPr>
        <w:t xml:space="preserve">small area of farmland. </w:t>
      </w:r>
      <w:r w:rsidR="00A35164" w:rsidRPr="00406019">
        <w:rPr>
          <w:sz w:val="20"/>
          <w:lang w:val="en-NZ"/>
        </w:rPr>
        <w:t xml:space="preserve"> A small number of sheep </w:t>
      </w:r>
      <w:proofErr w:type="gramStart"/>
      <w:r w:rsidR="00A35164" w:rsidRPr="00406019">
        <w:rPr>
          <w:sz w:val="20"/>
          <w:lang w:val="en-NZ"/>
        </w:rPr>
        <w:t>are kept</w:t>
      </w:r>
      <w:proofErr w:type="gramEnd"/>
      <w:r w:rsidR="00A35164" w:rsidRPr="00406019">
        <w:rPr>
          <w:sz w:val="20"/>
          <w:lang w:val="en-NZ"/>
        </w:rPr>
        <w:t xml:space="preserve"> on the land to keep the grass down.</w:t>
      </w:r>
    </w:p>
    <w:p w:rsidR="006B12FA" w:rsidRPr="00406019" w:rsidRDefault="006B12FA" w:rsidP="00614D99">
      <w:pPr>
        <w:pBdr>
          <w:top w:val="single" w:sz="4" w:space="10" w:color="auto"/>
          <w:left w:val="single" w:sz="4" w:space="10" w:color="auto"/>
          <w:bottom w:val="single" w:sz="4" w:space="10" w:color="auto"/>
          <w:right w:val="single" w:sz="4" w:space="10" w:color="auto"/>
        </w:pBdr>
        <w:rPr>
          <w:sz w:val="20"/>
          <w:lang w:val="en-NZ"/>
        </w:rPr>
      </w:pPr>
    </w:p>
    <w:p w:rsidR="006B12FA" w:rsidRPr="00406019" w:rsidRDefault="006B12FA" w:rsidP="00614D99">
      <w:pPr>
        <w:pBdr>
          <w:top w:val="single" w:sz="4" w:space="10" w:color="auto"/>
          <w:left w:val="single" w:sz="4" w:space="10" w:color="auto"/>
          <w:bottom w:val="single" w:sz="4" w:space="10" w:color="auto"/>
          <w:right w:val="single" w:sz="4" w:space="10" w:color="auto"/>
        </w:pBdr>
        <w:rPr>
          <w:sz w:val="20"/>
          <w:lang w:val="en-NZ"/>
        </w:rPr>
      </w:pPr>
      <w:r w:rsidRPr="00406019">
        <w:rPr>
          <w:sz w:val="20"/>
          <w:lang w:val="en-NZ"/>
        </w:rPr>
        <w:t>The farming exclusion will not apply as the land is not capable of being worked as an economic unit as a farming business</w:t>
      </w:r>
      <w:r w:rsidR="00021CFC" w:rsidRPr="00406019">
        <w:rPr>
          <w:sz w:val="20"/>
          <w:lang w:val="en-NZ"/>
        </w:rPr>
        <w:t xml:space="preserve">.  </w:t>
      </w:r>
      <w:r w:rsidRPr="00406019">
        <w:rPr>
          <w:sz w:val="20"/>
          <w:lang w:val="en-NZ"/>
        </w:rPr>
        <w:t>It is a hobby farm rather than a genuine farming business.</w:t>
      </w:r>
    </w:p>
    <w:p w:rsidR="006B12FA" w:rsidRPr="00406019" w:rsidRDefault="006B12FA" w:rsidP="00614D99">
      <w:pPr>
        <w:pBdr>
          <w:top w:val="single" w:sz="4" w:space="10" w:color="auto"/>
          <w:left w:val="single" w:sz="4" w:space="10" w:color="auto"/>
          <w:bottom w:val="single" w:sz="4" w:space="10" w:color="auto"/>
          <w:right w:val="single" w:sz="4" w:space="10" w:color="auto"/>
        </w:pBdr>
        <w:rPr>
          <w:sz w:val="20"/>
          <w:lang w:val="en-NZ"/>
        </w:rPr>
      </w:pPr>
    </w:p>
    <w:p w:rsidR="006B12FA" w:rsidRPr="00406019" w:rsidRDefault="006B12FA" w:rsidP="00614D99">
      <w:pPr>
        <w:pBdr>
          <w:top w:val="single" w:sz="4" w:space="10" w:color="auto"/>
          <w:left w:val="single" w:sz="4" w:space="10" w:color="auto"/>
          <w:bottom w:val="single" w:sz="4" w:space="10" w:color="auto"/>
          <w:right w:val="single" w:sz="4" w:space="10" w:color="auto"/>
        </w:pBdr>
        <w:rPr>
          <w:sz w:val="20"/>
          <w:lang w:val="en-NZ"/>
        </w:rPr>
      </w:pPr>
      <w:r w:rsidRPr="00406019">
        <w:rPr>
          <w:sz w:val="20"/>
          <w:lang w:val="en-NZ"/>
        </w:rPr>
        <w:t xml:space="preserve">If the area of farmland </w:t>
      </w:r>
      <w:proofErr w:type="gramStart"/>
      <w:r w:rsidRPr="00406019">
        <w:rPr>
          <w:sz w:val="20"/>
          <w:lang w:val="en-NZ"/>
        </w:rPr>
        <w:t>was</w:t>
      </w:r>
      <w:proofErr w:type="gramEnd"/>
      <w:r w:rsidRPr="00406019">
        <w:rPr>
          <w:sz w:val="20"/>
          <w:lang w:val="en-NZ"/>
        </w:rPr>
        <w:t xml:space="preserve"> larger and capable of being used as an economic unit for farming purposes</w:t>
      </w:r>
      <w:r w:rsidR="00AD1FAE" w:rsidRPr="00406019">
        <w:rPr>
          <w:sz w:val="20"/>
          <w:lang w:val="en-NZ"/>
        </w:rPr>
        <w:t xml:space="preserve">, </w:t>
      </w:r>
      <w:r w:rsidRPr="00406019">
        <w:rPr>
          <w:sz w:val="20"/>
          <w:lang w:val="en-NZ"/>
        </w:rPr>
        <w:t>it would likely be covered by the farming exclusion.</w:t>
      </w:r>
    </w:p>
    <w:p w:rsidR="002C773A" w:rsidRPr="00406019" w:rsidRDefault="002C773A" w:rsidP="002C773A">
      <w:pPr>
        <w:rPr>
          <w:lang w:val="en-NZ"/>
        </w:rPr>
      </w:pPr>
    </w:p>
    <w:p w:rsidR="006F5BED" w:rsidRPr="00406019" w:rsidRDefault="006F5BED" w:rsidP="002C773A">
      <w:pPr>
        <w:rPr>
          <w:lang w:val="en-NZ"/>
        </w:rPr>
      </w:pPr>
      <w:r w:rsidRPr="00406019">
        <w:rPr>
          <w:lang w:val="en-NZ"/>
        </w:rPr>
        <w:br w:type="page"/>
      </w:r>
    </w:p>
    <w:p w:rsidR="006B12FA" w:rsidRPr="00406019" w:rsidRDefault="006B12FA" w:rsidP="006B12FA">
      <w:pPr>
        <w:pStyle w:val="Heading1"/>
      </w:pPr>
      <w:bookmarkStart w:id="10" w:name="_Toc428169673"/>
      <w:r w:rsidRPr="00406019">
        <w:t>Main home</w:t>
      </w:r>
      <w:bookmarkEnd w:id="10"/>
    </w:p>
    <w:p w:rsidR="006B12FA" w:rsidRPr="00406019" w:rsidRDefault="006B12FA" w:rsidP="006B12FA">
      <w:pPr>
        <w:rPr>
          <w:lang w:val="en-NZ"/>
        </w:rPr>
      </w:pPr>
    </w:p>
    <w:p w:rsidR="006B12FA" w:rsidRPr="00406019" w:rsidRDefault="006B12FA" w:rsidP="006B12FA">
      <w:pPr>
        <w:rPr>
          <w:b/>
          <w:i/>
          <w:lang w:val="en-NZ"/>
        </w:rPr>
      </w:pPr>
      <w:r w:rsidRPr="00406019">
        <w:rPr>
          <w:b/>
          <w:i/>
          <w:lang w:val="en-NZ"/>
        </w:rPr>
        <w:t xml:space="preserve">(Clauses </w:t>
      </w:r>
      <w:r w:rsidR="00B62C34" w:rsidRPr="00406019">
        <w:rPr>
          <w:b/>
          <w:i/>
          <w:lang w:val="en-NZ"/>
        </w:rPr>
        <w:t>6, 15</w:t>
      </w:r>
      <w:r w:rsidR="00A35164" w:rsidRPr="00406019">
        <w:rPr>
          <w:b/>
          <w:i/>
          <w:lang w:val="en-NZ"/>
        </w:rPr>
        <w:t xml:space="preserve">(5), </w:t>
      </w:r>
      <w:r w:rsidR="00B62C34" w:rsidRPr="00406019">
        <w:rPr>
          <w:b/>
          <w:i/>
          <w:lang w:val="en-NZ"/>
        </w:rPr>
        <w:t>(10)</w:t>
      </w:r>
      <w:r w:rsidR="00AD1FAE" w:rsidRPr="00406019">
        <w:rPr>
          <w:b/>
          <w:i/>
          <w:lang w:val="en-NZ"/>
        </w:rPr>
        <w:t xml:space="preserve"> and</w:t>
      </w:r>
      <w:r w:rsidR="00B62C34" w:rsidRPr="00406019">
        <w:rPr>
          <w:b/>
          <w:i/>
          <w:lang w:val="en-NZ"/>
        </w:rPr>
        <w:t xml:space="preserve"> (11)</w:t>
      </w:r>
      <w:r w:rsidRPr="00406019">
        <w:rPr>
          <w:b/>
          <w:i/>
          <w:lang w:val="en-NZ"/>
        </w:rPr>
        <w:t>)</w:t>
      </w:r>
    </w:p>
    <w:p w:rsidR="006B12FA" w:rsidRPr="00406019" w:rsidRDefault="006B12FA" w:rsidP="006B12FA">
      <w:pPr>
        <w:rPr>
          <w:lang w:val="en-NZ"/>
        </w:rPr>
      </w:pPr>
    </w:p>
    <w:p w:rsidR="00175701" w:rsidRPr="00406019" w:rsidRDefault="00175701" w:rsidP="006B12FA">
      <w:pPr>
        <w:rPr>
          <w:lang w:val="en-NZ"/>
        </w:rPr>
      </w:pPr>
    </w:p>
    <w:p w:rsidR="007D17DC" w:rsidRPr="00406019" w:rsidRDefault="007D17DC" w:rsidP="007D17DC">
      <w:pPr>
        <w:pStyle w:val="Heading2"/>
        <w:rPr>
          <w:lang w:val="en-NZ"/>
        </w:rPr>
      </w:pPr>
      <w:r w:rsidRPr="00406019">
        <w:rPr>
          <w:lang w:val="en-NZ"/>
        </w:rPr>
        <w:t>Summary of proposed amendment</w:t>
      </w:r>
    </w:p>
    <w:p w:rsidR="006B12FA" w:rsidRPr="00406019" w:rsidRDefault="006B12FA" w:rsidP="006B12FA">
      <w:pPr>
        <w:rPr>
          <w:lang w:val="en-NZ"/>
        </w:rPr>
      </w:pPr>
    </w:p>
    <w:p w:rsidR="006B12FA" w:rsidRPr="00406019" w:rsidRDefault="006B12FA" w:rsidP="006B12FA">
      <w:pPr>
        <w:rPr>
          <w:lang w:val="en-NZ"/>
        </w:rPr>
      </w:pPr>
      <w:r w:rsidRPr="00406019">
        <w:rPr>
          <w:lang w:val="en-NZ"/>
        </w:rPr>
        <w:t xml:space="preserve">The </w:t>
      </w:r>
      <w:r w:rsidR="00AD1FAE" w:rsidRPr="00406019">
        <w:rPr>
          <w:lang w:val="en-NZ"/>
        </w:rPr>
        <w:t>b</w:t>
      </w:r>
      <w:r w:rsidR="00DD2509" w:rsidRPr="00406019">
        <w:rPr>
          <w:lang w:val="en-NZ"/>
        </w:rPr>
        <w:t>ill</w:t>
      </w:r>
      <w:r w:rsidRPr="00406019">
        <w:rPr>
          <w:lang w:val="en-NZ"/>
        </w:rPr>
        <w:t xml:space="preserve"> </w:t>
      </w:r>
      <w:r w:rsidR="00DD2509" w:rsidRPr="00406019">
        <w:rPr>
          <w:lang w:val="en-NZ"/>
        </w:rPr>
        <w:t xml:space="preserve">proposes </w:t>
      </w:r>
      <w:proofErr w:type="gramStart"/>
      <w:r w:rsidR="00DD2509" w:rsidRPr="00406019">
        <w:rPr>
          <w:lang w:val="en-NZ"/>
        </w:rPr>
        <w:t xml:space="preserve">to </w:t>
      </w:r>
      <w:r w:rsidRPr="00406019">
        <w:rPr>
          <w:lang w:val="en-NZ"/>
        </w:rPr>
        <w:t xml:space="preserve">generally </w:t>
      </w:r>
      <w:r w:rsidR="00DD2509" w:rsidRPr="00406019">
        <w:rPr>
          <w:lang w:val="en-NZ"/>
        </w:rPr>
        <w:t>exclude</w:t>
      </w:r>
      <w:proofErr w:type="gramEnd"/>
      <w:r w:rsidRPr="00406019">
        <w:rPr>
          <w:lang w:val="en-NZ"/>
        </w:rPr>
        <w:t xml:space="preserve"> the sale of a person’s main home</w:t>
      </w:r>
      <w:r w:rsidR="00DD2509" w:rsidRPr="00406019">
        <w:rPr>
          <w:lang w:val="en-NZ"/>
        </w:rPr>
        <w:t xml:space="preserve"> from the bright-line test.  The main home </w:t>
      </w:r>
      <w:r w:rsidR="005B2BC0" w:rsidRPr="00406019">
        <w:rPr>
          <w:lang w:val="en-NZ"/>
        </w:rPr>
        <w:t>exception</w:t>
      </w:r>
      <w:r w:rsidRPr="00406019">
        <w:rPr>
          <w:lang w:val="en-NZ"/>
        </w:rPr>
        <w:t xml:space="preserve"> </w:t>
      </w:r>
      <w:proofErr w:type="gramStart"/>
      <w:r w:rsidRPr="00406019">
        <w:rPr>
          <w:lang w:val="en-NZ"/>
        </w:rPr>
        <w:t xml:space="preserve">is </w:t>
      </w:r>
      <w:r w:rsidR="00DD2509" w:rsidRPr="00406019">
        <w:rPr>
          <w:lang w:val="en-NZ"/>
        </w:rPr>
        <w:t xml:space="preserve">proposed to be </w:t>
      </w:r>
      <w:r w:rsidRPr="00406019">
        <w:rPr>
          <w:lang w:val="en-NZ"/>
        </w:rPr>
        <w:t>based</w:t>
      </w:r>
      <w:proofErr w:type="gramEnd"/>
      <w:r w:rsidRPr="00406019">
        <w:rPr>
          <w:lang w:val="en-NZ"/>
        </w:rPr>
        <w:t xml:space="preserve"> to some extent on the current residential exclusion in section</w:t>
      </w:r>
      <w:r w:rsidR="0042259C" w:rsidRPr="00406019">
        <w:rPr>
          <w:lang w:val="en-NZ"/>
        </w:rPr>
        <w:t xml:space="preserve"> CB </w:t>
      </w:r>
      <w:r w:rsidRPr="00406019">
        <w:rPr>
          <w:lang w:val="en-NZ"/>
        </w:rPr>
        <w:t>16 of the Income Tax Act 2007.</w:t>
      </w:r>
    </w:p>
    <w:p w:rsidR="005F21DA" w:rsidRPr="00406019" w:rsidRDefault="005F21DA" w:rsidP="006B12FA">
      <w:pPr>
        <w:rPr>
          <w:lang w:val="en-NZ"/>
        </w:rPr>
      </w:pPr>
    </w:p>
    <w:p w:rsidR="00175701" w:rsidRPr="00406019" w:rsidRDefault="00175701" w:rsidP="006B12FA">
      <w:pPr>
        <w:rPr>
          <w:lang w:val="en-NZ"/>
        </w:rPr>
      </w:pPr>
    </w:p>
    <w:p w:rsidR="005F21DA" w:rsidRPr="00406019" w:rsidRDefault="005F21DA" w:rsidP="00D514B5">
      <w:pPr>
        <w:pStyle w:val="Heading2"/>
        <w:rPr>
          <w:lang w:val="en-NZ"/>
        </w:rPr>
      </w:pPr>
      <w:r w:rsidRPr="00406019">
        <w:rPr>
          <w:lang w:val="en-NZ"/>
        </w:rPr>
        <w:t>Key f</w:t>
      </w:r>
      <w:r w:rsidR="00C54249" w:rsidRPr="00406019">
        <w:rPr>
          <w:lang w:val="en-NZ"/>
        </w:rPr>
        <w:t>eatures</w:t>
      </w:r>
    </w:p>
    <w:p w:rsidR="006B12FA" w:rsidRPr="00406019" w:rsidRDefault="006B12FA" w:rsidP="006B12FA">
      <w:pPr>
        <w:rPr>
          <w:lang w:val="en-NZ"/>
        </w:rPr>
      </w:pPr>
    </w:p>
    <w:p w:rsidR="006B12FA" w:rsidRPr="00406019" w:rsidRDefault="006B12FA" w:rsidP="001C31B2">
      <w:pPr>
        <w:pStyle w:val="Heading3"/>
        <w:rPr>
          <w:lang w:val="en-NZ"/>
        </w:rPr>
      </w:pPr>
      <w:r w:rsidRPr="00406019">
        <w:rPr>
          <w:lang w:val="en-NZ"/>
        </w:rPr>
        <w:t xml:space="preserve">Requirements for </w:t>
      </w:r>
      <w:r w:rsidR="00355176" w:rsidRPr="00406019">
        <w:rPr>
          <w:lang w:val="en-NZ"/>
        </w:rPr>
        <w:t xml:space="preserve">the </w:t>
      </w:r>
      <w:r w:rsidRPr="00406019">
        <w:rPr>
          <w:lang w:val="en-NZ"/>
        </w:rPr>
        <w:t>main home</w:t>
      </w:r>
      <w:r w:rsidR="005F21DA" w:rsidRPr="00406019">
        <w:rPr>
          <w:lang w:val="en-NZ"/>
        </w:rPr>
        <w:t xml:space="preserve"> ex</w:t>
      </w:r>
      <w:r w:rsidR="00355176" w:rsidRPr="00406019">
        <w:rPr>
          <w:lang w:val="en-NZ"/>
        </w:rPr>
        <w:t>ception</w:t>
      </w:r>
    </w:p>
    <w:p w:rsidR="006B12FA" w:rsidRPr="00406019" w:rsidRDefault="006B12FA" w:rsidP="006B12FA">
      <w:pPr>
        <w:rPr>
          <w:lang w:val="en-NZ"/>
        </w:rPr>
      </w:pPr>
    </w:p>
    <w:p w:rsidR="006B12FA" w:rsidRPr="00406019" w:rsidRDefault="00DD2509" w:rsidP="006B12FA">
      <w:pPr>
        <w:rPr>
          <w:lang w:val="en-NZ"/>
        </w:rPr>
      </w:pPr>
      <w:r w:rsidRPr="00406019">
        <w:rPr>
          <w:lang w:val="en-NZ"/>
        </w:rPr>
        <w:t>It is proposed that f</w:t>
      </w:r>
      <w:r w:rsidR="006B12FA" w:rsidRPr="00406019">
        <w:rPr>
          <w:lang w:val="en-NZ"/>
        </w:rPr>
        <w:t xml:space="preserve">or a property to qualify for the </w:t>
      </w:r>
      <w:r w:rsidR="005F21DA" w:rsidRPr="00406019">
        <w:rPr>
          <w:lang w:val="en-NZ"/>
        </w:rPr>
        <w:t>“</w:t>
      </w:r>
      <w:r w:rsidR="005B2BC0" w:rsidRPr="00406019">
        <w:rPr>
          <w:lang w:val="en-NZ"/>
        </w:rPr>
        <w:t>main home</w:t>
      </w:r>
      <w:r w:rsidR="005F21DA" w:rsidRPr="00406019">
        <w:rPr>
          <w:lang w:val="en-NZ"/>
        </w:rPr>
        <w:t>”</w:t>
      </w:r>
      <w:r w:rsidR="005B2BC0" w:rsidRPr="00406019">
        <w:rPr>
          <w:lang w:val="en-NZ"/>
        </w:rPr>
        <w:t xml:space="preserve"> exception</w:t>
      </w:r>
      <w:r w:rsidR="006B12FA" w:rsidRPr="00406019">
        <w:rPr>
          <w:lang w:val="en-NZ"/>
        </w:rPr>
        <w:t>, the land must have been used predomina</w:t>
      </w:r>
      <w:r w:rsidR="00E32A2A" w:rsidRPr="00406019">
        <w:rPr>
          <w:lang w:val="en-NZ"/>
        </w:rPr>
        <w:t>n</w:t>
      </w:r>
      <w:r w:rsidR="006B12FA" w:rsidRPr="00406019">
        <w:rPr>
          <w:lang w:val="en-NZ"/>
        </w:rPr>
        <w:t>tly, for most of the time the person owns the land, for a dwelling that was the main home of the person or a beneficiary of the trust that owns the property (subject to some limitations).</w:t>
      </w:r>
    </w:p>
    <w:p w:rsidR="006B12FA" w:rsidRPr="00406019" w:rsidRDefault="006B12FA" w:rsidP="006B12FA">
      <w:pPr>
        <w:rPr>
          <w:lang w:val="en-NZ"/>
        </w:rPr>
      </w:pPr>
    </w:p>
    <w:p w:rsidR="006B12FA" w:rsidRPr="00406019" w:rsidRDefault="006B12FA" w:rsidP="001C31B2">
      <w:pPr>
        <w:pStyle w:val="Heading4"/>
        <w:rPr>
          <w:lang w:val="en-NZ"/>
        </w:rPr>
      </w:pPr>
      <w:r w:rsidRPr="00406019">
        <w:rPr>
          <w:lang w:val="en-NZ"/>
        </w:rPr>
        <w:t xml:space="preserve">Used </w:t>
      </w:r>
      <w:r w:rsidR="005A32D9" w:rsidRPr="00406019">
        <w:rPr>
          <w:lang w:val="en-NZ"/>
        </w:rPr>
        <w:t>predominantly</w:t>
      </w:r>
      <w:r w:rsidRPr="00406019">
        <w:rPr>
          <w:lang w:val="en-NZ"/>
        </w:rPr>
        <w:t xml:space="preserve"> as person’s main home</w:t>
      </w:r>
    </w:p>
    <w:p w:rsidR="006B12FA" w:rsidRPr="00406019" w:rsidRDefault="006B12FA" w:rsidP="006B12FA">
      <w:pPr>
        <w:rPr>
          <w:lang w:val="en-NZ"/>
        </w:rPr>
      </w:pPr>
    </w:p>
    <w:p w:rsidR="006B12FA" w:rsidRPr="00406019" w:rsidRDefault="006B12FA" w:rsidP="006B12FA">
      <w:pPr>
        <w:rPr>
          <w:lang w:val="en-NZ"/>
        </w:rPr>
      </w:pPr>
      <w:r w:rsidRPr="00406019">
        <w:rPr>
          <w:lang w:val="en-NZ"/>
        </w:rPr>
        <w:t xml:space="preserve">The </w:t>
      </w:r>
      <w:r w:rsidR="00DD2509" w:rsidRPr="00406019">
        <w:rPr>
          <w:lang w:val="en-NZ"/>
        </w:rPr>
        <w:t xml:space="preserve">proposed </w:t>
      </w:r>
      <w:r w:rsidRPr="00406019">
        <w:rPr>
          <w:lang w:val="en-NZ"/>
        </w:rPr>
        <w:t xml:space="preserve">requirement </w:t>
      </w:r>
      <w:r w:rsidR="00DD2509" w:rsidRPr="00406019">
        <w:rPr>
          <w:lang w:val="en-NZ"/>
        </w:rPr>
        <w:t xml:space="preserve">that </w:t>
      </w:r>
      <w:r w:rsidRPr="00406019">
        <w:rPr>
          <w:lang w:val="en-NZ"/>
        </w:rPr>
        <w:t xml:space="preserve">the land </w:t>
      </w:r>
      <w:proofErr w:type="gramStart"/>
      <w:r w:rsidRPr="00406019">
        <w:rPr>
          <w:lang w:val="en-NZ"/>
        </w:rPr>
        <w:t>is used</w:t>
      </w:r>
      <w:proofErr w:type="gramEnd"/>
      <w:r w:rsidRPr="00406019">
        <w:rPr>
          <w:lang w:val="en-NZ"/>
        </w:rPr>
        <w:t xml:space="preserve"> </w:t>
      </w:r>
      <w:r w:rsidR="005A32D9" w:rsidRPr="00406019">
        <w:rPr>
          <w:lang w:val="en-NZ"/>
        </w:rPr>
        <w:t>predominantly</w:t>
      </w:r>
      <w:r w:rsidRPr="00406019">
        <w:rPr>
          <w:lang w:val="en-NZ"/>
        </w:rPr>
        <w:t xml:space="preserve"> as the person’s main home means that most of the area of the land must have been actually used for the home.  The test is based on a person’s actual use of the property and not the </w:t>
      </w:r>
      <w:proofErr w:type="gramStart"/>
      <w:r w:rsidRPr="00406019">
        <w:rPr>
          <w:lang w:val="en-NZ"/>
        </w:rPr>
        <w:t>person’s</w:t>
      </w:r>
      <w:proofErr w:type="gramEnd"/>
      <w:r w:rsidRPr="00406019">
        <w:rPr>
          <w:lang w:val="en-NZ"/>
        </w:rPr>
        <w:t xml:space="preserve"> intended use of the property.</w:t>
      </w:r>
    </w:p>
    <w:p w:rsidR="006B12FA" w:rsidRPr="00406019" w:rsidRDefault="006B12FA" w:rsidP="006B12FA">
      <w:pPr>
        <w:rPr>
          <w:lang w:val="en-NZ"/>
        </w:rPr>
      </w:pPr>
    </w:p>
    <w:p w:rsidR="006B12FA" w:rsidRPr="00406019" w:rsidRDefault="006B12FA" w:rsidP="006B12FA">
      <w:pPr>
        <w:rPr>
          <w:lang w:val="en-NZ"/>
        </w:rPr>
      </w:pPr>
      <w:r w:rsidRPr="00406019">
        <w:rPr>
          <w:lang w:val="en-NZ"/>
        </w:rPr>
        <w:t>In some circumstances, a person will be required to determine the area of land used for their private residential purposes and the area of land used for other purposes.  For example, whe</w:t>
      </w:r>
      <w:r w:rsidR="005F21DA" w:rsidRPr="00406019">
        <w:rPr>
          <w:lang w:val="en-NZ"/>
        </w:rPr>
        <w:t>n</w:t>
      </w:r>
      <w:r w:rsidRPr="00406019">
        <w:rPr>
          <w:lang w:val="en-NZ"/>
        </w:rPr>
        <w:t xml:space="preserve"> </w:t>
      </w:r>
      <w:proofErr w:type="gramStart"/>
      <w:r w:rsidRPr="00406019">
        <w:rPr>
          <w:lang w:val="en-NZ"/>
        </w:rPr>
        <w:t>a single property has been used by the owner partly as a residential home and partly as a rental</w:t>
      </w:r>
      <w:proofErr w:type="gramEnd"/>
      <w:r w:rsidRPr="00406019">
        <w:rPr>
          <w:lang w:val="en-NZ"/>
        </w:rPr>
        <w:t xml:space="preserve"> property, the relative areas will need to be determined.  In many cases, a taxpayer will have determined the relative areas in working out the </w:t>
      </w:r>
      <w:r w:rsidR="00A35164" w:rsidRPr="00406019">
        <w:rPr>
          <w:lang w:val="en-NZ"/>
        </w:rPr>
        <w:t xml:space="preserve">tax </w:t>
      </w:r>
      <w:r w:rsidRPr="00406019">
        <w:rPr>
          <w:lang w:val="en-NZ"/>
        </w:rPr>
        <w:t>deductions (insurance and rates</w:t>
      </w:r>
      <w:r w:rsidR="005F21DA" w:rsidRPr="00406019">
        <w:rPr>
          <w:lang w:val="en-NZ"/>
        </w:rPr>
        <w:t>, for example</w:t>
      </w:r>
      <w:r w:rsidRPr="00406019">
        <w:rPr>
          <w:lang w:val="en-NZ"/>
        </w:rPr>
        <w:t xml:space="preserve">) that </w:t>
      </w:r>
      <w:proofErr w:type="gramStart"/>
      <w:r w:rsidRPr="00406019">
        <w:rPr>
          <w:lang w:val="en-NZ"/>
        </w:rPr>
        <w:t>can be claimed</w:t>
      </w:r>
      <w:proofErr w:type="gramEnd"/>
      <w:r w:rsidRPr="00406019">
        <w:rPr>
          <w:lang w:val="en-NZ"/>
        </w:rPr>
        <w:t>.  The determination of the areas includes any land used for the relevant purposes (</w:t>
      </w:r>
      <w:r w:rsidR="005F21DA" w:rsidRPr="00406019">
        <w:rPr>
          <w:lang w:val="en-NZ"/>
        </w:rPr>
        <w:t xml:space="preserve">for example, </w:t>
      </w:r>
      <w:r w:rsidRPr="00406019">
        <w:rPr>
          <w:lang w:val="en-NZ"/>
        </w:rPr>
        <w:t>a backyard for the home).</w:t>
      </w:r>
    </w:p>
    <w:p w:rsidR="006B12FA" w:rsidRPr="00406019" w:rsidRDefault="006B12FA" w:rsidP="006B12FA">
      <w:pPr>
        <w:rPr>
          <w:lang w:val="en-NZ"/>
        </w:rPr>
      </w:pPr>
    </w:p>
    <w:p w:rsidR="006B12FA" w:rsidRPr="00406019" w:rsidRDefault="00DD2509" w:rsidP="006B12FA">
      <w:pPr>
        <w:rPr>
          <w:lang w:val="en-NZ"/>
        </w:rPr>
      </w:pPr>
      <w:r w:rsidRPr="00406019">
        <w:rPr>
          <w:lang w:val="en-NZ"/>
        </w:rPr>
        <w:t xml:space="preserve">It is proposed that </w:t>
      </w:r>
      <w:proofErr w:type="gramStart"/>
      <w:r w:rsidRPr="00406019">
        <w:rPr>
          <w:lang w:val="en-NZ"/>
        </w:rPr>
        <w:t>t</w:t>
      </w:r>
      <w:r w:rsidR="006B12FA" w:rsidRPr="00406019">
        <w:rPr>
          <w:lang w:val="en-NZ"/>
        </w:rPr>
        <w:t xml:space="preserve">he </w:t>
      </w:r>
      <w:r w:rsidR="005B2BC0" w:rsidRPr="00406019">
        <w:rPr>
          <w:lang w:val="en-NZ"/>
        </w:rPr>
        <w:t>main home exception</w:t>
      </w:r>
      <w:r w:rsidR="006B12FA" w:rsidRPr="00406019">
        <w:rPr>
          <w:lang w:val="en-NZ"/>
        </w:rPr>
        <w:t xml:space="preserve"> either</w:t>
      </w:r>
      <w:proofErr w:type="gramEnd"/>
      <w:r w:rsidR="006B12FA" w:rsidRPr="00406019">
        <w:rPr>
          <w:lang w:val="en-NZ"/>
        </w:rPr>
        <w:t xml:space="preserve"> applies or it does not apply</w:t>
      </w:r>
      <w:r w:rsidR="005F21DA" w:rsidRPr="00406019">
        <w:rPr>
          <w:lang w:val="en-NZ"/>
        </w:rPr>
        <w:t>;</w:t>
      </w:r>
      <w:r w:rsidR="006B12FA" w:rsidRPr="00406019">
        <w:rPr>
          <w:lang w:val="en-NZ"/>
        </w:rPr>
        <w:t xml:space="preserve"> it does not apply on a proportionate basis</w:t>
      </w:r>
      <w:r w:rsidR="00021CFC" w:rsidRPr="00406019">
        <w:rPr>
          <w:lang w:val="en-NZ"/>
        </w:rPr>
        <w:t xml:space="preserve">.  </w:t>
      </w:r>
      <w:r w:rsidR="006B12FA" w:rsidRPr="00406019">
        <w:rPr>
          <w:lang w:val="en-NZ"/>
        </w:rPr>
        <w:t>As a result, whe</w:t>
      </w:r>
      <w:r w:rsidR="005F21DA" w:rsidRPr="00406019">
        <w:rPr>
          <w:lang w:val="en-NZ"/>
        </w:rPr>
        <w:t>n</w:t>
      </w:r>
      <w:r w:rsidR="006B12FA" w:rsidRPr="00406019">
        <w:rPr>
          <w:lang w:val="en-NZ"/>
        </w:rPr>
        <w:t xml:space="preserve"> the property </w:t>
      </w:r>
      <w:proofErr w:type="gramStart"/>
      <w:r w:rsidR="006B12FA" w:rsidRPr="00406019">
        <w:rPr>
          <w:lang w:val="en-NZ"/>
        </w:rPr>
        <w:t>is used</w:t>
      </w:r>
      <w:proofErr w:type="gramEnd"/>
      <w:r w:rsidR="006B12FA" w:rsidRPr="00406019">
        <w:rPr>
          <w:lang w:val="en-NZ"/>
        </w:rPr>
        <w:t xml:space="preserve"> less than 50 </w:t>
      </w:r>
      <w:proofErr w:type="spellStart"/>
      <w:r w:rsidR="006B12FA" w:rsidRPr="00406019">
        <w:rPr>
          <w:lang w:val="en-NZ"/>
        </w:rPr>
        <w:t>percent</w:t>
      </w:r>
      <w:proofErr w:type="spellEnd"/>
      <w:r w:rsidR="006B12FA" w:rsidRPr="00406019">
        <w:rPr>
          <w:lang w:val="en-NZ"/>
        </w:rPr>
        <w:t xml:space="preserve"> for the main home of the person then the </w:t>
      </w:r>
      <w:r w:rsidR="005B2BC0" w:rsidRPr="00406019">
        <w:rPr>
          <w:lang w:val="en-NZ"/>
        </w:rPr>
        <w:t>main home exception</w:t>
      </w:r>
      <w:r w:rsidR="006B12FA" w:rsidRPr="00406019">
        <w:rPr>
          <w:lang w:val="en-NZ"/>
        </w:rPr>
        <w:t xml:space="preserve"> </w:t>
      </w:r>
      <w:r w:rsidRPr="00406019">
        <w:rPr>
          <w:lang w:val="en-NZ"/>
        </w:rPr>
        <w:t>will</w:t>
      </w:r>
      <w:r w:rsidR="006B12FA" w:rsidRPr="00406019">
        <w:rPr>
          <w:lang w:val="en-NZ"/>
        </w:rPr>
        <w:t xml:space="preserve"> not apply.</w:t>
      </w:r>
    </w:p>
    <w:p w:rsidR="006B12FA" w:rsidRPr="00406019" w:rsidRDefault="006B12FA" w:rsidP="006B12FA">
      <w:pPr>
        <w:rPr>
          <w:lang w:val="en-NZ"/>
        </w:rPr>
      </w:pPr>
    </w:p>
    <w:p w:rsidR="006B12FA" w:rsidRPr="00406019" w:rsidRDefault="006B12FA" w:rsidP="001C31B2">
      <w:pPr>
        <w:pStyle w:val="Heading4"/>
        <w:rPr>
          <w:lang w:val="en-NZ"/>
        </w:rPr>
      </w:pPr>
      <w:r w:rsidRPr="00406019">
        <w:rPr>
          <w:lang w:val="en-NZ"/>
        </w:rPr>
        <w:t>Used for most of the time as their main home</w:t>
      </w:r>
    </w:p>
    <w:p w:rsidR="006B12FA" w:rsidRPr="00406019" w:rsidRDefault="006B12FA" w:rsidP="006B12FA">
      <w:pPr>
        <w:rPr>
          <w:lang w:val="en-NZ"/>
        </w:rPr>
      </w:pPr>
    </w:p>
    <w:p w:rsidR="006B12FA" w:rsidRPr="00406019" w:rsidRDefault="00DD2509" w:rsidP="006B12FA">
      <w:pPr>
        <w:rPr>
          <w:lang w:val="en-NZ"/>
        </w:rPr>
      </w:pPr>
      <w:r w:rsidRPr="00406019">
        <w:rPr>
          <w:lang w:val="en-NZ"/>
        </w:rPr>
        <w:t xml:space="preserve">It </w:t>
      </w:r>
      <w:proofErr w:type="gramStart"/>
      <w:r w:rsidRPr="00406019">
        <w:rPr>
          <w:lang w:val="en-NZ"/>
        </w:rPr>
        <w:t>is proposed</w:t>
      </w:r>
      <w:proofErr w:type="gramEnd"/>
      <w:r w:rsidRPr="00406019">
        <w:rPr>
          <w:lang w:val="en-NZ"/>
        </w:rPr>
        <w:t xml:space="preserve"> that t</w:t>
      </w:r>
      <w:r w:rsidR="006B12FA" w:rsidRPr="00406019">
        <w:rPr>
          <w:lang w:val="en-NZ"/>
        </w:rPr>
        <w:t xml:space="preserve">he land must have been used for most of the time that the person owns the land as their main home.  This requires the property to </w:t>
      </w:r>
      <w:proofErr w:type="gramStart"/>
      <w:r w:rsidR="006B12FA" w:rsidRPr="00406019">
        <w:rPr>
          <w:lang w:val="en-NZ"/>
        </w:rPr>
        <w:t>have been used</w:t>
      </w:r>
      <w:proofErr w:type="gramEnd"/>
      <w:r w:rsidR="006B12FA" w:rsidRPr="00406019">
        <w:rPr>
          <w:lang w:val="en-NZ"/>
        </w:rPr>
        <w:t xml:space="preserve"> more than 50 </w:t>
      </w:r>
      <w:proofErr w:type="spellStart"/>
      <w:r w:rsidR="006B12FA" w:rsidRPr="00406019">
        <w:rPr>
          <w:lang w:val="en-NZ"/>
        </w:rPr>
        <w:t>percent</w:t>
      </w:r>
      <w:proofErr w:type="spellEnd"/>
      <w:r w:rsidR="006B12FA" w:rsidRPr="00406019">
        <w:rPr>
          <w:lang w:val="en-NZ"/>
        </w:rPr>
        <w:t xml:space="preserve"> of the time as their main home for the period the person owns the land</w:t>
      </w:r>
      <w:r w:rsidR="00021CFC" w:rsidRPr="00406019">
        <w:rPr>
          <w:lang w:val="en-NZ"/>
        </w:rPr>
        <w:t xml:space="preserve">.  </w:t>
      </w:r>
      <w:r w:rsidR="006B12FA" w:rsidRPr="00406019">
        <w:rPr>
          <w:lang w:val="en-NZ"/>
        </w:rPr>
        <w:t xml:space="preserve">The land does not need to </w:t>
      </w:r>
      <w:proofErr w:type="gramStart"/>
      <w:r w:rsidR="006B12FA" w:rsidRPr="00406019">
        <w:rPr>
          <w:lang w:val="en-NZ"/>
        </w:rPr>
        <w:t>have been used</w:t>
      </w:r>
      <w:proofErr w:type="gramEnd"/>
      <w:r w:rsidR="006B12FA" w:rsidRPr="00406019">
        <w:rPr>
          <w:lang w:val="en-NZ"/>
        </w:rPr>
        <w:t xml:space="preserve"> without interruption as their main home.  For example, a main home </w:t>
      </w:r>
      <w:proofErr w:type="gramStart"/>
      <w:r w:rsidR="006B12FA" w:rsidRPr="00406019">
        <w:rPr>
          <w:lang w:val="en-NZ"/>
        </w:rPr>
        <w:t>can be rented out</w:t>
      </w:r>
      <w:proofErr w:type="gramEnd"/>
      <w:r w:rsidR="006B12FA" w:rsidRPr="00406019">
        <w:rPr>
          <w:lang w:val="en-NZ"/>
        </w:rPr>
        <w:t xml:space="preserve"> for short periods while the owner is on vacation or prior to settlement of the sale of the property, as long as the time is less than the private residential use.</w:t>
      </w:r>
    </w:p>
    <w:p w:rsidR="006B12FA" w:rsidRPr="00406019" w:rsidRDefault="006B12FA" w:rsidP="006B12FA">
      <w:pPr>
        <w:rPr>
          <w:lang w:val="en-NZ"/>
        </w:rPr>
      </w:pPr>
    </w:p>
    <w:p w:rsidR="006B12FA" w:rsidRPr="00406019" w:rsidRDefault="00DD2509" w:rsidP="006B12FA">
      <w:pPr>
        <w:rPr>
          <w:lang w:val="en-NZ"/>
        </w:rPr>
      </w:pPr>
      <w:r w:rsidRPr="00406019">
        <w:rPr>
          <w:lang w:val="en-NZ"/>
        </w:rPr>
        <w:t>It is also proposed that t</w:t>
      </w:r>
      <w:r w:rsidR="006B12FA" w:rsidRPr="00406019">
        <w:rPr>
          <w:lang w:val="en-NZ"/>
        </w:rPr>
        <w:t xml:space="preserve">he owner, or a beneficiary of </w:t>
      </w:r>
      <w:r w:rsidR="005F21DA" w:rsidRPr="00406019">
        <w:rPr>
          <w:lang w:val="en-NZ"/>
        </w:rPr>
        <w:t>a</w:t>
      </w:r>
      <w:r w:rsidR="006B12FA" w:rsidRPr="00406019">
        <w:rPr>
          <w:lang w:val="en-NZ"/>
        </w:rPr>
        <w:t xml:space="preserve"> trust that owns the property (subject to some limitations), must have resided in the property as their main home.  As a result, </w:t>
      </w:r>
      <w:r w:rsidRPr="00406019">
        <w:rPr>
          <w:lang w:val="en-NZ"/>
        </w:rPr>
        <w:t xml:space="preserve">it </w:t>
      </w:r>
      <w:proofErr w:type="gramStart"/>
      <w:r w:rsidRPr="00406019">
        <w:rPr>
          <w:lang w:val="en-NZ"/>
        </w:rPr>
        <w:t>is proposed</w:t>
      </w:r>
      <w:proofErr w:type="gramEnd"/>
      <w:r w:rsidRPr="00406019">
        <w:rPr>
          <w:lang w:val="en-NZ"/>
        </w:rPr>
        <w:t xml:space="preserve"> that </w:t>
      </w:r>
      <w:r w:rsidR="006B12FA" w:rsidRPr="00406019">
        <w:rPr>
          <w:lang w:val="en-NZ"/>
        </w:rPr>
        <w:t xml:space="preserve">the </w:t>
      </w:r>
      <w:r w:rsidR="00EC0259" w:rsidRPr="00406019">
        <w:rPr>
          <w:lang w:val="en-NZ"/>
        </w:rPr>
        <w:t xml:space="preserve">exception </w:t>
      </w:r>
      <w:r w:rsidR="006B12FA" w:rsidRPr="00406019">
        <w:rPr>
          <w:lang w:val="en-NZ"/>
        </w:rPr>
        <w:t>will not apply when only a family member has used the property as their main home (and not the owner or relevant beneficiary)</w:t>
      </w:r>
      <w:r w:rsidR="00021CFC" w:rsidRPr="00406019">
        <w:rPr>
          <w:lang w:val="en-NZ"/>
        </w:rPr>
        <w:t xml:space="preserve">.  </w:t>
      </w:r>
      <w:r w:rsidR="006B12FA" w:rsidRPr="00406019">
        <w:rPr>
          <w:lang w:val="en-NZ"/>
        </w:rPr>
        <w:t xml:space="preserve">Further, if the owner of a property does not reside in New Zealand, they cannot use the </w:t>
      </w:r>
      <w:r w:rsidR="005B2BC0" w:rsidRPr="00406019">
        <w:rPr>
          <w:lang w:val="en-NZ"/>
        </w:rPr>
        <w:t>main home exception</w:t>
      </w:r>
      <w:r w:rsidR="006B12FA" w:rsidRPr="00406019">
        <w:rPr>
          <w:lang w:val="en-NZ"/>
        </w:rPr>
        <w:t>.</w:t>
      </w:r>
    </w:p>
    <w:p w:rsidR="006B12FA" w:rsidRPr="00406019" w:rsidRDefault="006B12FA" w:rsidP="006B12FA">
      <w:pPr>
        <w:rPr>
          <w:lang w:val="en-NZ"/>
        </w:rPr>
      </w:pPr>
    </w:p>
    <w:p w:rsidR="006B12FA" w:rsidRPr="00406019" w:rsidRDefault="006B12FA" w:rsidP="001C31B2">
      <w:pPr>
        <w:pStyle w:val="Heading4"/>
        <w:rPr>
          <w:lang w:val="en-NZ"/>
        </w:rPr>
      </w:pPr>
      <w:r w:rsidRPr="00406019">
        <w:rPr>
          <w:lang w:val="en-NZ"/>
        </w:rPr>
        <w:t>Trusts</w:t>
      </w:r>
    </w:p>
    <w:p w:rsidR="006B12FA" w:rsidRPr="00406019" w:rsidRDefault="006B12FA" w:rsidP="006B12FA">
      <w:pPr>
        <w:rPr>
          <w:lang w:val="en-NZ"/>
        </w:rPr>
      </w:pPr>
    </w:p>
    <w:p w:rsidR="006B12FA" w:rsidRPr="00406019" w:rsidRDefault="00DD2509" w:rsidP="006B12FA">
      <w:pPr>
        <w:rPr>
          <w:lang w:val="en-NZ"/>
        </w:rPr>
      </w:pPr>
      <w:r w:rsidRPr="00406019">
        <w:rPr>
          <w:lang w:val="en-NZ"/>
        </w:rPr>
        <w:t xml:space="preserve">The </w:t>
      </w:r>
      <w:r w:rsidR="005F21DA" w:rsidRPr="00406019">
        <w:rPr>
          <w:lang w:val="en-NZ"/>
        </w:rPr>
        <w:t>b</w:t>
      </w:r>
      <w:r w:rsidRPr="00406019">
        <w:rPr>
          <w:lang w:val="en-NZ"/>
        </w:rPr>
        <w:t>ill proposes that a</w:t>
      </w:r>
      <w:r w:rsidR="006B12FA" w:rsidRPr="00406019">
        <w:rPr>
          <w:lang w:val="en-NZ"/>
        </w:rPr>
        <w:t xml:space="preserve"> trustee of a trust can use the </w:t>
      </w:r>
      <w:r w:rsidR="005B2BC0" w:rsidRPr="00406019">
        <w:rPr>
          <w:lang w:val="en-NZ"/>
        </w:rPr>
        <w:t>main home exception</w:t>
      </w:r>
      <w:r w:rsidR="006B12FA" w:rsidRPr="00406019">
        <w:rPr>
          <w:lang w:val="en-NZ"/>
        </w:rPr>
        <w:t xml:space="preserve"> when they sell a property if it is the main home of a beneficiary (subject to some limitations).  </w:t>
      </w:r>
      <w:r w:rsidR="00A35164" w:rsidRPr="00406019">
        <w:rPr>
          <w:lang w:val="en-NZ"/>
        </w:rPr>
        <w:t>However, a</w:t>
      </w:r>
      <w:r w:rsidR="006B12FA" w:rsidRPr="00406019">
        <w:rPr>
          <w:lang w:val="en-NZ"/>
        </w:rPr>
        <w:t xml:space="preserve"> trustee cannot use the </w:t>
      </w:r>
      <w:r w:rsidR="005B2BC0" w:rsidRPr="00406019">
        <w:rPr>
          <w:lang w:val="en-NZ"/>
        </w:rPr>
        <w:t>main home exception</w:t>
      </w:r>
      <w:r w:rsidR="006B12FA" w:rsidRPr="00406019">
        <w:rPr>
          <w:lang w:val="en-NZ"/>
        </w:rPr>
        <w:t xml:space="preserve"> when:</w:t>
      </w:r>
    </w:p>
    <w:p w:rsidR="005F21DA" w:rsidRPr="00406019" w:rsidRDefault="005F21DA" w:rsidP="006B12FA">
      <w:pPr>
        <w:rPr>
          <w:lang w:val="en-NZ"/>
        </w:rPr>
      </w:pPr>
    </w:p>
    <w:p w:rsidR="006B12FA" w:rsidRPr="00406019" w:rsidRDefault="005F21DA" w:rsidP="00511E52">
      <w:pPr>
        <w:pStyle w:val="Bullets"/>
        <w:rPr>
          <w:lang w:val="en-NZ"/>
        </w:rPr>
      </w:pPr>
      <w:r w:rsidRPr="00406019">
        <w:rPr>
          <w:lang w:val="en-NZ"/>
        </w:rPr>
        <w:t>t</w:t>
      </w:r>
      <w:r w:rsidR="006B12FA" w:rsidRPr="00406019">
        <w:rPr>
          <w:lang w:val="en-NZ"/>
        </w:rPr>
        <w:t>he principal settlor of the trust owns a main home that is not the property being sold; or</w:t>
      </w:r>
    </w:p>
    <w:p w:rsidR="006B12FA" w:rsidRPr="00406019" w:rsidRDefault="006B12FA" w:rsidP="00511E52">
      <w:pPr>
        <w:pStyle w:val="Bullets-last"/>
        <w:rPr>
          <w:lang w:val="en-NZ"/>
        </w:rPr>
      </w:pPr>
      <w:proofErr w:type="gramStart"/>
      <w:r w:rsidRPr="00406019">
        <w:rPr>
          <w:lang w:val="en-NZ"/>
        </w:rPr>
        <w:t>the</w:t>
      </w:r>
      <w:proofErr w:type="gramEnd"/>
      <w:r w:rsidRPr="00406019">
        <w:rPr>
          <w:lang w:val="en-NZ"/>
        </w:rPr>
        <w:t xml:space="preserve"> principal settlor of the trust is a beneficiary of a trust that owns the settlor’s main home (and that is not the property that the trustee is disposing of).</w:t>
      </w:r>
    </w:p>
    <w:p w:rsidR="006B12FA" w:rsidRPr="00406019" w:rsidRDefault="006B12FA" w:rsidP="006B12FA">
      <w:pPr>
        <w:rPr>
          <w:lang w:val="en-NZ"/>
        </w:rPr>
      </w:pPr>
    </w:p>
    <w:p w:rsidR="006B12FA" w:rsidRPr="00406019" w:rsidRDefault="006B12FA" w:rsidP="006B12FA">
      <w:pPr>
        <w:rPr>
          <w:lang w:val="en-NZ"/>
        </w:rPr>
      </w:pPr>
      <w:r w:rsidRPr="00406019">
        <w:rPr>
          <w:lang w:val="en-NZ"/>
        </w:rPr>
        <w:t>The principal settlor is the one settlor that has settled the most property, by value, on the trust.</w:t>
      </w:r>
    </w:p>
    <w:p w:rsidR="00614D99" w:rsidRPr="00406019" w:rsidRDefault="00614D99" w:rsidP="006B12FA">
      <w:pPr>
        <w:rPr>
          <w:lang w:val="en-NZ"/>
        </w:rPr>
      </w:pPr>
    </w:p>
    <w:p w:rsidR="006B12FA" w:rsidRPr="00406019" w:rsidRDefault="006B12FA" w:rsidP="00614D99">
      <w:pPr>
        <w:pBdr>
          <w:top w:val="single" w:sz="4" w:space="10" w:color="auto"/>
          <w:left w:val="single" w:sz="4" w:space="10" w:color="auto"/>
          <w:bottom w:val="single" w:sz="4" w:space="10" w:color="auto"/>
          <w:right w:val="single" w:sz="4" w:space="10" w:color="auto"/>
        </w:pBdr>
        <w:rPr>
          <w:b/>
          <w:sz w:val="20"/>
          <w:lang w:val="en-NZ"/>
        </w:rPr>
      </w:pPr>
      <w:r w:rsidRPr="00406019">
        <w:rPr>
          <w:b/>
          <w:sz w:val="20"/>
          <w:lang w:val="en-NZ"/>
        </w:rPr>
        <w:t>Example</w:t>
      </w:r>
      <w:r w:rsidR="005F21DA" w:rsidRPr="00406019">
        <w:rPr>
          <w:b/>
          <w:sz w:val="20"/>
          <w:lang w:val="en-NZ"/>
        </w:rPr>
        <w:t>: S</w:t>
      </w:r>
      <w:r w:rsidRPr="00406019">
        <w:rPr>
          <w:b/>
          <w:sz w:val="20"/>
          <w:lang w:val="en-NZ"/>
        </w:rPr>
        <w:t>tudent flat</w:t>
      </w:r>
    </w:p>
    <w:p w:rsidR="006B12FA" w:rsidRPr="00406019" w:rsidRDefault="006B12FA" w:rsidP="00614D99">
      <w:pPr>
        <w:pBdr>
          <w:top w:val="single" w:sz="4" w:space="10" w:color="auto"/>
          <w:left w:val="single" w:sz="4" w:space="10" w:color="auto"/>
          <w:bottom w:val="single" w:sz="4" w:space="10" w:color="auto"/>
          <w:right w:val="single" w:sz="4" w:space="10" w:color="auto"/>
        </w:pBdr>
        <w:rPr>
          <w:i/>
          <w:sz w:val="20"/>
          <w:lang w:val="en-NZ"/>
        </w:rPr>
      </w:pPr>
    </w:p>
    <w:p w:rsidR="006B12FA" w:rsidRPr="00406019" w:rsidRDefault="006B12FA" w:rsidP="00614D99">
      <w:pPr>
        <w:pBdr>
          <w:top w:val="single" w:sz="4" w:space="10" w:color="auto"/>
          <w:left w:val="single" w:sz="4" w:space="10" w:color="auto"/>
          <w:bottom w:val="single" w:sz="4" w:space="10" w:color="auto"/>
          <w:right w:val="single" w:sz="4" w:space="10" w:color="auto"/>
        </w:pBdr>
        <w:rPr>
          <w:sz w:val="20"/>
          <w:lang w:val="en-NZ"/>
        </w:rPr>
      </w:pPr>
      <w:r w:rsidRPr="00406019">
        <w:rPr>
          <w:sz w:val="20"/>
          <w:lang w:val="en-NZ"/>
        </w:rPr>
        <w:t xml:space="preserve">Dave has two properties, a family </w:t>
      </w:r>
      <w:proofErr w:type="gramStart"/>
      <w:r w:rsidRPr="00406019">
        <w:rPr>
          <w:sz w:val="20"/>
          <w:lang w:val="en-NZ"/>
        </w:rPr>
        <w:t>home which</w:t>
      </w:r>
      <w:proofErr w:type="gramEnd"/>
      <w:r w:rsidRPr="00406019">
        <w:rPr>
          <w:sz w:val="20"/>
          <w:lang w:val="en-NZ"/>
        </w:rPr>
        <w:t xml:space="preserve"> he lives in, and a student flat which his son lives in while studying</w:t>
      </w:r>
      <w:r w:rsidR="00021CFC" w:rsidRPr="00406019">
        <w:rPr>
          <w:sz w:val="20"/>
          <w:lang w:val="en-NZ"/>
        </w:rPr>
        <w:t xml:space="preserve">.  </w:t>
      </w:r>
      <w:r w:rsidRPr="00406019">
        <w:rPr>
          <w:sz w:val="20"/>
          <w:lang w:val="en-NZ"/>
        </w:rPr>
        <w:t>Dave settles the student flat on a trust and makes his son a discretionary beneficiary of the trust.</w:t>
      </w:r>
    </w:p>
    <w:p w:rsidR="006B12FA" w:rsidRPr="00406019" w:rsidRDefault="006B12FA" w:rsidP="00614D99">
      <w:pPr>
        <w:pBdr>
          <w:top w:val="single" w:sz="4" w:space="10" w:color="auto"/>
          <w:left w:val="single" w:sz="4" w:space="10" w:color="auto"/>
          <w:bottom w:val="single" w:sz="4" w:space="10" w:color="auto"/>
          <w:right w:val="single" w:sz="4" w:space="10" w:color="auto"/>
        </w:pBdr>
        <w:rPr>
          <w:sz w:val="20"/>
          <w:lang w:val="en-NZ"/>
        </w:rPr>
      </w:pPr>
    </w:p>
    <w:p w:rsidR="006B12FA" w:rsidRPr="00406019" w:rsidRDefault="006B12FA" w:rsidP="00614D99">
      <w:pPr>
        <w:pBdr>
          <w:top w:val="single" w:sz="4" w:space="10" w:color="auto"/>
          <w:left w:val="single" w:sz="4" w:space="10" w:color="auto"/>
          <w:bottom w:val="single" w:sz="4" w:space="10" w:color="auto"/>
          <w:right w:val="single" w:sz="4" w:space="10" w:color="auto"/>
        </w:pBdr>
        <w:rPr>
          <w:sz w:val="20"/>
          <w:lang w:val="en-NZ"/>
        </w:rPr>
      </w:pPr>
      <w:r w:rsidRPr="00406019">
        <w:rPr>
          <w:sz w:val="20"/>
          <w:lang w:val="en-NZ"/>
        </w:rPr>
        <w:t xml:space="preserve">The trust cannot use the </w:t>
      </w:r>
      <w:r w:rsidR="005B2BC0" w:rsidRPr="00406019">
        <w:rPr>
          <w:sz w:val="20"/>
          <w:lang w:val="en-NZ"/>
        </w:rPr>
        <w:t>main home exception</w:t>
      </w:r>
      <w:r w:rsidRPr="00406019">
        <w:rPr>
          <w:sz w:val="20"/>
          <w:lang w:val="en-NZ"/>
        </w:rPr>
        <w:t xml:space="preserve"> because the principal settlor of the trust (Dave) has another main home.</w:t>
      </w:r>
    </w:p>
    <w:p w:rsidR="006B12FA" w:rsidRPr="00406019" w:rsidRDefault="006B12FA" w:rsidP="006B12FA">
      <w:pPr>
        <w:rPr>
          <w:lang w:val="en-NZ"/>
        </w:rPr>
      </w:pPr>
    </w:p>
    <w:p w:rsidR="00614D99" w:rsidRPr="00406019" w:rsidRDefault="00614D99" w:rsidP="006B12FA">
      <w:pPr>
        <w:rPr>
          <w:lang w:val="en-NZ"/>
        </w:rPr>
      </w:pPr>
    </w:p>
    <w:p w:rsidR="006B12FA" w:rsidRPr="00406019" w:rsidRDefault="006B12FA" w:rsidP="001C31B2">
      <w:pPr>
        <w:pStyle w:val="Heading3"/>
        <w:rPr>
          <w:lang w:val="en-NZ"/>
        </w:rPr>
      </w:pPr>
      <w:r w:rsidRPr="00406019">
        <w:rPr>
          <w:lang w:val="en-NZ"/>
        </w:rPr>
        <w:t>More than one home</w:t>
      </w:r>
      <w:r w:rsidR="005F21DA" w:rsidRPr="00406019">
        <w:rPr>
          <w:lang w:val="en-NZ"/>
        </w:rPr>
        <w:t xml:space="preserve"> –</w:t>
      </w:r>
      <w:r w:rsidRPr="00406019">
        <w:rPr>
          <w:lang w:val="en-NZ"/>
        </w:rPr>
        <w:t xml:space="preserve"> </w:t>
      </w:r>
      <w:r w:rsidR="005F21DA" w:rsidRPr="00406019">
        <w:rPr>
          <w:lang w:val="en-NZ"/>
        </w:rPr>
        <w:t>“</w:t>
      </w:r>
      <w:r w:rsidRPr="00406019">
        <w:rPr>
          <w:lang w:val="en-NZ"/>
        </w:rPr>
        <w:t>greatest connection</w:t>
      </w:r>
      <w:r w:rsidR="005F21DA" w:rsidRPr="00406019">
        <w:rPr>
          <w:lang w:val="en-NZ"/>
        </w:rPr>
        <w:t>”</w:t>
      </w:r>
      <w:r w:rsidRPr="00406019">
        <w:rPr>
          <w:lang w:val="en-NZ"/>
        </w:rPr>
        <w:t xml:space="preserve"> test</w:t>
      </w:r>
    </w:p>
    <w:p w:rsidR="006B12FA" w:rsidRPr="00406019" w:rsidRDefault="006B12FA" w:rsidP="006B12FA">
      <w:pPr>
        <w:rPr>
          <w:lang w:val="en-NZ"/>
        </w:rPr>
      </w:pPr>
    </w:p>
    <w:p w:rsidR="006B12FA" w:rsidRPr="00406019" w:rsidRDefault="006B12FA" w:rsidP="006B12FA">
      <w:pPr>
        <w:rPr>
          <w:lang w:val="en-NZ"/>
        </w:rPr>
      </w:pPr>
      <w:r w:rsidRPr="00406019">
        <w:rPr>
          <w:lang w:val="en-NZ"/>
        </w:rPr>
        <w:t xml:space="preserve">If a person has two homes, </w:t>
      </w:r>
      <w:r w:rsidR="00DD2509" w:rsidRPr="00406019">
        <w:rPr>
          <w:lang w:val="en-NZ"/>
        </w:rPr>
        <w:t xml:space="preserve">the </w:t>
      </w:r>
      <w:r w:rsidR="005F21DA" w:rsidRPr="00406019">
        <w:rPr>
          <w:lang w:val="en-NZ"/>
        </w:rPr>
        <w:t>b</w:t>
      </w:r>
      <w:r w:rsidR="00DD2509" w:rsidRPr="00406019">
        <w:rPr>
          <w:lang w:val="en-NZ"/>
        </w:rPr>
        <w:t xml:space="preserve">ill proposes that </w:t>
      </w:r>
      <w:r w:rsidRPr="00406019">
        <w:rPr>
          <w:lang w:val="en-NZ"/>
        </w:rPr>
        <w:t xml:space="preserve">the </w:t>
      </w:r>
      <w:r w:rsidR="005F21DA" w:rsidRPr="00406019">
        <w:rPr>
          <w:lang w:val="en-NZ"/>
        </w:rPr>
        <w:t>“</w:t>
      </w:r>
      <w:r w:rsidRPr="00406019">
        <w:rPr>
          <w:lang w:val="en-NZ"/>
        </w:rPr>
        <w:t>greatest connection</w:t>
      </w:r>
      <w:r w:rsidR="005F21DA" w:rsidRPr="00406019">
        <w:rPr>
          <w:lang w:val="en-NZ"/>
        </w:rPr>
        <w:t>”</w:t>
      </w:r>
      <w:r w:rsidRPr="00406019">
        <w:rPr>
          <w:lang w:val="en-NZ"/>
        </w:rPr>
        <w:t xml:space="preserve"> test </w:t>
      </w:r>
      <w:r w:rsidR="00DD2509" w:rsidRPr="00406019">
        <w:rPr>
          <w:lang w:val="en-NZ"/>
        </w:rPr>
        <w:t>will determine</w:t>
      </w:r>
      <w:r w:rsidRPr="00406019">
        <w:rPr>
          <w:lang w:val="en-NZ"/>
        </w:rPr>
        <w:t xml:space="preserve"> which of the two properties </w:t>
      </w:r>
      <w:proofErr w:type="gramStart"/>
      <w:r w:rsidRPr="00406019">
        <w:rPr>
          <w:lang w:val="en-NZ"/>
        </w:rPr>
        <w:t>is the person’s main home</w:t>
      </w:r>
      <w:proofErr w:type="gramEnd"/>
      <w:r w:rsidR="00021CFC" w:rsidRPr="00406019">
        <w:rPr>
          <w:lang w:val="en-NZ"/>
        </w:rPr>
        <w:t xml:space="preserve">.  </w:t>
      </w:r>
      <w:r w:rsidRPr="00406019">
        <w:rPr>
          <w:lang w:val="en-NZ"/>
        </w:rPr>
        <w:t xml:space="preserve">In other words, the </w:t>
      </w:r>
      <w:r w:rsidR="005F21DA" w:rsidRPr="00406019">
        <w:rPr>
          <w:lang w:val="en-NZ"/>
        </w:rPr>
        <w:t>“</w:t>
      </w:r>
      <w:r w:rsidRPr="00406019">
        <w:rPr>
          <w:lang w:val="en-NZ"/>
        </w:rPr>
        <w:t>greatest connection</w:t>
      </w:r>
      <w:r w:rsidR="005F21DA" w:rsidRPr="00406019">
        <w:rPr>
          <w:lang w:val="en-NZ"/>
        </w:rPr>
        <w:t>”</w:t>
      </w:r>
      <w:r w:rsidRPr="00406019">
        <w:rPr>
          <w:lang w:val="en-NZ"/>
        </w:rPr>
        <w:t xml:space="preserve"> test operates </w:t>
      </w:r>
      <w:r w:rsidR="00DD2509" w:rsidRPr="00406019">
        <w:rPr>
          <w:lang w:val="en-NZ"/>
        </w:rPr>
        <w:t xml:space="preserve">only </w:t>
      </w:r>
      <w:r w:rsidRPr="00406019">
        <w:rPr>
          <w:lang w:val="en-NZ"/>
        </w:rPr>
        <w:t xml:space="preserve">as a </w:t>
      </w:r>
      <w:proofErr w:type="gramStart"/>
      <w:r w:rsidRPr="00406019">
        <w:rPr>
          <w:lang w:val="en-NZ"/>
        </w:rPr>
        <w:t>tie-breaker</w:t>
      </w:r>
      <w:proofErr w:type="gramEnd"/>
      <w:r w:rsidRPr="00406019">
        <w:rPr>
          <w:lang w:val="en-NZ"/>
        </w:rPr>
        <w:t xml:space="preserve"> whe</w:t>
      </w:r>
      <w:r w:rsidR="005F21DA" w:rsidRPr="00406019">
        <w:rPr>
          <w:lang w:val="en-NZ"/>
        </w:rPr>
        <w:t>n</w:t>
      </w:r>
      <w:r w:rsidRPr="00406019">
        <w:rPr>
          <w:lang w:val="en-NZ"/>
        </w:rPr>
        <w:t xml:space="preserve"> a person has more than one home.</w:t>
      </w:r>
    </w:p>
    <w:p w:rsidR="006B12FA" w:rsidRPr="00406019" w:rsidRDefault="006B12FA" w:rsidP="006B12FA">
      <w:pPr>
        <w:rPr>
          <w:lang w:val="en-NZ"/>
        </w:rPr>
      </w:pPr>
    </w:p>
    <w:p w:rsidR="005F21DA" w:rsidRPr="00406019" w:rsidRDefault="006B12FA" w:rsidP="006B12FA">
      <w:pPr>
        <w:rPr>
          <w:lang w:val="en-NZ"/>
        </w:rPr>
      </w:pPr>
      <w:r w:rsidRPr="00406019">
        <w:rPr>
          <w:lang w:val="en-NZ"/>
        </w:rPr>
        <w:t xml:space="preserve">The </w:t>
      </w:r>
      <w:r w:rsidR="005F21DA" w:rsidRPr="00406019">
        <w:rPr>
          <w:lang w:val="en-NZ"/>
        </w:rPr>
        <w:t>“</w:t>
      </w:r>
      <w:r w:rsidRPr="00406019">
        <w:rPr>
          <w:lang w:val="en-NZ"/>
        </w:rPr>
        <w:t>greatest connection</w:t>
      </w:r>
      <w:r w:rsidR="005F21DA" w:rsidRPr="00406019">
        <w:rPr>
          <w:lang w:val="en-NZ"/>
        </w:rPr>
        <w:t>”</w:t>
      </w:r>
      <w:r w:rsidRPr="00406019">
        <w:rPr>
          <w:lang w:val="en-NZ"/>
        </w:rPr>
        <w:t xml:space="preserve"> test determines</w:t>
      </w:r>
      <w:r w:rsidR="005F21DA" w:rsidRPr="00406019">
        <w:rPr>
          <w:lang w:val="en-NZ"/>
        </w:rPr>
        <w:t>,</w:t>
      </w:r>
      <w:r w:rsidRPr="00406019">
        <w:rPr>
          <w:lang w:val="en-NZ"/>
        </w:rPr>
        <w:t xml:space="preserve"> on an objective basis</w:t>
      </w:r>
      <w:r w:rsidR="005F21DA" w:rsidRPr="00406019">
        <w:rPr>
          <w:lang w:val="en-NZ"/>
        </w:rPr>
        <w:t>,</w:t>
      </w:r>
      <w:r w:rsidRPr="00406019">
        <w:rPr>
          <w:lang w:val="en-NZ"/>
        </w:rPr>
        <w:t xml:space="preserve"> which property is the person’s main home.  The test does not allow a person to elect their main home</w:t>
      </w:r>
      <w:r w:rsidR="00021CFC" w:rsidRPr="00406019">
        <w:rPr>
          <w:lang w:val="en-NZ"/>
        </w:rPr>
        <w:t xml:space="preserve">.  </w:t>
      </w:r>
      <w:r w:rsidRPr="00406019">
        <w:rPr>
          <w:lang w:val="en-NZ"/>
        </w:rPr>
        <w:t>Various factors may be relevant in determining which property the person has the greatest connection</w:t>
      </w:r>
      <w:r w:rsidR="005F21DA" w:rsidRPr="00406019">
        <w:rPr>
          <w:lang w:val="en-NZ"/>
        </w:rPr>
        <w:t xml:space="preserve"> with</w:t>
      </w:r>
      <w:r w:rsidRPr="00406019">
        <w:rPr>
          <w:lang w:val="en-NZ"/>
        </w:rPr>
        <w:t>, including:</w:t>
      </w:r>
    </w:p>
    <w:p w:rsidR="006B12FA" w:rsidRPr="00406019" w:rsidRDefault="006B12FA" w:rsidP="006B12FA">
      <w:pPr>
        <w:rPr>
          <w:lang w:val="en-NZ"/>
        </w:rPr>
      </w:pPr>
    </w:p>
    <w:p w:rsidR="006B12FA" w:rsidRPr="00406019" w:rsidRDefault="006B12FA" w:rsidP="00511E52">
      <w:pPr>
        <w:pStyle w:val="Bullets"/>
        <w:rPr>
          <w:lang w:val="en-NZ"/>
        </w:rPr>
      </w:pPr>
      <w:r w:rsidRPr="00406019">
        <w:rPr>
          <w:lang w:val="en-NZ"/>
        </w:rPr>
        <w:t>the time the person occupies the dwelling;</w:t>
      </w:r>
    </w:p>
    <w:p w:rsidR="006B12FA" w:rsidRPr="00406019" w:rsidRDefault="006B12FA" w:rsidP="00511E52">
      <w:pPr>
        <w:pStyle w:val="Bullets"/>
        <w:rPr>
          <w:lang w:val="en-NZ"/>
        </w:rPr>
      </w:pPr>
      <w:r w:rsidRPr="00406019">
        <w:rPr>
          <w:lang w:val="en-NZ"/>
        </w:rPr>
        <w:t>where their immediate family (if any) live;</w:t>
      </w:r>
    </w:p>
    <w:p w:rsidR="006B12FA" w:rsidRPr="00406019" w:rsidRDefault="006B12FA" w:rsidP="00511E52">
      <w:pPr>
        <w:pStyle w:val="Bullets"/>
        <w:rPr>
          <w:lang w:val="en-NZ"/>
        </w:rPr>
      </w:pPr>
      <w:r w:rsidRPr="00406019">
        <w:rPr>
          <w:lang w:val="en-NZ"/>
        </w:rPr>
        <w:t>where their social ties are strongest;</w:t>
      </w:r>
    </w:p>
    <w:p w:rsidR="006B12FA" w:rsidRPr="00406019" w:rsidRDefault="006B12FA" w:rsidP="00511E52">
      <w:pPr>
        <w:pStyle w:val="Bullets"/>
        <w:rPr>
          <w:lang w:val="en-NZ"/>
        </w:rPr>
      </w:pPr>
      <w:r w:rsidRPr="00406019">
        <w:rPr>
          <w:lang w:val="en-NZ"/>
        </w:rPr>
        <w:t>the person’s use of the dwelling;</w:t>
      </w:r>
    </w:p>
    <w:p w:rsidR="006B12FA" w:rsidRPr="00406019" w:rsidRDefault="006B12FA" w:rsidP="00511E52">
      <w:pPr>
        <w:pStyle w:val="Bullets"/>
        <w:rPr>
          <w:lang w:val="en-NZ"/>
        </w:rPr>
      </w:pPr>
      <w:r w:rsidRPr="00406019">
        <w:rPr>
          <w:lang w:val="en-NZ"/>
        </w:rPr>
        <w:t>the person’s employment, business interests and economic ties to the area where the dwelling is located;</w:t>
      </w:r>
      <w:r w:rsidR="005F21DA" w:rsidRPr="00406019">
        <w:rPr>
          <w:lang w:val="en-NZ"/>
        </w:rPr>
        <w:t xml:space="preserve"> and</w:t>
      </w:r>
    </w:p>
    <w:p w:rsidR="006B12FA" w:rsidRPr="00406019" w:rsidRDefault="006B12FA" w:rsidP="00511E52">
      <w:pPr>
        <w:pStyle w:val="Bullets-last"/>
        <w:rPr>
          <w:lang w:val="en-NZ"/>
        </w:rPr>
      </w:pPr>
      <w:proofErr w:type="gramStart"/>
      <w:r w:rsidRPr="00406019">
        <w:rPr>
          <w:lang w:val="en-NZ"/>
        </w:rPr>
        <w:t>whether</w:t>
      </w:r>
      <w:proofErr w:type="gramEnd"/>
      <w:r w:rsidRPr="00406019">
        <w:rPr>
          <w:lang w:val="en-NZ"/>
        </w:rPr>
        <w:t xml:space="preserve"> the person’s personal property is in the dwelling.</w:t>
      </w:r>
    </w:p>
    <w:p w:rsidR="006B12FA" w:rsidRPr="00406019" w:rsidRDefault="006B12FA" w:rsidP="006B12FA">
      <w:pPr>
        <w:rPr>
          <w:lang w:val="en-NZ"/>
        </w:rPr>
      </w:pPr>
    </w:p>
    <w:p w:rsidR="006B12FA" w:rsidRPr="00406019" w:rsidRDefault="006B12FA" w:rsidP="006B12FA">
      <w:pPr>
        <w:rPr>
          <w:lang w:val="en-NZ"/>
        </w:rPr>
      </w:pPr>
      <w:r w:rsidRPr="00406019">
        <w:rPr>
          <w:lang w:val="en-NZ"/>
        </w:rPr>
        <w:t>The</w:t>
      </w:r>
      <w:r w:rsidR="005F21DA" w:rsidRPr="00406019">
        <w:rPr>
          <w:lang w:val="en-NZ"/>
        </w:rPr>
        <w:t>se</w:t>
      </w:r>
      <w:r w:rsidRPr="00406019">
        <w:rPr>
          <w:lang w:val="en-NZ"/>
        </w:rPr>
        <w:t xml:space="preserve"> factors are similar to </w:t>
      </w:r>
      <w:r w:rsidR="007D17DC" w:rsidRPr="00406019">
        <w:rPr>
          <w:lang w:val="en-NZ"/>
        </w:rPr>
        <w:t>those</w:t>
      </w:r>
      <w:r w:rsidRPr="00406019">
        <w:rPr>
          <w:lang w:val="en-NZ"/>
        </w:rPr>
        <w:t xml:space="preserve"> used to determine if a person has a permanent place of abode under current tax law.  Therefore, existing guidance on the </w:t>
      </w:r>
      <w:r w:rsidR="005F21DA" w:rsidRPr="00406019">
        <w:rPr>
          <w:lang w:val="en-NZ"/>
        </w:rPr>
        <w:t>“</w:t>
      </w:r>
      <w:r w:rsidRPr="00406019">
        <w:rPr>
          <w:lang w:val="en-NZ"/>
        </w:rPr>
        <w:t>permanent place of abode</w:t>
      </w:r>
      <w:r w:rsidR="005F21DA" w:rsidRPr="00406019">
        <w:rPr>
          <w:lang w:val="en-NZ"/>
        </w:rPr>
        <w:t>”</w:t>
      </w:r>
      <w:r w:rsidRPr="00406019">
        <w:rPr>
          <w:lang w:val="en-NZ"/>
        </w:rPr>
        <w:t xml:space="preserve"> test could assist in determining which property the person has the greatest connection</w:t>
      </w:r>
      <w:r w:rsidR="005F21DA" w:rsidRPr="00406019">
        <w:rPr>
          <w:lang w:val="en-NZ"/>
        </w:rPr>
        <w:t xml:space="preserve"> </w:t>
      </w:r>
      <w:proofErr w:type="gramStart"/>
      <w:r w:rsidR="005F21DA" w:rsidRPr="00406019">
        <w:rPr>
          <w:lang w:val="en-NZ"/>
        </w:rPr>
        <w:t>with</w:t>
      </w:r>
      <w:proofErr w:type="gramEnd"/>
      <w:r w:rsidRPr="00406019">
        <w:rPr>
          <w:lang w:val="en-NZ"/>
        </w:rPr>
        <w:t>.</w:t>
      </w:r>
    </w:p>
    <w:p w:rsidR="007D17DC" w:rsidRPr="00406019" w:rsidRDefault="007D17DC" w:rsidP="006B12FA">
      <w:pPr>
        <w:rPr>
          <w:lang w:val="en-NZ"/>
        </w:rPr>
      </w:pPr>
    </w:p>
    <w:p w:rsidR="006B12FA" w:rsidRPr="00406019" w:rsidRDefault="006B12FA" w:rsidP="001C31B2">
      <w:pPr>
        <w:pStyle w:val="Heading3"/>
        <w:rPr>
          <w:lang w:val="en-NZ"/>
        </w:rPr>
      </w:pPr>
      <w:r w:rsidRPr="00406019">
        <w:rPr>
          <w:lang w:val="en-NZ"/>
        </w:rPr>
        <w:t xml:space="preserve">Using the </w:t>
      </w:r>
      <w:r w:rsidR="005B2BC0" w:rsidRPr="00406019">
        <w:rPr>
          <w:lang w:val="en-NZ"/>
        </w:rPr>
        <w:t>main home exception</w:t>
      </w:r>
      <w:r w:rsidRPr="00406019">
        <w:rPr>
          <w:lang w:val="en-NZ"/>
        </w:rPr>
        <w:t xml:space="preserve"> for two properties</w:t>
      </w:r>
    </w:p>
    <w:p w:rsidR="006B12FA" w:rsidRPr="00406019" w:rsidRDefault="006B12FA" w:rsidP="006B12FA">
      <w:pPr>
        <w:rPr>
          <w:lang w:val="en-NZ"/>
        </w:rPr>
      </w:pPr>
    </w:p>
    <w:p w:rsidR="006B12FA" w:rsidRPr="00406019" w:rsidRDefault="007D17DC" w:rsidP="006B12FA">
      <w:pPr>
        <w:rPr>
          <w:lang w:val="en-NZ"/>
        </w:rPr>
      </w:pPr>
      <w:r w:rsidRPr="00406019">
        <w:rPr>
          <w:lang w:val="en-NZ"/>
        </w:rPr>
        <w:t xml:space="preserve">The </w:t>
      </w:r>
      <w:r w:rsidR="005F21DA" w:rsidRPr="00406019">
        <w:rPr>
          <w:lang w:val="en-NZ"/>
        </w:rPr>
        <w:t>b</w:t>
      </w:r>
      <w:r w:rsidR="00B62C34" w:rsidRPr="00406019">
        <w:rPr>
          <w:lang w:val="en-NZ"/>
        </w:rPr>
        <w:t>ill</w:t>
      </w:r>
      <w:r w:rsidRPr="00406019">
        <w:rPr>
          <w:lang w:val="en-NZ"/>
        </w:rPr>
        <w:t xml:space="preserve"> proposes that, i</w:t>
      </w:r>
      <w:r w:rsidR="006B12FA" w:rsidRPr="00406019">
        <w:rPr>
          <w:lang w:val="en-NZ"/>
        </w:rPr>
        <w:t xml:space="preserve">n limited circumstances, a person may use the </w:t>
      </w:r>
      <w:r w:rsidR="005B2BC0" w:rsidRPr="00406019">
        <w:rPr>
          <w:lang w:val="en-NZ"/>
        </w:rPr>
        <w:t>main home exception</w:t>
      </w:r>
      <w:r w:rsidR="006B12FA" w:rsidRPr="00406019">
        <w:rPr>
          <w:lang w:val="en-NZ"/>
        </w:rPr>
        <w:t xml:space="preserve"> for two properties sold at the same time.</w:t>
      </w:r>
    </w:p>
    <w:p w:rsidR="006B12FA" w:rsidRPr="00406019" w:rsidRDefault="006B12FA" w:rsidP="006B12FA">
      <w:pPr>
        <w:rPr>
          <w:lang w:val="en-NZ"/>
        </w:rPr>
      </w:pPr>
    </w:p>
    <w:p w:rsidR="006B12FA" w:rsidRPr="00406019" w:rsidRDefault="006B12FA" w:rsidP="006B12FA">
      <w:pPr>
        <w:rPr>
          <w:lang w:val="en-NZ"/>
        </w:rPr>
      </w:pPr>
      <w:r w:rsidRPr="00406019">
        <w:rPr>
          <w:lang w:val="en-NZ"/>
        </w:rPr>
        <w:t xml:space="preserve">An </w:t>
      </w:r>
      <w:proofErr w:type="gramStart"/>
      <w:r w:rsidRPr="00406019">
        <w:rPr>
          <w:lang w:val="en-NZ"/>
        </w:rPr>
        <w:t>example</w:t>
      </w:r>
      <w:proofErr w:type="gramEnd"/>
      <w:r w:rsidR="00D514B5" w:rsidRPr="00406019">
        <w:rPr>
          <w:lang w:val="en-NZ"/>
        </w:rPr>
        <w:t xml:space="preserve"> is </w:t>
      </w:r>
      <w:proofErr w:type="gramStart"/>
      <w:r w:rsidR="00D514B5" w:rsidRPr="00406019">
        <w:rPr>
          <w:lang w:val="en-NZ"/>
        </w:rPr>
        <w:t>when</w:t>
      </w:r>
      <w:proofErr w:type="gramEnd"/>
      <w:r w:rsidRPr="00406019">
        <w:rPr>
          <w:lang w:val="en-NZ"/>
        </w:rPr>
        <w:t xml:space="preserve"> a person lives in a home for less than one year as their home, and moves into a new home while trying to sell the original home.  The original home may satisfy the requirements to be the person’s main home (as discussed above) for the period </w:t>
      </w:r>
      <w:r w:rsidR="005F21DA" w:rsidRPr="00406019">
        <w:rPr>
          <w:lang w:val="en-NZ"/>
        </w:rPr>
        <w:t xml:space="preserve">before </w:t>
      </w:r>
      <w:r w:rsidRPr="00406019">
        <w:rPr>
          <w:lang w:val="en-NZ"/>
        </w:rPr>
        <w:t xml:space="preserve">moving into the new home.  The new home may also satisfy the requirements to be the person’s main </w:t>
      </w:r>
      <w:r w:rsidR="00443EB9" w:rsidRPr="00406019">
        <w:rPr>
          <w:lang w:val="en-NZ"/>
        </w:rPr>
        <w:t>home for the subsequent period.</w:t>
      </w:r>
    </w:p>
    <w:p w:rsidR="006B12FA" w:rsidRPr="00406019" w:rsidRDefault="006B12FA" w:rsidP="006B12FA">
      <w:pPr>
        <w:rPr>
          <w:lang w:val="en-NZ"/>
        </w:rPr>
      </w:pPr>
    </w:p>
    <w:p w:rsidR="006B12FA" w:rsidRPr="00406019" w:rsidRDefault="006B12FA" w:rsidP="006B12FA">
      <w:pPr>
        <w:rPr>
          <w:lang w:val="en-NZ"/>
        </w:rPr>
      </w:pPr>
      <w:r w:rsidRPr="00406019">
        <w:rPr>
          <w:lang w:val="en-NZ"/>
        </w:rPr>
        <w:t xml:space="preserve">The </w:t>
      </w:r>
      <w:r w:rsidR="00A97CFE" w:rsidRPr="00406019">
        <w:rPr>
          <w:lang w:val="en-NZ"/>
        </w:rPr>
        <w:t xml:space="preserve">ownership </w:t>
      </w:r>
      <w:r w:rsidRPr="00406019">
        <w:rPr>
          <w:lang w:val="en-NZ"/>
        </w:rPr>
        <w:t xml:space="preserve">overlap of the properties </w:t>
      </w:r>
      <w:r w:rsidR="007D17DC" w:rsidRPr="00406019">
        <w:rPr>
          <w:lang w:val="en-NZ"/>
        </w:rPr>
        <w:t>will</w:t>
      </w:r>
      <w:r w:rsidRPr="00406019">
        <w:rPr>
          <w:lang w:val="en-NZ"/>
        </w:rPr>
        <w:t xml:space="preserve"> not mean the original home fails to satisfy the requirements to be a main home for the previous period</w:t>
      </w:r>
      <w:r w:rsidR="00021CFC" w:rsidRPr="00406019">
        <w:rPr>
          <w:lang w:val="en-NZ"/>
        </w:rPr>
        <w:t xml:space="preserve">.  </w:t>
      </w:r>
      <w:r w:rsidRPr="00406019">
        <w:rPr>
          <w:lang w:val="en-NZ"/>
        </w:rPr>
        <w:t xml:space="preserve">If the two properties </w:t>
      </w:r>
      <w:proofErr w:type="gramStart"/>
      <w:r w:rsidRPr="00406019">
        <w:rPr>
          <w:lang w:val="en-NZ"/>
        </w:rPr>
        <w:t>were sold</w:t>
      </w:r>
      <w:proofErr w:type="gramEnd"/>
      <w:r w:rsidRPr="00406019">
        <w:rPr>
          <w:lang w:val="en-NZ"/>
        </w:rPr>
        <w:t xml:space="preserve"> at the same time, the owner </w:t>
      </w:r>
      <w:r w:rsidR="007D17DC" w:rsidRPr="00406019">
        <w:rPr>
          <w:lang w:val="en-NZ"/>
        </w:rPr>
        <w:t>will</w:t>
      </w:r>
      <w:r w:rsidRPr="00406019">
        <w:rPr>
          <w:lang w:val="en-NZ"/>
        </w:rPr>
        <w:t xml:space="preserve"> be able to use the </w:t>
      </w:r>
      <w:r w:rsidR="005B2BC0" w:rsidRPr="00406019">
        <w:rPr>
          <w:lang w:val="en-NZ"/>
        </w:rPr>
        <w:t>main home exception</w:t>
      </w:r>
      <w:r w:rsidRPr="00406019">
        <w:rPr>
          <w:lang w:val="en-NZ"/>
        </w:rPr>
        <w:t xml:space="preserve"> for both properties (if they both satisfied the requirements to be a main home for the different periods).</w:t>
      </w:r>
    </w:p>
    <w:p w:rsidR="00B32D70" w:rsidRPr="00406019" w:rsidRDefault="00B32D70" w:rsidP="006B12FA">
      <w:pPr>
        <w:rPr>
          <w:lang w:val="en-NZ"/>
        </w:rPr>
      </w:pPr>
    </w:p>
    <w:p w:rsidR="006D4DF9" w:rsidRPr="00406019" w:rsidRDefault="006D4DF9" w:rsidP="006D4DF9">
      <w:pPr>
        <w:pBdr>
          <w:top w:val="single" w:sz="4" w:space="10" w:color="auto"/>
          <w:left w:val="single" w:sz="4" w:space="10" w:color="auto"/>
          <w:bottom w:val="single" w:sz="4" w:space="10" w:color="auto"/>
          <w:right w:val="single" w:sz="4" w:space="10" w:color="auto"/>
        </w:pBdr>
        <w:rPr>
          <w:b/>
          <w:sz w:val="20"/>
          <w:lang w:val="en-NZ"/>
        </w:rPr>
      </w:pPr>
      <w:r w:rsidRPr="00406019">
        <w:rPr>
          <w:b/>
          <w:sz w:val="20"/>
          <w:lang w:val="en-NZ"/>
        </w:rPr>
        <w:t>Example: Main home exception for multiple properties</w:t>
      </w:r>
    </w:p>
    <w:p w:rsidR="006D4DF9" w:rsidRPr="00406019" w:rsidRDefault="006D4DF9" w:rsidP="006D4DF9">
      <w:pPr>
        <w:pBdr>
          <w:top w:val="single" w:sz="4" w:space="10" w:color="auto"/>
          <w:left w:val="single" w:sz="4" w:space="10" w:color="auto"/>
          <w:bottom w:val="single" w:sz="4" w:space="10" w:color="auto"/>
          <w:right w:val="single" w:sz="4" w:space="10" w:color="auto"/>
        </w:pBdr>
        <w:rPr>
          <w:sz w:val="20"/>
          <w:lang w:val="en-NZ"/>
        </w:rPr>
      </w:pPr>
    </w:p>
    <w:p w:rsidR="00F57991" w:rsidRPr="00406019" w:rsidRDefault="00475F4F" w:rsidP="00E77636">
      <w:pPr>
        <w:pBdr>
          <w:top w:val="single" w:sz="4" w:space="10" w:color="auto"/>
          <w:left w:val="single" w:sz="4" w:space="10" w:color="auto"/>
          <w:bottom w:val="single" w:sz="4" w:space="10" w:color="auto"/>
          <w:right w:val="single" w:sz="4" w:space="10" w:color="auto"/>
        </w:pBdr>
        <w:jc w:val="center"/>
        <w:rPr>
          <w:sz w:val="20"/>
          <w:lang w:val="en-NZ"/>
        </w:rPr>
      </w:pPr>
      <w:r w:rsidRPr="00406019">
        <w:rPr>
          <w:sz w:val="20"/>
          <w:lang w:val="en-NZ" w:eastAsia="en-NZ"/>
        </w:rPr>
        <w:drawing>
          <wp:inline distT="0" distB="0" distL="0" distR="0" wp14:anchorId="49A5307C" wp14:editId="6141E69A">
            <wp:extent cx="4953000" cy="2352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0" cy="2352675"/>
                    </a:xfrm>
                    <a:prstGeom prst="rect">
                      <a:avLst/>
                    </a:prstGeom>
                    <a:noFill/>
                    <a:ln>
                      <a:noFill/>
                    </a:ln>
                  </pic:spPr>
                </pic:pic>
              </a:graphicData>
            </a:graphic>
          </wp:inline>
        </w:drawing>
      </w:r>
    </w:p>
    <w:p w:rsidR="00F57991" w:rsidRPr="00406019" w:rsidRDefault="00F57991" w:rsidP="006D4DF9">
      <w:pPr>
        <w:pBdr>
          <w:top w:val="single" w:sz="4" w:space="10" w:color="auto"/>
          <w:left w:val="single" w:sz="4" w:space="10" w:color="auto"/>
          <w:bottom w:val="single" w:sz="4" w:space="10" w:color="auto"/>
          <w:right w:val="single" w:sz="4" w:space="10" w:color="auto"/>
        </w:pBdr>
        <w:rPr>
          <w:sz w:val="20"/>
          <w:lang w:val="en-NZ"/>
        </w:rPr>
      </w:pPr>
    </w:p>
    <w:p w:rsidR="00F57991" w:rsidRPr="00406019" w:rsidRDefault="00F57991" w:rsidP="006D4DF9">
      <w:pPr>
        <w:pBdr>
          <w:top w:val="single" w:sz="4" w:space="10" w:color="auto"/>
          <w:left w:val="single" w:sz="4" w:space="10" w:color="auto"/>
          <w:bottom w:val="single" w:sz="4" w:space="10" w:color="auto"/>
          <w:right w:val="single" w:sz="4" w:space="10" w:color="auto"/>
        </w:pBdr>
        <w:rPr>
          <w:sz w:val="20"/>
          <w:lang w:val="en-NZ"/>
        </w:rPr>
      </w:pPr>
    </w:p>
    <w:p w:rsidR="00614D99" w:rsidRPr="00406019" w:rsidRDefault="006D4DF9" w:rsidP="006D4DF9">
      <w:pPr>
        <w:pBdr>
          <w:top w:val="single" w:sz="4" w:space="10" w:color="auto"/>
          <w:left w:val="single" w:sz="4" w:space="10" w:color="auto"/>
          <w:bottom w:val="single" w:sz="4" w:space="10" w:color="auto"/>
          <w:right w:val="single" w:sz="4" w:space="10" w:color="auto"/>
        </w:pBdr>
        <w:rPr>
          <w:sz w:val="20"/>
          <w:lang w:val="en-NZ"/>
        </w:rPr>
      </w:pPr>
      <w:r w:rsidRPr="00406019">
        <w:rPr>
          <w:sz w:val="20"/>
          <w:lang w:val="en-NZ"/>
        </w:rPr>
        <w:t xml:space="preserve">The main home exception is available for both properties.  Property 1 was the main home for </w:t>
      </w:r>
      <w:proofErr w:type="gramStart"/>
      <w:r w:rsidRPr="00406019">
        <w:rPr>
          <w:sz w:val="20"/>
          <w:lang w:val="en-NZ"/>
        </w:rPr>
        <w:t>9</w:t>
      </w:r>
      <w:proofErr w:type="gramEnd"/>
      <w:r w:rsidRPr="00406019">
        <w:rPr>
          <w:sz w:val="20"/>
          <w:lang w:val="en-NZ"/>
        </w:rPr>
        <w:t xml:space="preserve"> out of the 11 months the property was owned.  Property 2 was the main home for the entire time it </w:t>
      </w:r>
      <w:proofErr w:type="gramStart"/>
      <w:r w:rsidRPr="00406019">
        <w:rPr>
          <w:sz w:val="20"/>
          <w:lang w:val="en-NZ"/>
        </w:rPr>
        <w:t>was owned</w:t>
      </w:r>
      <w:proofErr w:type="gramEnd"/>
      <w:r w:rsidRPr="00406019">
        <w:rPr>
          <w:sz w:val="20"/>
          <w:lang w:val="en-NZ"/>
        </w:rPr>
        <w:t>.</w:t>
      </w:r>
    </w:p>
    <w:p w:rsidR="00A35164" w:rsidRPr="00406019" w:rsidRDefault="00A35164" w:rsidP="00FD75CB">
      <w:pPr>
        <w:rPr>
          <w:lang w:val="en-NZ"/>
        </w:rPr>
      </w:pPr>
    </w:p>
    <w:p w:rsidR="00F57991" w:rsidRPr="00406019" w:rsidRDefault="00F57991" w:rsidP="00F57991">
      <w:pPr>
        <w:rPr>
          <w:lang w:val="en-NZ"/>
        </w:rPr>
      </w:pPr>
      <w:r w:rsidRPr="00406019">
        <w:rPr>
          <w:lang w:val="en-NZ"/>
        </w:rPr>
        <w:br w:type="page"/>
      </w:r>
    </w:p>
    <w:p w:rsidR="00FD75CB" w:rsidRPr="00406019" w:rsidRDefault="00FD75CB" w:rsidP="001C31B2">
      <w:pPr>
        <w:pStyle w:val="Heading3"/>
        <w:rPr>
          <w:lang w:val="en-NZ"/>
        </w:rPr>
      </w:pPr>
      <w:r w:rsidRPr="00406019">
        <w:rPr>
          <w:lang w:val="en-NZ"/>
        </w:rPr>
        <w:t>Different owners can have different main homes</w:t>
      </w:r>
    </w:p>
    <w:p w:rsidR="00FD75CB" w:rsidRPr="00406019" w:rsidRDefault="00FD75CB" w:rsidP="00FD75CB">
      <w:pPr>
        <w:rPr>
          <w:lang w:val="en-NZ"/>
        </w:rPr>
      </w:pPr>
    </w:p>
    <w:p w:rsidR="00FD75CB" w:rsidRPr="00406019" w:rsidRDefault="007D17DC" w:rsidP="00FD75CB">
      <w:pPr>
        <w:rPr>
          <w:lang w:val="en-NZ"/>
        </w:rPr>
      </w:pPr>
      <w:r w:rsidRPr="00406019">
        <w:rPr>
          <w:lang w:val="en-NZ"/>
        </w:rPr>
        <w:t xml:space="preserve">It </w:t>
      </w:r>
      <w:proofErr w:type="gramStart"/>
      <w:r w:rsidRPr="00406019">
        <w:rPr>
          <w:lang w:val="en-NZ"/>
        </w:rPr>
        <w:t>is proposed</w:t>
      </w:r>
      <w:proofErr w:type="gramEnd"/>
      <w:r w:rsidRPr="00406019">
        <w:rPr>
          <w:lang w:val="en-NZ"/>
        </w:rPr>
        <w:t xml:space="preserve"> that c</w:t>
      </w:r>
      <w:r w:rsidR="00FD75CB" w:rsidRPr="00406019">
        <w:rPr>
          <w:lang w:val="en-NZ"/>
        </w:rPr>
        <w:t>o-owners of property can have different main homes.  For example, a</w:t>
      </w:r>
      <w:r w:rsidR="00A35164" w:rsidRPr="00406019">
        <w:rPr>
          <w:lang w:val="en-NZ"/>
        </w:rPr>
        <w:t xml:space="preserve"> person </w:t>
      </w:r>
      <w:r w:rsidR="00FD75CB" w:rsidRPr="00406019">
        <w:rPr>
          <w:lang w:val="en-NZ"/>
        </w:rPr>
        <w:t xml:space="preserve">living in one city may have a different main home from their spouse living in another city.  The bright-line test </w:t>
      </w:r>
      <w:proofErr w:type="gramStart"/>
      <w:r w:rsidRPr="00406019">
        <w:rPr>
          <w:lang w:val="en-NZ"/>
        </w:rPr>
        <w:t>is proposed</w:t>
      </w:r>
      <w:proofErr w:type="gramEnd"/>
      <w:r w:rsidRPr="00406019">
        <w:rPr>
          <w:lang w:val="en-NZ"/>
        </w:rPr>
        <w:t xml:space="preserve"> to</w:t>
      </w:r>
      <w:r w:rsidR="00FD75CB" w:rsidRPr="00406019">
        <w:rPr>
          <w:lang w:val="en-NZ"/>
        </w:rPr>
        <w:t xml:space="preserve"> apply to the extent the property is </w:t>
      </w:r>
      <w:r w:rsidRPr="00406019">
        <w:rPr>
          <w:lang w:val="en-NZ"/>
        </w:rPr>
        <w:t xml:space="preserve">not </w:t>
      </w:r>
      <w:r w:rsidR="00FD75CB" w:rsidRPr="00406019">
        <w:rPr>
          <w:lang w:val="en-NZ"/>
        </w:rPr>
        <w:t>the main home of an owner on disposal.</w:t>
      </w:r>
    </w:p>
    <w:p w:rsidR="00FD75CB" w:rsidRPr="00406019" w:rsidRDefault="00FD75CB" w:rsidP="00FD75CB">
      <w:pPr>
        <w:rPr>
          <w:lang w:val="en-NZ"/>
        </w:rPr>
      </w:pPr>
    </w:p>
    <w:p w:rsidR="00FD75CB" w:rsidRPr="00406019" w:rsidRDefault="00FD75CB" w:rsidP="001C31B2">
      <w:pPr>
        <w:pStyle w:val="Heading3"/>
        <w:rPr>
          <w:lang w:val="en-NZ"/>
        </w:rPr>
      </w:pPr>
      <w:r w:rsidRPr="00406019">
        <w:rPr>
          <w:lang w:val="en-NZ"/>
        </w:rPr>
        <w:t>Habitual sellers</w:t>
      </w:r>
    </w:p>
    <w:p w:rsidR="00FD75CB" w:rsidRPr="00406019" w:rsidRDefault="00FD75CB" w:rsidP="002C773A">
      <w:pPr>
        <w:rPr>
          <w:lang w:val="en-NZ"/>
        </w:rPr>
      </w:pPr>
    </w:p>
    <w:p w:rsidR="006F5BED" w:rsidRPr="00406019" w:rsidRDefault="007D17DC" w:rsidP="00FD75CB">
      <w:pPr>
        <w:rPr>
          <w:bCs/>
          <w:lang w:val="en-NZ"/>
        </w:rPr>
      </w:pPr>
      <w:r w:rsidRPr="00406019">
        <w:rPr>
          <w:bCs/>
          <w:lang w:val="en-NZ"/>
        </w:rPr>
        <w:t xml:space="preserve">The </w:t>
      </w:r>
      <w:r w:rsidR="00A97CFE" w:rsidRPr="00406019">
        <w:rPr>
          <w:bCs/>
          <w:lang w:val="en-NZ"/>
        </w:rPr>
        <w:t>b</w:t>
      </w:r>
      <w:r w:rsidRPr="00406019">
        <w:rPr>
          <w:bCs/>
          <w:lang w:val="en-NZ"/>
        </w:rPr>
        <w:t>ill proposes that a</w:t>
      </w:r>
      <w:r w:rsidR="00FD75CB" w:rsidRPr="00406019">
        <w:rPr>
          <w:bCs/>
          <w:lang w:val="en-NZ"/>
        </w:rPr>
        <w:t xml:space="preserve"> person cannot use the </w:t>
      </w:r>
      <w:r w:rsidR="005B2BC0" w:rsidRPr="00406019">
        <w:rPr>
          <w:bCs/>
          <w:lang w:val="en-NZ"/>
        </w:rPr>
        <w:t>main home exception</w:t>
      </w:r>
      <w:r w:rsidR="00FD75CB" w:rsidRPr="00406019">
        <w:rPr>
          <w:bCs/>
          <w:lang w:val="en-NZ"/>
        </w:rPr>
        <w:t xml:space="preserve"> if they have already used the </w:t>
      </w:r>
      <w:r w:rsidR="00EC0259" w:rsidRPr="00406019">
        <w:rPr>
          <w:bCs/>
          <w:lang w:val="en-NZ"/>
        </w:rPr>
        <w:t xml:space="preserve">exception </w:t>
      </w:r>
      <w:r w:rsidR="00FD75CB" w:rsidRPr="00406019">
        <w:rPr>
          <w:bCs/>
          <w:lang w:val="en-NZ"/>
        </w:rPr>
        <w:t>twice in the previous two years</w:t>
      </w:r>
      <w:r w:rsidR="00021CFC" w:rsidRPr="00406019">
        <w:rPr>
          <w:bCs/>
          <w:lang w:val="en-NZ"/>
        </w:rPr>
        <w:t xml:space="preserve">.  </w:t>
      </w:r>
      <w:r w:rsidR="00FD75CB" w:rsidRPr="00406019">
        <w:rPr>
          <w:bCs/>
          <w:lang w:val="en-NZ"/>
        </w:rPr>
        <w:t>An example is whe</w:t>
      </w:r>
      <w:r w:rsidR="00A97CFE" w:rsidRPr="00406019">
        <w:rPr>
          <w:bCs/>
          <w:lang w:val="en-NZ"/>
        </w:rPr>
        <w:t>n</w:t>
      </w:r>
      <w:r w:rsidR="00FD75CB" w:rsidRPr="00406019">
        <w:rPr>
          <w:bCs/>
          <w:lang w:val="en-NZ"/>
        </w:rPr>
        <w:t xml:space="preserve"> a person habitually buys property to renovate and sell, and lives in the property while they undertake the renovations.  The person will only be able to use the </w:t>
      </w:r>
      <w:r w:rsidR="005B2BC0" w:rsidRPr="00406019">
        <w:rPr>
          <w:bCs/>
          <w:lang w:val="en-NZ"/>
        </w:rPr>
        <w:t>main home exception</w:t>
      </w:r>
      <w:r w:rsidR="00FD75CB" w:rsidRPr="00406019">
        <w:rPr>
          <w:bCs/>
          <w:lang w:val="en-NZ"/>
        </w:rPr>
        <w:t xml:space="preserve"> twice in a two-year period.  If they sell a third property in the two-year period they will not be able to claim the </w:t>
      </w:r>
      <w:r w:rsidR="005B2BC0" w:rsidRPr="00406019">
        <w:rPr>
          <w:bCs/>
          <w:lang w:val="en-NZ"/>
        </w:rPr>
        <w:t>main home exception</w:t>
      </w:r>
      <w:r w:rsidR="00FD75CB" w:rsidRPr="00406019">
        <w:rPr>
          <w:bCs/>
          <w:lang w:val="en-NZ"/>
        </w:rPr>
        <w:t xml:space="preserve"> for that property.</w:t>
      </w:r>
    </w:p>
    <w:p w:rsidR="002C773A" w:rsidRPr="00406019" w:rsidRDefault="002C773A" w:rsidP="00FD75CB">
      <w:pPr>
        <w:rPr>
          <w:bCs/>
          <w:lang w:val="en-NZ"/>
        </w:rPr>
      </w:pPr>
    </w:p>
    <w:p w:rsidR="006F5BED" w:rsidRPr="00406019" w:rsidRDefault="006F5BED" w:rsidP="002C773A">
      <w:pPr>
        <w:rPr>
          <w:lang w:val="en-NZ"/>
        </w:rPr>
      </w:pPr>
      <w:r w:rsidRPr="00406019">
        <w:rPr>
          <w:lang w:val="en-NZ"/>
        </w:rPr>
        <w:br w:type="page"/>
      </w:r>
    </w:p>
    <w:p w:rsidR="006B12FA" w:rsidRPr="00406019" w:rsidRDefault="006B12FA" w:rsidP="006B12FA">
      <w:pPr>
        <w:pStyle w:val="Heading1"/>
      </w:pPr>
      <w:bookmarkStart w:id="11" w:name="_Toc428169674"/>
      <w:r w:rsidRPr="00406019">
        <w:t>Inheritance</w:t>
      </w:r>
      <w:bookmarkEnd w:id="11"/>
    </w:p>
    <w:p w:rsidR="006B12FA" w:rsidRPr="00406019" w:rsidRDefault="006B12FA" w:rsidP="006B12FA">
      <w:pPr>
        <w:rPr>
          <w:sz w:val="22"/>
          <w:szCs w:val="22"/>
          <w:lang w:val="en-NZ"/>
        </w:rPr>
      </w:pPr>
    </w:p>
    <w:p w:rsidR="006B12FA" w:rsidRPr="00406019" w:rsidRDefault="006B12FA" w:rsidP="006B12FA">
      <w:pPr>
        <w:rPr>
          <w:b/>
          <w:i/>
          <w:lang w:val="en-NZ"/>
        </w:rPr>
      </w:pPr>
      <w:r w:rsidRPr="00406019">
        <w:rPr>
          <w:b/>
          <w:i/>
          <w:lang w:val="en-NZ"/>
        </w:rPr>
        <w:t xml:space="preserve">(Clauses </w:t>
      </w:r>
      <w:r w:rsidR="00B62C34" w:rsidRPr="00406019">
        <w:rPr>
          <w:b/>
          <w:i/>
          <w:lang w:val="en-NZ"/>
        </w:rPr>
        <w:t>4</w:t>
      </w:r>
      <w:r w:rsidR="000E156F" w:rsidRPr="00406019">
        <w:rPr>
          <w:b/>
          <w:i/>
          <w:lang w:val="en-NZ"/>
        </w:rPr>
        <w:t>(3)</w:t>
      </w:r>
      <w:r w:rsidR="00A97CFE" w:rsidRPr="00406019">
        <w:rPr>
          <w:b/>
          <w:i/>
          <w:lang w:val="en-NZ"/>
        </w:rPr>
        <w:t xml:space="preserve"> and</w:t>
      </w:r>
      <w:r w:rsidR="00B62C34" w:rsidRPr="00406019">
        <w:rPr>
          <w:b/>
          <w:i/>
          <w:lang w:val="en-NZ"/>
        </w:rPr>
        <w:t xml:space="preserve"> 11</w:t>
      </w:r>
      <w:r w:rsidRPr="00406019">
        <w:rPr>
          <w:b/>
          <w:i/>
          <w:lang w:val="en-NZ"/>
        </w:rPr>
        <w:t>)</w:t>
      </w:r>
    </w:p>
    <w:p w:rsidR="006B12FA" w:rsidRPr="00406019" w:rsidRDefault="006B12FA" w:rsidP="006B12FA">
      <w:pPr>
        <w:rPr>
          <w:szCs w:val="24"/>
          <w:lang w:val="en-NZ"/>
        </w:rPr>
      </w:pPr>
    </w:p>
    <w:p w:rsidR="00175701" w:rsidRPr="00406019" w:rsidRDefault="00175701" w:rsidP="006B12FA">
      <w:pPr>
        <w:rPr>
          <w:szCs w:val="24"/>
          <w:lang w:val="en-NZ"/>
        </w:rPr>
      </w:pPr>
    </w:p>
    <w:p w:rsidR="007D17DC" w:rsidRPr="00406019" w:rsidRDefault="007D17DC" w:rsidP="007D17DC">
      <w:pPr>
        <w:pStyle w:val="Heading2"/>
        <w:rPr>
          <w:lang w:val="en-NZ"/>
        </w:rPr>
      </w:pPr>
      <w:r w:rsidRPr="00406019">
        <w:rPr>
          <w:lang w:val="en-NZ"/>
        </w:rPr>
        <w:t>Summary of proposed amendment</w:t>
      </w:r>
    </w:p>
    <w:p w:rsidR="006B12FA" w:rsidRPr="00406019" w:rsidRDefault="006B12FA" w:rsidP="006B12FA">
      <w:pPr>
        <w:rPr>
          <w:szCs w:val="24"/>
          <w:lang w:val="en-NZ"/>
        </w:rPr>
      </w:pPr>
    </w:p>
    <w:p w:rsidR="00A97CFE" w:rsidRPr="00406019" w:rsidRDefault="006B12FA" w:rsidP="006B12FA">
      <w:pPr>
        <w:rPr>
          <w:lang w:val="en-NZ"/>
        </w:rPr>
      </w:pPr>
      <w:r w:rsidRPr="00406019">
        <w:rPr>
          <w:lang w:val="en-NZ"/>
        </w:rPr>
        <w:t xml:space="preserve">When a person dies, their property </w:t>
      </w:r>
      <w:proofErr w:type="gramStart"/>
      <w:r w:rsidRPr="00406019">
        <w:rPr>
          <w:lang w:val="en-NZ"/>
        </w:rPr>
        <w:t>may be sold or transferred to a beneficiary, who may subsequently sell the property</w:t>
      </w:r>
      <w:proofErr w:type="gramEnd"/>
      <w:r w:rsidRPr="00406019">
        <w:rPr>
          <w:lang w:val="en-NZ"/>
        </w:rPr>
        <w:t xml:space="preserve">.  </w:t>
      </w:r>
      <w:r w:rsidR="007D17DC" w:rsidRPr="00406019">
        <w:rPr>
          <w:lang w:val="en-NZ"/>
        </w:rPr>
        <w:t xml:space="preserve">The </w:t>
      </w:r>
      <w:r w:rsidR="00E32A2A" w:rsidRPr="00406019">
        <w:rPr>
          <w:lang w:val="en-NZ"/>
        </w:rPr>
        <w:t>bill</w:t>
      </w:r>
      <w:r w:rsidR="007D17DC" w:rsidRPr="00406019">
        <w:rPr>
          <w:lang w:val="en-NZ"/>
        </w:rPr>
        <w:t xml:space="preserve"> proposes that t</w:t>
      </w:r>
      <w:r w:rsidRPr="00406019">
        <w:rPr>
          <w:lang w:val="en-NZ"/>
        </w:rPr>
        <w:t xml:space="preserve">hose transfers and disposals </w:t>
      </w:r>
      <w:r w:rsidR="007D17DC" w:rsidRPr="00406019">
        <w:rPr>
          <w:lang w:val="en-NZ"/>
        </w:rPr>
        <w:t>will</w:t>
      </w:r>
      <w:r w:rsidRPr="00406019">
        <w:rPr>
          <w:lang w:val="en-NZ"/>
        </w:rPr>
        <w:t xml:space="preserve"> not subject to tax under the bright-line test.</w:t>
      </w:r>
    </w:p>
    <w:p w:rsidR="00614D99" w:rsidRPr="00406019" w:rsidRDefault="00614D99" w:rsidP="006B12FA">
      <w:pPr>
        <w:rPr>
          <w:szCs w:val="24"/>
          <w:lang w:val="en-NZ"/>
        </w:rPr>
      </w:pPr>
    </w:p>
    <w:p w:rsidR="00443EB9" w:rsidRPr="00406019" w:rsidRDefault="00443EB9" w:rsidP="006B12FA">
      <w:pPr>
        <w:rPr>
          <w:szCs w:val="24"/>
          <w:lang w:val="en-NZ"/>
        </w:rPr>
      </w:pPr>
    </w:p>
    <w:p w:rsidR="006B12FA" w:rsidRPr="00406019" w:rsidRDefault="006B12FA" w:rsidP="006B12FA">
      <w:pPr>
        <w:pStyle w:val="Heading2"/>
        <w:rPr>
          <w:lang w:val="en-NZ"/>
        </w:rPr>
      </w:pPr>
      <w:r w:rsidRPr="00406019">
        <w:rPr>
          <w:lang w:val="en-NZ"/>
        </w:rPr>
        <w:t>Background</w:t>
      </w:r>
    </w:p>
    <w:p w:rsidR="006B12FA" w:rsidRPr="00406019" w:rsidRDefault="006B12FA" w:rsidP="006B12FA">
      <w:pPr>
        <w:rPr>
          <w:szCs w:val="24"/>
          <w:lang w:val="en-NZ"/>
        </w:rPr>
      </w:pPr>
    </w:p>
    <w:p w:rsidR="006B12FA" w:rsidRPr="00406019" w:rsidRDefault="006B12FA" w:rsidP="006B12FA">
      <w:pPr>
        <w:rPr>
          <w:lang w:val="en-NZ"/>
        </w:rPr>
      </w:pPr>
      <w:r w:rsidRPr="00406019">
        <w:rPr>
          <w:lang w:val="en-NZ"/>
        </w:rPr>
        <w:t xml:space="preserve">When a taxpayer dies, an estate </w:t>
      </w:r>
      <w:proofErr w:type="gramStart"/>
      <w:r w:rsidRPr="00406019">
        <w:rPr>
          <w:lang w:val="en-NZ"/>
        </w:rPr>
        <w:t>can be dealt with</w:t>
      </w:r>
      <w:proofErr w:type="gramEnd"/>
      <w:r w:rsidRPr="00406019">
        <w:rPr>
          <w:lang w:val="en-NZ"/>
        </w:rPr>
        <w:t xml:space="preserve"> in several ways, depending on whether a will exists.  A will usually </w:t>
      </w:r>
      <w:proofErr w:type="spellStart"/>
      <w:r w:rsidRPr="00406019">
        <w:rPr>
          <w:lang w:val="en-NZ"/>
        </w:rPr>
        <w:t>provides</w:t>
      </w:r>
      <w:proofErr w:type="spellEnd"/>
      <w:r w:rsidRPr="00406019">
        <w:rPr>
          <w:lang w:val="en-NZ"/>
        </w:rPr>
        <w:t xml:space="preserve"> for the appointment of one or more executors.  In the absence of a will, a court will appoint someone to administer the deceas</w:t>
      </w:r>
      <w:r w:rsidR="00443EB9" w:rsidRPr="00406019">
        <w:rPr>
          <w:lang w:val="en-NZ"/>
        </w:rPr>
        <w:t>ed’s estate (an administrator).</w:t>
      </w:r>
    </w:p>
    <w:p w:rsidR="006B12FA" w:rsidRPr="00406019" w:rsidRDefault="006B12FA" w:rsidP="006B12FA">
      <w:pPr>
        <w:rPr>
          <w:szCs w:val="24"/>
          <w:lang w:val="en-NZ"/>
        </w:rPr>
      </w:pPr>
    </w:p>
    <w:p w:rsidR="006B12FA" w:rsidRPr="00406019" w:rsidRDefault="006B12FA" w:rsidP="006B12FA">
      <w:pPr>
        <w:rPr>
          <w:lang w:val="en-NZ"/>
        </w:rPr>
      </w:pPr>
      <w:r w:rsidRPr="00406019">
        <w:rPr>
          <w:lang w:val="en-NZ"/>
        </w:rPr>
        <w:t xml:space="preserve">The executor or administrator </w:t>
      </w:r>
      <w:proofErr w:type="gramStart"/>
      <w:r w:rsidRPr="00406019">
        <w:rPr>
          <w:lang w:val="en-NZ"/>
        </w:rPr>
        <w:t>is vested</w:t>
      </w:r>
      <w:proofErr w:type="gramEnd"/>
      <w:r w:rsidRPr="00406019">
        <w:rPr>
          <w:lang w:val="en-NZ"/>
        </w:rPr>
        <w:t xml:space="preserve"> with legal and beneficial ownership of the deceased’s property from the time of death to the end of the period of executorship or administration.  The beneficiaries have a right to have the deceased’s estate administered properly during this period but do not have a legal or beneficial interest in the assets.</w:t>
      </w:r>
    </w:p>
    <w:p w:rsidR="006B12FA" w:rsidRPr="00406019" w:rsidRDefault="006B12FA" w:rsidP="006B12FA">
      <w:pPr>
        <w:rPr>
          <w:szCs w:val="24"/>
          <w:lang w:val="en-NZ"/>
        </w:rPr>
      </w:pPr>
    </w:p>
    <w:p w:rsidR="006B12FA" w:rsidRPr="00406019" w:rsidRDefault="006B12FA" w:rsidP="006B12FA">
      <w:pPr>
        <w:rPr>
          <w:lang w:val="en-NZ"/>
        </w:rPr>
      </w:pPr>
      <w:r w:rsidRPr="00406019">
        <w:rPr>
          <w:lang w:val="en-NZ"/>
        </w:rPr>
        <w:t>The duties of the executor or administrator are to collect the assets of the deceased, pay all debts, testamentary expenses and taxes and to distribute the legacies.  At the end of the period of executorship or administration, the executor or administrator becomes a trustee of the residual assets on behalf of the beneficiaries.</w:t>
      </w:r>
    </w:p>
    <w:p w:rsidR="006B12FA" w:rsidRPr="00406019" w:rsidRDefault="006B12FA" w:rsidP="006B12FA">
      <w:pPr>
        <w:rPr>
          <w:szCs w:val="24"/>
          <w:lang w:val="en-NZ"/>
        </w:rPr>
      </w:pPr>
    </w:p>
    <w:p w:rsidR="006B12FA" w:rsidRPr="00406019" w:rsidRDefault="006B12FA" w:rsidP="006B12FA">
      <w:pPr>
        <w:rPr>
          <w:lang w:val="en-NZ"/>
        </w:rPr>
      </w:pPr>
      <w:r w:rsidRPr="00406019">
        <w:rPr>
          <w:lang w:val="en-NZ"/>
        </w:rPr>
        <w:t xml:space="preserve">Property that </w:t>
      </w:r>
      <w:proofErr w:type="gramStart"/>
      <w:r w:rsidRPr="00406019">
        <w:rPr>
          <w:lang w:val="en-NZ"/>
        </w:rPr>
        <w:t>has been bequeathed or devised under a will</w:t>
      </w:r>
      <w:proofErr w:type="gramEnd"/>
      <w:r w:rsidRPr="00406019">
        <w:rPr>
          <w:lang w:val="en-NZ"/>
        </w:rPr>
        <w:t xml:space="preserve"> may be gifted as a specific legacy, general legacy or residuary gift.  Specific legacies are treated as taking effect from the date of transfer to take effect from the date of death, so </w:t>
      </w:r>
      <w:proofErr w:type="gramStart"/>
      <w:r w:rsidRPr="00406019">
        <w:rPr>
          <w:lang w:val="en-NZ"/>
        </w:rPr>
        <w:t>income arising from the property is derived by the beneficiary from the date of death</w:t>
      </w:r>
      <w:proofErr w:type="gramEnd"/>
      <w:r w:rsidRPr="00406019">
        <w:rPr>
          <w:lang w:val="en-NZ"/>
        </w:rPr>
        <w:t>.  A general or residuary legacy vests in a beneficiary at the time of distribution.</w:t>
      </w:r>
    </w:p>
    <w:p w:rsidR="006B12FA" w:rsidRPr="00406019" w:rsidRDefault="006B12FA" w:rsidP="006B12FA">
      <w:pPr>
        <w:rPr>
          <w:szCs w:val="24"/>
          <w:lang w:val="en-NZ"/>
        </w:rPr>
      </w:pPr>
    </w:p>
    <w:p w:rsidR="00443EB9" w:rsidRPr="00406019" w:rsidRDefault="00443EB9" w:rsidP="006B12FA">
      <w:pPr>
        <w:rPr>
          <w:szCs w:val="24"/>
          <w:lang w:val="en-NZ"/>
        </w:rPr>
      </w:pPr>
    </w:p>
    <w:p w:rsidR="006B12FA" w:rsidRPr="00406019" w:rsidRDefault="006B12FA" w:rsidP="006B12FA">
      <w:pPr>
        <w:pStyle w:val="Heading2"/>
        <w:rPr>
          <w:lang w:val="en-NZ"/>
        </w:rPr>
      </w:pPr>
      <w:r w:rsidRPr="00406019">
        <w:rPr>
          <w:lang w:val="en-NZ"/>
        </w:rPr>
        <w:t>Detailed analysis</w:t>
      </w:r>
    </w:p>
    <w:p w:rsidR="006B12FA" w:rsidRPr="00406019" w:rsidRDefault="006B12FA" w:rsidP="006B12FA">
      <w:pPr>
        <w:rPr>
          <w:szCs w:val="24"/>
          <w:lang w:val="en-NZ"/>
        </w:rPr>
      </w:pPr>
    </w:p>
    <w:p w:rsidR="006B12FA" w:rsidRPr="00406019" w:rsidRDefault="006B12FA" w:rsidP="006B12FA">
      <w:pPr>
        <w:rPr>
          <w:lang w:val="en-NZ"/>
        </w:rPr>
      </w:pPr>
      <w:r w:rsidRPr="00406019">
        <w:rPr>
          <w:lang w:val="en-NZ"/>
        </w:rPr>
        <w:t xml:space="preserve">The bright-line test </w:t>
      </w:r>
      <w:r w:rsidR="007D17DC" w:rsidRPr="00406019">
        <w:rPr>
          <w:lang w:val="en-NZ"/>
        </w:rPr>
        <w:t>proposes</w:t>
      </w:r>
      <w:r w:rsidRPr="00406019">
        <w:rPr>
          <w:lang w:val="en-NZ"/>
        </w:rPr>
        <w:t xml:space="preserve"> rollover relief for all transfers following a death and an exemption for any disposals by the executor or administrator or subsequent disposals by the beneficiaries.</w:t>
      </w:r>
    </w:p>
    <w:p w:rsidR="006B12FA" w:rsidRPr="00406019" w:rsidRDefault="006B12FA" w:rsidP="006B12FA">
      <w:pPr>
        <w:rPr>
          <w:szCs w:val="24"/>
          <w:lang w:val="en-NZ"/>
        </w:rPr>
      </w:pPr>
    </w:p>
    <w:p w:rsidR="006B12FA" w:rsidRPr="00406019" w:rsidRDefault="006B12FA" w:rsidP="006B12FA">
      <w:pPr>
        <w:rPr>
          <w:lang w:val="en-NZ"/>
        </w:rPr>
      </w:pPr>
      <w:r w:rsidRPr="00406019">
        <w:rPr>
          <w:lang w:val="en-NZ"/>
        </w:rPr>
        <w:t>The rollover relief is achieved by deeming the transfers from the deceased person to the executor or administrator, and from the executor or administrator to the beneficiary, as a disposal and acquisition of the property at the total cost of the land to the deceased person at the date of transfer (rather than at the land’s market value).  The effect of this is that no tax liabilities under the bright-line test arise under the transfers.</w:t>
      </w:r>
    </w:p>
    <w:p w:rsidR="00607BF2" w:rsidRPr="00406019" w:rsidRDefault="00607BF2" w:rsidP="006B12FA">
      <w:pPr>
        <w:rPr>
          <w:szCs w:val="24"/>
          <w:lang w:val="en-NZ"/>
        </w:rPr>
      </w:pPr>
    </w:p>
    <w:p w:rsidR="00443EB9" w:rsidRPr="00406019" w:rsidRDefault="006B12FA" w:rsidP="001C31B2">
      <w:pPr>
        <w:rPr>
          <w:lang w:val="en-NZ"/>
        </w:rPr>
      </w:pPr>
      <w:r w:rsidRPr="00406019">
        <w:rPr>
          <w:lang w:val="en-NZ"/>
        </w:rPr>
        <w:t xml:space="preserve">Disposals by a beneficiary, executor or administrator of residential land transferred to them on the death of a person </w:t>
      </w:r>
      <w:proofErr w:type="gramStart"/>
      <w:r w:rsidRPr="00406019">
        <w:rPr>
          <w:lang w:val="en-NZ"/>
        </w:rPr>
        <w:t>are specifically excluded</w:t>
      </w:r>
      <w:proofErr w:type="gramEnd"/>
      <w:r w:rsidRPr="00406019">
        <w:rPr>
          <w:lang w:val="en-NZ"/>
        </w:rPr>
        <w:t xml:space="preserve"> from the bright-line test.</w:t>
      </w:r>
      <w:r w:rsidR="007D17DC" w:rsidRPr="00406019">
        <w:rPr>
          <w:lang w:val="en-NZ"/>
        </w:rPr>
        <w:t xml:space="preserve">  However, the disposals may still be subject to tax under the current land </w:t>
      </w:r>
      <w:r w:rsidR="00C11E75" w:rsidRPr="00406019">
        <w:rPr>
          <w:lang w:val="en-NZ"/>
        </w:rPr>
        <w:t xml:space="preserve">sale </w:t>
      </w:r>
      <w:r w:rsidR="007D17DC" w:rsidRPr="00406019">
        <w:rPr>
          <w:lang w:val="en-NZ"/>
        </w:rPr>
        <w:t>rules.</w:t>
      </w:r>
    </w:p>
    <w:p w:rsidR="00443EB9" w:rsidRPr="00406019" w:rsidRDefault="00443EB9" w:rsidP="001C31B2">
      <w:pPr>
        <w:rPr>
          <w:lang w:val="en-NZ"/>
        </w:rPr>
      </w:pPr>
    </w:p>
    <w:p w:rsidR="001C31B2" w:rsidRPr="00406019" w:rsidRDefault="001C31B2" w:rsidP="001C31B2">
      <w:pPr>
        <w:rPr>
          <w:lang w:val="en-NZ"/>
        </w:rPr>
      </w:pPr>
      <w:r w:rsidRPr="00406019">
        <w:rPr>
          <w:lang w:val="en-NZ"/>
        </w:rPr>
        <w:br w:type="page"/>
      </w:r>
    </w:p>
    <w:p w:rsidR="00714E5F" w:rsidRPr="00406019" w:rsidRDefault="00714E5F" w:rsidP="00714E5F">
      <w:pPr>
        <w:pStyle w:val="Heading1"/>
      </w:pPr>
      <w:bookmarkStart w:id="12" w:name="_Toc428169675"/>
      <w:r w:rsidRPr="00406019">
        <w:t>Relationship property</w:t>
      </w:r>
      <w:bookmarkEnd w:id="12"/>
    </w:p>
    <w:p w:rsidR="00714E5F" w:rsidRPr="00406019" w:rsidRDefault="00714E5F" w:rsidP="00714E5F">
      <w:pPr>
        <w:rPr>
          <w:lang w:val="en-NZ"/>
        </w:rPr>
      </w:pPr>
    </w:p>
    <w:p w:rsidR="00714E5F" w:rsidRPr="00406019" w:rsidRDefault="00B62C34" w:rsidP="00714E5F">
      <w:pPr>
        <w:rPr>
          <w:b/>
          <w:i/>
          <w:lang w:val="en-NZ"/>
        </w:rPr>
      </w:pPr>
      <w:r w:rsidRPr="00406019">
        <w:rPr>
          <w:b/>
          <w:i/>
          <w:lang w:val="en-NZ"/>
        </w:rPr>
        <w:t>(Clause</w:t>
      </w:r>
      <w:r w:rsidR="00714E5F" w:rsidRPr="00406019">
        <w:rPr>
          <w:b/>
          <w:i/>
          <w:lang w:val="en-NZ"/>
        </w:rPr>
        <w:t xml:space="preserve"> </w:t>
      </w:r>
      <w:r w:rsidRPr="00406019">
        <w:rPr>
          <w:b/>
          <w:i/>
          <w:lang w:val="en-NZ"/>
        </w:rPr>
        <w:t>10</w:t>
      </w:r>
      <w:r w:rsidR="00714E5F" w:rsidRPr="00406019">
        <w:rPr>
          <w:b/>
          <w:i/>
          <w:lang w:val="en-NZ"/>
        </w:rPr>
        <w:t>)</w:t>
      </w:r>
    </w:p>
    <w:p w:rsidR="00714E5F" w:rsidRPr="00406019" w:rsidRDefault="00714E5F" w:rsidP="00714E5F">
      <w:pPr>
        <w:rPr>
          <w:lang w:val="en-NZ"/>
        </w:rPr>
      </w:pPr>
    </w:p>
    <w:p w:rsidR="00175701" w:rsidRPr="00406019" w:rsidRDefault="00175701" w:rsidP="00714E5F">
      <w:pPr>
        <w:rPr>
          <w:lang w:val="en-NZ"/>
        </w:rPr>
      </w:pPr>
    </w:p>
    <w:p w:rsidR="007D17DC" w:rsidRPr="00406019" w:rsidRDefault="007D17DC" w:rsidP="007D17DC">
      <w:pPr>
        <w:pStyle w:val="Heading2"/>
        <w:rPr>
          <w:lang w:val="en-NZ"/>
        </w:rPr>
      </w:pPr>
      <w:r w:rsidRPr="00406019">
        <w:rPr>
          <w:lang w:val="en-NZ"/>
        </w:rPr>
        <w:t>Summary of proposed amendment</w:t>
      </w:r>
    </w:p>
    <w:p w:rsidR="00714E5F" w:rsidRPr="00406019" w:rsidRDefault="00714E5F" w:rsidP="00714E5F">
      <w:pPr>
        <w:rPr>
          <w:lang w:val="en-NZ"/>
        </w:rPr>
      </w:pPr>
    </w:p>
    <w:p w:rsidR="00A97CFE" w:rsidRPr="00406019" w:rsidRDefault="00714E5F" w:rsidP="00714E5F">
      <w:pPr>
        <w:rPr>
          <w:lang w:val="en-NZ"/>
        </w:rPr>
      </w:pPr>
      <w:r w:rsidRPr="00406019">
        <w:rPr>
          <w:lang w:val="en-NZ"/>
        </w:rPr>
        <w:t xml:space="preserve">When a relationship breaks down, property </w:t>
      </w:r>
      <w:proofErr w:type="gramStart"/>
      <w:r w:rsidRPr="00406019">
        <w:rPr>
          <w:lang w:val="en-NZ"/>
        </w:rPr>
        <w:t>may be transferred</w:t>
      </w:r>
      <w:proofErr w:type="gramEnd"/>
      <w:r w:rsidRPr="00406019">
        <w:rPr>
          <w:lang w:val="en-NZ"/>
        </w:rPr>
        <w:t xml:space="preserve"> between the spouses or partners.  The property </w:t>
      </w:r>
      <w:proofErr w:type="gramStart"/>
      <w:r w:rsidRPr="00406019">
        <w:rPr>
          <w:lang w:val="en-NZ"/>
        </w:rPr>
        <w:t>may then subsequently be sold</w:t>
      </w:r>
      <w:proofErr w:type="gramEnd"/>
      <w:r w:rsidRPr="00406019">
        <w:rPr>
          <w:lang w:val="en-NZ"/>
        </w:rPr>
        <w:t xml:space="preserve">.  </w:t>
      </w:r>
      <w:r w:rsidR="007D17DC" w:rsidRPr="00406019">
        <w:rPr>
          <w:lang w:val="en-NZ"/>
        </w:rPr>
        <w:t>T</w:t>
      </w:r>
      <w:r w:rsidRPr="00406019">
        <w:rPr>
          <w:lang w:val="en-NZ"/>
        </w:rPr>
        <w:t xml:space="preserve">ransfers of property under a relationship property agreement </w:t>
      </w:r>
      <w:proofErr w:type="gramStart"/>
      <w:r w:rsidRPr="00406019">
        <w:rPr>
          <w:lang w:val="en-NZ"/>
        </w:rPr>
        <w:t xml:space="preserve">are </w:t>
      </w:r>
      <w:r w:rsidR="007D17DC" w:rsidRPr="00406019">
        <w:rPr>
          <w:lang w:val="en-NZ"/>
        </w:rPr>
        <w:t>proposed to be excluded</w:t>
      </w:r>
      <w:proofErr w:type="gramEnd"/>
      <w:r w:rsidR="007D17DC" w:rsidRPr="00406019">
        <w:rPr>
          <w:lang w:val="en-NZ"/>
        </w:rPr>
        <w:t xml:space="preserve"> from</w:t>
      </w:r>
      <w:r w:rsidRPr="00406019">
        <w:rPr>
          <w:lang w:val="en-NZ"/>
        </w:rPr>
        <w:t xml:space="preserve"> the bright-line test.  However, any subsequent sale of the transferred property </w:t>
      </w:r>
      <w:r w:rsidR="007D17DC" w:rsidRPr="00406019">
        <w:rPr>
          <w:lang w:val="en-NZ"/>
        </w:rPr>
        <w:t>will be</w:t>
      </w:r>
      <w:r w:rsidRPr="00406019">
        <w:rPr>
          <w:lang w:val="en-NZ"/>
        </w:rPr>
        <w:t xml:space="preserve"> subject to the bright-line test.</w:t>
      </w:r>
    </w:p>
    <w:p w:rsidR="00714E5F" w:rsidRPr="00406019" w:rsidRDefault="00714E5F" w:rsidP="00714E5F">
      <w:pPr>
        <w:rPr>
          <w:lang w:val="en-NZ"/>
        </w:rPr>
      </w:pPr>
    </w:p>
    <w:p w:rsidR="00175701" w:rsidRPr="00406019" w:rsidRDefault="00175701" w:rsidP="00714E5F">
      <w:pPr>
        <w:rPr>
          <w:lang w:val="en-NZ"/>
        </w:rPr>
      </w:pPr>
    </w:p>
    <w:p w:rsidR="00714E5F" w:rsidRPr="00406019" w:rsidRDefault="00714E5F" w:rsidP="00714E5F">
      <w:pPr>
        <w:pStyle w:val="Heading2"/>
        <w:rPr>
          <w:lang w:val="en-NZ"/>
        </w:rPr>
      </w:pPr>
      <w:r w:rsidRPr="00406019">
        <w:rPr>
          <w:lang w:val="en-NZ"/>
        </w:rPr>
        <w:t>Background</w:t>
      </w:r>
    </w:p>
    <w:p w:rsidR="00714E5F" w:rsidRPr="00406019" w:rsidRDefault="00714E5F" w:rsidP="00714E5F">
      <w:pPr>
        <w:rPr>
          <w:lang w:val="en-NZ"/>
        </w:rPr>
      </w:pPr>
    </w:p>
    <w:p w:rsidR="00714E5F" w:rsidRPr="00406019" w:rsidRDefault="00714E5F" w:rsidP="00714E5F">
      <w:pPr>
        <w:rPr>
          <w:lang w:val="en-NZ"/>
        </w:rPr>
      </w:pPr>
      <w:r w:rsidRPr="00406019">
        <w:rPr>
          <w:lang w:val="en-NZ"/>
        </w:rPr>
        <w:t>During a marriage, civil union or de facto relationship, the parties hold any property according to the conventional laws relating to property.  As a result, the parties are free to deal with their property during the relationship without regard to the provisions of the Property (Relationships) Act 1976.</w:t>
      </w:r>
    </w:p>
    <w:p w:rsidR="00714E5F" w:rsidRPr="00406019" w:rsidRDefault="00714E5F" w:rsidP="00714E5F">
      <w:pPr>
        <w:rPr>
          <w:lang w:val="en-NZ"/>
        </w:rPr>
      </w:pPr>
    </w:p>
    <w:p w:rsidR="00714E5F" w:rsidRPr="00406019" w:rsidRDefault="00714E5F" w:rsidP="00714E5F">
      <w:pPr>
        <w:rPr>
          <w:lang w:val="en-NZ"/>
        </w:rPr>
      </w:pPr>
      <w:r w:rsidRPr="00406019">
        <w:rPr>
          <w:lang w:val="en-NZ"/>
        </w:rPr>
        <w:t xml:space="preserve">When a relationship breaks down, the Property (Relationships) Act 1976 </w:t>
      </w:r>
      <w:proofErr w:type="gramStart"/>
      <w:r w:rsidRPr="00406019">
        <w:rPr>
          <w:lang w:val="en-NZ"/>
        </w:rPr>
        <w:t>may be invoked</w:t>
      </w:r>
      <w:proofErr w:type="gramEnd"/>
      <w:r w:rsidRPr="00406019">
        <w:rPr>
          <w:lang w:val="en-NZ"/>
        </w:rPr>
        <w:t xml:space="preserve"> by a court order or an agreement between the parties.  When the statutory regime is invoked, new </w:t>
      </w:r>
      <w:proofErr w:type="gramStart"/>
      <w:r w:rsidRPr="00406019">
        <w:rPr>
          <w:lang w:val="en-NZ"/>
        </w:rPr>
        <w:t>property</w:t>
      </w:r>
      <w:proofErr w:type="gramEnd"/>
      <w:r w:rsidRPr="00406019">
        <w:rPr>
          <w:lang w:val="en-NZ"/>
        </w:rPr>
        <w:t xml:space="preserve"> rights operate from the date of the court order or agreement.  The property of the spouses or partners </w:t>
      </w:r>
      <w:proofErr w:type="gramStart"/>
      <w:r w:rsidRPr="00406019">
        <w:rPr>
          <w:lang w:val="en-NZ"/>
        </w:rPr>
        <w:t>is reapportioned</w:t>
      </w:r>
      <w:proofErr w:type="gramEnd"/>
      <w:r w:rsidRPr="00406019">
        <w:rPr>
          <w:lang w:val="en-NZ"/>
        </w:rPr>
        <w:t xml:space="preserve"> between them under principles derived from the statutory regime.  Each item of property </w:t>
      </w:r>
      <w:proofErr w:type="gramStart"/>
      <w:r w:rsidRPr="00406019">
        <w:rPr>
          <w:lang w:val="en-NZ"/>
        </w:rPr>
        <w:t>is divided</w:t>
      </w:r>
      <w:proofErr w:type="gramEnd"/>
      <w:r w:rsidRPr="00406019">
        <w:rPr>
          <w:lang w:val="en-NZ"/>
        </w:rPr>
        <w:t xml:space="preserve"> into one of two statutory categories:</w:t>
      </w:r>
    </w:p>
    <w:p w:rsidR="00714E5F" w:rsidRPr="00406019" w:rsidRDefault="00714E5F" w:rsidP="00714E5F">
      <w:pPr>
        <w:rPr>
          <w:lang w:val="en-NZ"/>
        </w:rPr>
      </w:pPr>
    </w:p>
    <w:p w:rsidR="00714E5F" w:rsidRPr="00406019" w:rsidRDefault="00714E5F" w:rsidP="00511E52">
      <w:pPr>
        <w:pStyle w:val="Bullets"/>
        <w:rPr>
          <w:lang w:val="en-NZ"/>
        </w:rPr>
      </w:pPr>
      <w:r w:rsidRPr="00406019">
        <w:rPr>
          <w:lang w:val="en-NZ"/>
        </w:rPr>
        <w:t>relationship property; and</w:t>
      </w:r>
    </w:p>
    <w:p w:rsidR="00714E5F" w:rsidRPr="00406019" w:rsidRDefault="00714E5F" w:rsidP="00511E52">
      <w:pPr>
        <w:pStyle w:val="Bullets-last"/>
        <w:rPr>
          <w:lang w:val="en-NZ"/>
        </w:rPr>
      </w:pPr>
      <w:proofErr w:type="gramStart"/>
      <w:r w:rsidRPr="00406019">
        <w:rPr>
          <w:lang w:val="en-NZ"/>
        </w:rPr>
        <w:t>separate</w:t>
      </w:r>
      <w:proofErr w:type="gramEnd"/>
      <w:r w:rsidRPr="00406019">
        <w:rPr>
          <w:lang w:val="en-NZ"/>
        </w:rPr>
        <w:t xml:space="preserve"> property.</w:t>
      </w:r>
    </w:p>
    <w:p w:rsidR="00714E5F" w:rsidRPr="00406019" w:rsidRDefault="00714E5F" w:rsidP="00714E5F">
      <w:pPr>
        <w:rPr>
          <w:lang w:val="en-NZ"/>
        </w:rPr>
      </w:pPr>
    </w:p>
    <w:p w:rsidR="00714E5F" w:rsidRPr="00406019" w:rsidRDefault="00714E5F" w:rsidP="00714E5F">
      <w:pPr>
        <w:rPr>
          <w:lang w:val="en-NZ"/>
        </w:rPr>
      </w:pPr>
      <w:r w:rsidRPr="00406019">
        <w:rPr>
          <w:lang w:val="en-NZ"/>
        </w:rPr>
        <w:t xml:space="preserve">The fact that a particular item of property </w:t>
      </w:r>
      <w:proofErr w:type="gramStart"/>
      <w:r w:rsidRPr="00406019">
        <w:rPr>
          <w:lang w:val="en-NZ"/>
        </w:rPr>
        <w:t>is placed</w:t>
      </w:r>
      <w:proofErr w:type="gramEnd"/>
      <w:r w:rsidRPr="00406019">
        <w:rPr>
          <w:lang w:val="en-NZ"/>
        </w:rPr>
        <w:t xml:space="preserve"> within one of these two categories then produces a </w:t>
      </w:r>
      <w:r w:rsidRPr="00406019">
        <w:rPr>
          <w:i/>
          <w:lang w:val="en-NZ"/>
        </w:rPr>
        <w:t>prima facie</w:t>
      </w:r>
      <w:r w:rsidRPr="00406019">
        <w:rPr>
          <w:lang w:val="en-NZ"/>
        </w:rPr>
        <w:t xml:space="preserve"> result in the way it is treated as between the two spouses or partners.  </w:t>
      </w:r>
      <w:r w:rsidRPr="00406019">
        <w:rPr>
          <w:i/>
          <w:lang w:val="en-NZ"/>
        </w:rPr>
        <w:t>Prima facie</w:t>
      </w:r>
      <w:r w:rsidR="00A97CFE" w:rsidRPr="00406019">
        <w:rPr>
          <w:i/>
          <w:lang w:val="en-NZ"/>
        </w:rPr>
        <w:t>,</w:t>
      </w:r>
      <w:r w:rsidRPr="00406019">
        <w:rPr>
          <w:lang w:val="en-NZ"/>
        </w:rPr>
        <w:t xml:space="preserve"> all relationship property is divided in equal shares, while </w:t>
      </w:r>
      <w:proofErr w:type="gramStart"/>
      <w:r w:rsidRPr="00406019">
        <w:rPr>
          <w:lang w:val="en-NZ"/>
        </w:rPr>
        <w:t>separate property is retained by the owner</w:t>
      </w:r>
      <w:proofErr w:type="gramEnd"/>
      <w:r w:rsidRPr="00406019">
        <w:rPr>
          <w:lang w:val="en-NZ"/>
        </w:rPr>
        <w:t>.</w:t>
      </w:r>
    </w:p>
    <w:p w:rsidR="00714E5F" w:rsidRPr="00406019" w:rsidRDefault="00714E5F" w:rsidP="00714E5F">
      <w:pPr>
        <w:rPr>
          <w:lang w:val="en-NZ"/>
        </w:rPr>
      </w:pPr>
    </w:p>
    <w:p w:rsidR="00175701" w:rsidRPr="00406019" w:rsidRDefault="00175701" w:rsidP="00714E5F">
      <w:pPr>
        <w:rPr>
          <w:lang w:val="en-NZ"/>
        </w:rPr>
      </w:pPr>
    </w:p>
    <w:p w:rsidR="00714E5F" w:rsidRPr="00406019" w:rsidRDefault="00714E5F" w:rsidP="00714E5F">
      <w:pPr>
        <w:pStyle w:val="Heading2"/>
        <w:rPr>
          <w:lang w:val="en-NZ"/>
        </w:rPr>
      </w:pPr>
      <w:r w:rsidRPr="00406019">
        <w:rPr>
          <w:lang w:val="en-NZ"/>
        </w:rPr>
        <w:t>Rollover relief</w:t>
      </w:r>
    </w:p>
    <w:p w:rsidR="00714E5F" w:rsidRPr="00406019" w:rsidRDefault="00714E5F" w:rsidP="00714E5F">
      <w:pPr>
        <w:rPr>
          <w:lang w:val="en-NZ"/>
        </w:rPr>
      </w:pPr>
    </w:p>
    <w:p w:rsidR="006F5BED" w:rsidRPr="00406019" w:rsidRDefault="00714E5F" w:rsidP="00714E5F">
      <w:pPr>
        <w:rPr>
          <w:lang w:val="en-NZ"/>
        </w:rPr>
      </w:pPr>
      <w:r w:rsidRPr="00406019">
        <w:rPr>
          <w:lang w:val="en-NZ"/>
        </w:rPr>
        <w:t xml:space="preserve">A transfer of property under a relationship property agreement will be entitled to the current rollover relief that applies to such transfers.  This will mean that no tax liability under the bright-line test arises for the transfer of the property under the relationship property agreement.  However, the </w:t>
      </w:r>
      <w:r w:rsidR="00A97CFE" w:rsidRPr="00406019">
        <w:rPr>
          <w:lang w:val="en-NZ"/>
        </w:rPr>
        <w:t>person to who</w:t>
      </w:r>
      <w:r w:rsidR="00852D50" w:rsidRPr="00406019">
        <w:rPr>
          <w:lang w:val="en-NZ"/>
        </w:rPr>
        <w:t>m</w:t>
      </w:r>
      <w:r w:rsidR="00A97CFE" w:rsidRPr="00406019">
        <w:rPr>
          <w:lang w:val="en-NZ"/>
        </w:rPr>
        <w:t xml:space="preserve"> the relationship property </w:t>
      </w:r>
      <w:proofErr w:type="gramStart"/>
      <w:r w:rsidR="00A97CFE" w:rsidRPr="00406019">
        <w:rPr>
          <w:lang w:val="en-NZ"/>
        </w:rPr>
        <w:t>has been transferred</w:t>
      </w:r>
      <w:proofErr w:type="gramEnd"/>
      <w:r w:rsidR="00A97CFE" w:rsidRPr="00406019">
        <w:rPr>
          <w:lang w:val="en-NZ"/>
        </w:rPr>
        <w:t xml:space="preserve"> </w:t>
      </w:r>
      <w:r w:rsidRPr="00406019">
        <w:rPr>
          <w:lang w:val="en-NZ"/>
        </w:rPr>
        <w:t xml:space="preserve">may be liable under the bright-line test for any subsequent disposal of the property.  A </w:t>
      </w:r>
      <w:r w:rsidR="00A97CFE" w:rsidRPr="00406019">
        <w:rPr>
          <w:lang w:val="en-NZ"/>
        </w:rPr>
        <w:t xml:space="preserve">tax </w:t>
      </w:r>
      <w:r w:rsidRPr="00406019">
        <w:rPr>
          <w:lang w:val="en-NZ"/>
        </w:rPr>
        <w:t xml:space="preserve">liability will arise if the </w:t>
      </w:r>
      <w:proofErr w:type="gramStart"/>
      <w:r w:rsidRPr="00406019">
        <w:rPr>
          <w:lang w:val="en-NZ"/>
        </w:rPr>
        <w:t xml:space="preserve">property is disposed of within two years of the registration date on the acquisition by the </w:t>
      </w:r>
      <w:r w:rsidR="00D514B5" w:rsidRPr="00406019">
        <w:rPr>
          <w:lang w:val="en-NZ"/>
        </w:rPr>
        <w:t>person who transferred the property</w:t>
      </w:r>
      <w:proofErr w:type="gramEnd"/>
      <w:r w:rsidR="00D514B5" w:rsidRPr="00406019">
        <w:rPr>
          <w:lang w:val="en-NZ"/>
        </w:rPr>
        <w:t xml:space="preserve"> </w:t>
      </w:r>
      <w:r w:rsidRPr="00406019">
        <w:rPr>
          <w:lang w:val="en-NZ"/>
        </w:rPr>
        <w:t xml:space="preserve">(and the property was not </w:t>
      </w:r>
      <w:r w:rsidR="00D514B5" w:rsidRPr="00406019">
        <w:rPr>
          <w:lang w:val="en-NZ"/>
        </w:rPr>
        <w:t>their</w:t>
      </w:r>
      <w:r w:rsidRPr="00406019">
        <w:rPr>
          <w:lang w:val="en-NZ"/>
        </w:rPr>
        <w:t xml:space="preserve"> main home).</w:t>
      </w:r>
    </w:p>
    <w:p w:rsidR="00C54249" w:rsidRPr="00406019" w:rsidRDefault="00C54249" w:rsidP="002C773A">
      <w:pPr>
        <w:rPr>
          <w:lang w:val="en-NZ"/>
        </w:rPr>
      </w:pPr>
      <w:r w:rsidRPr="00406019">
        <w:rPr>
          <w:lang w:val="en-NZ"/>
        </w:rPr>
        <w:br w:type="page"/>
      </w:r>
    </w:p>
    <w:p w:rsidR="000E156F" w:rsidRPr="00406019" w:rsidRDefault="000E156F" w:rsidP="00C54249">
      <w:pPr>
        <w:pBdr>
          <w:top w:val="single" w:sz="4" w:space="10" w:color="auto"/>
          <w:left w:val="single" w:sz="4" w:space="10" w:color="auto"/>
          <w:bottom w:val="single" w:sz="4" w:space="10" w:color="auto"/>
          <w:right w:val="single" w:sz="4" w:space="10" w:color="auto"/>
        </w:pBdr>
        <w:rPr>
          <w:b/>
          <w:sz w:val="20"/>
          <w:lang w:val="en-NZ"/>
        </w:rPr>
      </w:pPr>
      <w:r w:rsidRPr="00406019">
        <w:rPr>
          <w:b/>
          <w:sz w:val="20"/>
          <w:lang w:val="en-NZ"/>
        </w:rPr>
        <w:t>Example</w:t>
      </w:r>
      <w:r w:rsidR="00C54249" w:rsidRPr="00406019">
        <w:rPr>
          <w:b/>
          <w:sz w:val="20"/>
          <w:lang w:val="en-NZ"/>
        </w:rPr>
        <w:t xml:space="preserve">: </w:t>
      </w:r>
      <w:r w:rsidRPr="00406019">
        <w:rPr>
          <w:b/>
          <w:sz w:val="20"/>
          <w:lang w:val="en-NZ"/>
        </w:rPr>
        <w:t>Scenario</w:t>
      </w:r>
    </w:p>
    <w:p w:rsidR="000E156F" w:rsidRPr="00406019" w:rsidRDefault="000E156F" w:rsidP="00C54249">
      <w:pPr>
        <w:pBdr>
          <w:top w:val="single" w:sz="4" w:space="10" w:color="auto"/>
          <w:left w:val="single" w:sz="4" w:space="10" w:color="auto"/>
          <w:bottom w:val="single" w:sz="4" w:space="10" w:color="auto"/>
          <w:right w:val="single" w:sz="4" w:space="10" w:color="auto"/>
        </w:pBdr>
        <w:rPr>
          <w:sz w:val="20"/>
          <w:lang w:val="en-NZ"/>
        </w:rPr>
      </w:pPr>
    </w:p>
    <w:p w:rsidR="000E156F" w:rsidRPr="00406019" w:rsidRDefault="000E156F" w:rsidP="00C54249">
      <w:pPr>
        <w:pBdr>
          <w:top w:val="single" w:sz="4" w:space="10" w:color="auto"/>
          <w:left w:val="single" w:sz="4" w:space="10" w:color="auto"/>
          <w:bottom w:val="single" w:sz="4" w:space="10" w:color="auto"/>
          <w:right w:val="single" w:sz="4" w:space="10" w:color="auto"/>
        </w:pBdr>
        <w:rPr>
          <w:sz w:val="20"/>
          <w:lang w:val="en-NZ"/>
        </w:rPr>
      </w:pPr>
      <w:proofErr w:type="gramStart"/>
      <w:r w:rsidRPr="00406019">
        <w:rPr>
          <w:sz w:val="20"/>
          <w:lang w:val="en-NZ"/>
        </w:rPr>
        <w:t>Jack and Jill get married in June 2015 and purchase a house and a rental property together on 15 December 2015.</w:t>
      </w:r>
      <w:proofErr w:type="gramEnd"/>
      <w:r w:rsidRPr="00406019">
        <w:rPr>
          <w:sz w:val="20"/>
          <w:lang w:val="en-NZ"/>
        </w:rPr>
        <w:t xml:space="preserve">  Six months into the </w:t>
      </w:r>
      <w:proofErr w:type="gramStart"/>
      <w:r w:rsidRPr="00406019">
        <w:rPr>
          <w:sz w:val="20"/>
          <w:lang w:val="en-NZ"/>
        </w:rPr>
        <w:t>marriage</w:t>
      </w:r>
      <w:proofErr w:type="gramEnd"/>
      <w:r w:rsidRPr="00406019">
        <w:rPr>
          <w:sz w:val="20"/>
          <w:lang w:val="en-NZ"/>
        </w:rPr>
        <w:t xml:space="preserve"> they decide to separate</w:t>
      </w:r>
      <w:r w:rsidR="00021CFC" w:rsidRPr="00406019">
        <w:rPr>
          <w:sz w:val="20"/>
          <w:lang w:val="en-NZ"/>
        </w:rPr>
        <w:t xml:space="preserve">. </w:t>
      </w:r>
      <w:r w:rsidRPr="00406019">
        <w:rPr>
          <w:sz w:val="20"/>
          <w:lang w:val="en-NZ"/>
        </w:rPr>
        <w:t xml:space="preserve"> Jill gets the house and the investment property under the relationship property agreement.  The transfers of property to Jill under the relationship property agreement will not be subject to the bright-line test.  Jill continues to live in the house as her main home.  She decides to sell the house and the investment property in July 2016 (</w:t>
      </w:r>
      <w:r w:rsidR="00C54249" w:rsidRPr="00406019">
        <w:rPr>
          <w:sz w:val="20"/>
          <w:lang w:val="en-NZ"/>
        </w:rPr>
        <w:t xml:space="preserve">that is, </w:t>
      </w:r>
      <w:r w:rsidRPr="00406019">
        <w:rPr>
          <w:sz w:val="20"/>
          <w:lang w:val="en-NZ"/>
        </w:rPr>
        <w:t>within two years of purchasing the properties).</w:t>
      </w:r>
    </w:p>
    <w:p w:rsidR="000E156F" w:rsidRPr="00406019" w:rsidRDefault="000E156F" w:rsidP="00C54249">
      <w:pPr>
        <w:pBdr>
          <w:top w:val="single" w:sz="4" w:space="10" w:color="auto"/>
          <w:left w:val="single" w:sz="4" w:space="10" w:color="auto"/>
          <w:bottom w:val="single" w:sz="4" w:space="10" w:color="auto"/>
          <w:right w:val="single" w:sz="4" w:space="10" w:color="auto"/>
        </w:pBdr>
        <w:rPr>
          <w:sz w:val="20"/>
          <w:lang w:val="en-NZ"/>
        </w:rPr>
      </w:pPr>
    </w:p>
    <w:p w:rsidR="000E156F" w:rsidRPr="00406019" w:rsidRDefault="000E156F" w:rsidP="00C54249">
      <w:pPr>
        <w:pBdr>
          <w:top w:val="single" w:sz="4" w:space="10" w:color="auto"/>
          <w:left w:val="single" w:sz="4" w:space="10" w:color="auto"/>
          <w:bottom w:val="single" w:sz="4" w:space="10" w:color="auto"/>
          <w:right w:val="single" w:sz="4" w:space="10" w:color="auto"/>
        </w:pBdr>
        <w:rPr>
          <w:sz w:val="20"/>
          <w:lang w:val="en-NZ"/>
        </w:rPr>
      </w:pPr>
      <w:r w:rsidRPr="00406019">
        <w:rPr>
          <w:sz w:val="20"/>
          <w:lang w:val="en-NZ"/>
        </w:rPr>
        <w:t>Jill will not be taxable on the sale of the house because it has been her main home for the period she has owned the property (either jointly or subsequently on her own)</w:t>
      </w:r>
      <w:r w:rsidR="00021CFC" w:rsidRPr="00406019">
        <w:rPr>
          <w:sz w:val="20"/>
          <w:lang w:val="en-NZ"/>
        </w:rPr>
        <w:t xml:space="preserve">. </w:t>
      </w:r>
      <w:r w:rsidRPr="00406019">
        <w:rPr>
          <w:sz w:val="20"/>
          <w:lang w:val="en-NZ"/>
        </w:rPr>
        <w:t xml:space="preserve"> The sale of the rental property will be subject to the bright-line test because it </w:t>
      </w:r>
      <w:proofErr w:type="gramStart"/>
      <w:r w:rsidRPr="00406019">
        <w:rPr>
          <w:sz w:val="20"/>
          <w:lang w:val="en-NZ"/>
        </w:rPr>
        <w:t>has been bought and sold within two years</w:t>
      </w:r>
      <w:proofErr w:type="gramEnd"/>
      <w:r w:rsidRPr="00406019">
        <w:rPr>
          <w:sz w:val="20"/>
          <w:lang w:val="en-NZ"/>
        </w:rPr>
        <w:t>.</w:t>
      </w:r>
    </w:p>
    <w:p w:rsidR="006F5BED" w:rsidRPr="00406019" w:rsidRDefault="006F5BED" w:rsidP="002C773A">
      <w:pPr>
        <w:rPr>
          <w:lang w:val="en-NZ"/>
        </w:rPr>
      </w:pPr>
      <w:r w:rsidRPr="00406019">
        <w:rPr>
          <w:lang w:val="en-NZ"/>
        </w:rPr>
        <w:br w:type="page"/>
      </w:r>
    </w:p>
    <w:p w:rsidR="00055CD7" w:rsidRPr="00406019" w:rsidRDefault="00055CD7" w:rsidP="00055CD7">
      <w:pPr>
        <w:pStyle w:val="Heading1"/>
      </w:pPr>
      <w:bookmarkStart w:id="13" w:name="_Toc428169676"/>
      <w:r w:rsidRPr="00406019">
        <w:t>Rollover for land transferred under a resident’s restricted amalgamation</w:t>
      </w:r>
      <w:bookmarkEnd w:id="13"/>
    </w:p>
    <w:p w:rsidR="00B62C34" w:rsidRPr="00406019" w:rsidRDefault="00B62C34" w:rsidP="00B62C34">
      <w:pPr>
        <w:rPr>
          <w:lang w:val="en-NZ"/>
        </w:rPr>
      </w:pPr>
    </w:p>
    <w:p w:rsidR="00B62C34" w:rsidRPr="00406019" w:rsidRDefault="00B62C34" w:rsidP="00B62C34">
      <w:pPr>
        <w:rPr>
          <w:b/>
          <w:i/>
          <w:lang w:val="en-NZ"/>
        </w:rPr>
      </w:pPr>
      <w:r w:rsidRPr="00406019">
        <w:rPr>
          <w:b/>
          <w:i/>
          <w:lang w:val="en-NZ"/>
        </w:rPr>
        <w:t>(Clause 12)</w:t>
      </w:r>
    </w:p>
    <w:p w:rsidR="00B62C34" w:rsidRPr="00406019" w:rsidRDefault="00B62C34" w:rsidP="00B62C34">
      <w:pPr>
        <w:rPr>
          <w:lang w:val="en-NZ"/>
        </w:rPr>
      </w:pPr>
    </w:p>
    <w:p w:rsidR="00175701" w:rsidRPr="00406019" w:rsidRDefault="00175701" w:rsidP="00B62C34">
      <w:pPr>
        <w:rPr>
          <w:lang w:val="en-NZ"/>
        </w:rPr>
      </w:pPr>
    </w:p>
    <w:p w:rsidR="00C11E75" w:rsidRPr="00406019" w:rsidRDefault="00C11E75" w:rsidP="00C11E75">
      <w:pPr>
        <w:pStyle w:val="Heading2"/>
        <w:rPr>
          <w:lang w:val="en-NZ"/>
        </w:rPr>
      </w:pPr>
      <w:r w:rsidRPr="00406019">
        <w:rPr>
          <w:lang w:val="en-NZ"/>
        </w:rPr>
        <w:t>Summary of proposed amendment</w:t>
      </w:r>
    </w:p>
    <w:p w:rsidR="00055CD7" w:rsidRPr="00406019" w:rsidRDefault="00055CD7" w:rsidP="00055CD7">
      <w:pPr>
        <w:rPr>
          <w:lang w:val="en-NZ"/>
        </w:rPr>
      </w:pPr>
    </w:p>
    <w:p w:rsidR="00A97CFE" w:rsidRPr="00406019" w:rsidRDefault="00C11E75" w:rsidP="00BA7C03">
      <w:pPr>
        <w:rPr>
          <w:lang w:val="en-NZ"/>
        </w:rPr>
      </w:pPr>
      <w:r w:rsidRPr="00406019">
        <w:rPr>
          <w:lang w:val="en-NZ"/>
        </w:rPr>
        <w:t xml:space="preserve">The </w:t>
      </w:r>
      <w:r w:rsidR="00E32A2A" w:rsidRPr="00406019">
        <w:rPr>
          <w:lang w:val="en-NZ"/>
        </w:rPr>
        <w:t>bill</w:t>
      </w:r>
      <w:r w:rsidRPr="00406019">
        <w:rPr>
          <w:lang w:val="en-NZ"/>
        </w:rPr>
        <w:t xml:space="preserve"> proposes to extend the current rollover relief for amalgamations to property that is revenue account </w:t>
      </w:r>
      <w:r w:rsidR="00760F5A" w:rsidRPr="00406019">
        <w:rPr>
          <w:lang w:val="en-NZ"/>
        </w:rPr>
        <w:t xml:space="preserve">property </w:t>
      </w:r>
      <w:r w:rsidRPr="00406019">
        <w:rPr>
          <w:lang w:val="en-NZ"/>
        </w:rPr>
        <w:t>of an amalgamating company due to the application of the new bright-line test.</w:t>
      </w:r>
    </w:p>
    <w:p w:rsidR="00055CD7" w:rsidRPr="00406019" w:rsidRDefault="00055CD7" w:rsidP="00A97CFE">
      <w:pPr>
        <w:rPr>
          <w:lang w:val="en-NZ"/>
        </w:rPr>
      </w:pPr>
    </w:p>
    <w:p w:rsidR="00055CD7" w:rsidRPr="00406019" w:rsidRDefault="00055CD7" w:rsidP="00055CD7">
      <w:pPr>
        <w:rPr>
          <w:lang w:val="en-NZ"/>
        </w:rPr>
      </w:pPr>
      <w:r w:rsidRPr="00406019">
        <w:rPr>
          <w:lang w:val="en-NZ"/>
        </w:rPr>
        <w:t xml:space="preserve">The amalgamation rules </w:t>
      </w:r>
      <w:r w:rsidR="00A97CFE" w:rsidRPr="00406019">
        <w:rPr>
          <w:lang w:val="en-NZ"/>
        </w:rPr>
        <w:t xml:space="preserve">in the Income Tax Act 2007 </w:t>
      </w:r>
      <w:r w:rsidRPr="00406019">
        <w:rPr>
          <w:lang w:val="en-NZ"/>
        </w:rPr>
        <w:t xml:space="preserve">contain a rollover provision for property transferred </w:t>
      </w:r>
      <w:proofErr w:type="gramStart"/>
      <w:r w:rsidRPr="00406019">
        <w:rPr>
          <w:lang w:val="en-NZ"/>
        </w:rPr>
        <w:t>as a result</w:t>
      </w:r>
      <w:proofErr w:type="gramEnd"/>
      <w:r w:rsidRPr="00406019">
        <w:rPr>
          <w:lang w:val="en-NZ"/>
        </w:rPr>
        <w:t xml:space="preserve"> of an amalgamation</w:t>
      </w:r>
      <w:r w:rsidR="00A97CFE" w:rsidRPr="00406019">
        <w:rPr>
          <w:lang w:val="en-NZ"/>
        </w:rPr>
        <w:t>.</w:t>
      </w:r>
      <w:r w:rsidRPr="00406019">
        <w:rPr>
          <w:rStyle w:val="FootnoteReference"/>
          <w:lang w:val="en-NZ"/>
        </w:rPr>
        <w:footnoteReference w:id="2"/>
      </w:r>
    </w:p>
    <w:p w:rsidR="00055CD7" w:rsidRPr="00406019" w:rsidRDefault="00055CD7" w:rsidP="00055CD7">
      <w:pPr>
        <w:rPr>
          <w:lang w:val="en-NZ"/>
        </w:rPr>
      </w:pPr>
    </w:p>
    <w:p w:rsidR="00055CD7" w:rsidRPr="00406019" w:rsidRDefault="00055CD7" w:rsidP="00055CD7">
      <w:pPr>
        <w:rPr>
          <w:lang w:val="en-NZ"/>
        </w:rPr>
      </w:pPr>
      <w:r w:rsidRPr="00406019">
        <w:rPr>
          <w:lang w:val="en-NZ"/>
        </w:rPr>
        <w:t xml:space="preserve">The rules provide that where </w:t>
      </w:r>
      <w:proofErr w:type="gramStart"/>
      <w:r w:rsidRPr="00406019">
        <w:rPr>
          <w:lang w:val="en-NZ"/>
        </w:rPr>
        <w:t xml:space="preserve">property is </w:t>
      </w:r>
      <w:r w:rsidR="00C11E75" w:rsidRPr="00406019">
        <w:rPr>
          <w:lang w:val="en-NZ"/>
        </w:rPr>
        <w:t xml:space="preserve">held on </w:t>
      </w:r>
      <w:r w:rsidRPr="00406019">
        <w:rPr>
          <w:lang w:val="en-NZ"/>
        </w:rPr>
        <w:t xml:space="preserve">revenue account </w:t>
      </w:r>
      <w:r w:rsidR="00C11E75" w:rsidRPr="00406019">
        <w:rPr>
          <w:lang w:val="en-NZ"/>
        </w:rPr>
        <w:t>by</w:t>
      </w:r>
      <w:r w:rsidRPr="00406019">
        <w:rPr>
          <w:lang w:val="en-NZ"/>
        </w:rPr>
        <w:t xml:space="preserve"> an amalgamating company solely due to the application of a 10</w:t>
      </w:r>
      <w:r w:rsidR="00E32A2A" w:rsidRPr="00406019">
        <w:rPr>
          <w:lang w:val="en-NZ"/>
        </w:rPr>
        <w:t>-</w:t>
      </w:r>
      <w:r w:rsidRPr="00406019">
        <w:rPr>
          <w:lang w:val="en-NZ"/>
        </w:rPr>
        <w:t>year rule in sections CB 9 to CB 11 and CB 14, the property</w:t>
      </w:r>
      <w:proofErr w:type="gramEnd"/>
      <w:r w:rsidRPr="00406019">
        <w:rPr>
          <w:lang w:val="en-NZ"/>
        </w:rPr>
        <w:t xml:space="preserve"> is transferred to t</w:t>
      </w:r>
      <w:r w:rsidR="00443EB9" w:rsidRPr="00406019">
        <w:rPr>
          <w:lang w:val="en-NZ"/>
        </w:rPr>
        <w:t>he amalgamated company at cost.</w:t>
      </w:r>
    </w:p>
    <w:p w:rsidR="00055CD7" w:rsidRPr="00406019" w:rsidRDefault="00055CD7" w:rsidP="00055CD7">
      <w:pPr>
        <w:rPr>
          <w:lang w:val="en-NZ"/>
        </w:rPr>
      </w:pPr>
    </w:p>
    <w:p w:rsidR="00055CD7" w:rsidRPr="00406019" w:rsidRDefault="00055CD7" w:rsidP="00055CD7">
      <w:pPr>
        <w:rPr>
          <w:lang w:val="en-NZ"/>
        </w:rPr>
      </w:pPr>
      <w:r w:rsidRPr="00406019">
        <w:rPr>
          <w:lang w:val="en-NZ"/>
        </w:rPr>
        <w:t>If the amalgamated company disposes of the property within 10 years of the original date of acquisition of the property by the amalgamating company</w:t>
      </w:r>
      <w:r w:rsidR="00A97CFE" w:rsidRPr="00406019">
        <w:rPr>
          <w:lang w:val="en-NZ"/>
        </w:rPr>
        <w:t xml:space="preserve">, </w:t>
      </w:r>
      <w:r w:rsidRPr="00406019">
        <w:rPr>
          <w:lang w:val="en-NZ"/>
        </w:rPr>
        <w:t>any gain from the sale is taxable.</w:t>
      </w:r>
    </w:p>
    <w:p w:rsidR="00055CD7" w:rsidRPr="00406019" w:rsidRDefault="00055CD7" w:rsidP="00055CD7">
      <w:pPr>
        <w:rPr>
          <w:lang w:val="en-NZ"/>
        </w:rPr>
      </w:pPr>
    </w:p>
    <w:p w:rsidR="00C11E75" w:rsidRPr="00406019" w:rsidRDefault="00C11E75" w:rsidP="00C11E75">
      <w:pPr>
        <w:rPr>
          <w:lang w:val="en-NZ"/>
        </w:rPr>
      </w:pPr>
      <w:r w:rsidRPr="00406019">
        <w:rPr>
          <w:lang w:val="en-NZ"/>
        </w:rPr>
        <w:t xml:space="preserve">The </w:t>
      </w:r>
      <w:r w:rsidR="00A97CFE" w:rsidRPr="00406019">
        <w:rPr>
          <w:lang w:val="en-NZ"/>
        </w:rPr>
        <w:t>b</w:t>
      </w:r>
      <w:r w:rsidRPr="00406019">
        <w:rPr>
          <w:lang w:val="en-NZ"/>
        </w:rPr>
        <w:t>ill proposes to extend this rollover relief to property that is revenue account property of an amalgamating company due to the application of the bright-line test.</w:t>
      </w:r>
    </w:p>
    <w:p w:rsidR="00055CD7" w:rsidRPr="00406019" w:rsidRDefault="00055CD7" w:rsidP="00055CD7">
      <w:pPr>
        <w:rPr>
          <w:lang w:val="en-NZ"/>
        </w:rPr>
      </w:pPr>
    </w:p>
    <w:p w:rsidR="0028574B" w:rsidRPr="00406019" w:rsidRDefault="0028574B" w:rsidP="0028574B">
      <w:pPr>
        <w:pBdr>
          <w:top w:val="single" w:sz="4" w:space="10" w:color="auto"/>
          <w:left w:val="single" w:sz="4" w:space="10" w:color="auto"/>
          <w:bottom w:val="single" w:sz="4" w:space="10" w:color="auto"/>
          <w:right w:val="single" w:sz="4" w:space="10" w:color="auto"/>
        </w:pBdr>
        <w:rPr>
          <w:b/>
          <w:sz w:val="20"/>
          <w:lang w:val="en-NZ"/>
        </w:rPr>
      </w:pPr>
      <w:r w:rsidRPr="00406019">
        <w:rPr>
          <w:b/>
          <w:sz w:val="20"/>
          <w:lang w:val="en-NZ"/>
        </w:rPr>
        <w:t>Example: Land held on revenue account solely due to bright-line test</w:t>
      </w:r>
    </w:p>
    <w:p w:rsidR="0028574B" w:rsidRPr="00406019" w:rsidRDefault="0028574B" w:rsidP="0028574B">
      <w:pPr>
        <w:pBdr>
          <w:top w:val="single" w:sz="4" w:space="10" w:color="auto"/>
          <w:left w:val="single" w:sz="4" w:space="10" w:color="auto"/>
          <w:bottom w:val="single" w:sz="4" w:space="10" w:color="auto"/>
          <w:right w:val="single" w:sz="4" w:space="10" w:color="auto"/>
        </w:pBdr>
        <w:rPr>
          <w:sz w:val="20"/>
          <w:lang w:val="en-NZ"/>
        </w:rPr>
      </w:pPr>
    </w:p>
    <w:p w:rsidR="0028574B" w:rsidRPr="00406019" w:rsidRDefault="0028574B" w:rsidP="0028574B">
      <w:pPr>
        <w:pBdr>
          <w:top w:val="single" w:sz="4" w:space="10" w:color="auto"/>
          <w:left w:val="single" w:sz="4" w:space="10" w:color="auto"/>
          <w:bottom w:val="single" w:sz="4" w:space="10" w:color="auto"/>
          <w:right w:val="single" w:sz="4" w:space="10" w:color="auto"/>
        </w:pBdr>
        <w:rPr>
          <w:sz w:val="20"/>
          <w:lang w:val="en-NZ"/>
        </w:rPr>
      </w:pPr>
      <w:r w:rsidRPr="00406019">
        <w:rPr>
          <w:sz w:val="20"/>
          <w:lang w:val="en-NZ" w:eastAsia="en-NZ"/>
        </w:rPr>
        <w:drawing>
          <wp:inline distT="0" distB="0" distL="0" distR="0" wp14:anchorId="38388ED1" wp14:editId="6CCBBED7">
            <wp:extent cx="5278120" cy="21562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8120" cy="2156248"/>
                    </a:xfrm>
                    <a:prstGeom prst="rect">
                      <a:avLst/>
                    </a:prstGeom>
                    <a:noFill/>
                    <a:ln>
                      <a:noFill/>
                    </a:ln>
                  </pic:spPr>
                </pic:pic>
              </a:graphicData>
            </a:graphic>
          </wp:inline>
        </w:drawing>
      </w:r>
    </w:p>
    <w:p w:rsidR="0028574B" w:rsidRPr="00406019" w:rsidRDefault="0028574B" w:rsidP="0028574B">
      <w:pPr>
        <w:pBdr>
          <w:top w:val="single" w:sz="4" w:space="10" w:color="auto"/>
          <w:left w:val="single" w:sz="4" w:space="10" w:color="auto"/>
          <w:bottom w:val="single" w:sz="4" w:space="10" w:color="auto"/>
          <w:right w:val="single" w:sz="4" w:space="10" w:color="auto"/>
        </w:pBdr>
        <w:rPr>
          <w:sz w:val="20"/>
          <w:lang w:val="en-NZ"/>
        </w:rPr>
      </w:pPr>
    </w:p>
    <w:p w:rsidR="0028574B" w:rsidRPr="00406019" w:rsidRDefault="0028574B" w:rsidP="0028574B">
      <w:pPr>
        <w:pBdr>
          <w:top w:val="single" w:sz="4" w:space="10" w:color="auto"/>
          <w:left w:val="single" w:sz="4" w:space="10" w:color="auto"/>
          <w:bottom w:val="single" w:sz="4" w:space="10" w:color="auto"/>
          <w:right w:val="single" w:sz="4" w:space="10" w:color="auto"/>
        </w:pBdr>
        <w:rPr>
          <w:sz w:val="20"/>
          <w:lang w:val="en-NZ"/>
        </w:rPr>
      </w:pPr>
      <w:r w:rsidRPr="00406019">
        <w:rPr>
          <w:sz w:val="20"/>
          <w:lang w:val="en-NZ"/>
        </w:rPr>
        <w:t xml:space="preserve">On 1 May </w:t>
      </w:r>
      <w:proofErr w:type="gramStart"/>
      <w:r w:rsidRPr="00406019">
        <w:rPr>
          <w:sz w:val="20"/>
          <w:lang w:val="en-NZ"/>
        </w:rPr>
        <w:t>2018</w:t>
      </w:r>
      <w:proofErr w:type="gramEnd"/>
      <w:r w:rsidRPr="00406019">
        <w:rPr>
          <w:sz w:val="20"/>
          <w:lang w:val="en-NZ"/>
        </w:rPr>
        <w:t xml:space="preserve"> the property is transferred from A to B at cost ($500k).  A does not have a tax liability from the transfer as there is no gain from the disposal.</w:t>
      </w:r>
    </w:p>
    <w:p w:rsidR="0028574B" w:rsidRPr="00406019" w:rsidRDefault="0028574B" w:rsidP="0028574B">
      <w:pPr>
        <w:pBdr>
          <w:top w:val="single" w:sz="4" w:space="10" w:color="auto"/>
          <w:left w:val="single" w:sz="4" w:space="10" w:color="auto"/>
          <w:bottom w:val="single" w:sz="4" w:space="10" w:color="auto"/>
          <w:right w:val="single" w:sz="4" w:space="10" w:color="auto"/>
        </w:pBdr>
        <w:rPr>
          <w:sz w:val="20"/>
          <w:lang w:val="en-NZ"/>
        </w:rPr>
      </w:pPr>
    </w:p>
    <w:p w:rsidR="0028574B" w:rsidRPr="00406019" w:rsidRDefault="0028574B" w:rsidP="0028574B">
      <w:pPr>
        <w:pBdr>
          <w:top w:val="single" w:sz="4" w:space="10" w:color="auto"/>
          <w:left w:val="single" w:sz="4" w:space="10" w:color="auto"/>
          <w:bottom w:val="single" w:sz="4" w:space="10" w:color="auto"/>
          <w:right w:val="single" w:sz="4" w:space="10" w:color="auto"/>
        </w:pBdr>
        <w:rPr>
          <w:sz w:val="20"/>
          <w:lang w:val="en-NZ"/>
        </w:rPr>
      </w:pPr>
      <w:r w:rsidRPr="00406019">
        <w:rPr>
          <w:sz w:val="20"/>
          <w:lang w:val="en-NZ"/>
        </w:rPr>
        <w:t xml:space="preserve">On 1 June 2018, B is taxable on the $150k gain from the sale.  This is because B disposed of the property within two years of the original date of acquisition of the property by </w:t>
      </w:r>
      <w:proofErr w:type="gramStart"/>
      <w:r w:rsidRPr="00406019">
        <w:rPr>
          <w:sz w:val="20"/>
          <w:lang w:val="en-NZ"/>
        </w:rPr>
        <w:t>A</w:t>
      </w:r>
      <w:proofErr w:type="gramEnd"/>
      <w:r w:rsidRPr="00406019">
        <w:rPr>
          <w:sz w:val="20"/>
          <w:lang w:val="en-NZ"/>
        </w:rPr>
        <w:t xml:space="preserve"> (1 May 2017).</w:t>
      </w:r>
    </w:p>
    <w:p w:rsidR="00B62C34" w:rsidRPr="00406019" w:rsidRDefault="00B62C34" w:rsidP="00055CD7">
      <w:pPr>
        <w:rPr>
          <w:lang w:val="en-NZ"/>
        </w:rPr>
      </w:pPr>
    </w:p>
    <w:p w:rsidR="00E67A56" w:rsidRPr="00406019" w:rsidRDefault="00E67A56" w:rsidP="00955AAC">
      <w:pPr>
        <w:rPr>
          <w:lang w:val="en-NZ"/>
        </w:rPr>
      </w:pPr>
      <w:r w:rsidRPr="00406019">
        <w:rPr>
          <w:lang w:val="en-NZ"/>
        </w:rPr>
        <w:br w:type="page"/>
      </w:r>
    </w:p>
    <w:p w:rsidR="00714E5F" w:rsidRPr="00406019" w:rsidRDefault="00714E5F" w:rsidP="00714E5F">
      <w:pPr>
        <w:pStyle w:val="Heading1"/>
      </w:pPr>
      <w:bookmarkStart w:id="14" w:name="_Toc428169677"/>
      <w:r w:rsidRPr="00406019">
        <w:t>Deductions</w:t>
      </w:r>
      <w:bookmarkEnd w:id="14"/>
    </w:p>
    <w:p w:rsidR="00E67A56" w:rsidRPr="00406019" w:rsidRDefault="00E67A56" w:rsidP="00714E5F">
      <w:pPr>
        <w:rPr>
          <w:lang w:val="en-NZ"/>
        </w:rPr>
      </w:pPr>
    </w:p>
    <w:p w:rsidR="00714E5F" w:rsidRPr="00406019" w:rsidRDefault="00A3624B" w:rsidP="001C31B2">
      <w:pPr>
        <w:rPr>
          <w:b/>
          <w:i/>
          <w:lang w:val="en-NZ"/>
        </w:rPr>
      </w:pPr>
      <w:r w:rsidRPr="00406019">
        <w:rPr>
          <w:b/>
          <w:i/>
          <w:lang w:val="en-NZ"/>
        </w:rPr>
        <w:t>(No clause)</w:t>
      </w:r>
    </w:p>
    <w:p w:rsidR="00A3624B" w:rsidRPr="00406019" w:rsidRDefault="00A3624B" w:rsidP="00A3624B">
      <w:pPr>
        <w:rPr>
          <w:lang w:val="en-NZ"/>
        </w:rPr>
      </w:pPr>
    </w:p>
    <w:p w:rsidR="004E7BC8" w:rsidRPr="00406019" w:rsidRDefault="004E7BC8" w:rsidP="00A3624B">
      <w:pPr>
        <w:rPr>
          <w:lang w:val="en-NZ"/>
        </w:rPr>
      </w:pPr>
    </w:p>
    <w:p w:rsidR="00714E5F" w:rsidRPr="00406019" w:rsidRDefault="00714E5F" w:rsidP="00714E5F">
      <w:pPr>
        <w:rPr>
          <w:lang w:val="en-NZ"/>
        </w:rPr>
      </w:pPr>
      <w:r w:rsidRPr="00406019">
        <w:rPr>
          <w:lang w:val="en-NZ"/>
        </w:rPr>
        <w:t xml:space="preserve">For property that is liable for tax under the bright-line test, </w:t>
      </w:r>
      <w:r w:rsidR="00C11E75" w:rsidRPr="00406019">
        <w:rPr>
          <w:lang w:val="en-NZ"/>
        </w:rPr>
        <w:t xml:space="preserve">it </w:t>
      </w:r>
      <w:proofErr w:type="gramStart"/>
      <w:r w:rsidR="00C11E75" w:rsidRPr="00406019">
        <w:rPr>
          <w:lang w:val="en-NZ"/>
        </w:rPr>
        <w:t>is proposed</w:t>
      </w:r>
      <w:proofErr w:type="gramEnd"/>
      <w:r w:rsidR="00C11E75" w:rsidRPr="00406019">
        <w:rPr>
          <w:lang w:val="en-NZ"/>
        </w:rPr>
        <w:t xml:space="preserve"> that </w:t>
      </w:r>
      <w:r w:rsidRPr="00406019">
        <w:rPr>
          <w:lang w:val="en-NZ"/>
        </w:rPr>
        <w:t xml:space="preserve">taxpayers will be able to deduct expenditure according to the ordinary </w:t>
      </w:r>
      <w:r w:rsidR="00E67A56" w:rsidRPr="00406019">
        <w:rPr>
          <w:lang w:val="en-NZ"/>
        </w:rPr>
        <w:t xml:space="preserve">tax </w:t>
      </w:r>
      <w:r w:rsidRPr="00406019">
        <w:rPr>
          <w:lang w:val="en-NZ"/>
        </w:rPr>
        <w:t>rules.</w:t>
      </w:r>
    </w:p>
    <w:p w:rsidR="00E67A56" w:rsidRPr="00406019" w:rsidRDefault="00E67A56" w:rsidP="00714E5F">
      <w:pPr>
        <w:rPr>
          <w:lang w:val="en-NZ"/>
        </w:rPr>
      </w:pPr>
    </w:p>
    <w:p w:rsidR="00175701" w:rsidRPr="00406019" w:rsidRDefault="00175701" w:rsidP="00714E5F">
      <w:pPr>
        <w:rPr>
          <w:lang w:val="en-NZ"/>
        </w:rPr>
      </w:pPr>
    </w:p>
    <w:p w:rsidR="00714E5F" w:rsidRPr="00406019" w:rsidRDefault="00714E5F" w:rsidP="00714E5F">
      <w:pPr>
        <w:pStyle w:val="Heading2"/>
        <w:rPr>
          <w:lang w:val="en-NZ"/>
        </w:rPr>
      </w:pPr>
      <w:bookmarkStart w:id="15" w:name="_Toc422743977"/>
      <w:r w:rsidRPr="00406019">
        <w:rPr>
          <w:lang w:val="en-NZ"/>
        </w:rPr>
        <w:t>The cost of the property can be deducted</w:t>
      </w:r>
      <w:bookmarkEnd w:id="15"/>
    </w:p>
    <w:p w:rsidR="00175701" w:rsidRPr="00406019" w:rsidRDefault="00175701" w:rsidP="00714E5F">
      <w:pPr>
        <w:rPr>
          <w:lang w:val="en-NZ"/>
        </w:rPr>
      </w:pPr>
    </w:p>
    <w:p w:rsidR="00714E5F" w:rsidRPr="00406019" w:rsidRDefault="00714E5F" w:rsidP="00714E5F">
      <w:pPr>
        <w:rPr>
          <w:lang w:val="en-NZ"/>
        </w:rPr>
      </w:pPr>
      <w:r w:rsidRPr="00406019">
        <w:rPr>
          <w:lang w:val="en-NZ"/>
        </w:rPr>
        <w:t xml:space="preserve">A person who sells property that is subject to the bright-line test </w:t>
      </w:r>
      <w:proofErr w:type="gramStart"/>
      <w:r w:rsidRPr="00406019">
        <w:rPr>
          <w:lang w:val="en-NZ"/>
        </w:rPr>
        <w:t>will be allowed</w:t>
      </w:r>
      <w:proofErr w:type="gramEnd"/>
      <w:r w:rsidRPr="00406019">
        <w:rPr>
          <w:lang w:val="en-NZ"/>
        </w:rPr>
        <w:t xml:space="preserve"> a deduction for the cost of the property at the time of sale.</w:t>
      </w:r>
    </w:p>
    <w:p w:rsidR="00714E5F" w:rsidRPr="00406019" w:rsidRDefault="00714E5F" w:rsidP="00714E5F">
      <w:pPr>
        <w:rPr>
          <w:lang w:val="en-NZ"/>
        </w:rPr>
      </w:pPr>
    </w:p>
    <w:p w:rsidR="00714E5F" w:rsidRPr="00406019" w:rsidRDefault="00714E5F" w:rsidP="00714E5F">
      <w:pPr>
        <w:rPr>
          <w:lang w:val="en-NZ"/>
        </w:rPr>
      </w:pPr>
      <w:r w:rsidRPr="00406019">
        <w:rPr>
          <w:lang w:val="en-NZ"/>
        </w:rPr>
        <w:t xml:space="preserve">The cost of the property includes the amount that </w:t>
      </w:r>
      <w:proofErr w:type="gramStart"/>
      <w:r w:rsidRPr="00406019">
        <w:rPr>
          <w:lang w:val="en-NZ"/>
        </w:rPr>
        <w:t>was paid</w:t>
      </w:r>
      <w:proofErr w:type="gramEnd"/>
      <w:r w:rsidRPr="00406019">
        <w:rPr>
          <w:lang w:val="en-NZ"/>
        </w:rPr>
        <w:t xml:space="preserve"> to acquire the property (the initial acquisition price of the property).  The cost of the property also includes any expenditure related to the acquisition.  As a result, the costs of lawyers, </w:t>
      </w:r>
      <w:proofErr w:type="spellStart"/>
      <w:r w:rsidRPr="00406019">
        <w:rPr>
          <w:lang w:val="en-NZ"/>
        </w:rPr>
        <w:t>valuers</w:t>
      </w:r>
      <w:proofErr w:type="spellEnd"/>
      <w:r w:rsidRPr="00406019">
        <w:rPr>
          <w:lang w:val="en-NZ"/>
        </w:rPr>
        <w:t>, surveyors and real estate agents are deductible.  The incidental costs of disposing of the property are also deductible as part of the cost of the property.  The cost of the property also includes any capital improvements to the property made after acquisition, such as renovations.</w:t>
      </w:r>
    </w:p>
    <w:p w:rsidR="00714E5F" w:rsidRPr="00406019" w:rsidRDefault="00714E5F" w:rsidP="00714E5F">
      <w:pPr>
        <w:rPr>
          <w:lang w:val="en-NZ"/>
        </w:rPr>
      </w:pPr>
    </w:p>
    <w:p w:rsidR="00175701" w:rsidRPr="00406019" w:rsidRDefault="00175701" w:rsidP="00714E5F">
      <w:pPr>
        <w:rPr>
          <w:lang w:val="en-NZ"/>
        </w:rPr>
      </w:pPr>
    </w:p>
    <w:p w:rsidR="00714E5F" w:rsidRPr="00406019" w:rsidRDefault="00714E5F" w:rsidP="00955AAC">
      <w:pPr>
        <w:pStyle w:val="Heading2"/>
        <w:rPr>
          <w:lang w:val="en-NZ"/>
        </w:rPr>
      </w:pPr>
      <w:bookmarkStart w:id="16" w:name="_Toc422743978"/>
      <w:r w:rsidRPr="00406019">
        <w:rPr>
          <w:lang w:val="en-NZ"/>
        </w:rPr>
        <w:t>Holding costs deductible to the extent sufficient nexus and not private in nature</w:t>
      </w:r>
      <w:bookmarkEnd w:id="16"/>
    </w:p>
    <w:p w:rsidR="00714E5F" w:rsidRPr="00406019" w:rsidRDefault="00714E5F" w:rsidP="00714E5F">
      <w:pPr>
        <w:rPr>
          <w:lang w:val="en-NZ"/>
        </w:rPr>
      </w:pPr>
    </w:p>
    <w:p w:rsidR="00714E5F" w:rsidRPr="00406019" w:rsidRDefault="00714E5F" w:rsidP="00714E5F">
      <w:pPr>
        <w:rPr>
          <w:lang w:val="en-NZ"/>
        </w:rPr>
      </w:pPr>
      <w:r w:rsidRPr="00406019">
        <w:rPr>
          <w:lang w:val="en-NZ"/>
        </w:rPr>
        <w:t xml:space="preserve">While a property is </w:t>
      </w:r>
      <w:proofErr w:type="gramStart"/>
      <w:r w:rsidRPr="00406019">
        <w:rPr>
          <w:lang w:val="en-NZ"/>
        </w:rPr>
        <w:t>owned</w:t>
      </w:r>
      <w:proofErr w:type="gramEnd"/>
      <w:r w:rsidRPr="00406019">
        <w:rPr>
          <w:lang w:val="en-NZ"/>
        </w:rPr>
        <w:t xml:space="preserve"> there will be periodic holding costs (of a non-capital nature) such as interest, insurance, rates and repairs</w:t>
      </w:r>
      <w:r w:rsidR="00E67A56" w:rsidRPr="00406019">
        <w:rPr>
          <w:lang w:val="en-NZ"/>
        </w:rPr>
        <w:t>,</w:t>
      </w:r>
      <w:r w:rsidR="00D00DFF" w:rsidRPr="00406019">
        <w:rPr>
          <w:lang w:val="en-NZ"/>
        </w:rPr>
        <w:t xml:space="preserve"> and maintenance expenses.</w:t>
      </w:r>
    </w:p>
    <w:p w:rsidR="00714E5F" w:rsidRPr="00406019" w:rsidRDefault="00714E5F" w:rsidP="00714E5F">
      <w:pPr>
        <w:rPr>
          <w:lang w:val="en-NZ"/>
        </w:rPr>
      </w:pPr>
    </w:p>
    <w:p w:rsidR="00714E5F" w:rsidRPr="00406019" w:rsidRDefault="00714E5F" w:rsidP="00714E5F">
      <w:pPr>
        <w:rPr>
          <w:lang w:val="en-NZ"/>
        </w:rPr>
      </w:pPr>
      <w:r w:rsidRPr="00406019">
        <w:rPr>
          <w:lang w:val="en-NZ"/>
        </w:rPr>
        <w:t>To be deductible as incurred, the holding costs must satisfy the normal deduction requirements.  In other words, the holding costs are deductible to the extent they have a nexus with income and are not private in nature (or otherwise subject to any of the general limitations on deductions).</w:t>
      </w:r>
    </w:p>
    <w:p w:rsidR="00714E5F" w:rsidRPr="00406019" w:rsidRDefault="00714E5F" w:rsidP="00714E5F">
      <w:pPr>
        <w:rPr>
          <w:lang w:val="en-NZ"/>
        </w:rPr>
      </w:pPr>
    </w:p>
    <w:p w:rsidR="00714E5F" w:rsidRPr="00406019" w:rsidRDefault="00714E5F" w:rsidP="00714E5F">
      <w:pPr>
        <w:rPr>
          <w:lang w:val="en-NZ"/>
        </w:rPr>
      </w:pPr>
      <w:r w:rsidRPr="00406019">
        <w:rPr>
          <w:lang w:val="en-NZ"/>
        </w:rPr>
        <w:t xml:space="preserve">A deduction </w:t>
      </w:r>
      <w:proofErr w:type="gramStart"/>
      <w:r w:rsidRPr="00406019">
        <w:rPr>
          <w:lang w:val="en-NZ"/>
        </w:rPr>
        <w:t xml:space="preserve">will be </w:t>
      </w:r>
      <w:r w:rsidR="00FF1FE9" w:rsidRPr="00406019">
        <w:rPr>
          <w:lang w:val="en-NZ"/>
        </w:rPr>
        <w:t>considered</w:t>
      </w:r>
      <w:proofErr w:type="gramEnd"/>
      <w:r w:rsidR="00FF1FE9" w:rsidRPr="00406019">
        <w:rPr>
          <w:lang w:val="en-NZ"/>
        </w:rPr>
        <w:t xml:space="preserve"> to be </w:t>
      </w:r>
      <w:r w:rsidRPr="00406019">
        <w:rPr>
          <w:lang w:val="en-NZ"/>
        </w:rPr>
        <w:t xml:space="preserve">of a private nature if it is exclusively </w:t>
      </w:r>
      <w:r w:rsidR="000732EC" w:rsidRPr="00406019">
        <w:rPr>
          <w:lang w:val="en-NZ"/>
        </w:rPr>
        <w:t>related</w:t>
      </w:r>
      <w:r w:rsidRPr="00406019">
        <w:rPr>
          <w:lang w:val="en-NZ"/>
        </w:rPr>
        <w:t xml:space="preserve"> to living as an individual</w:t>
      </w:r>
      <w:r w:rsidR="00BA10D8" w:rsidRPr="00406019">
        <w:rPr>
          <w:lang w:val="en-NZ"/>
        </w:rPr>
        <w:t>.</w:t>
      </w:r>
      <w:r w:rsidRPr="00406019">
        <w:rPr>
          <w:lang w:val="en-NZ"/>
        </w:rPr>
        <w:t xml:space="preserve">  This will be determined by the </w:t>
      </w:r>
      <w:proofErr w:type="gramStart"/>
      <w:r w:rsidRPr="00406019">
        <w:rPr>
          <w:lang w:val="en-NZ"/>
        </w:rPr>
        <w:t>specific facts</w:t>
      </w:r>
      <w:proofErr w:type="gramEnd"/>
      <w:r w:rsidRPr="00406019">
        <w:rPr>
          <w:lang w:val="en-NZ"/>
        </w:rPr>
        <w:t xml:space="preserve"> of any given situation.  However, interest costs can automatically be deducted if </w:t>
      </w:r>
      <w:proofErr w:type="gramStart"/>
      <w:r w:rsidRPr="00406019">
        <w:rPr>
          <w:lang w:val="en-NZ"/>
        </w:rPr>
        <w:t>the property is owned by a company (subject to some limitations)</w:t>
      </w:r>
      <w:proofErr w:type="gramEnd"/>
      <w:r w:rsidRPr="00406019">
        <w:rPr>
          <w:lang w:val="en-NZ"/>
        </w:rPr>
        <w:t>.</w:t>
      </w:r>
    </w:p>
    <w:p w:rsidR="00714E5F" w:rsidRPr="00406019" w:rsidRDefault="00714E5F" w:rsidP="00714E5F">
      <w:pPr>
        <w:rPr>
          <w:lang w:val="en-NZ"/>
        </w:rPr>
      </w:pPr>
    </w:p>
    <w:p w:rsidR="00714E5F" w:rsidRPr="00406019" w:rsidRDefault="00714E5F" w:rsidP="00714E5F">
      <w:pPr>
        <w:rPr>
          <w:lang w:val="en-NZ"/>
        </w:rPr>
      </w:pPr>
      <w:r w:rsidRPr="00406019">
        <w:rPr>
          <w:lang w:val="en-NZ"/>
        </w:rPr>
        <w:t xml:space="preserve">For example, when the property is part of a business or profit-making undertaking or scheme, and there is no private use, it is likely that the nexus </w:t>
      </w:r>
      <w:r w:rsidR="000732EC" w:rsidRPr="00406019">
        <w:rPr>
          <w:lang w:val="en-NZ"/>
        </w:rPr>
        <w:t>would</w:t>
      </w:r>
      <w:r w:rsidRPr="00406019">
        <w:rPr>
          <w:lang w:val="en-NZ"/>
        </w:rPr>
        <w:t xml:space="preserve"> be satisfied.  Further, when the property </w:t>
      </w:r>
      <w:proofErr w:type="gramStart"/>
      <w:r w:rsidRPr="00406019">
        <w:rPr>
          <w:lang w:val="en-NZ"/>
        </w:rPr>
        <w:t>is rented out</w:t>
      </w:r>
      <w:proofErr w:type="gramEnd"/>
      <w:r w:rsidRPr="00406019">
        <w:rPr>
          <w:lang w:val="en-NZ"/>
        </w:rPr>
        <w:t xml:space="preserve"> there </w:t>
      </w:r>
      <w:r w:rsidR="000732EC" w:rsidRPr="00406019">
        <w:rPr>
          <w:lang w:val="en-NZ"/>
        </w:rPr>
        <w:t>would</w:t>
      </w:r>
      <w:r w:rsidRPr="00406019">
        <w:rPr>
          <w:lang w:val="en-NZ"/>
        </w:rPr>
        <w:t xml:space="preserve"> likely be a nexus between the holding costs and the rental income.  However, if a person purchases a </w:t>
      </w:r>
      <w:proofErr w:type="spellStart"/>
      <w:r w:rsidRPr="00406019">
        <w:rPr>
          <w:lang w:val="en-NZ"/>
        </w:rPr>
        <w:t>bach</w:t>
      </w:r>
      <w:proofErr w:type="spellEnd"/>
      <w:r w:rsidRPr="00406019">
        <w:rPr>
          <w:lang w:val="en-NZ"/>
        </w:rPr>
        <w:t xml:space="preserve"> for family use, but sells the </w:t>
      </w:r>
      <w:proofErr w:type="spellStart"/>
      <w:r w:rsidRPr="00406019">
        <w:rPr>
          <w:lang w:val="en-NZ"/>
        </w:rPr>
        <w:t>bach</w:t>
      </w:r>
      <w:proofErr w:type="spellEnd"/>
      <w:r w:rsidRPr="00406019">
        <w:rPr>
          <w:lang w:val="en-NZ"/>
        </w:rPr>
        <w:t xml:space="preserve"> within two years, the holding costs </w:t>
      </w:r>
      <w:r w:rsidR="000732EC" w:rsidRPr="00406019">
        <w:rPr>
          <w:lang w:val="en-NZ"/>
        </w:rPr>
        <w:t>would</w:t>
      </w:r>
      <w:r w:rsidRPr="00406019">
        <w:rPr>
          <w:lang w:val="en-NZ"/>
        </w:rPr>
        <w:t xml:space="preserve"> not be deductible because of the private limitation.</w:t>
      </w:r>
    </w:p>
    <w:p w:rsidR="006F5BED" w:rsidRPr="00406019" w:rsidRDefault="006F5BED" w:rsidP="002C773A">
      <w:pPr>
        <w:rPr>
          <w:lang w:val="en-NZ"/>
        </w:rPr>
      </w:pPr>
      <w:r w:rsidRPr="00406019">
        <w:rPr>
          <w:lang w:val="en-NZ"/>
        </w:rPr>
        <w:br w:type="page"/>
      </w:r>
    </w:p>
    <w:p w:rsidR="00055CD7" w:rsidRPr="00406019" w:rsidRDefault="00055CD7" w:rsidP="00055CD7">
      <w:pPr>
        <w:pStyle w:val="Heading1"/>
      </w:pPr>
      <w:bookmarkStart w:id="17" w:name="_Toc428169678"/>
      <w:r w:rsidRPr="00406019">
        <w:t>Losses</w:t>
      </w:r>
      <w:bookmarkEnd w:id="17"/>
    </w:p>
    <w:p w:rsidR="00055CD7" w:rsidRPr="00406019" w:rsidRDefault="00055CD7" w:rsidP="00055CD7">
      <w:pPr>
        <w:rPr>
          <w:lang w:val="en-NZ"/>
        </w:rPr>
      </w:pPr>
    </w:p>
    <w:p w:rsidR="00055CD7" w:rsidRPr="00406019" w:rsidRDefault="00DE7484" w:rsidP="00055CD7">
      <w:pPr>
        <w:rPr>
          <w:b/>
          <w:i/>
          <w:lang w:val="en-NZ"/>
        </w:rPr>
      </w:pPr>
      <w:r w:rsidRPr="00406019">
        <w:rPr>
          <w:b/>
          <w:i/>
          <w:lang w:val="en-NZ"/>
        </w:rPr>
        <w:t>(Clause</w:t>
      </w:r>
      <w:r w:rsidR="00055CD7" w:rsidRPr="00406019">
        <w:rPr>
          <w:b/>
          <w:i/>
          <w:lang w:val="en-NZ"/>
        </w:rPr>
        <w:t xml:space="preserve"> </w:t>
      </w:r>
      <w:r w:rsidRPr="00406019">
        <w:rPr>
          <w:b/>
          <w:i/>
          <w:lang w:val="en-NZ"/>
        </w:rPr>
        <w:t>8</w:t>
      </w:r>
      <w:r w:rsidR="00055CD7" w:rsidRPr="00406019">
        <w:rPr>
          <w:b/>
          <w:i/>
          <w:lang w:val="en-NZ"/>
        </w:rPr>
        <w:t>)</w:t>
      </w:r>
    </w:p>
    <w:p w:rsidR="00055CD7" w:rsidRPr="00406019" w:rsidRDefault="00055CD7" w:rsidP="00055CD7">
      <w:pPr>
        <w:rPr>
          <w:lang w:val="en-NZ"/>
        </w:rPr>
      </w:pPr>
    </w:p>
    <w:p w:rsidR="00175701" w:rsidRPr="00406019" w:rsidRDefault="00175701" w:rsidP="00055CD7">
      <w:pPr>
        <w:rPr>
          <w:lang w:val="en-NZ"/>
        </w:rPr>
      </w:pPr>
    </w:p>
    <w:p w:rsidR="00AE61EC" w:rsidRPr="00406019" w:rsidRDefault="00AE61EC" w:rsidP="00AE61EC">
      <w:pPr>
        <w:pStyle w:val="Heading2"/>
        <w:rPr>
          <w:lang w:val="en-NZ"/>
        </w:rPr>
      </w:pPr>
      <w:r w:rsidRPr="00406019">
        <w:rPr>
          <w:lang w:val="en-NZ"/>
        </w:rPr>
        <w:t>Summary of proposed amendment</w:t>
      </w:r>
    </w:p>
    <w:p w:rsidR="00055CD7" w:rsidRPr="00406019" w:rsidRDefault="00055CD7" w:rsidP="00055CD7">
      <w:pPr>
        <w:rPr>
          <w:lang w:val="en-NZ"/>
        </w:rPr>
      </w:pPr>
    </w:p>
    <w:p w:rsidR="000732EC" w:rsidRPr="00406019" w:rsidRDefault="00AE61EC" w:rsidP="00055CD7">
      <w:pPr>
        <w:rPr>
          <w:lang w:val="en-NZ"/>
        </w:rPr>
      </w:pPr>
      <w:r w:rsidRPr="00406019">
        <w:rPr>
          <w:lang w:val="en-NZ"/>
        </w:rPr>
        <w:t xml:space="preserve">The </w:t>
      </w:r>
      <w:r w:rsidR="00E32A2A" w:rsidRPr="00406019">
        <w:rPr>
          <w:lang w:val="en-NZ"/>
        </w:rPr>
        <w:t>bill</w:t>
      </w:r>
      <w:r w:rsidRPr="00406019">
        <w:rPr>
          <w:lang w:val="en-NZ"/>
        </w:rPr>
        <w:t xml:space="preserve"> proposes that l</w:t>
      </w:r>
      <w:r w:rsidR="00055CD7" w:rsidRPr="00406019">
        <w:rPr>
          <w:lang w:val="en-NZ"/>
        </w:rPr>
        <w:t xml:space="preserve">osses from deductions that are claimable solely against bright-line income (bright-line deductions) </w:t>
      </w:r>
      <w:r w:rsidRPr="00406019">
        <w:rPr>
          <w:lang w:val="en-NZ"/>
        </w:rPr>
        <w:t>will be</w:t>
      </w:r>
      <w:r w:rsidR="00055CD7" w:rsidRPr="00406019">
        <w:rPr>
          <w:lang w:val="en-NZ"/>
        </w:rPr>
        <w:t xml:space="preserve"> ring-fenced, so they </w:t>
      </w:r>
      <w:proofErr w:type="gramStart"/>
      <w:r w:rsidR="00055CD7" w:rsidRPr="00406019">
        <w:rPr>
          <w:lang w:val="en-NZ"/>
        </w:rPr>
        <w:t>can only be offset</w:t>
      </w:r>
      <w:proofErr w:type="gramEnd"/>
      <w:r w:rsidR="00055CD7" w:rsidRPr="00406019">
        <w:rPr>
          <w:lang w:val="en-NZ"/>
        </w:rPr>
        <w:t xml:space="preserve"> against gains on other land sales</w:t>
      </w:r>
      <w:r w:rsidR="00D97DCA" w:rsidRPr="00406019">
        <w:rPr>
          <w:lang w:val="en-NZ"/>
        </w:rPr>
        <w:t xml:space="preserve"> that are taxable under any of the land sale provisions</w:t>
      </w:r>
      <w:r w:rsidR="00055CD7" w:rsidRPr="00406019">
        <w:rPr>
          <w:lang w:val="en-NZ"/>
        </w:rPr>
        <w:t>.</w:t>
      </w:r>
    </w:p>
    <w:p w:rsidR="005A32D9" w:rsidRPr="00406019" w:rsidRDefault="005A32D9" w:rsidP="00055CD7">
      <w:pPr>
        <w:rPr>
          <w:lang w:val="en-NZ"/>
        </w:rPr>
      </w:pPr>
    </w:p>
    <w:p w:rsidR="00175701" w:rsidRPr="00406019" w:rsidRDefault="00175701" w:rsidP="00055CD7">
      <w:pPr>
        <w:rPr>
          <w:lang w:val="en-NZ"/>
        </w:rPr>
      </w:pPr>
    </w:p>
    <w:p w:rsidR="00055CD7" w:rsidRPr="00406019" w:rsidRDefault="00A3624B" w:rsidP="00055CD7">
      <w:pPr>
        <w:pStyle w:val="Heading2"/>
        <w:rPr>
          <w:lang w:val="en-NZ"/>
        </w:rPr>
      </w:pPr>
      <w:r w:rsidRPr="00406019">
        <w:rPr>
          <w:lang w:val="en-NZ"/>
        </w:rPr>
        <w:t>Key features</w:t>
      </w:r>
    </w:p>
    <w:p w:rsidR="00055CD7" w:rsidRPr="00406019" w:rsidRDefault="00055CD7" w:rsidP="00055CD7">
      <w:pPr>
        <w:rPr>
          <w:lang w:val="en-NZ"/>
        </w:rPr>
      </w:pPr>
    </w:p>
    <w:p w:rsidR="00055CD7" w:rsidRPr="00406019" w:rsidRDefault="00055CD7" w:rsidP="000732EC">
      <w:pPr>
        <w:rPr>
          <w:lang w:val="en-NZ"/>
        </w:rPr>
      </w:pPr>
      <w:r w:rsidRPr="00406019">
        <w:rPr>
          <w:lang w:val="en-NZ"/>
        </w:rPr>
        <w:t xml:space="preserve">The amount of bright-line deductions allowed in any income year </w:t>
      </w:r>
      <w:proofErr w:type="gramStart"/>
      <w:r w:rsidRPr="00406019">
        <w:rPr>
          <w:lang w:val="en-NZ"/>
        </w:rPr>
        <w:t xml:space="preserve">is </w:t>
      </w:r>
      <w:r w:rsidR="00AE61EC" w:rsidRPr="00406019">
        <w:rPr>
          <w:lang w:val="en-NZ"/>
        </w:rPr>
        <w:t>proposed</w:t>
      </w:r>
      <w:proofErr w:type="gramEnd"/>
      <w:r w:rsidR="00AE61EC" w:rsidRPr="00406019">
        <w:rPr>
          <w:lang w:val="en-NZ"/>
        </w:rPr>
        <w:t xml:space="preserve"> to be </w:t>
      </w:r>
      <w:r w:rsidRPr="00406019">
        <w:rPr>
          <w:lang w:val="en-NZ"/>
        </w:rPr>
        <w:t>limited to the amount of bright-line income and land net income for that year.  Land net income is the amount of net income for the year as if the person’s only income they derived was from the dis</w:t>
      </w:r>
      <w:r w:rsidR="00220A61" w:rsidRPr="00406019">
        <w:rPr>
          <w:lang w:val="en-NZ"/>
        </w:rPr>
        <w:t xml:space="preserve">posal of land under sections CB 6 to CB </w:t>
      </w:r>
      <w:r w:rsidRPr="00406019">
        <w:rPr>
          <w:lang w:val="en-NZ"/>
        </w:rPr>
        <w:t>15.</w:t>
      </w:r>
    </w:p>
    <w:p w:rsidR="00055CD7" w:rsidRPr="00406019" w:rsidRDefault="00055CD7" w:rsidP="00055CD7">
      <w:pPr>
        <w:rPr>
          <w:lang w:val="en-NZ"/>
        </w:rPr>
      </w:pPr>
    </w:p>
    <w:p w:rsidR="00055CD7" w:rsidRPr="00406019" w:rsidRDefault="00055CD7" w:rsidP="00D93BF7">
      <w:pPr>
        <w:rPr>
          <w:lang w:val="en-NZ"/>
        </w:rPr>
      </w:pPr>
      <w:r w:rsidRPr="00406019">
        <w:rPr>
          <w:lang w:val="en-NZ"/>
        </w:rPr>
        <w:t xml:space="preserve">Any excess deductions not allocated to the income year </w:t>
      </w:r>
      <w:proofErr w:type="gramStart"/>
      <w:r w:rsidR="00AE61EC" w:rsidRPr="00406019">
        <w:rPr>
          <w:lang w:val="en-NZ"/>
        </w:rPr>
        <w:t>will be</w:t>
      </w:r>
      <w:r w:rsidRPr="00406019">
        <w:rPr>
          <w:lang w:val="en-NZ"/>
        </w:rPr>
        <w:t xml:space="preserve"> treated as the cost of revenue account property and carried forward to the next income year</w:t>
      </w:r>
      <w:proofErr w:type="gramEnd"/>
      <w:r w:rsidRPr="00406019">
        <w:rPr>
          <w:lang w:val="en-NZ"/>
        </w:rPr>
        <w:t xml:space="preserve">.  However, any excess deductions </w:t>
      </w:r>
      <w:r w:rsidR="00AE61EC" w:rsidRPr="00406019">
        <w:rPr>
          <w:lang w:val="en-NZ"/>
        </w:rPr>
        <w:t xml:space="preserve">will not be able to </w:t>
      </w:r>
      <w:proofErr w:type="gramStart"/>
      <w:r w:rsidR="00AE61EC" w:rsidRPr="00406019">
        <w:rPr>
          <w:lang w:val="en-NZ"/>
        </w:rPr>
        <w:t>be</w:t>
      </w:r>
      <w:r w:rsidRPr="00406019">
        <w:rPr>
          <w:lang w:val="en-NZ"/>
        </w:rPr>
        <w:t xml:space="preserve"> carried</w:t>
      </w:r>
      <w:proofErr w:type="gramEnd"/>
      <w:r w:rsidRPr="00406019">
        <w:rPr>
          <w:lang w:val="en-NZ"/>
        </w:rPr>
        <w:t xml:space="preserve"> forward if the general continuity requirements for carrying forward tax losses are not satisfied.</w:t>
      </w:r>
    </w:p>
    <w:p w:rsidR="00055CD7" w:rsidRPr="00406019" w:rsidRDefault="00055CD7" w:rsidP="00055CD7">
      <w:pPr>
        <w:rPr>
          <w:lang w:val="en-NZ"/>
        </w:rPr>
      </w:pPr>
    </w:p>
    <w:p w:rsidR="00055CD7" w:rsidRPr="00406019" w:rsidRDefault="00055CD7" w:rsidP="001C31B2">
      <w:pPr>
        <w:pStyle w:val="Heading3"/>
        <w:rPr>
          <w:lang w:val="en-NZ"/>
        </w:rPr>
      </w:pPr>
      <w:r w:rsidRPr="00406019">
        <w:rPr>
          <w:lang w:val="en-NZ"/>
        </w:rPr>
        <w:t>Losses from transfers to associated persons</w:t>
      </w:r>
    </w:p>
    <w:p w:rsidR="00055CD7" w:rsidRPr="00406019" w:rsidRDefault="00055CD7" w:rsidP="00055CD7">
      <w:pPr>
        <w:rPr>
          <w:lang w:val="en-NZ"/>
        </w:rPr>
      </w:pPr>
    </w:p>
    <w:p w:rsidR="00055CD7" w:rsidRPr="00406019" w:rsidRDefault="00AE61EC" w:rsidP="00055CD7">
      <w:pPr>
        <w:rPr>
          <w:lang w:val="en-NZ"/>
        </w:rPr>
      </w:pPr>
      <w:r w:rsidRPr="00406019">
        <w:rPr>
          <w:lang w:val="en-NZ"/>
        </w:rPr>
        <w:t xml:space="preserve">It </w:t>
      </w:r>
      <w:proofErr w:type="gramStart"/>
      <w:r w:rsidRPr="00406019">
        <w:rPr>
          <w:lang w:val="en-NZ"/>
        </w:rPr>
        <w:t>is proposed</w:t>
      </w:r>
      <w:proofErr w:type="gramEnd"/>
      <w:r w:rsidRPr="00406019">
        <w:rPr>
          <w:lang w:val="en-NZ"/>
        </w:rPr>
        <w:t xml:space="preserve"> that a</w:t>
      </w:r>
      <w:r w:rsidR="00055CD7" w:rsidRPr="00406019">
        <w:rPr>
          <w:lang w:val="en-NZ"/>
        </w:rPr>
        <w:t xml:space="preserve"> person </w:t>
      </w:r>
      <w:r w:rsidRPr="00406019">
        <w:rPr>
          <w:lang w:val="en-NZ"/>
        </w:rPr>
        <w:t>will not be a</w:t>
      </w:r>
      <w:r w:rsidR="00055CD7" w:rsidRPr="00406019">
        <w:rPr>
          <w:lang w:val="en-NZ"/>
        </w:rPr>
        <w:t>ble to recognise a loss under the bright-line test arising from a transfer of property to an associated person.</w:t>
      </w:r>
    </w:p>
    <w:p w:rsidR="006B12FA" w:rsidRPr="00406019" w:rsidRDefault="006B12FA" w:rsidP="006B12FA">
      <w:pPr>
        <w:rPr>
          <w:lang w:val="en-NZ"/>
        </w:rPr>
      </w:pPr>
    </w:p>
    <w:p w:rsidR="00B62C34" w:rsidRPr="00406019" w:rsidRDefault="00B62C34" w:rsidP="002C773A">
      <w:pPr>
        <w:rPr>
          <w:lang w:val="en-NZ"/>
        </w:rPr>
      </w:pPr>
      <w:r w:rsidRPr="00406019">
        <w:rPr>
          <w:lang w:val="en-NZ"/>
        </w:rPr>
        <w:br w:type="page"/>
      </w:r>
    </w:p>
    <w:p w:rsidR="00B62C34" w:rsidRPr="00406019" w:rsidRDefault="00B62C34" w:rsidP="00B62C34">
      <w:pPr>
        <w:pStyle w:val="Heading1"/>
      </w:pPr>
      <w:bookmarkStart w:id="18" w:name="_Toc428169679"/>
      <w:r w:rsidRPr="00406019">
        <w:t>Land-rich companies and trusts</w:t>
      </w:r>
      <w:bookmarkEnd w:id="18"/>
    </w:p>
    <w:p w:rsidR="00B62C34" w:rsidRPr="00406019" w:rsidRDefault="00B62C34" w:rsidP="00B62C34">
      <w:pPr>
        <w:rPr>
          <w:lang w:val="en-NZ"/>
        </w:rPr>
      </w:pPr>
    </w:p>
    <w:p w:rsidR="00B62C34" w:rsidRPr="00406019" w:rsidRDefault="00B62C34" w:rsidP="00B62C34">
      <w:pPr>
        <w:rPr>
          <w:b/>
          <w:i/>
          <w:lang w:val="en-NZ"/>
        </w:rPr>
      </w:pPr>
      <w:r w:rsidRPr="00406019">
        <w:rPr>
          <w:b/>
          <w:i/>
          <w:lang w:val="en-NZ"/>
        </w:rPr>
        <w:t>(Clause 14)</w:t>
      </w:r>
    </w:p>
    <w:p w:rsidR="00B62C34" w:rsidRPr="00406019" w:rsidRDefault="00B62C34" w:rsidP="00B62C34">
      <w:pPr>
        <w:rPr>
          <w:lang w:val="en-NZ"/>
        </w:rPr>
      </w:pPr>
    </w:p>
    <w:p w:rsidR="00E32393" w:rsidRPr="00406019" w:rsidRDefault="00E32393" w:rsidP="00B62C34">
      <w:pPr>
        <w:rPr>
          <w:lang w:val="en-NZ"/>
        </w:rPr>
      </w:pPr>
    </w:p>
    <w:p w:rsidR="00B62C34" w:rsidRPr="00406019" w:rsidRDefault="00B62C34" w:rsidP="00B62C34">
      <w:pPr>
        <w:pStyle w:val="Heading2"/>
        <w:rPr>
          <w:lang w:val="en-NZ"/>
        </w:rPr>
      </w:pPr>
      <w:r w:rsidRPr="00406019">
        <w:rPr>
          <w:lang w:val="en-NZ"/>
        </w:rPr>
        <w:t>Summary of proposed amendment</w:t>
      </w:r>
    </w:p>
    <w:p w:rsidR="00B62C34" w:rsidRPr="00406019" w:rsidRDefault="00B62C34" w:rsidP="00B62C34">
      <w:pPr>
        <w:rPr>
          <w:lang w:val="en-NZ"/>
        </w:rPr>
      </w:pPr>
    </w:p>
    <w:p w:rsidR="000732EC" w:rsidRPr="00406019" w:rsidRDefault="00B62C34" w:rsidP="00B62C34">
      <w:pPr>
        <w:rPr>
          <w:lang w:val="en-NZ"/>
        </w:rPr>
      </w:pPr>
      <w:r w:rsidRPr="00406019">
        <w:rPr>
          <w:lang w:val="en-NZ"/>
        </w:rPr>
        <w:t xml:space="preserve">To address the risk of people using land-rich companies and trusts to circumvent the bright-line </w:t>
      </w:r>
      <w:r w:rsidR="007663D6" w:rsidRPr="00406019">
        <w:rPr>
          <w:lang w:val="en-NZ"/>
        </w:rPr>
        <w:t xml:space="preserve">test, </w:t>
      </w:r>
      <w:r w:rsidRPr="00406019">
        <w:rPr>
          <w:lang w:val="en-NZ"/>
        </w:rPr>
        <w:t xml:space="preserve">a specific anti-avoidance rule </w:t>
      </w:r>
      <w:proofErr w:type="gramStart"/>
      <w:r w:rsidRPr="00406019">
        <w:rPr>
          <w:lang w:val="en-NZ"/>
        </w:rPr>
        <w:t>is proposed</w:t>
      </w:r>
      <w:proofErr w:type="gramEnd"/>
      <w:r w:rsidRPr="00406019">
        <w:rPr>
          <w:lang w:val="en-NZ"/>
        </w:rPr>
        <w:t xml:space="preserve"> in the </w:t>
      </w:r>
      <w:r w:rsidR="00E32A2A" w:rsidRPr="00406019">
        <w:rPr>
          <w:lang w:val="en-NZ"/>
        </w:rPr>
        <w:t>bill</w:t>
      </w:r>
      <w:r w:rsidRPr="00406019">
        <w:rPr>
          <w:lang w:val="en-NZ"/>
        </w:rPr>
        <w:t xml:space="preserve"> that deems disposals of residential land to have occurred when companies and trusts are used to defeat the intent and application of the bright-line test.</w:t>
      </w:r>
    </w:p>
    <w:p w:rsidR="00B62C34" w:rsidRPr="00406019" w:rsidRDefault="00B62C34" w:rsidP="00B62C34">
      <w:pPr>
        <w:rPr>
          <w:lang w:val="en-NZ"/>
        </w:rPr>
      </w:pPr>
    </w:p>
    <w:p w:rsidR="00B62C34" w:rsidRPr="00406019" w:rsidRDefault="00B62C34" w:rsidP="002C773A">
      <w:pPr>
        <w:pStyle w:val="Heading3"/>
        <w:rPr>
          <w:lang w:val="en-NZ"/>
        </w:rPr>
      </w:pPr>
      <w:r w:rsidRPr="00406019">
        <w:rPr>
          <w:lang w:val="en-NZ"/>
        </w:rPr>
        <w:t>Land-rich companies</w:t>
      </w:r>
    </w:p>
    <w:p w:rsidR="00B62C34" w:rsidRPr="00406019" w:rsidRDefault="00B62C34" w:rsidP="00B62C34">
      <w:pPr>
        <w:rPr>
          <w:lang w:val="en-NZ"/>
        </w:rPr>
      </w:pPr>
    </w:p>
    <w:p w:rsidR="00B62C34" w:rsidRPr="00406019" w:rsidRDefault="00B62C34" w:rsidP="00B62C34">
      <w:pPr>
        <w:rPr>
          <w:lang w:val="en-NZ"/>
        </w:rPr>
      </w:pPr>
      <w:r w:rsidRPr="00406019">
        <w:rPr>
          <w:lang w:val="en-NZ"/>
        </w:rPr>
        <w:t xml:space="preserve">The proposed specific anti-avoidance rule for companies deems a shareholder to have disposed of residential land whenever the following three requirements </w:t>
      </w:r>
      <w:proofErr w:type="gramStart"/>
      <w:r w:rsidRPr="00406019">
        <w:rPr>
          <w:lang w:val="en-NZ"/>
        </w:rPr>
        <w:t>are met</w:t>
      </w:r>
      <w:proofErr w:type="gramEnd"/>
      <w:r w:rsidRPr="00406019">
        <w:rPr>
          <w:lang w:val="en-NZ"/>
        </w:rPr>
        <w:t>:</w:t>
      </w:r>
    </w:p>
    <w:p w:rsidR="000732EC" w:rsidRPr="00406019" w:rsidRDefault="000732EC" w:rsidP="00B62C34">
      <w:pPr>
        <w:rPr>
          <w:lang w:val="en-NZ"/>
        </w:rPr>
      </w:pPr>
    </w:p>
    <w:p w:rsidR="00B62C34" w:rsidRPr="00406019" w:rsidRDefault="00B62C34" w:rsidP="00511E52">
      <w:pPr>
        <w:pStyle w:val="Bullets"/>
        <w:rPr>
          <w:lang w:val="en-NZ"/>
        </w:rPr>
      </w:pPr>
      <w:r w:rsidRPr="00406019">
        <w:rPr>
          <w:lang w:val="en-NZ"/>
        </w:rPr>
        <w:t xml:space="preserve">The company is land rich </w:t>
      </w:r>
      <w:r w:rsidR="000732EC" w:rsidRPr="00406019">
        <w:rPr>
          <w:lang w:val="en-NZ"/>
        </w:rPr>
        <w:t>–</w:t>
      </w:r>
      <w:r w:rsidRPr="00406019">
        <w:rPr>
          <w:lang w:val="en-NZ"/>
        </w:rPr>
        <w:t xml:space="preserve"> this </w:t>
      </w:r>
      <w:proofErr w:type="gramStart"/>
      <w:r w:rsidRPr="00406019">
        <w:rPr>
          <w:lang w:val="en-NZ"/>
        </w:rPr>
        <w:t>means at least 50</w:t>
      </w:r>
      <w:r w:rsidR="000732EC" w:rsidRPr="00406019">
        <w:rPr>
          <w:lang w:val="en-NZ"/>
        </w:rPr>
        <w:t xml:space="preserve"> </w:t>
      </w:r>
      <w:proofErr w:type="spellStart"/>
      <w:r w:rsidR="000732EC" w:rsidRPr="00406019">
        <w:rPr>
          <w:lang w:val="en-NZ"/>
        </w:rPr>
        <w:t>percent</w:t>
      </w:r>
      <w:proofErr w:type="spellEnd"/>
      <w:r w:rsidRPr="00406019">
        <w:rPr>
          <w:lang w:val="en-NZ"/>
        </w:rPr>
        <w:t xml:space="preserve"> of the value of the company is attributable to residential property</w:t>
      </w:r>
      <w:proofErr w:type="gramEnd"/>
      <w:r w:rsidRPr="00406019">
        <w:rPr>
          <w:lang w:val="en-NZ"/>
        </w:rPr>
        <w:t>.</w:t>
      </w:r>
    </w:p>
    <w:p w:rsidR="00B62C34" w:rsidRPr="00406019" w:rsidRDefault="00B62C34" w:rsidP="00511E52">
      <w:pPr>
        <w:pStyle w:val="Bullets"/>
        <w:rPr>
          <w:lang w:val="en-NZ"/>
        </w:rPr>
      </w:pPr>
      <w:proofErr w:type="gramStart"/>
      <w:r w:rsidRPr="00406019">
        <w:rPr>
          <w:lang w:val="en-NZ"/>
        </w:rPr>
        <w:t>50</w:t>
      </w:r>
      <w:r w:rsidR="000732EC" w:rsidRPr="00406019">
        <w:rPr>
          <w:lang w:val="en-NZ"/>
        </w:rPr>
        <w:t xml:space="preserve"> </w:t>
      </w:r>
      <w:proofErr w:type="spellStart"/>
      <w:r w:rsidR="000732EC" w:rsidRPr="00406019">
        <w:rPr>
          <w:lang w:val="en-NZ"/>
        </w:rPr>
        <w:t>percent</w:t>
      </w:r>
      <w:proofErr w:type="spellEnd"/>
      <w:proofErr w:type="gramEnd"/>
      <w:r w:rsidRPr="00406019">
        <w:rPr>
          <w:lang w:val="en-NZ"/>
        </w:rPr>
        <w:t xml:space="preserve"> or more of the shares in the company are disposed of within a 12</w:t>
      </w:r>
      <w:r w:rsidR="000732EC" w:rsidRPr="00406019">
        <w:rPr>
          <w:lang w:val="en-NZ"/>
        </w:rPr>
        <w:t>-</w:t>
      </w:r>
      <w:r w:rsidRPr="00406019">
        <w:rPr>
          <w:lang w:val="en-NZ"/>
        </w:rPr>
        <w:t>month period</w:t>
      </w:r>
      <w:r w:rsidR="000732EC" w:rsidRPr="00406019">
        <w:rPr>
          <w:lang w:val="en-NZ"/>
        </w:rPr>
        <w:t>.</w:t>
      </w:r>
    </w:p>
    <w:p w:rsidR="00B62C34" w:rsidRPr="00406019" w:rsidRDefault="00B62C34" w:rsidP="00511E52">
      <w:pPr>
        <w:pStyle w:val="Bullets-last"/>
        <w:rPr>
          <w:lang w:val="en-NZ"/>
        </w:rPr>
      </w:pPr>
      <w:r w:rsidRPr="00406019">
        <w:rPr>
          <w:lang w:val="en-NZ"/>
        </w:rPr>
        <w:t>The disposal of shares had a purpose or effect of defeating the intent and application of the bright-line test</w:t>
      </w:r>
      <w:r w:rsidR="000732EC" w:rsidRPr="00406019">
        <w:rPr>
          <w:lang w:val="en-NZ"/>
        </w:rPr>
        <w:t>.</w:t>
      </w:r>
    </w:p>
    <w:p w:rsidR="00B62C34" w:rsidRPr="00406019" w:rsidRDefault="00B62C34" w:rsidP="00B62C34">
      <w:pPr>
        <w:rPr>
          <w:lang w:val="en-NZ"/>
        </w:rPr>
      </w:pPr>
    </w:p>
    <w:p w:rsidR="00B62C34" w:rsidRPr="00406019" w:rsidRDefault="00B62C34" w:rsidP="00220A61">
      <w:pPr>
        <w:pStyle w:val="Heading4"/>
        <w:rPr>
          <w:lang w:val="en-NZ"/>
        </w:rPr>
      </w:pPr>
      <w:r w:rsidRPr="00406019">
        <w:rPr>
          <w:lang w:val="en-NZ"/>
        </w:rPr>
        <w:t>Definition of land-rich company</w:t>
      </w:r>
    </w:p>
    <w:p w:rsidR="00B62C34" w:rsidRPr="00406019" w:rsidRDefault="00B62C34" w:rsidP="00B62C34">
      <w:pPr>
        <w:rPr>
          <w:lang w:val="en-NZ"/>
        </w:rPr>
      </w:pPr>
    </w:p>
    <w:p w:rsidR="00B62C34" w:rsidRPr="00406019" w:rsidRDefault="00B62C34" w:rsidP="00B62C34">
      <w:pPr>
        <w:rPr>
          <w:lang w:val="en-NZ"/>
        </w:rPr>
      </w:pPr>
      <w:r w:rsidRPr="00406019">
        <w:rPr>
          <w:lang w:val="en-NZ"/>
        </w:rPr>
        <w:t xml:space="preserve">A </w:t>
      </w:r>
      <w:r w:rsidR="00FA7FA3" w:rsidRPr="00406019">
        <w:rPr>
          <w:lang w:val="en-NZ"/>
        </w:rPr>
        <w:t>“</w:t>
      </w:r>
      <w:r w:rsidRPr="00406019">
        <w:rPr>
          <w:lang w:val="en-NZ"/>
        </w:rPr>
        <w:t>land</w:t>
      </w:r>
      <w:r w:rsidR="00FA7FA3" w:rsidRPr="00406019">
        <w:rPr>
          <w:lang w:val="en-NZ"/>
        </w:rPr>
        <w:t>-</w:t>
      </w:r>
      <w:r w:rsidRPr="00406019">
        <w:rPr>
          <w:lang w:val="en-NZ"/>
        </w:rPr>
        <w:t>rich</w:t>
      </w:r>
      <w:r w:rsidR="00FA7FA3" w:rsidRPr="00406019">
        <w:rPr>
          <w:lang w:val="en-NZ"/>
        </w:rPr>
        <w:t>”</w:t>
      </w:r>
      <w:r w:rsidRPr="00406019">
        <w:rPr>
          <w:lang w:val="en-NZ"/>
        </w:rPr>
        <w:t xml:space="preserve"> company is </w:t>
      </w:r>
      <w:r w:rsidR="00FA7FA3" w:rsidRPr="00406019">
        <w:rPr>
          <w:lang w:val="en-NZ"/>
        </w:rPr>
        <w:t xml:space="preserve">one </w:t>
      </w:r>
      <w:r w:rsidRPr="00406019">
        <w:rPr>
          <w:lang w:val="en-NZ"/>
        </w:rPr>
        <w:t>where at least 50</w:t>
      </w:r>
      <w:r w:rsidR="00FA7FA3" w:rsidRPr="00406019">
        <w:rPr>
          <w:lang w:val="en-NZ"/>
        </w:rPr>
        <w:t xml:space="preserve"> </w:t>
      </w:r>
      <w:proofErr w:type="spellStart"/>
      <w:r w:rsidR="00FA7FA3" w:rsidRPr="00406019">
        <w:rPr>
          <w:lang w:val="en-NZ"/>
        </w:rPr>
        <w:t>percent</w:t>
      </w:r>
      <w:proofErr w:type="spellEnd"/>
      <w:r w:rsidRPr="00406019">
        <w:rPr>
          <w:lang w:val="en-NZ"/>
        </w:rPr>
        <w:t xml:space="preserve"> of the value of the company is attributable to residential land either directly or indirectly</w:t>
      </w:r>
      <w:r w:rsidR="00021CFC" w:rsidRPr="00406019">
        <w:rPr>
          <w:lang w:val="en-NZ"/>
        </w:rPr>
        <w:t xml:space="preserve">.  </w:t>
      </w:r>
      <w:r w:rsidRPr="00406019">
        <w:rPr>
          <w:lang w:val="en-NZ"/>
        </w:rPr>
        <w:t xml:space="preserve">This </w:t>
      </w:r>
      <w:proofErr w:type="gramStart"/>
      <w:r w:rsidRPr="00406019">
        <w:rPr>
          <w:lang w:val="en-NZ"/>
        </w:rPr>
        <w:t>is intended</w:t>
      </w:r>
      <w:proofErr w:type="gramEnd"/>
      <w:r w:rsidRPr="00406019">
        <w:rPr>
          <w:lang w:val="en-NZ"/>
        </w:rPr>
        <w:t xml:space="preserve"> to mirror similar provisions contained in </w:t>
      </w:r>
      <w:r w:rsidR="00FA7FA3" w:rsidRPr="00406019">
        <w:rPr>
          <w:lang w:val="en-NZ"/>
        </w:rPr>
        <w:t>international d</w:t>
      </w:r>
      <w:r w:rsidRPr="00406019">
        <w:rPr>
          <w:lang w:val="en-NZ"/>
        </w:rPr>
        <w:t xml:space="preserve">ouble </w:t>
      </w:r>
      <w:r w:rsidR="00FA7FA3" w:rsidRPr="00406019">
        <w:rPr>
          <w:lang w:val="en-NZ"/>
        </w:rPr>
        <w:t>t</w:t>
      </w:r>
      <w:r w:rsidRPr="00406019">
        <w:rPr>
          <w:lang w:val="en-NZ"/>
        </w:rPr>
        <w:t xml:space="preserve">ax </w:t>
      </w:r>
      <w:r w:rsidR="00FA7FA3" w:rsidRPr="00406019">
        <w:rPr>
          <w:lang w:val="en-NZ"/>
        </w:rPr>
        <w:t>a</w:t>
      </w:r>
      <w:r w:rsidRPr="00406019">
        <w:rPr>
          <w:lang w:val="en-NZ"/>
        </w:rPr>
        <w:t>greements</w:t>
      </w:r>
      <w:r w:rsidR="00021CFC" w:rsidRPr="00406019">
        <w:rPr>
          <w:lang w:val="en-NZ"/>
        </w:rPr>
        <w:t xml:space="preserve">.  </w:t>
      </w:r>
      <w:r w:rsidRPr="00406019">
        <w:rPr>
          <w:lang w:val="en-NZ"/>
        </w:rPr>
        <w:t>Residential land can be attributable to a company either through the company owning the residential land in its own name or holding share</w:t>
      </w:r>
      <w:r w:rsidR="00D00DFF" w:rsidRPr="00406019">
        <w:rPr>
          <w:lang w:val="en-NZ"/>
        </w:rPr>
        <w:t>s in another land-rich company.</w:t>
      </w:r>
    </w:p>
    <w:p w:rsidR="00B62C34" w:rsidRPr="00406019" w:rsidRDefault="00B62C34" w:rsidP="00B62C34">
      <w:pPr>
        <w:rPr>
          <w:lang w:val="en-NZ"/>
        </w:rPr>
      </w:pPr>
    </w:p>
    <w:p w:rsidR="00B62C34" w:rsidRPr="00406019" w:rsidRDefault="00B62C34" w:rsidP="00220A61">
      <w:pPr>
        <w:pStyle w:val="Heading3"/>
        <w:rPr>
          <w:lang w:val="en-NZ"/>
        </w:rPr>
      </w:pPr>
      <w:r w:rsidRPr="00406019">
        <w:rPr>
          <w:lang w:val="en-NZ"/>
        </w:rPr>
        <w:t>Purpose or effect of defeating the intent and application of the bright-line test</w:t>
      </w:r>
    </w:p>
    <w:p w:rsidR="00B62C34" w:rsidRPr="00406019" w:rsidRDefault="00B62C34" w:rsidP="00B62C34">
      <w:pPr>
        <w:rPr>
          <w:lang w:val="en-NZ"/>
        </w:rPr>
      </w:pPr>
    </w:p>
    <w:p w:rsidR="00B62C34" w:rsidRPr="00406019" w:rsidRDefault="00B62C34" w:rsidP="00B62C34">
      <w:pPr>
        <w:rPr>
          <w:lang w:val="en-NZ"/>
        </w:rPr>
      </w:pPr>
      <w:r w:rsidRPr="00406019">
        <w:rPr>
          <w:lang w:val="en-NZ"/>
        </w:rPr>
        <w:t xml:space="preserve">This provision </w:t>
      </w:r>
      <w:proofErr w:type="gramStart"/>
      <w:r w:rsidRPr="00406019">
        <w:rPr>
          <w:lang w:val="en-NZ"/>
        </w:rPr>
        <w:t>is intended</w:t>
      </w:r>
      <w:proofErr w:type="gramEnd"/>
      <w:r w:rsidRPr="00406019">
        <w:rPr>
          <w:lang w:val="en-NZ"/>
        </w:rPr>
        <w:t xml:space="preserve"> to align with other specific anti-avoidance rule</w:t>
      </w:r>
      <w:r w:rsidR="00FA7FA3" w:rsidRPr="00406019">
        <w:rPr>
          <w:lang w:val="en-NZ"/>
        </w:rPr>
        <w:t>s</w:t>
      </w:r>
      <w:r w:rsidRPr="00406019">
        <w:rPr>
          <w:lang w:val="en-NZ"/>
        </w:rPr>
        <w:t xml:space="preserve"> contained in the Income Tax Act 2007</w:t>
      </w:r>
      <w:r w:rsidR="00FA7FA3" w:rsidRPr="00406019">
        <w:rPr>
          <w:lang w:val="en-NZ"/>
        </w:rPr>
        <w:t>.</w:t>
      </w:r>
      <w:r w:rsidRPr="00406019">
        <w:rPr>
          <w:rStyle w:val="FootnoteReference"/>
          <w:lang w:val="en-NZ"/>
        </w:rPr>
        <w:footnoteReference w:id="3"/>
      </w:r>
    </w:p>
    <w:p w:rsidR="00B62C34" w:rsidRPr="00406019" w:rsidRDefault="00B62C34" w:rsidP="00B62C34">
      <w:pPr>
        <w:rPr>
          <w:lang w:val="en-NZ"/>
        </w:rPr>
      </w:pPr>
    </w:p>
    <w:p w:rsidR="00B62C34" w:rsidRPr="00406019" w:rsidRDefault="00B62C34" w:rsidP="00B62C34">
      <w:pPr>
        <w:rPr>
          <w:lang w:val="en-NZ"/>
        </w:rPr>
      </w:pPr>
      <w:r w:rsidRPr="00406019">
        <w:rPr>
          <w:lang w:val="en-NZ"/>
        </w:rPr>
        <w:t xml:space="preserve">As with other specific anti-avoidance rules, principles from the general anti-avoidance rule </w:t>
      </w:r>
      <w:proofErr w:type="gramStart"/>
      <w:r w:rsidRPr="00406019">
        <w:rPr>
          <w:lang w:val="en-NZ"/>
        </w:rPr>
        <w:t>are intended</w:t>
      </w:r>
      <w:proofErr w:type="gramEnd"/>
      <w:r w:rsidRPr="00406019">
        <w:rPr>
          <w:lang w:val="en-NZ"/>
        </w:rPr>
        <w:t xml:space="preserve"> to apply to this specific anti-avoidance rule</w:t>
      </w:r>
      <w:r w:rsidR="00021CFC" w:rsidRPr="00406019">
        <w:rPr>
          <w:lang w:val="en-NZ"/>
        </w:rPr>
        <w:t xml:space="preserve">.  </w:t>
      </w:r>
      <w:r w:rsidRPr="00406019">
        <w:rPr>
          <w:lang w:val="en-NZ"/>
        </w:rPr>
        <w:t>This means that when determining whether a disposal of shares has “a purpose or effect of defeating the intent and application of the bright-line test” the principles outlined in the general anti-avoidance cases should apply</w:t>
      </w:r>
      <w:r w:rsidR="00FA7FA3" w:rsidRPr="00406019">
        <w:rPr>
          <w:lang w:val="en-NZ"/>
        </w:rPr>
        <w:t>.</w:t>
      </w:r>
      <w:r w:rsidRPr="00406019">
        <w:rPr>
          <w:rStyle w:val="FootnoteReference"/>
          <w:lang w:val="en-NZ"/>
        </w:rPr>
        <w:footnoteReference w:id="4"/>
      </w:r>
    </w:p>
    <w:p w:rsidR="00E32393" w:rsidRPr="00406019" w:rsidRDefault="00E32393" w:rsidP="002C773A">
      <w:pPr>
        <w:rPr>
          <w:lang w:val="en-NZ"/>
        </w:rPr>
      </w:pPr>
      <w:r w:rsidRPr="00406019">
        <w:rPr>
          <w:lang w:val="en-NZ"/>
        </w:rPr>
        <w:br w:type="page"/>
      </w:r>
    </w:p>
    <w:p w:rsidR="00B62C34" w:rsidRPr="00406019" w:rsidRDefault="00B62C34" w:rsidP="00B62C34">
      <w:pPr>
        <w:rPr>
          <w:lang w:val="en-NZ"/>
        </w:rPr>
      </w:pPr>
      <w:r w:rsidRPr="00406019">
        <w:rPr>
          <w:lang w:val="en-NZ"/>
        </w:rPr>
        <w:t>In particular, in determining whether there is a purpose or effect of defeating the intent and application of the bright</w:t>
      </w:r>
      <w:r w:rsidR="00FA7FA3" w:rsidRPr="00406019">
        <w:rPr>
          <w:lang w:val="en-NZ"/>
        </w:rPr>
        <w:t>-</w:t>
      </w:r>
      <w:r w:rsidRPr="00406019">
        <w:rPr>
          <w:lang w:val="en-NZ"/>
        </w:rPr>
        <w:t xml:space="preserve">line test it </w:t>
      </w:r>
      <w:proofErr w:type="gramStart"/>
      <w:r w:rsidRPr="00406019">
        <w:rPr>
          <w:lang w:val="en-NZ"/>
        </w:rPr>
        <w:t>is intended</w:t>
      </w:r>
      <w:proofErr w:type="gramEnd"/>
      <w:r w:rsidRPr="00406019">
        <w:rPr>
          <w:lang w:val="en-NZ"/>
        </w:rPr>
        <w:t xml:space="preserve"> that the key question be whether the disposal of shares, viewed in a commercially and economically realistic way, makes use of the bright-line test provisions in a manner that is consistent with Parliament’s </w:t>
      </w:r>
      <w:r w:rsidR="007663D6" w:rsidRPr="00406019">
        <w:rPr>
          <w:lang w:val="en-NZ"/>
        </w:rPr>
        <w:t>contemplation</w:t>
      </w:r>
      <w:r w:rsidR="00443EB9" w:rsidRPr="00406019">
        <w:rPr>
          <w:lang w:val="en-NZ"/>
        </w:rPr>
        <w:t>.</w:t>
      </w:r>
    </w:p>
    <w:p w:rsidR="00B62C34" w:rsidRPr="00406019" w:rsidRDefault="00B62C34" w:rsidP="00B62C34">
      <w:pPr>
        <w:rPr>
          <w:lang w:val="en-NZ"/>
        </w:rPr>
      </w:pPr>
    </w:p>
    <w:p w:rsidR="00B62C34" w:rsidRPr="00406019" w:rsidRDefault="00B62C34" w:rsidP="00220A61">
      <w:pPr>
        <w:pStyle w:val="Heading3"/>
        <w:rPr>
          <w:lang w:val="en-NZ"/>
        </w:rPr>
      </w:pPr>
      <w:r w:rsidRPr="00406019">
        <w:rPr>
          <w:lang w:val="en-NZ"/>
        </w:rPr>
        <w:t>Land-rich trusts</w:t>
      </w:r>
    </w:p>
    <w:p w:rsidR="00B62C34" w:rsidRPr="00406019" w:rsidRDefault="00B62C34" w:rsidP="00B62C34">
      <w:pPr>
        <w:rPr>
          <w:lang w:val="en-NZ"/>
        </w:rPr>
      </w:pPr>
    </w:p>
    <w:p w:rsidR="00B62C34" w:rsidRPr="00406019" w:rsidRDefault="00B62C34" w:rsidP="00B62C34">
      <w:pPr>
        <w:rPr>
          <w:lang w:val="en-NZ"/>
        </w:rPr>
      </w:pPr>
      <w:r w:rsidRPr="00406019">
        <w:rPr>
          <w:lang w:val="en-NZ"/>
        </w:rPr>
        <w:t xml:space="preserve">The proposed specific anti-avoidance rule for trusts deems a trustee to have disposed of residential land whenever all three of the following requirements </w:t>
      </w:r>
      <w:proofErr w:type="gramStart"/>
      <w:r w:rsidRPr="00406019">
        <w:rPr>
          <w:lang w:val="en-NZ"/>
        </w:rPr>
        <w:t>are met</w:t>
      </w:r>
      <w:proofErr w:type="gramEnd"/>
      <w:r w:rsidRPr="00406019">
        <w:rPr>
          <w:lang w:val="en-NZ"/>
        </w:rPr>
        <w:t>:</w:t>
      </w:r>
    </w:p>
    <w:p w:rsidR="00FA7FA3" w:rsidRPr="00406019" w:rsidRDefault="00FA7FA3" w:rsidP="00B62C34">
      <w:pPr>
        <w:rPr>
          <w:lang w:val="en-NZ"/>
        </w:rPr>
      </w:pPr>
    </w:p>
    <w:p w:rsidR="00B62C34" w:rsidRPr="00406019" w:rsidRDefault="00B62C34" w:rsidP="00511E52">
      <w:pPr>
        <w:pStyle w:val="Bullets"/>
        <w:rPr>
          <w:lang w:val="en-NZ"/>
        </w:rPr>
      </w:pPr>
      <w:r w:rsidRPr="00406019">
        <w:rPr>
          <w:lang w:val="en-NZ"/>
        </w:rPr>
        <w:t xml:space="preserve">The trust is land-rich </w:t>
      </w:r>
      <w:r w:rsidR="00FA7FA3" w:rsidRPr="00406019">
        <w:rPr>
          <w:lang w:val="en-NZ"/>
        </w:rPr>
        <w:t>–</w:t>
      </w:r>
      <w:r w:rsidRPr="00406019">
        <w:rPr>
          <w:lang w:val="en-NZ"/>
        </w:rPr>
        <w:t xml:space="preserve"> this means that at least 50</w:t>
      </w:r>
      <w:r w:rsidR="00FA7FA3" w:rsidRPr="00406019">
        <w:rPr>
          <w:lang w:val="en-NZ"/>
        </w:rPr>
        <w:t xml:space="preserve"> </w:t>
      </w:r>
      <w:proofErr w:type="spellStart"/>
      <w:r w:rsidR="00FA7FA3" w:rsidRPr="00406019">
        <w:rPr>
          <w:lang w:val="en-NZ"/>
        </w:rPr>
        <w:t>percent</w:t>
      </w:r>
      <w:proofErr w:type="spellEnd"/>
      <w:r w:rsidRPr="00406019">
        <w:rPr>
          <w:lang w:val="en-NZ"/>
        </w:rPr>
        <w:t xml:space="preserve"> of the value of the trust is attributable to residential land.</w:t>
      </w:r>
    </w:p>
    <w:p w:rsidR="00B62C34" w:rsidRPr="00406019" w:rsidRDefault="00E32A2A" w:rsidP="00511E52">
      <w:pPr>
        <w:pStyle w:val="Bullets"/>
        <w:rPr>
          <w:lang w:val="en-NZ"/>
        </w:rPr>
      </w:pPr>
      <w:r w:rsidRPr="00406019">
        <w:rPr>
          <w:lang w:val="en-NZ"/>
        </w:rPr>
        <w:t>And</w:t>
      </w:r>
      <w:r w:rsidR="00B62C34" w:rsidRPr="00406019">
        <w:rPr>
          <w:lang w:val="en-NZ"/>
        </w:rPr>
        <w:t>:</w:t>
      </w:r>
    </w:p>
    <w:p w:rsidR="00B62C34" w:rsidRPr="00406019" w:rsidRDefault="00FA7FA3" w:rsidP="00511E52">
      <w:pPr>
        <w:numPr>
          <w:ilvl w:val="1"/>
          <w:numId w:val="1"/>
        </w:numPr>
        <w:spacing w:after="80"/>
        <w:ind w:left="1134" w:hanging="567"/>
        <w:rPr>
          <w:lang w:val="en-NZ"/>
        </w:rPr>
      </w:pPr>
      <w:r w:rsidRPr="00406019">
        <w:rPr>
          <w:lang w:val="en-NZ"/>
        </w:rPr>
        <w:t>t</w:t>
      </w:r>
      <w:r w:rsidR="00B62C34" w:rsidRPr="00406019">
        <w:rPr>
          <w:lang w:val="en-NZ"/>
        </w:rPr>
        <w:t>he trust deed changes</w:t>
      </w:r>
      <w:r w:rsidR="007663D6" w:rsidRPr="00406019">
        <w:rPr>
          <w:lang w:val="en-NZ"/>
        </w:rPr>
        <w:t>; or</w:t>
      </w:r>
    </w:p>
    <w:p w:rsidR="00511E52" w:rsidRPr="00406019" w:rsidRDefault="00FA7FA3" w:rsidP="00511E52">
      <w:pPr>
        <w:numPr>
          <w:ilvl w:val="1"/>
          <w:numId w:val="1"/>
        </w:numPr>
        <w:spacing w:after="80"/>
        <w:ind w:left="1134" w:hanging="567"/>
        <w:rPr>
          <w:lang w:val="en-NZ"/>
        </w:rPr>
      </w:pPr>
      <w:r w:rsidRPr="00406019">
        <w:rPr>
          <w:lang w:val="en-NZ"/>
        </w:rPr>
        <w:t>a</w:t>
      </w:r>
      <w:r w:rsidR="00B62C34" w:rsidRPr="00406019">
        <w:rPr>
          <w:lang w:val="en-NZ"/>
        </w:rPr>
        <w:t xml:space="preserve"> decision-maker under the trust deed changes</w:t>
      </w:r>
      <w:r w:rsidR="007663D6" w:rsidRPr="00406019">
        <w:rPr>
          <w:lang w:val="en-NZ"/>
        </w:rPr>
        <w:t>; or</w:t>
      </w:r>
    </w:p>
    <w:p w:rsidR="00B62C34" w:rsidRPr="00406019" w:rsidRDefault="00FA7FA3" w:rsidP="00511E52">
      <w:pPr>
        <w:numPr>
          <w:ilvl w:val="1"/>
          <w:numId w:val="1"/>
        </w:numPr>
        <w:spacing w:after="140"/>
        <w:ind w:left="1134" w:hanging="567"/>
        <w:rPr>
          <w:lang w:val="en-NZ"/>
        </w:rPr>
      </w:pPr>
      <w:r w:rsidRPr="00406019">
        <w:rPr>
          <w:lang w:val="en-NZ"/>
        </w:rPr>
        <w:t>a</w:t>
      </w:r>
      <w:r w:rsidR="00B62C34" w:rsidRPr="00406019">
        <w:rPr>
          <w:lang w:val="en-NZ"/>
        </w:rPr>
        <w:t>n arrangement under the trust changes</w:t>
      </w:r>
    </w:p>
    <w:p w:rsidR="00B62C34" w:rsidRPr="00406019" w:rsidRDefault="00B62C34" w:rsidP="00511E52">
      <w:pPr>
        <w:pStyle w:val="Bullets-last"/>
        <w:rPr>
          <w:lang w:val="en-NZ"/>
        </w:rPr>
      </w:pPr>
      <w:r w:rsidRPr="00406019">
        <w:rPr>
          <w:lang w:val="en-NZ"/>
        </w:rPr>
        <w:t xml:space="preserve">The action in (b) </w:t>
      </w:r>
      <w:proofErr w:type="gramStart"/>
      <w:r w:rsidRPr="00406019">
        <w:rPr>
          <w:lang w:val="en-NZ"/>
        </w:rPr>
        <w:t>was done</w:t>
      </w:r>
      <w:proofErr w:type="gramEnd"/>
      <w:r w:rsidRPr="00406019">
        <w:rPr>
          <w:lang w:val="en-NZ"/>
        </w:rPr>
        <w:t xml:space="preserve"> with a purpose or effect of defeating the intent and application of the bright-line test.</w:t>
      </w:r>
    </w:p>
    <w:p w:rsidR="00B62C34" w:rsidRPr="00406019" w:rsidRDefault="00B62C34" w:rsidP="00B62C34">
      <w:pPr>
        <w:rPr>
          <w:lang w:val="en-NZ"/>
        </w:rPr>
      </w:pPr>
    </w:p>
    <w:p w:rsidR="00B62C34" w:rsidRPr="00406019" w:rsidRDefault="00B62C34" w:rsidP="00B62C34">
      <w:pPr>
        <w:rPr>
          <w:lang w:val="en-NZ"/>
        </w:rPr>
      </w:pPr>
      <w:r w:rsidRPr="00406019">
        <w:rPr>
          <w:lang w:val="en-NZ"/>
        </w:rPr>
        <w:t>The same considerations as for land-rich companies apply in determining whether the trust is land-rich and whether there was a purpose or effect of defeating the intent and application of the bright-line</w:t>
      </w:r>
      <w:r w:rsidR="00FF1FE9" w:rsidRPr="00406019">
        <w:rPr>
          <w:lang w:val="en-NZ"/>
        </w:rPr>
        <w:t xml:space="preserve"> test</w:t>
      </w:r>
      <w:r w:rsidRPr="00406019">
        <w:rPr>
          <w:lang w:val="en-NZ"/>
        </w:rPr>
        <w:t>.</w:t>
      </w:r>
    </w:p>
    <w:p w:rsidR="004F5D4C" w:rsidRPr="00406019" w:rsidRDefault="004F5D4C" w:rsidP="00D93BF7">
      <w:pPr>
        <w:rPr>
          <w:lang w:val="en-NZ"/>
        </w:rPr>
      </w:pPr>
    </w:p>
    <w:bookmarkEnd w:id="6"/>
    <w:p w:rsidR="00C338D9" w:rsidRPr="00406019" w:rsidRDefault="00C338D9">
      <w:pPr>
        <w:jc w:val="left"/>
        <w:rPr>
          <w:lang w:val="en-NZ"/>
        </w:rPr>
      </w:pPr>
      <w:r w:rsidRPr="00406019">
        <w:rPr>
          <w:lang w:val="en-NZ"/>
        </w:rPr>
        <w:br w:type="page"/>
      </w:r>
    </w:p>
    <w:p w:rsidR="00F3348B" w:rsidRPr="00406019" w:rsidRDefault="00F3348B">
      <w:pPr>
        <w:jc w:val="left"/>
        <w:rPr>
          <w:lang w:val="en-NZ"/>
        </w:rPr>
      </w:pPr>
    </w:p>
    <w:p w:rsidR="00F3348B" w:rsidRPr="00406019" w:rsidRDefault="00F3348B">
      <w:pPr>
        <w:jc w:val="left"/>
        <w:rPr>
          <w:lang w:val="en-NZ"/>
        </w:rPr>
        <w:sectPr w:rsidR="00F3348B" w:rsidRPr="00406019" w:rsidSect="00C338D9">
          <w:footerReference w:type="default" r:id="rId17"/>
          <w:pgSz w:w="11906" w:h="16838" w:code="9"/>
          <w:pgMar w:top="1304" w:right="1797" w:bottom="1134" w:left="1797" w:header="720" w:footer="567" w:gutter="0"/>
          <w:pgNumType w:start="1"/>
          <w:cols w:space="720"/>
          <w:docGrid w:linePitch="326"/>
        </w:sectPr>
      </w:pPr>
    </w:p>
    <w:p w:rsidR="00F3348B" w:rsidRPr="00406019" w:rsidRDefault="00F3348B">
      <w:pPr>
        <w:jc w:val="left"/>
        <w:rPr>
          <w:lang w:val="en-NZ"/>
        </w:rPr>
      </w:pPr>
    </w:p>
    <w:p w:rsidR="004F5D4C" w:rsidRPr="00406019" w:rsidRDefault="004F5D4C" w:rsidP="00D93BF7">
      <w:pPr>
        <w:rPr>
          <w:lang w:val="en-NZ"/>
        </w:rPr>
      </w:pPr>
    </w:p>
    <w:p w:rsidR="004F5D4C" w:rsidRPr="00406019" w:rsidRDefault="004F5D4C">
      <w:pPr>
        <w:rPr>
          <w:lang w:val="en-NZ"/>
        </w:rPr>
      </w:pPr>
    </w:p>
    <w:p w:rsidR="004F5D4C" w:rsidRPr="00406019" w:rsidRDefault="004F5D4C">
      <w:pPr>
        <w:rPr>
          <w:lang w:val="en-NZ"/>
        </w:rPr>
      </w:pPr>
    </w:p>
    <w:p w:rsidR="004F5D4C" w:rsidRPr="00406019" w:rsidRDefault="004F5D4C">
      <w:pPr>
        <w:rPr>
          <w:lang w:val="en-NZ"/>
        </w:rPr>
      </w:pPr>
    </w:p>
    <w:p w:rsidR="004F5D4C" w:rsidRPr="00406019" w:rsidRDefault="004F5D4C">
      <w:pPr>
        <w:rPr>
          <w:lang w:val="en-NZ"/>
        </w:rPr>
      </w:pPr>
    </w:p>
    <w:p w:rsidR="004F5D4C" w:rsidRPr="00406019" w:rsidRDefault="004F5D4C">
      <w:pPr>
        <w:rPr>
          <w:lang w:val="en-NZ"/>
        </w:rPr>
      </w:pPr>
    </w:p>
    <w:p w:rsidR="004F5D4C" w:rsidRPr="00406019" w:rsidRDefault="004F5D4C">
      <w:pPr>
        <w:rPr>
          <w:lang w:val="en-NZ"/>
        </w:rPr>
      </w:pPr>
    </w:p>
    <w:p w:rsidR="004F5D4C" w:rsidRPr="00406019" w:rsidRDefault="004F5D4C">
      <w:pPr>
        <w:rPr>
          <w:lang w:val="en-NZ"/>
        </w:rPr>
      </w:pPr>
    </w:p>
    <w:p w:rsidR="005A32D9" w:rsidRPr="00406019" w:rsidRDefault="005A32D9">
      <w:pPr>
        <w:rPr>
          <w:lang w:val="en-NZ"/>
        </w:rPr>
      </w:pPr>
    </w:p>
    <w:p w:rsidR="005A32D9" w:rsidRPr="00406019" w:rsidRDefault="005A32D9">
      <w:pPr>
        <w:rPr>
          <w:lang w:val="en-NZ"/>
        </w:rPr>
      </w:pPr>
    </w:p>
    <w:p w:rsidR="005A32D9" w:rsidRPr="00406019" w:rsidRDefault="005A32D9">
      <w:pPr>
        <w:rPr>
          <w:lang w:val="en-NZ"/>
        </w:rPr>
      </w:pPr>
    </w:p>
    <w:p w:rsidR="005A32D9" w:rsidRPr="00406019" w:rsidRDefault="005A32D9">
      <w:pPr>
        <w:rPr>
          <w:lang w:val="en-NZ"/>
        </w:rPr>
      </w:pPr>
    </w:p>
    <w:p w:rsidR="005A32D9" w:rsidRPr="00406019" w:rsidRDefault="005A32D9">
      <w:pPr>
        <w:rPr>
          <w:lang w:val="en-NZ"/>
        </w:rPr>
      </w:pPr>
    </w:p>
    <w:p w:rsidR="004F5D4C" w:rsidRPr="00406019" w:rsidRDefault="006B12FA">
      <w:pPr>
        <w:pStyle w:val="PartHeading"/>
      </w:pPr>
      <w:bookmarkStart w:id="19" w:name="_Toc428169680"/>
      <w:r w:rsidRPr="00406019">
        <w:rPr>
          <w:caps w:val="0"/>
        </w:rPr>
        <w:t>Consequential and remedial amendments</w:t>
      </w:r>
      <w:bookmarkEnd w:id="19"/>
    </w:p>
    <w:p w:rsidR="004F5D4C" w:rsidRPr="00406019" w:rsidRDefault="004F5D4C" w:rsidP="003A058A">
      <w:pPr>
        <w:rPr>
          <w:lang w:val="en-NZ"/>
        </w:rPr>
      </w:pPr>
    </w:p>
    <w:bookmarkEnd w:id="4"/>
    <w:p w:rsidR="00B11A30" w:rsidRPr="00406019" w:rsidRDefault="00B11A30" w:rsidP="002C773A">
      <w:pPr>
        <w:rPr>
          <w:lang w:val="en-NZ"/>
        </w:rPr>
      </w:pPr>
    </w:p>
    <w:p w:rsidR="00F3348B" w:rsidRPr="00406019" w:rsidRDefault="00F3348B">
      <w:pPr>
        <w:jc w:val="left"/>
        <w:rPr>
          <w:lang w:val="en-NZ"/>
        </w:rPr>
      </w:pPr>
      <w:r w:rsidRPr="00406019">
        <w:rPr>
          <w:lang w:val="en-NZ"/>
        </w:rPr>
        <w:br w:type="page"/>
      </w:r>
    </w:p>
    <w:p w:rsidR="00C338D9" w:rsidRPr="00406019" w:rsidRDefault="00C338D9" w:rsidP="00C338D9">
      <w:pPr>
        <w:rPr>
          <w:lang w:val="en-NZ"/>
        </w:rPr>
      </w:pPr>
      <w:r w:rsidRPr="00406019">
        <w:rPr>
          <w:lang w:val="en-NZ"/>
        </w:rPr>
        <w:br w:type="page"/>
      </w:r>
    </w:p>
    <w:p w:rsidR="005013A5" w:rsidRPr="00406019" w:rsidRDefault="005013A5" w:rsidP="005013A5">
      <w:pPr>
        <w:pStyle w:val="Heading1"/>
      </w:pPr>
      <w:bookmarkStart w:id="20" w:name="_Toc428169681"/>
      <w:r w:rsidRPr="00406019">
        <w:t xml:space="preserve">Definition of </w:t>
      </w:r>
      <w:r w:rsidR="00FF1FE9" w:rsidRPr="00406019">
        <w:t>“</w:t>
      </w:r>
      <w:r w:rsidRPr="00406019">
        <w:t>land</w:t>
      </w:r>
      <w:r w:rsidR="00FF1FE9" w:rsidRPr="00406019">
        <w:t>”</w:t>
      </w:r>
      <w:bookmarkEnd w:id="20"/>
    </w:p>
    <w:p w:rsidR="005013A5" w:rsidRPr="00406019" w:rsidRDefault="005013A5" w:rsidP="005013A5">
      <w:pPr>
        <w:rPr>
          <w:lang w:val="en-NZ"/>
        </w:rPr>
      </w:pPr>
    </w:p>
    <w:p w:rsidR="005013A5" w:rsidRPr="00406019" w:rsidRDefault="00DE7484" w:rsidP="005013A5">
      <w:pPr>
        <w:rPr>
          <w:b/>
          <w:i/>
          <w:lang w:val="en-NZ"/>
        </w:rPr>
      </w:pPr>
      <w:r w:rsidRPr="00406019">
        <w:rPr>
          <w:b/>
          <w:i/>
          <w:lang w:val="en-NZ"/>
        </w:rPr>
        <w:t>(Clause</w:t>
      </w:r>
      <w:r w:rsidR="005013A5" w:rsidRPr="00406019">
        <w:rPr>
          <w:b/>
          <w:i/>
          <w:lang w:val="en-NZ"/>
        </w:rPr>
        <w:t xml:space="preserve"> </w:t>
      </w:r>
      <w:r w:rsidRPr="00406019">
        <w:rPr>
          <w:b/>
          <w:i/>
          <w:lang w:val="en-NZ"/>
        </w:rPr>
        <w:t>15(6)</w:t>
      </w:r>
      <w:r w:rsidR="00D97DCA" w:rsidRPr="00406019">
        <w:rPr>
          <w:b/>
          <w:i/>
          <w:lang w:val="en-NZ"/>
        </w:rPr>
        <w:t xml:space="preserve"> and</w:t>
      </w:r>
      <w:r w:rsidR="00E22722" w:rsidRPr="00406019">
        <w:rPr>
          <w:b/>
          <w:i/>
          <w:lang w:val="en-NZ"/>
        </w:rPr>
        <w:t xml:space="preserve"> </w:t>
      </w:r>
      <w:r w:rsidRPr="00406019">
        <w:rPr>
          <w:b/>
          <w:i/>
          <w:lang w:val="en-NZ"/>
        </w:rPr>
        <w:t>(8)</w:t>
      </w:r>
      <w:r w:rsidR="005013A5" w:rsidRPr="00406019">
        <w:rPr>
          <w:b/>
          <w:i/>
          <w:lang w:val="en-NZ"/>
        </w:rPr>
        <w:t>)</w:t>
      </w:r>
    </w:p>
    <w:p w:rsidR="005013A5" w:rsidRPr="00406019" w:rsidRDefault="005013A5" w:rsidP="005013A5">
      <w:pPr>
        <w:rPr>
          <w:lang w:val="en-NZ"/>
        </w:rPr>
      </w:pPr>
    </w:p>
    <w:p w:rsidR="005013A5" w:rsidRPr="00406019" w:rsidRDefault="005013A5" w:rsidP="005013A5">
      <w:pPr>
        <w:rPr>
          <w:lang w:val="en-NZ"/>
        </w:rPr>
      </w:pPr>
    </w:p>
    <w:p w:rsidR="005013A5" w:rsidRPr="00406019" w:rsidRDefault="005013A5" w:rsidP="00955AAC">
      <w:pPr>
        <w:pStyle w:val="Heading2"/>
        <w:rPr>
          <w:lang w:val="en-NZ"/>
        </w:rPr>
      </w:pPr>
      <w:r w:rsidRPr="00406019">
        <w:rPr>
          <w:lang w:val="en-NZ"/>
        </w:rPr>
        <w:t>Summary of proposed amendment</w:t>
      </w:r>
    </w:p>
    <w:p w:rsidR="005013A5" w:rsidRPr="00406019" w:rsidRDefault="005013A5" w:rsidP="005013A5">
      <w:pPr>
        <w:rPr>
          <w:lang w:val="en-NZ"/>
        </w:rPr>
      </w:pPr>
    </w:p>
    <w:p w:rsidR="005013A5" w:rsidRPr="00406019" w:rsidRDefault="005013A5" w:rsidP="005013A5">
      <w:pPr>
        <w:rPr>
          <w:lang w:val="en-NZ"/>
        </w:rPr>
      </w:pPr>
      <w:r w:rsidRPr="00406019">
        <w:rPr>
          <w:lang w:val="en-NZ"/>
        </w:rPr>
        <w:t xml:space="preserve">The proposed amendment clarifies the definition of </w:t>
      </w:r>
      <w:r w:rsidR="00FF1FE9" w:rsidRPr="00406019">
        <w:rPr>
          <w:lang w:val="en-NZ"/>
        </w:rPr>
        <w:t>“</w:t>
      </w:r>
      <w:r w:rsidRPr="00406019">
        <w:rPr>
          <w:lang w:val="en-NZ"/>
        </w:rPr>
        <w:t>land</w:t>
      </w:r>
      <w:r w:rsidR="00FF1FE9" w:rsidRPr="00406019">
        <w:rPr>
          <w:lang w:val="en-NZ"/>
        </w:rPr>
        <w:t>”</w:t>
      </w:r>
      <w:r w:rsidRPr="00406019">
        <w:rPr>
          <w:lang w:val="en-NZ"/>
        </w:rPr>
        <w:t xml:space="preserve"> to make clear that </w:t>
      </w:r>
      <w:r w:rsidR="00FF1FE9" w:rsidRPr="00406019">
        <w:rPr>
          <w:lang w:val="en-NZ"/>
        </w:rPr>
        <w:t>“</w:t>
      </w:r>
      <w:r w:rsidRPr="00406019">
        <w:rPr>
          <w:lang w:val="en-NZ"/>
        </w:rPr>
        <w:t>land</w:t>
      </w:r>
      <w:r w:rsidR="00FF1FE9" w:rsidRPr="00406019">
        <w:rPr>
          <w:lang w:val="en-NZ"/>
        </w:rPr>
        <w:t>”</w:t>
      </w:r>
      <w:r w:rsidRPr="00406019">
        <w:rPr>
          <w:lang w:val="en-NZ"/>
        </w:rPr>
        <w:t xml:space="preserve"> includes interests in land.</w:t>
      </w:r>
    </w:p>
    <w:p w:rsidR="005013A5" w:rsidRPr="00406019" w:rsidRDefault="005013A5" w:rsidP="005013A5">
      <w:pPr>
        <w:rPr>
          <w:lang w:val="en-NZ"/>
        </w:rPr>
      </w:pPr>
    </w:p>
    <w:p w:rsidR="005013A5" w:rsidRPr="00406019" w:rsidRDefault="005013A5" w:rsidP="005013A5">
      <w:pPr>
        <w:rPr>
          <w:lang w:val="en-NZ"/>
        </w:rPr>
      </w:pPr>
    </w:p>
    <w:p w:rsidR="005013A5" w:rsidRPr="00406019" w:rsidRDefault="005013A5" w:rsidP="005013A5">
      <w:pPr>
        <w:pStyle w:val="Heading2"/>
        <w:rPr>
          <w:lang w:val="en-NZ"/>
        </w:rPr>
      </w:pPr>
      <w:r w:rsidRPr="00406019">
        <w:rPr>
          <w:lang w:val="en-NZ"/>
        </w:rPr>
        <w:t>Application date</w:t>
      </w:r>
    </w:p>
    <w:p w:rsidR="005013A5" w:rsidRPr="00406019" w:rsidRDefault="005013A5" w:rsidP="005013A5">
      <w:pPr>
        <w:rPr>
          <w:lang w:val="en-NZ"/>
        </w:rPr>
      </w:pPr>
    </w:p>
    <w:p w:rsidR="005013A5" w:rsidRPr="00406019" w:rsidRDefault="005013A5" w:rsidP="00D93BF7">
      <w:pPr>
        <w:rPr>
          <w:lang w:val="en-NZ"/>
        </w:rPr>
      </w:pPr>
      <w:r w:rsidRPr="00406019">
        <w:rPr>
          <w:lang w:val="en-NZ"/>
        </w:rPr>
        <w:t xml:space="preserve">The amendment </w:t>
      </w:r>
      <w:r w:rsidR="00FF1FE9" w:rsidRPr="00406019">
        <w:rPr>
          <w:lang w:val="en-NZ"/>
        </w:rPr>
        <w:t xml:space="preserve">will come into force on </w:t>
      </w:r>
      <w:r w:rsidRPr="00406019">
        <w:rPr>
          <w:lang w:val="en-NZ"/>
        </w:rPr>
        <w:t>1 October 2015.</w:t>
      </w:r>
    </w:p>
    <w:p w:rsidR="005013A5" w:rsidRPr="00406019" w:rsidRDefault="005013A5" w:rsidP="005013A5">
      <w:pPr>
        <w:rPr>
          <w:lang w:val="en-NZ"/>
        </w:rPr>
      </w:pPr>
    </w:p>
    <w:p w:rsidR="005013A5" w:rsidRPr="00406019" w:rsidRDefault="005013A5" w:rsidP="005013A5">
      <w:pPr>
        <w:rPr>
          <w:lang w:val="en-NZ"/>
        </w:rPr>
      </w:pPr>
    </w:p>
    <w:p w:rsidR="005013A5" w:rsidRPr="00406019" w:rsidRDefault="005013A5" w:rsidP="005013A5">
      <w:pPr>
        <w:pStyle w:val="Heading2"/>
        <w:rPr>
          <w:lang w:val="en-NZ"/>
        </w:rPr>
      </w:pPr>
      <w:r w:rsidRPr="00406019">
        <w:rPr>
          <w:lang w:val="en-NZ"/>
        </w:rPr>
        <w:t>Key features</w:t>
      </w:r>
    </w:p>
    <w:p w:rsidR="005013A5" w:rsidRPr="00406019" w:rsidRDefault="005013A5" w:rsidP="005013A5">
      <w:pPr>
        <w:rPr>
          <w:lang w:val="en-NZ"/>
        </w:rPr>
      </w:pPr>
    </w:p>
    <w:p w:rsidR="005013A5" w:rsidRPr="00406019" w:rsidRDefault="00FF1FE9" w:rsidP="005013A5">
      <w:pPr>
        <w:rPr>
          <w:lang w:val="en-NZ"/>
        </w:rPr>
      </w:pPr>
      <w:r w:rsidRPr="00406019">
        <w:rPr>
          <w:lang w:val="en-NZ"/>
        </w:rPr>
        <w:t>It</w:t>
      </w:r>
      <w:r w:rsidR="005013A5" w:rsidRPr="00406019">
        <w:rPr>
          <w:lang w:val="en-NZ"/>
        </w:rPr>
        <w:t xml:space="preserve"> </w:t>
      </w:r>
      <w:proofErr w:type="gramStart"/>
      <w:r w:rsidR="005013A5" w:rsidRPr="00406019">
        <w:rPr>
          <w:lang w:val="en-NZ"/>
        </w:rPr>
        <w:t>is proposed</w:t>
      </w:r>
      <w:proofErr w:type="gramEnd"/>
      <w:r w:rsidR="005013A5" w:rsidRPr="00406019">
        <w:rPr>
          <w:lang w:val="en-NZ"/>
        </w:rPr>
        <w:t xml:space="preserve"> that the definition of </w:t>
      </w:r>
      <w:r w:rsidRPr="00406019">
        <w:rPr>
          <w:lang w:val="en-NZ"/>
        </w:rPr>
        <w:t>“</w:t>
      </w:r>
      <w:r w:rsidR="005013A5" w:rsidRPr="00406019">
        <w:rPr>
          <w:lang w:val="en-NZ"/>
        </w:rPr>
        <w:t>estate</w:t>
      </w:r>
      <w:r w:rsidRPr="00406019">
        <w:rPr>
          <w:lang w:val="en-NZ"/>
        </w:rPr>
        <w:t>”</w:t>
      </w:r>
      <w:r w:rsidR="005013A5" w:rsidRPr="00406019">
        <w:rPr>
          <w:lang w:val="en-NZ"/>
        </w:rPr>
        <w:t xml:space="preserve"> and </w:t>
      </w:r>
      <w:r w:rsidRPr="00406019">
        <w:rPr>
          <w:lang w:val="en-NZ"/>
        </w:rPr>
        <w:t>“</w:t>
      </w:r>
      <w:r w:rsidR="005013A5" w:rsidRPr="00406019">
        <w:rPr>
          <w:lang w:val="en-NZ"/>
        </w:rPr>
        <w:t>interest</w:t>
      </w:r>
      <w:r w:rsidRPr="00406019">
        <w:rPr>
          <w:lang w:val="en-NZ"/>
        </w:rPr>
        <w:t>”</w:t>
      </w:r>
      <w:r w:rsidR="005013A5" w:rsidRPr="00406019">
        <w:rPr>
          <w:lang w:val="en-NZ"/>
        </w:rPr>
        <w:t xml:space="preserve"> in land are replaced with a definition of estate and interest in land that clearly include</w:t>
      </w:r>
      <w:r w:rsidR="003E7D69" w:rsidRPr="00406019">
        <w:rPr>
          <w:lang w:val="en-NZ"/>
        </w:rPr>
        <w:t>s</w:t>
      </w:r>
      <w:r w:rsidR="005013A5" w:rsidRPr="00406019">
        <w:rPr>
          <w:lang w:val="en-NZ"/>
        </w:rPr>
        <w:t xml:space="preserve"> interests in land.</w:t>
      </w:r>
      <w:r w:rsidR="00D97DCA" w:rsidRPr="00406019">
        <w:rPr>
          <w:lang w:val="en-NZ"/>
        </w:rPr>
        <w:t xml:space="preserve">  The definition of land clearly includes an interest in land prior to the rewrite of the definition.</w:t>
      </w:r>
    </w:p>
    <w:p w:rsidR="005013A5" w:rsidRPr="00406019" w:rsidRDefault="005013A5" w:rsidP="005013A5">
      <w:pPr>
        <w:rPr>
          <w:lang w:val="en-NZ"/>
        </w:rPr>
      </w:pPr>
    </w:p>
    <w:p w:rsidR="005013A5" w:rsidRPr="00406019" w:rsidRDefault="005013A5" w:rsidP="005013A5">
      <w:pPr>
        <w:rPr>
          <w:lang w:val="en-NZ"/>
        </w:rPr>
      </w:pPr>
      <w:r w:rsidRPr="00406019">
        <w:rPr>
          <w:lang w:val="en-NZ"/>
        </w:rPr>
        <w:t>In addition, the proposed new definition clarifies that an interest in land includes the right to possession of land.</w:t>
      </w:r>
    </w:p>
    <w:p w:rsidR="00FF1FE9" w:rsidRPr="00406019" w:rsidRDefault="00FF1FE9" w:rsidP="005013A5">
      <w:pPr>
        <w:rPr>
          <w:lang w:val="en-NZ"/>
        </w:rPr>
      </w:pPr>
    </w:p>
    <w:p w:rsidR="00FF1FE9" w:rsidRPr="00406019" w:rsidRDefault="00FF1FE9" w:rsidP="005013A5">
      <w:pPr>
        <w:rPr>
          <w:lang w:val="en-NZ"/>
        </w:rPr>
      </w:pPr>
    </w:p>
    <w:p w:rsidR="00FF1FE9" w:rsidRPr="00406019" w:rsidRDefault="00FF1FE9" w:rsidP="00FF1FE9">
      <w:pPr>
        <w:pStyle w:val="Heading2"/>
        <w:rPr>
          <w:lang w:val="en-NZ"/>
        </w:rPr>
      </w:pPr>
      <w:r w:rsidRPr="00406019">
        <w:rPr>
          <w:lang w:val="en-NZ"/>
        </w:rPr>
        <w:t>Background</w:t>
      </w:r>
    </w:p>
    <w:p w:rsidR="00FF1FE9" w:rsidRPr="00406019" w:rsidRDefault="00FF1FE9" w:rsidP="00FF1FE9">
      <w:pPr>
        <w:rPr>
          <w:lang w:val="en-NZ"/>
        </w:rPr>
      </w:pPr>
    </w:p>
    <w:p w:rsidR="00FF1FE9" w:rsidRPr="00406019" w:rsidRDefault="00FF1FE9" w:rsidP="00FF1FE9">
      <w:pPr>
        <w:rPr>
          <w:lang w:val="en-NZ"/>
        </w:rPr>
      </w:pPr>
      <w:proofErr w:type="gramStart"/>
      <w:r w:rsidRPr="00406019">
        <w:rPr>
          <w:lang w:val="en-NZ"/>
        </w:rPr>
        <w:t>As a result</w:t>
      </w:r>
      <w:proofErr w:type="gramEnd"/>
      <w:r w:rsidRPr="00406019">
        <w:rPr>
          <w:lang w:val="en-NZ"/>
        </w:rPr>
        <w:t xml:space="preserve"> of the rewrite of income tax legislation, there was an unintended change to the definition of “land”</w:t>
      </w:r>
      <w:r w:rsidR="00021CFC" w:rsidRPr="00406019">
        <w:rPr>
          <w:lang w:val="en-NZ"/>
        </w:rPr>
        <w:t xml:space="preserve">.  </w:t>
      </w:r>
      <w:r w:rsidRPr="00406019">
        <w:rPr>
          <w:lang w:val="en-NZ"/>
        </w:rPr>
        <w:t>This change created uncertainty over whether it included an interest in land.</w:t>
      </w:r>
    </w:p>
    <w:p w:rsidR="00FF1FE9" w:rsidRPr="00406019" w:rsidRDefault="00FF1FE9" w:rsidP="00FF1FE9">
      <w:pPr>
        <w:rPr>
          <w:lang w:val="en-NZ"/>
        </w:rPr>
      </w:pPr>
    </w:p>
    <w:p w:rsidR="006F5BED" w:rsidRPr="00406019" w:rsidRDefault="006F5BED" w:rsidP="002C773A">
      <w:pPr>
        <w:rPr>
          <w:lang w:val="en-NZ"/>
        </w:rPr>
      </w:pPr>
      <w:r w:rsidRPr="00406019">
        <w:rPr>
          <w:lang w:val="en-NZ"/>
        </w:rPr>
        <w:br w:type="page"/>
      </w:r>
    </w:p>
    <w:p w:rsidR="00B721FE" w:rsidRPr="00406019" w:rsidRDefault="003A058A" w:rsidP="003A058A">
      <w:pPr>
        <w:pStyle w:val="Heading1"/>
      </w:pPr>
      <w:bookmarkStart w:id="21" w:name="_Toc428169682"/>
      <w:r w:rsidRPr="00406019">
        <w:t>Clarifying treatment of land transferred under a resident’s restricted amalgamation</w:t>
      </w:r>
      <w:bookmarkEnd w:id="21"/>
    </w:p>
    <w:p w:rsidR="00B721FE" w:rsidRPr="00406019" w:rsidRDefault="00B721FE" w:rsidP="00B721FE">
      <w:pPr>
        <w:rPr>
          <w:lang w:val="en-NZ"/>
        </w:rPr>
      </w:pPr>
    </w:p>
    <w:p w:rsidR="00B721FE" w:rsidRPr="00406019" w:rsidRDefault="003E7D69" w:rsidP="00B721FE">
      <w:pPr>
        <w:rPr>
          <w:b/>
          <w:i/>
          <w:lang w:val="en-NZ"/>
        </w:rPr>
      </w:pPr>
      <w:r w:rsidRPr="00406019">
        <w:rPr>
          <w:b/>
          <w:i/>
          <w:lang w:val="en-NZ"/>
        </w:rPr>
        <w:t>(Clause</w:t>
      </w:r>
      <w:r w:rsidR="00B721FE" w:rsidRPr="00406019">
        <w:rPr>
          <w:b/>
          <w:i/>
          <w:lang w:val="en-NZ"/>
        </w:rPr>
        <w:t xml:space="preserve"> </w:t>
      </w:r>
      <w:r w:rsidRPr="00406019">
        <w:rPr>
          <w:b/>
          <w:i/>
          <w:lang w:val="en-NZ"/>
        </w:rPr>
        <w:t>13</w:t>
      </w:r>
      <w:r w:rsidR="00B721FE" w:rsidRPr="00406019">
        <w:rPr>
          <w:b/>
          <w:i/>
          <w:lang w:val="en-NZ"/>
        </w:rPr>
        <w:t>)</w:t>
      </w:r>
    </w:p>
    <w:p w:rsidR="00B721FE" w:rsidRPr="00406019" w:rsidRDefault="00B721FE" w:rsidP="00B721FE">
      <w:pPr>
        <w:rPr>
          <w:lang w:val="en-NZ"/>
        </w:rPr>
      </w:pPr>
    </w:p>
    <w:p w:rsidR="00B721FE" w:rsidRPr="00406019" w:rsidRDefault="00B721FE" w:rsidP="00B721FE">
      <w:pPr>
        <w:rPr>
          <w:lang w:val="en-NZ"/>
        </w:rPr>
      </w:pPr>
    </w:p>
    <w:p w:rsidR="00B721FE" w:rsidRPr="00406019" w:rsidRDefault="00B721FE" w:rsidP="00B721FE">
      <w:pPr>
        <w:pStyle w:val="Heading2"/>
        <w:rPr>
          <w:lang w:val="en-NZ"/>
        </w:rPr>
      </w:pPr>
      <w:r w:rsidRPr="00406019">
        <w:rPr>
          <w:lang w:val="en-NZ"/>
        </w:rPr>
        <w:t>Summary of proposed amendment</w:t>
      </w:r>
    </w:p>
    <w:p w:rsidR="00B721FE" w:rsidRPr="00406019" w:rsidRDefault="00B721FE" w:rsidP="00B721FE">
      <w:pPr>
        <w:rPr>
          <w:lang w:val="en-NZ"/>
        </w:rPr>
      </w:pPr>
    </w:p>
    <w:p w:rsidR="00B721FE" w:rsidRPr="00406019" w:rsidRDefault="00B721FE" w:rsidP="00B721FE">
      <w:pPr>
        <w:rPr>
          <w:lang w:val="en-NZ"/>
        </w:rPr>
      </w:pPr>
      <w:r w:rsidRPr="00406019">
        <w:rPr>
          <w:lang w:val="en-NZ"/>
        </w:rPr>
        <w:t xml:space="preserve">The </w:t>
      </w:r>
      <w:r w:rsidR="00FF1FE9" w:rsidRPr="00406019">
        <w:rPr>
          <w:lang w:val="en-NZ"/>
        </w:rPr>
        <w:t>b</w:t>
      </w:r>
      <w:r w:rsidR="00B62C34" w:rsidRPr="00406019">
        <w:rPr>
          <w:lang w:val="en-NZ"/>
        </w:rPr>
        <w:t>ill</w:t>
      </w:r>
      <w:r w:rsidRPr="00406019">
        <w:rPr>
          <w:lang w:val="en-NZ"/>
        </w:rPr>
        <w:t xml:space="preserve"> proposes to clarify the treatment of revenue account property transferred as a result of a resident’s restricted amalgamation whe</w:t>
      </w:r>
      <w:r w:rsidR="00FF1FE9" w:rsidRPr="00406019">
        <w:rPr>
          <w:lang w:val="en-NZ"/>
        </w:rPr>
        <w:t>n</w:t>
      </w:r>
      <w:r w:rsidR="00565E4C" w:rsidRPr="00406019">
        <w:rPr>
          <w:lang w:val="en-NZ"/>
        </w:rPr>
        <w:t>,</w:t>
      </w:r>
      <w:r w:rsidRPr="00406019">
        <w:rPr>
          <w:lang w:val="en-NZ"/>
        </w:rPr>
        <w:t xml:space="preserve"> at the time of the amalgamation</w:t>
      </w:r>
      <w:r w:rsidR="00565E4C" w:rsidRPr="00406019">
        <w:rPr>
          <w:lang w:val="en-NZ"/>
        </w:rPr>
        <w:t>, i</w:t>
      </w:r>
      <w:r w:rsidRPr="00406019">
        <w:rPr>
          <w:lang w:val="en-NZ"/>
        </w:rPr>
        <w:t>t is unclear whether the amalgamated company holds the property on revenue or capital account.</w:t>
      </w:r>
    </w:p>
    <w:p w:rsidR="00B721FE" w:rsidRPr="00406019" w:rsidRDefault="00B721FE" w:rsidP="00B721FE">
      <w:pPr>
        <w:rPr>
          <w:lang w:val="en-NZ"/>
        </w:rPr>
      </w:pPr>
    </w:p>
    <w:p w:rsidR="00B721FE" w:rsidRPr="00406019" w:rsidRDefault="00B721FE" w:rsidP="00B721FE">
      <w:pPr>
        <w:rPr>
          <w:lang w:val="en-NZ"/>
        </w:rPr>
      </w:pPr>
    </w:p>
    <w:p w:rsidR="00B721FE" w:rsidRPr="00406019" w:rsidRDefault="00B721FE" w:rsidP="00B721FE">
      <w:pPr>
        <w:pStyle w:val="Heading2"/>
        <w:rPr>
          <w:lang w:val="en-NZ"/>
        </w:rPr>
      </w:pPr>
      <w:r w:rsidRPr="00406019">
        <w:rPr>
          <w:lang w:val="en-NZ"/>
        </w:rPr>
        <w:t>Application date</w:t>
      </w:r>
    </w:p>
    <w:p w:rsidR="00B721FE" w:rsidRPr="00406019" w:rsidRDefault="00B721FE" w:rsidP="00B721FE">
      <w:pPr>
        <w:rPr>
          <w:lang w:val="en-NZ"/>
        </w:rPr>
      </w:pPr>
    </w:p>
    <w:p w:rsidR="00B721FE" w:rsidRPr="00406019" w:rsidRDefault="00B721FE" w:rsidP="00B721FE">
      <w:pPr>
        <w:rPr>
          <w:lang w:val="en-NZ"/>
        </w:rPr>
      </w:pPr>
      <w:r w:rsidRPr="00406019">
        <w:rPr>
          <w:lang w:val="en-NZ"/>
        </w:rPr>
        <w:t xml:space="preserve">The proposed amendment </w:t>
      </w:r>
      <w:r w:rsidR="00FF1FE9" w:rsidRPr="00406019">
        <w:rPr>
          <w:lang w:val="en-NZ"/>
        </w:rPr>
        <w:t xml:space="preserve">will come into force on </w:t>
      </w:r>
      <w:r w:rsidRPr="00406019">
        <w:rPr>
          <w:lang w:val="en-NZ"/>
        </w:rPr>
        <w:t>1 October 2015.</w:t>
      </w:r>
    </w:p>
    <w:p w:rsidR="00B721FE" w:rsidRPr="00406019" w:rsidRDefault="00B721FE" w:rsidP="00B721FE">
      <w:pPr>
        <w:rPr>
          <w:lang w:val="en-NZ"/>
        </w:rPr>
      </w:pPr>
    </w:p>
    <w:p w:rsidR="00B721FE" w:rsidRPr="00406019" w:rsidRDefault="00B721FE" w:rsidP="00B721FE">
      <w:pPr>
        <w:rPr>
          <w:lang w:val="en-NZ"/>
        </w:rPr>
      </w:pPr>
    </w:p>
    <w:p w:rsidR="00FF1FE9" w:rsidRPr="00406019" w:rsidRDefault="00FF1FE9" w:rsidP="00FF1FE9">
      <w:pPr>
        <w:pStyle w:val="Heading2"/>
        <w:rPr>
          <w:lang w:val="en-NZ"/>
        </w:rPr>
      </w:pPr>
      <w:r w:rsidRPr="00406019">
        <w:rPr>
          <w:lang w:val="en-NZ"/>
        </w:rPr>
        <w:t>Key features</w:t>
      </w:r>
    </w:p>
    <w:p w:rsidR="00FF1FE9" w:rsidRPr="00406019" w:rsidRDefault="00FF1FE9" w:rsidP="00FF1FE9">
      <w:pPr>
        <w:rPr>
          <w:lang w:val="en-NZ"/>
        </w:rPr>
      </w:pPr>
    </w:p>
    <w:p w:rsidR="00FF1FE9" w:rsidRPr="00406019" w:rsidRDefault="00FF1FE9" w:rsidP="00FF1FE9">
      <w:pPr>
        <w:rPr>
          <w:lang w:val="en-NZ"/>
        </w:rPr>
      </w:pPr>
      <w:r w:rsidRPr="00406019">
        <w:rPr>
          <w:lang w:val="en-NZ"/>
        </w:rPr>
        <w:t xml:space="preserve">The amendment applies so that property </w:t>
      </w:r>
      <w:proofErr w:type="gramStart"/>
      <w:r w:rsidRPr="00406019">
        <w:rPr>
          <w:lang w:val="en-NZ"/>
        </w:rPr>
        <w:t>is deemed to be transferred</w:t>
      </w:r>
      <w:proofErr w:type="gramEnd"/>
      <w:r w:rsidRPr="00406019">
        <w:rPr>
          <w:lang w:val="en-NZ"/>
        </w:rPr>
        <w:t xml:space="preserve"> at market value when:</w:t>
      </w:r>
    </w:p>
    <w:p w:rsidR="00300DF6" w:rsidRPr="00406019" w:rsidRDefault="00300DF6" w:rsidP="00FF1FE9">
      <w:pPr>
        <w:rPr>
          <w:lang w:val="en-NZ"/>
        </w:rPr>
      </w:pPr>
    </w:p>
    <w:p w:rsidR="00FF1FE9" w:rsidRPr="00406019" w:rsidRDefault="00300DF6" w:rsidP="00511E52">
      <w:pPr>
        <w:pStyle w:val="Bullets"/>
        <w:rPr>
          <w:lang w:val="en-NZ"/>
        </w:rPr>
      </w:pPr>
      <w:r w:rsidRPr="00406019">
        <w:rPr>
          <w:lang w:val="en-NZ"/>
        </w:rPr>
        <w:t>t</w:t>
      </w:r>
      <w:r w:rsidR="00FF1FE9" w:rsidRPr="00406019">
        <w:rPr>
          <w:lang w:val="en-NZ"/>
        </w:rPr>
        <w:t>he land is held on revenue account for the amalgamating company; and</w:t>
      </w:r>
    </w:p>
    <w:p w:rsidR="00FF1FE9" w:rsidRPr="00406019" w:rsidRDefault="00300DF6" w:rsidP="00511E52">
      <w:pPr>
        <w:pStyle w:val="Bullets-last"/>
        <w:rPr>
          <w:lang w:val="en-NZ"/>
        </w:rPr>
      </w:pPr>
      <w:proofErr w:type="gramStart"/>
      <w:r w:rsidRPr="00406019">
        <w:rPr>
          <w:lang w:val="en-NZ"/>
        </w:rPr>
        <w:t>t</w:t>
      </w:r>
      <w:r w:rsidR="00FF1FE9" w:rsidRPr="00406019">
        <w:rPr>
          <w:lang w:val="en-NZ"/>
        </w:rPr>
        <w:t>he</w:t>
      </w:r>
      <w:proofErr w:type="gramEnd"/>
      <w:r w:rsidR="00FF1FE9" w:rsidRPr="00406019">
        <w:rPr>
          <w:lang w:val="en-NZ"/>
        </w:rPr>
        <w:t xml:space="preserve"> land is, or may be, revenue account property of the amalgamating company solely because of the 2</w:t>
      </w:r>
      <w:r w:rsidRPr="00406019">
        <w:rPr>
          <w:lang w:val="en-NZ"/>
        </w:rPr>
        <w:t>-</w:t>
      </w:r>
      <w:r w:rsidR="00FF1FE9" w:rsidRPr="00406019">
        <w:rPr>
          <w:lang w:val="en-NZ"/>
        </w:rPr>
        <w:t>year bright-line test or a 10</w:t>
      </w:r>
      <w:r w:rsidRPr="00406019">
        <w:rPr>
          <w:lang w:val="en-NZ"/>
        </w:rPr>
        <w:t>-</w:t>
      </w:r>
      <w:r w:rsidR="00FF1FE9" w:rsidRPr="00406019">
        <w:rPr>
          <w:lang w:val="en-NZ"/>
        </w:rPr>
        <w:t>year rule in any of sections CB 9 to CB 11</w:t>
      </w:r>
      <w:r w:rsidRPr="00406019">
        <w:rPr>
          <w:lang w:val="en-NZ"/>
        </w:rPr>
        <w:t>,</w:t>
      </w:r>
      <w:r w:rsidR="00FF1FE9" w:rsidRPr="00406019">
        <w:rPr>
          <w:lang w:val="en-NZ"/>
        </w:rPr>
        <w:t xml:space="preserve"> and CB 14</w:t>
      </w:r>
      <w:r w:rsidRPr="00406019">
        <w:rPr>
          <w:lang w:val="en-NZ"/>
        </w:rPr>
        <w:t>.</w:t>
      </w:r>
    </w:p>
    <w:p w:rsidR="00FF1FE9" w:rsidRPr="00406019" w:rsidRDefault="00FF1FE9" w:rsidP="00FF1FE9">
      <w:pPr>
        <w:rPr>
          <w:lang w:val="en-NZ"/>
        </w:rPr>
      </w:pPr>
    </w:p>
    <w:p w:rsidR="00FF1FE9" w:rsidRPr="00406019" w:rsidRDefault="00FF1FE9" w:rsidP="00FF1FE9">
      <w:pPr>
        <w:rPr>
          <w:lang w:val="en-NZ"/>
        </w:rPr>
      </w:pPr>
      <w:r w:rsidRPr="00406019">
        <w:rPr>
          <w:lang w:val="en-NZ"/>
        </w:rPr>
        <w:t xml:space="preserve">When the two criteria above are </w:t>
      </w:r>
      <w:proofErr w:type="gramStart"/>
      <w:r w:rsidRPr="00406019">
        <w:rPr>
          <w:lang w:val="en-NZ"/>
        </w:rPr>
        <w:t>met</w:t>
      </w:r>
      <w:proofErr w:type="gramEnd"/>
      <w:r w:rsidRPr="00406019">
        <w:rPr>
          <w:lang w:val="en-NZ"/>
        </w:rPr>
        <w:t xml:space="preserve"> the property is deemed to be transferred at market value.</w:t>
      </w:r>
    </w:p>
    <w:p w:rsidR="00FF1FE9" w:rsidRPr="00406019" w:rsidRDefault="00FF1FE9" w:rsidP="00FF1FE9">
      <w:pPr>
        <w:rPr>
          <w:lang w:val="en-NZ"/>
        </w:rPr>
      </w:pPr>
    </w:p>
    <w:p w:rsidR="00FF1FE9" w:rsidRPr="00406019" w:rsidRDefault="00FF1FE9" w:rsidP="00B721FE">
      <w:pPr>
        <w:rPr>
          <w:lang w:val="en-NZ"/>
        </w:rPr>
      </w:pPr>
    </w:p>
    <w:p w:rsidR="00B721FE" w:rsidRPr="00406019" w:rsidRDefault="00B721FE" w:rsidP="00B721FE">
      <w:pPr>
        <w:pStyle w:val="Heading2"/>
        <w:rPr>
          <w:lang w:val="en-NZ"/>
        </w:rPr>
      </w:pPr>
      <w:r w:rsidRPr="00406019">
        <w:rPr>
          <w:lang w:val="en-NZ"/>
        </w:rPr>
        <w:t>Background</w:t>
      </w:r>
    </w:p>
    <w:p w:rsidR="00B721FE" w:rsidRPr="00406019" w:rsidRDefault="00B721FE" w:rsidP="00B721FE">
      <w:pPr>
        <w:rPr>
          <w:lang w:val="en-NZ"/>
        </w:rPr>
      </w:pPr>
    </w:p>
    <w:p w:rsidR="00B721FE" w:rsidRPr="00406019" w:rsidRDefault="00AE61EC" w:rsidP="00B721FE">
      <w:pPr>
        <w:rPr>
          <w:lang w:val="en-NZ"/>
        </w:rPr>
      </w:pPr>
      <w:r w:rsidRPr="00406019">
        <w:rPr>
          <w:lang w:val="en-NZ"/>
        </w:rPr>
        <w:t xml:space="preserve">When two companies merge under an amalgamation, the transfer of assets between the companies is generally exempt from tax.  However, the transfer is not exempt from tax if </w:t>
      </w:r>
      <w:r w:rsidR="00B721FE" w:rsidRPr="00406019">
        <w:rPr>
          <w:lang w:val="en-NZ"/>
        </w:rPr>
        <w:t>the propert</w:t>
      </w:r>
      <w:r w:rsidRPr="00406019">
        <w:rPr>
          <w:lang w:val="en-NZ"/>
        </w:rPr>
        <w:t>y leaves the tax base</w:t>
      </w:r>
      <w:r w:rsidR="00443EB9" w:rsidRPr="00406019">
        <w:rPr>
          <w:lang w:val="en-NZ"/>
        </w:rPr>
        <w:t>.</w:t>
      </w:r>
    </w:p>
    <w:p w:rsidR="00B721FE" w:rsidRPr="00406019" w:rsidRDefault="00B721FE" w:rsidP="00B721FE">
      <w:pPr>
        <w:rPr>
          <w:lang w:val="en-NZ"/>
        </w:rPr>
      </w:pPr>
    </w:p>
    <w:p w:rsidR="00B721FE" w:rsidRPr="00406019" w:rsidRDefault="00B721FE" w:rsidP="00B721FE">
      <w:pPr>
        <w:rPr>
          <w:lang w:val="en-NZ"/>
        </w:rPr>
      </w:pPr>
      <w:r w:rsidRPr="00406019">
        <w:rPr>
          <w:lang w:val="en-NZ"/>
        </w:rPr>
        <w:t xml:space="preserve">The amalgamation rules achieve this result </w:t>
      </w:r>
      <w:r w:rsidR="00FF1FE9" w:rsidRPr="00406019">
        <w:rPr>
          <w:lang w:val="en-NZ"/>
        </w:rPr>
        <w:t>by</w:t>
      </w:r>
      <w:r w:rsidRPr="00406019">
        <w:rPr>
          <w:lang w:val="en-NZ"/>
        </w:rPr>
        <w:t xml:space="preserve"> transferring property either at cost or at market value</w:t>
      </w:r>
      <w:r w:rsidR="00FF1FE9" w:rsidRPr="00406019">
        <w:rPr>
          <w:lang w:val="en-NZ"/>
        </w:rPr>
        <w:t>,</w:t>
      </w:r>
      <w:r w:rsidRPr="00406019">
        <w:rPr>
          <w:lang w:val="en-NZ"/>
        </w:rPr>
        <w:t xml:space="preserve"> depending on whether the amalgamating and amalgamated company hold the property on revenue or capital account.</w:t>
      </w:r>
      <w:r w:rsidR="00FF1FE9" w:rsidRPr="00406019">
        <w:rPr>
          <w:lang w:val="en-NZ"/>
        </w:rPr>
        <w:t xml:space="preserve">  This </w:t>
      </w:r>
      <w:proofErr w:type="gramStart"/>
      <w:r w:rsidR="00FF1FE9" w:rsidRPr="00406019">
        <w:rPr>
          <w:lang w:val="en-NZ"/>
        </w:rPr>
        <w:t>is illustrated</w:t>
      </w:r>
      <w:proofErr w:type="gramEnd"/>
      <w:r w:rsidR="00FF1FE9" w:rsidRPr="00406019">
        <w:rPr>
          <w:lang w:val="en-NZ"/>
        </w:rPr>
        <w:t xml:space="preserve"> in Table 1.</w:t>
      </w:r>
    </w:p>
    <w:p w:rsidR="00B721FE" w:rsidRPr="00406019" w:rsidRDefault="00B721FE" w:rsidP="00B721FE">
      <w:pPr>
        <w:rPr>
          <w:lang w:val="en-NZ"/>
        </w:rPr>
      </w:pPr>
    </w:p>
    <w:p w:rsidR="005A32D9" w:rsidRPr="00406019" w:rsidRDefault="005A32D9" w:rsidP="002C773A">
      <w:pPr>
        <w:rPr>
          <w:lang w:val="en-NZ"/>
        </w:rPr>
      </w:pPr>
      <w:r w:rsidRPr="00406019">
        <w:rPr>
          <w:lang w:val="en-NZ"/>
        </w:rPr>
        <w:br w:type="page"/>
      </w:r>
    </w:p>
    <w:p w:rsidR="00FF1FE9" w:rsidRPr="00406019" w:rsidRDefault="00FF1FE9" w:rsidP="00B721FE">
      <w:pPr>
        <w:rPr>
          <w:b/>
          <w:lang w:val="en-NZ"/>
        </w:rPr>
      </w:pPr>
      <w:r w:rsidRPr="00406019">
        <w:rPr>
          <w:b/>
          <w:lang w:val="en-NZ"/>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005"/>
        <w:gridCol w:w="2003"/>
        <w:gridCol w:w="2005"/>
        <w:gridCol w:w="2005"/>
      </w:tblGrid>
      <w:tr w:rsidR="00B721FE" w:rsidRPr="00406019" w:rsidTr="00F2089E">
        <w:tc>
          <w:tcPr>
            <w:tcW w:w="534" w:type="dxa"/>
            <w:tcBorders>
              <w:top w:val="nil"/>
              <w:left w:val="nil"/>
              <w:bottom w:val="nil"/>
              <w:right w:val="nil"/>
            </w:tcBorders>
          </w:tcPr>
          <w:p w:rsidR="00B721FE" w:rsidRPr="00406019" w:rsidRDefault="00B721FE" w:rsidP="004E7BC8">
            <w:pPr>
              <w:spacing w:before="80" w:after="80"/>
              <w:rPr>
                <w:sz w:val="20"/>
                <w:lang w:val="en-NZ"/>
              </w:rPr>
            </w:pPr>
          </w:p>
        </w:tc>
        <w:tc>
          <w:tcPr>
            <w:tcW w:w="2177" w:type="dxa"/>
            <w:tcBorders>
              <w:top w:val="nil"/>
              <w:left w:val="nil"/>
              <w:bottom w:val="nil"/>
              <w:right w:val="nil"/>
            </w:tcBorders>
          </w:tcPr>
          <w:p w:rsidR="00B721FE" w:rsidRPr="00406019" w:rsidRDefault="00B721FE" w:rsidP="004E7BC8">
            <w:pPr>
              <w:spacing w:before="80" w:after="80"/>
              <w:rPr>
                <w:sz w:val="20"/>
                <w:lang w:val="en-NZ"/>
              </w:rPr>
            </w:pPr>
          </w:p>
        </w:tc>
        <w:tc>
          <w:tcPr>
            <w:tcW w:w="6531" w:type="dxa"/>
            <w:gridSpan w:val="3"/>
            <w:tcBorders>
              <w:top w:val="nil"/>
              <w:left w:val="nil"/>
              <w:bottom w:val="single" w:sz="4" w:space="0" w:color="auto"/>
              <w:right w:val="nil"/>
            </w:tcBorders>
          </w:tcPr>
          <w:p w:rsidR="00B721FE" w:rsidRPr="00406019" w:rsidRDefault="00B721FE" w:rsidP="004E7BC8">
            <w:pPr>
              <w:spacing w:before="80" w:after="80"/>
              <w:jc w:val="center"/>
              <w:rPr>
                <w:b/>
                <w:sz w:val="20"/>
                <w:lang w:val="en-NZ"/>
              </w:rPr>
            </w:pPr>
            <w:r w:rsidRPr="00406019">
              <w:rPr>
                <w:b/>
                <w:sz w:val="20"/>
                <w:lang w:val="en-NZ"/>
              </w:rPr>
              <w:t>B</w:t>
            </w:r>
          </w:p>
        </w:tc>
      </w:tr>
      <w:tr w:rsidR="00B721FE" w:rsidRPr="00406019" w:rsidTr="00F2089E">
        <w:tc>
          <w:tcPr>
            <w:tcW w:w="534" w:type="dxa"/>
            <w:tcBorders>
              <w:top w:val="nil"/>
              <w:left w:val="nil"/>
              <w:bottom w:val="nil"/>
              <w:right w:val="nil"/>
            </w:tcBorders>
          </w:tcPr>
          <w:p w:rsidR="00B721FE" w:rsidRPr="00406019" w:rsidRDefault="00B721FE" w:rsidP="004E7BC8">
            <w:pPr>
              <w:spacing w:before="80" w:after="80"/>
              <w:rPr>
                <w:sz w:val="20"/>
                <w:lang w:val="en-NZ"/>
              </w:rPr>
            </w:pPr>
          </w:p>
        </w:tc>
        <w:tc>
          <w:tcPr>
            <w:tcW w:w="2177" w:type="dxa"/>
            <w:tcBorders>
              <w:top w:val="nil"/>
              <w:left w:val="nil"/>
              <w:bottom w:val="single" w:sz="4" w:space="0" w:color="auto"/>
              <w:right w:val="single" w:sz="4" w:space="0" w:color="auto"/>
            </w:tcBorders>
          </w:tcPr>
          <w:p w:rsidR="00B721FE" w:rsidRPr="00406019" w:rsidRDefault="00B721FE" w:rsidP="004E7BC8">
            <w:pPr>
              <w:spacing w:before="80" w:after="80"/>
              <w:rPr>
                <w:sz w:val="20"/>
                <w:lang w:val="en-NZ"/>
              </w:rPr>
            </w:pPr>
          </w:p>
        </w:tc>
        <w:tc>
          <w:tcPr>
            <w:tcW w:w="2177" w:type="dxa"/>
            <w:tcBorders>
              <w:top w:val="single" w:sz="4" w:space="0" w:color="auto"/>
              <w:left w:val="single" w:sz="4" w:space="0" w:color="auto"/>
              <w:bottom w:val="single" w:sz="4" w:space="0" w:color="auto"/>
            </w:tcBorders>
          </w:tcPr>
          <w:p w:rsidR="00B721FE" w:rsidRPr="00406019" w:rsidRDefault="00B721FE" w:rsidP="004E7BC8">
            <w:pPr>
              <w:spacing w:before="80" w:after="80"/>
              <w:jc w:val="center"/>
              <w:rPr>
                <w:b/>
                <w:sz w:val="20"/>
                <w:lang w:val="en-NZ"/>
              </w:rPr>
            </w:pPr>
            <w:r w:rsidRPr="00406019">
              <w:rPr>
                <w:b/>
                <w:sz w:val="20"/>
                <w:lang w:val="en-NZ"/>
              </w:rPr>
              <w:t>Holds on capital account</w:t>
            </w:r>
          </w:p>
        </w:tc>
        <w:tc>
          <w:tcPr>
            <w:tcW w:w="2177" w:type="dxa"/>
            <w:tcBorders>
              <w:top w:val="single" w:sz="4" w:space="0" w:color="auto"/>
              <w:bottom w:val="single" w:sz="4" w:space="0" w:color="auto"/>
            </w:tcBorders>
          </w:tcPr>
          <w:p w:rsidR="00B721FE" w:rsidRPr="00406019" w:rsidRDefault="00B721FE" w:rsidP="004E7BC8">
            <w:pPr>
              <w:spacing w:before="80" w:after="80"/>
              <w:jc w:val="center"/>
              <w:rPr>
                <w:b/>
                <w:sz w:val="20"/>
                <w:lang w:val="en-NZ"/>
              </w:rPr>
            </w:pPr>
            <w:r w:rsidRPr="00406019">
              <w:rPr>
                <w:b/>
                <w:sz w:val="20"/>
                <w:lang w:val="en-NZ"/>
              </w:rPr>
              <w:t>Holds on revenue account (except if solely due to 10</w:t>
            </w:r>
            <w:r w:rsidR="00FF1FE9" w:rsidRPr="00406019">
              <w:rPr>
                <w:b/>
                <w:sz w:val="20"/>
                <w:lang w:val="en-NZ"/>
              </w:rPr>
              <w:t>-</w:t>
            </w:r>
            <w:r w:rsidRPr="00406019">
              <w:rPr>
                <w:b/>
                <w:sz w:val="20"/>
                <w:lang w:val="en-NZ"/>
              </w:rPr>
              <w:t>year rule)</w:t>
            </w:r>
          </w:p>
        </w:tc>
        <w:tc>
          <w:tcPr>
            <w:tcW w:w="2177" w:type="dxa"/>
            <w:tcBorders>
              <w:top w:val="single" w:sz="4" w:space="0" w:color="auto"/>
              <w:bottom w:val="single" w:sz="4" w:space="0" w:color="auto"/>
            </w:tcBorders>
          </w:tcPr>
          <w:p w:rsidR="00B721FE" w:rsidRPr="00406019" w:rsidRDefault="00B721FE" w:rsidP="004E7BC8">
            <w:pPr>
              <w:spacing w:before="80" w:after="80"/>
              <w:jc w:val="center"/>
              <w:rPr>
                <w:b/>
                <w:sz w:val="20"/>
                <w:lang w:val="en-NZ"/>
              </w:rPr>
            </w:pPr>
            <w:r w:rsidRPr="00406019">
              <w:rPr>
                <w:b/>
                <w:sz w:val="20"/>
                <w:lang w:val="en-NZ"/>
              </w:rPr>
              <w:t>Holds on revenue account solely due to 10</w:t>
            </w:r>
            <w:r w:rsidR="00FF1FE9" w:rsidRPr="00406019">
              <w:rPr>
                <w:b/>
                <w:sz w:val="20"/>
                <w:lang w:val="en-NZ"/>
              </w:rPr>
              <w:t>-</w:t>
            </w:r>
            <w:r w:rsidRPr="00406019">
              <w:rPr>
                <w:b/>
                <w:sz w:val="20"/>
                <w:lang w:val="en-NZ"/>
              </w:rPr>
              <w:t>year rule</w:t>
            </w:r>
          </w:p>
        </w:tc>
      </w:tr>
      <w:tr w:rsidR="00B721FE" w:rsidRPr="00406019" w:rsidTr="00F2089E">
        <w:tc>
          <w:tcPr>
            <w:tcW w:w="534" w:type="dxa"/>
            <w:vMerge w:val="restart"/>
            <w:tcBorders>
              <w:top w:val="nil"/>
              <w:left w:val="nil"/>
              <w:bottom w:val="nil"/>
              <w:right w:val="single" w:sz="4" w:space="0" w:color="auto"/>
            </w:tcBorders>
            <w:vAlign w:val="center"/>
          </w:tcPr>
          <w:p w:rsidR="00B721FE" w:rsidRPr="00406019" w:rsidRDefault="00B721FE" w:rsidP="004E7BC8">
            <w:pPr>
              <w:spacing w:before="80" w:after="80"/>
              <w:jc w:val="center"/>
              <w:rPr>
                <w:b/>
                <w:sz w:val="20"/>
                <w:lang w:val="en-NZ"/>
              </w:rPr>
            </w:pPr>
            <w:r w:rsidRPr="00406019">
              <w:rPr>
                <w:b/>
                <w:sz w:val="20"/>
                <w:lang w:val="en-NZ"/>
              </w:rPr>
              <w:t>A</w:t>
            </w:r>
          </w:p>
        </w:tc>
        <w:tc>
          <w:tcPr>
            <w:tcW w:w="2177" w:type="dxa"/>
            <w:tcBorders>
              <w:top w:val="single" w:sz="4" w:space="0" w:color="auto"/>
              <w:left w:val="single" w:sz="4" w:space="0" w:color="auto"/>
            </w:tcBorders>
          </w:tcPr>
          <w:p w:rsidR="00B721FE" w:rsidRPr="00406019" w:rsidRDefault="00B721FE" w:rsidP="004E7BC8">
            <w:pPr>
              <w:spacing w:before="80" w:after="80"/>
              <w:jc w:val="left"/>
              <w:rPr>
                <w:b/>
                <w:sz w:val="20"/>
                <w:lang w:val="en-NZ"/>
              </w:rPr>
            </w:pPr>
            <w:r w:rsidRPr="00406019">
              <w:rPr>
                <w:b/>
                <w:sz w:val="20"/>
                <w:lang w:val="en-NZ"/>
              </w:rPr>
              <w:t>Holds on capital account</w:t>
            </w:r>
          </w:p>
        </w:tc>
        <w:tc>
          <w:tcPr>
            <w:tcW w:w="2177" w:type="dxa"/>
            <w:tcBorders>
              <w:top w:val="single" w:sz="4" w:space="0" w:color="auto"/>
            </w:tcBorders>
          </w:tcPr>
          <w:p w:rsidR="00B721FE" w:rsidRPr="00406019" w:rsidRDefault="00B721FE" w:rsidP="00F2089E">
            <w:pPr>
              <w:spacing w:before="80" w:after="80"/>
              <w:jc w:val="center"/>
              <w:rPr>
                <w:sz w:val="20"/>
                <w:lang w:val="en-NZ"/>
              </w:rPr>
            </w:pPr>
            <w:r w:rsidRPr="00406019">
              <w:rPr>
                <w:sz w:val="20"/>
                <w:lang w:val="en-NZ"/>
              </w:rPr>
              <w:t>Cost</w:t>
            </w:r>
          </w:p>
        </w:tc>
        <w:tc>
          <w:tcPr>
            <w:tcW w:w="2177" w:type="dxa"/>
            <w:tcBorders>
              <w:top w:val="single" w:sz="4" w:space="0" w:color="auto"/>
            </w:tcBorders>
          </w:tcPr>
          <w:p w:rsidR="00B721FE" w:rsidRPr="00406019" w:rsidRDefault="00B721FE" w:rsidP="00F2089E">
            <w:pPr>
              <w:spacing w:before="80" w:after="80"/>
              <w:jc w:val="center"/>
              <w:rPr>
                <w:sz w:val="20"/>
                <w:lang w:val="en-NZ"/>
              </w:rPr>
            </w:pPr>
            <w:r w:rsidRPr="00406019">
              <w:rPr>
                <w:sz w:val="20"/>
                <w:lang w:val="en-NZ"/>
              </w:rPr>
              <w:t>Market</w:t>
            </w:r>
          </w:p>
        </w:tc>
        <w:tc>
          <w:tcPr>
            <w:tcW w:w="2177" w:type="dxa"/>
            <w:tcBorders>
              <w:top w:val="single" w:sz="4" w:space="0" w:color="auto"/>
            </w:tcBorders>
          </w:tcPr>
          <w:p w:rsidR="00B721FE" w:rsidRPr="00406019" w:rsidRDefault="00B721FE" w:rsidP="00F2089E">
            <w:pPr>
              <w:spacing w:before="80" w:after="80"/>
              <w:jc w:val="center"/>
              <w:rPr>
                <w:sz w:val="20"/>
                <w:lang w:val="en-NZ"/>
              </w:rPr>
            </w:pPr>
            <w:r w:rsidRPr="00406019">
              <w:rPr>
                <w:sz w:val="20"/>
                <w:lang w:val="en-NZ"/>
              </w:rPr>
              <w:t>Market</w:t>
            </w:r>
          </w:p>
        </w:tc>
      </w:tr>
      <w:tr w:rsidR="00B721FE" w:rsidRPr="00406019" w:rsidTr="00F2089E">
        <w:tc>
          <w:tcPr>
            <w:tcW w:w="534" w:type="dxa"/>
            <w:vMerge/>
            <w:tcBorders>
              <w:top w:val="nil"/>
              <w:left w:val="nil"/>
              <w:bottom w:val="nil"/>
              <w:right w:val="single" w:sz="4" w:space="0" w:color="auto"/>
            </w:tcBorders>
          </w:tcPr>
          <w:p w:rsidR="00B721FE" w:rsidRPr="00406019" w:rsidRDefault="00B721FE" w:rsidP="004E7BC8">
            <w:pPr>
              <w:spacing w:before="80" w:after="80"/>
              <w:rPr>
                <w:sz w:val="20"/>
                <w:lang w:val="en-NZ"/>
              </w:rPr>
            </w:pPr>
          </w:p>
        </w:tc>
        <w:tc>
          <w:tcPr>
            <w:tcW w:w="2177" w:type="dxa"/>
            <w:tcBorders>
              <w:left w:val="single" w:sz="4" w:space="0" w:color="auto"/>
            </w:tcBorders>
          </w:tcPr>
          <w:p w:rsidR="00B721FE" w:rsidRPr="00406019" w:rsidRDefault="00B721FE" w:rsidP="004E7BC8">
            <w:pPr>
              <w:spacing w:before="80" w:after="80"/>
              <w:jc w:val="left"/>
              <w:rPr>
                <w:b/>
                <w:sz w:val="20"/>
                <w:lang w:val="en-NZ"/>
              </w:rPr>
            </w:pPr>
            <w:r w:rsidRPr="00406019">
              <w:rPr>
                <w:b/>
                <w:sz w:val="20"/>
                <w:lang w:val="en-NZ"/>
              </w:rPr>
              <w:t>Holds on revenue account (except if solely due to 10</w:t>
            </w:r>
            <w:r w:rsidR="00FF1FE9" w:rsidRPr="00406019">
              <w:rPr>
                <w:b/>
                <w:sz w:val="20"/>
                <w:lang w:val="en-NZ"/>
              </w:rPr>
              <w:t>-</w:t>
            </w:r>
            <w:r w:rsidRPr="00406019">
              <w:rPr>
                <w:b/>
                <w:sz w:val="20"/>
                <w:lang w:val="en-NZ"/>
              </w:rPr>
              <w:t>year rule)</w:t>
            </w:r>
          </w:p>
        </w:tc>
        <w:tc>
          <w:tcPr>
            <w:tcW w:w="2177" w:type="dxa"/>
          </w:tcPr>
          <w:p w:rsidR="00B721FE" w:rsidRPr="00406019" w:rsidRDefault="00B721FE" w:rsidP="00F2089E">
            <w:pPr>
              <w:spacing w:before="80" w:after="80"/>
              <w:jc w:val="center"/>
              <w:rPr>
                <w:sz w:val="20"/>
                <w:lang w:val="en-NZ"/>
              </w:rPr>
            </w:pPr>
            <w:r w:rsidRPr="00406019">
              <w:rPr>
                <w:sz w:val="20"/>
                <w:lang w:val="en-NZ"/>
              </w:rPr>
              <w:t>Market</w:t>
            </w:r>
          </w:p>
        </w:tc>
        <w:tc>
          <w:tcPr>
            <w:tcW w:w="2177" w:type="dxa"/>
          </w:tcPr>
          <w:p w:rsidR="00B721FE" w:rsidRPr="00406019" w:rsidRDefault="00B721FE" w:rsidP="00F2089E">
            <w:pPr>
              <w:spacing w:before="80" w:after="80"/>
              <w:jc w:val="center"/>
              <w:rPr>
                <w:sz w:val="20"/>
                <w:lang w:val="en-NZ"/>
              </w:rPr>
            </w:pPr>
            <w:r w:rsidRPr="00406019">
              <w:rPr>
                <w:sz w:val="20"/>
                <w:lang w:val="en-NZ"/>
              </w:rPr>
              <w:t>Cost</w:t>
            </w:r>
          </w:p>
        </w:tc>
        <w:tc>
          <w:tcPr>
            <w:tcW w:w="2177" w:type="dxa"/>
          </w:tcPr>
          <w:p w:rsidR="00B721FE" w:rsidRPr="00406019" w:rsidRDefault="00B721FE" w:rsidP="00F2089E">
            <w:pPr>
              <w:spacing w:before="80" w:after="80"/>
              <w:jc w:val="center"/>
              <w:rPr>
                <w:i/>
                <w:strike/>
                <w:sz w:val="20"/>
                <w:u w:val="single"/>
                <w:lang w:val="en-NZ"/>
              </w:rPr>
            </w:pPr>
            <w:r w:rsidRPr="00406019">
              <w:rPr>
                <w:i/>
                <w:strike/>
                <w:sz w:val="20"/>
                <w:lang w:val="en-NZ"/>
              </w:rPr>
              <w:t>Cost</w:t>
            </w:r>
            <w:r w:rsidR="00295FBF" w:rsidRPr="00406019">
              <w:rPr>
                <w:i/>
                <w:strike/>
                <w:sz w:val="20"/>
                <w:lang w:val="en-NZ"/>
              </w:rPr>
              <w:t xml:space="preserve"> </w:t>
            </w:r>
            <w:r w:rsidR="00295FBF" w:rsidRPr="00406019">
              <w:rPr>
                <w:i/>
                <w:sz w:val="20"/>
                <w:u w:val="single"/>
                <w:lang w:val="en-NZ"/>
              </w:rPr>
              <w:t>Market</w:t>
            </w:r>
          </w:p>
        </w:tc>
      </w:tr>
      <w:tr w:rsidR="00B721FE" w:rsidRPr="00406019" w:rsidTr="00F2089E">
        <w:tc>
          <w:tcPr>
            <w:tcW w:w="534" w:type="dxa"/>
            <w:vMerge/>
            <w:tcBorders>
              <w:top w:val="nil"/>
              <w:left w:val="nil"/>
              <w:bottom w:val="nil"/>
              <w:right w:val="single" w:sz="4" w:space="0" w:color="auto"/>
            </w:tcBorders>
          </w:tcPr>
          <w:p w:rsidR="00B721FE" w:rsidRPr="00406019" w:rsidRDefault="00B721FE" w:rsidP="004E7BC8">
            <w:pPr>
              <w:spacing w:before="80" w:after="80"/>
              <w:rPr>
                <w:sz w:val="20"/>
                <w:lang w:val="en-NZ"/>
              </w:rPr>
            </w:pPr>
          </w:p>
        </w:tc>
        <w:tc>
          <w:tcPr>
            <w:tcW w:w="2177" w:type="dxa"/>
            <w:tcBorders>
              <w:left w:val="single" w:sz="4" w:space="0" w:color="auto"/>
            </w:tcBorders>
          </w:tcPr>
          <w:p w:rsidR="00B721FE" w:rsidRPr="00406019" w:rsidRDefault="00B721FE" w:rsidP="004E7BC8">
            <w:pPr>
              <w:spacing w:before="80" w:after="80"/>
              <w:jc w:val="left"/>
              <w:rPr>
                <w:b/>
                <w:sz w:val="20"/>
                <w:lang w:val="en-NZ"/>
              </w:rPr>
            </w:pPr>
            <w:r w:rsidRPr="00406019">
              <w:rPr>
                <w:b/>
                <w:sz w:val="20"/>
                <w:lang w:val="en-NZ"/>
              </w:rPr>
              <w:t>Holds on revenue account solely due to 10</w:t>
            </w:r>
            <w:r w:rsidR="00FF1FE9" w:rsidRPr="00406019">
              <w:rPr>
                <w:b/>
                <w:sz w:val="20"/>
                <w:lang w:val="en-NZ"/>
              </w:rPr>
              <w:t>-</w:t>
            </w:r>
            <w:r w:rsidRPr="00406019">
              <w:rPr>
                <w:b/>
                <w:sz w:val="20"/>
                <w:lang w:val="en-NZ"/>
              </w:rPr>
              <w:t>year rule</w:t>
            </w:r>
          </w:p>
        </w:tc>
        <w:tc>
          <w:tcPr>
            <w:tcW w:w="2177" w:type="dxa"/>
          </w:tcPr>
          <w:p w:rsidR="00B721FE" w:rsidRPr="00406019" w:rsidRDefault="00B721FE" w:rsidP="00F2089E">
            <w:pPr>
              <w:spacing w:before="80" w:after="80"/>
              <w:jc w:val="center"/>
              <w:rPr>
                <w:sz w:val="20"/>
                <w:lang w:val="en-NZ"/>
              </w:rPr>
            </w:pPr>
            <w:r w:rsidRPr="00406019">
              <w:rPr>
                <w:sz w:val="20"/>
                <w:lang w:val="en-NZ"/>
              </w:rPr>
              <w:t>Cost</w:t>
            </w:r>
          </w:p>
        </w:tc>
        <w:tc>
          <w:tcPr>
            <w:tcW w:w="2177" w:type="dxa"/>
          </w:tcPr>
          <w:p w:rsidR="00B721FE" w:rsidRPr="00406019" w:rsidRDefault="00B721FE" w:rsidP="00F2089E">
            <w:pPr>
              <w:spacing w:before="80" w:after="80"/>
              <w:jc w:val="center"/>
              <w:rPr>
                <w:sz w:val="20"/>
                <w:lang w:val="en-NZ"/>
              </w:rPr>
            </w:pPr>
            <w:r w:rsidRPr="00406019">
              <w:rPr>
                <w:sz w:val="20"/>
                <w:lang w:val="en-NZ"/>
              </w:rPr>
              <w:t>Cost</w:t>
            </w:r>
          </w:p>
        </w:tc>
        <w:tc>
          <w:tcPr>
            <w:tcW w:w="2177" w:type="dxa"/>
          </w:tcPr>
          <w:p w:rsidR="00B721FE" w:rsidRPr="00406019" w:rsidRDefault="00B721FE" w:rsidP="00F2089E">
            <w:pPr>
              <w:spacing w:before="80" w:after="80"/>
              <w:jc w:val="center"/>
              <w:rPr>
                <w:sz w:val="20"/>
                <w:lang w:val="en-NZ"/>
              </w:rPr>
            </w:pPr>
            <w:r w:rsidRPr="00406019">
              <w:rPr>
                <w:sz w:val="20"/>
                <w:lang w:val="en-NZ"/>
              </w:rPr>
              <w:t>Cost</w:t>
            </w:r>
          </w:p>
        </w:tc>
      </w:tr>
    </w:tbl>
    <w:p w:rsidR="00B721FE" w:rsidRPr="00406019" w:rsidRDefault="00B721FE" w:rsidP="00B721FE">
      <w:pPr>
        <w:rPr>
          <w:lang w:val="en-NZ"/>
        </w:rPr>
      </w:pPr>
    </w:p>
    <w:p w:rsidR="00B721FE" w:rsidRPr="00406019" w:rsidRDefault="00B721FE" w:rsidP="00B721FE">
      <w:pPr>
        <w:rPr>
          <w:lang w:val="en-NZ"/>
        </w:rPr>
      </w:pPr>
    </w:p>
    <w:p w:rsidR="00B721FE" w:rsidRPr="00406019" w:rsidRDefault="00B721FE" w:rsidP="00B721FE">
      <w:pPr>
        <w:rPr>
          <w:lang w:val="en-NZ"/>
        </w:rPr>
      </w:pPr>
      <w:r w:rsidRPr="00406019">
        <w:rPr>
          <w:lang w:val="en-NZ"/>
        </w:rPr>
        <w:t>However</w:t>
      </w:r>
      <w:r w:rsidR="00BC1BFC" w:rsidRPr="00406019">
        <w:rPr>
          <w:lang w:val="en-NZ"/>
        </w:rPr>
        <w:t>,</w:t>
      </w:r>
      <w:r w:rsidRPr="00406019">
        <w:rPr>
          <w:lang w:val="en-NZ"/>
        </w:rPr>
        <w:t xml:space="preserve"> whe</w:t>
      </w:r>
      <w:r w:rsidR="00FF1FE9" w:rsidRPr="00406019">
        <w:rPr>
          <w:lang w:val="en-NZ"/>
        </w:rPr>
        <w:t>n</w:t>
      </w:r>
      <w:r w:rsidRPr="00406019">
        <w:rPr>
          <w:lang w:val="en-NZ"/>
        </w:rPr>
        <w:t xml:space="preserve"> the amalgamated company hold</w:t>
      </w:r>
      <w:r w:rsidR="00FF1FE9" w:rsidRPr="00406019">
        <w:rPr>
          <w:lang w:val="en-NZ"/>
        </w:rPr>
        <w:t>s</w:t>
      </w:r>
      <w:r w:rsidRPr="00406019">
        <w:rPr>
          <w:lang w:val="en-NZ"/>
        </w:rPr>
        <w:t xml:space="preserve"> the property on revenue account</w:t>
      </w:r>
      <w:r w:rsidR="00FF1FE9" w:rsidRPr="00406019">
        <w:rPr>
          <w:lang w:val="en-NZ"/>
        </w:rPr>
        <w:t>,</w:t>
      </w:r>
      <w:r w:rsidRPr="00406019">
        <w:rPr>
          <w:lang w:val="en-NZ"/>
        </w:rPr>
        <w:t xml:space="preserve"> if </w:t>
      </w:r>
      <w:r w:rsidR="00FF1FE9" w:rsidRPr="00406019">
        <w:rPr>
          <w:lang w:val="en-NZ"/>
        </w:rPr>
        <w:t>it</w:t>
      </w:r>
      <w:r w:rsidRPr="00406019">
        <w:rPr>
          <w:lang w:val="en-NZ"/>
        </w:rPr>
        <w:t xml:space="preserve"> dispose</w:t>
      </w:r>
      <w:r w:rsidR="00FF1FE9" w:rsidRPr="00406019">
        <w:rPr>
          <w:lang w:val="en-NZ"/>
        </w:rPr>
        <w:t>s</w:t>
      </w:r>
      <w:r w:rsidRPr="00406019">
        <w:rPr>
          <w:lang w:val="en-NZ"/>
        </w:rPr>
        <w:t xml:space="preserve"> of the property within 10 years</w:t>
      </w:r>
      <w:r w:rsidR="00FF1FE9" w:rsidRPr="00406019">
        <w:rPr>
          <w:lang w:val="en-NZ"/>
        </w:rPr>
        <w:t>,</w:t>
      </w:r>
      <w:r w:rsidRPr="00406019">
        <w:rPr>
          <w:lang w:val="en-NZ"/>
        </w:rPr>
        <w:t xml:space="preserve"> it is unclear for the amalgamating company whether they transfer the property at cost (and have no tax liability) or at market value (and have a tax liability).</w:t>
      </w:r>
    </w:p>
    <w:p w:rsidR="006F5BED" w:rsidRPr="00406019" w:rsidRDefault="006F5BED" w:rsidP="002C773A">
      <w:pPr>
        <w:rPr>
          <w:lang w:val="en-NZ"/>
        </w:rPr>
      </w:pPr>
      <w:r w:rsidRPr="00406019">
        <w:rPr>
          <w:lang w:val="en-NZ"/>
        </w:rPr>
        <w:br w:type="page"/>
      </w:r>
    </w:p>
    <w:p w:rsidR="008F5141" w:rsidRPr="00406019" w:rsidRDefault="008F5141" w:rsidP="008F5141">
      <w:pPr>
        <w:pStyle w:val="Heading1"/>
      </w:pPr>
      <w:bookmarkStart w:id="22" w:name="_Toc428169683"/>
      <w:r w:rsidRPr="00406019">
        <w:t>Non-active trusts may be excused from filing returns</w:t>
      </w:r>
      <w:bookmarkEnd w:id="22"/>
    </w:p>
    <w:p w:rsidR="008F5141" w:rsidRPr="00406019" w:rsidRDefault="008F5141" w:rsidP="008F5141">
      <w:pPr>
        <w:rPr>
          <w:sz w:val="22"/>
          <w:szCs w:val="22"/>
          <w:lang w:val="en-NZ"/>
        </w:rPr>
      </w:pPr>
    </w:p>
    <w:p w:rsidR="008F5141" w:rsidRPr="00406019" w:rsidRDefault="00BC1BFC" w:rsidP="008F5141">
      <w:pPr>
        <w:rPr>
          <w:b/>
          <w:i/>
          <w:lang w:val="en-NZ"/>
        </w:rPr>
      </w:pPr>
      <w:r w:rsidRPr="00406019">
        <w:rPr>
          <w:b/>
          <w:i/>
          <w:lang w:val="en-NZ"/>
        </w:rPr>
        <w:t>(Clause</w:t>
      </w:r>
      <w:r w:rsidR="008F5141" w:rsidRPr="00406019">
        <w:rPr>
          <w:b/>
          <w:i/>
          <w:lang w:val="en-NZ"/>
        </w:rPr>
        <w:t xml:space="preserve"> </w:t>
      </w:r>
      <w:r w:rsidRPr="00406019">
        <w:rPr>
          <w:b/>
          <w:i/>
          <w:lang w:val="en-NZ"/>
        </w:rPr>
        <w:t>16</w:t>
      </w:r>
      <w:r w:rsidR="008F5141" w:rsidRPr="00406019">
        <w:rPr>
          <w:b/>
          <w:i/>
          <w:lang w:val="en-NZ"/>
        </w:rPr>
        <w:t>)</w:t>
      </w:r>
    </w:p>
    <w:p w:rsidR="008F5141" w:rsidRPr="00406019" w:rsidRDefault="008F5141" w:rsidP="008F5141">
      <w:pPr>
        <w:rPr>
          <w:szCs w:val="24"/>
          <w:lang w:val="en-NZ"/>
        </w:rPr>
      </w:pPr>
    </w:p>
    <w:p w:rsidR="00607BF2" w:rsidRPr="00406019" w:rsidRDefault="00607BF2" w:rsidP="008F5141">
      <w:pPr>
        <w:rPr>
          <w:szCs w:val="24"/>
          <w:lang w:val="en-NZ"/>
        </w:rPr>
      </w:pPr>
    </w:p>
    <w:p w:rsidR="008F5141" w:rsidRPr="00406019" w:rsidRDefault="008F5141" w:rsidP="008F5141">
      <w:pPr>
        <w:pStyle w:val="Heading2"/>
        <w:rPr>
          <w:szCs w:val="24"/>
          <w:lang w:val="en-NZ"/>
        </w:rPr>
      </w:pPr>
      <w:r w:rsidRPr="00406019">
        <w:rPr>
          <w:szCs w:val="24"/>
          <w:lang w:val="en-NZ"/>
        </w:rPr>
        <w:t>Summary of proposed amendment</w:t>
      </w:r>
    </w:p>
    <w:p w:rsidR="008F5141" w:rsidRPr="00406019" w:rsidRDefault="008F5141" w:rsidP="008F5141">
      <w:pPr>
        <w:rPr>
          <w:szCs w:val="24"/>
          <w:lang w:val="en-NZ"/>
        </w:rPr>
      </w:pPr>
    </w:p>
    <w:p w:rsidR="008F5141" w:rsidRPr="00406019" w:rsidRDefault="008F5141" w:rsidP="008F5141">
      <w:pPr>
        <w:rPr>
          <w:szCs w:val="24"/>
          <w:lang w:val="en-NZ"/>
        </w:rPr>
      </w:pPr>
      <w:r w:rsidRPr="00406019">
        <w:rPr>
          <w:szCs w:val="24"/>
          <w:lang w:val="en-NZ"/>
        </w:rPr>
        <w:t xml:space="preserve">The amendment </w:t>
      </w:r>
      <w:r w:rsidR="00AE61EC" w:rsidRPr="00406019">
        <w:rPr>
          <w:szCs w:val="24"/>
          <w:lang w:val="en-NZ"/>
        </w:rPr>
        <w:t>proposes to introduce</w:t>
      </w:r>
      <w:r w:rsidRPr="00406019">
        <w:rPr>
          <w:szCs w:val="24"/>
          <w:lang w:val="en-NZ"/>
        </w:rPr>
        <w:t xml:space="preserve"> a new section into the Tax Administration Act 1994</w:t>
      </w:r>
      <w:r w:rsidR="00021CFC" w:rsidRPr="00406019">
        <w:rPr>
          <w:szCs w:val="24"/>
          <w:lang w:val="en-NZ"/>
        </w:rPr>
        <w:t xml:space="preserve">.  </w:t>
      </w:r>
      <w:r w:rsidRPr="00406019">
        <w:rPr>
          <w:szCs w:val="24"/>
          <w:lang w:val="en-NZ"/>
        </w:rPr>
        <w:t xml:space="preserve">It </w:t>
      </w:r>
      <w:r w:rsidR="00AE61EC" w:rsidRPr="00406019">
        <w:rPr>
          <w:szCs w:val="24"/>
          <w:lang w:val="en-NZ"/>
        </w:rPr>
        <w:t xml:space="preserve">will </w:t>
      </w:r>
      <w:r w:rsidR="00A3624B" w:rsidRPr="00406019">
        <w:rPr>
          <w:szCs w:val="24"/>
          <w:lang w:val="en-NZ"/>
        </w:rPr>
        <w:t>allow</w:t>
      </w:r>
      <w:r w:rsidR="00295FBF" w:rsidRPr="00406019">
        <w:rPr>
          <w:szCs w:val="24"/>
          <w:lang w:val="en-NZ"/>
        </w:rPr>
        <w:t xml:space="preserve"> </w:t>
      </w:r>
      <w:r w:rsidRPr="00406019">
        <w:rPr>
          <w:szCs w:val="24"/>
          <w:lang w:val="en-NZ"/>
        </w:rPr>
        <w:t>non-active trusts (which are currently required to file nil income tax returns) to be exempted from the obligation to file, thereby reducing their compliance costs.</w:t>
      </w:r>
    </w:p>
    <w:p w:rsidR="005A32D9" w:rsidRPr="00406019" w:rsidRDefault="005A32D9" w:rsidP="005A32D9">
      <w:pPr>
        <w:rPr>
          <w:szCs w:val="24"/>
          <w:lang w:val="en-NZ"/>
        </w:rPr>
      </w:pPr>
    </w:p>
    <w:p w:rsidR="00607BF2" w:rsidRPr="00406019" w:rsidRDefault="00607BF2" w:rsidP="005A32D9">
      <w:pPr>
        <w:rPr>
          <w:szCs w:val="24"/>
          <w:lang w:val="en-NZ"/>
        </w:rPr>
      </w:pPr>
    </w:p>
    <w:p w:rsidR="008F5141" w:rsidRPr="00406019" w:rsidRDefault="008F5141" w:rsidP="008F5141">
      <w:pPr>
        <w:pStyle w:val="Heading2"/>
        <w:rPr>
          <w:szCs w:val="24"/>
          <w:lang w:val="en-NZ"/>
        </w:rPr>
      </w:pPr>
      <w:r w:rsidRPr="00406019">
        <w:rPr>
          <w:szCs w:val="24"/>
          <w:lang w:val="en-NZ"/>
        </w:rPr>
        <w:t>Application date</w:t>
      </w:r>
    </w:p>
    <w:p w:rsidR="008F5141" w:rsidRPr="00406019" w:rsidRDefault="008F5141" w:rsidP="008F5141">
      <w:pPr>
        <w:rPr>
          <w:szCs w:val="24"/>
          <w:lang w:val="en-NZ"/>
        </w:rPr>
      </w:pPr>
    </w:p>
    <w:p w:rsidR="008F5141" w:rsidRPr="00406019" w:rsidRDefault="008F5141" w:rsidP="008F5141">
      <w:pPr>
        <w:rPr>
          <w:szCs w:val="24"/>
          <w:lang w:val="en-NZ"/>
        </w:rPr>
      </w:pPr>
      <w:r w:rsidRPr="00406019">
        <w:rPr>
          <w:szCs w:val="24"/>
          <w:lang w:val="en-NZ"/>
        </w:rPr>
        <w:t xml:space="preserve">The amendment will </w:t>
      </w:r>
      <w:r w:rsidR="00300DF6" w:rsidRPr="00406019">
        <w:rPr>
          <w:szCs w:val="24"/>
          <w:lang w:val="en-NZ"/>
        </w:rPr>
        <w:t xml:space="preserve">come into force on </w:t>
      </w:r>
      <w:r w:rsidRPr="00406019">
        <w:rPr>
          <w:szCs w:val="24"/>
          <w:lang w:val="en-NZ"/>
        </w:rPr>
        <w:t>the date of enactment.</w:t>
      </w:r>
    </w:p>
    <w:p w:rsidR="008F5141" w:rsidRPr="00406019" w:rsidRDefault="008F5141" w:rsidP="00300DF6">
      <w:pPr>
        <w:rPr>
          <w:szCs w:val="24"/>
          <w:lang w:val="en-NZ"/>
        </w:rPr>
      </w:pPr>
    </w:p>
    <w:p w:rsidR="00607BF2" w:rsidRPr="00406019" w:rsidRDefault="00607BF2" w:rsidP="00300DF6">
      <w:pPr>
        <w:rPr>
          <w:szCs w:val="24"/>
          <w:lang w:val="en-NZ"/>
        </w:rPr>
      </w:pPr>
    </w:p>
    <w:p w:rsidR="008F5141" w:rsidRPr="00406019" w:rsidRDefault="008F5141" w:rsidP="008F5141">
      <w:pPr>
        <w:pStyle w:val="Heading2"/>
        <w:rPr>
          <w:szCs w:val="24"/>
          <w:lang w:val="en-NZ"/>
        </w:rPr>
      </w:pPr>
      <w:r w:rsidRPr="00406019">
        <w:rPr>
          <w:szCs w:val="24"/>
          <w:lang w:val="en-NZ"/>
        </w:rPr>
        <w:t>Key features</w:t>
      </w:r>
    </w:p>
    <w:p w:rsidR="008F5141" w:rsidRPr="00406019" w:rsidRDefault="008F5141" w:rsidP="008F5141">
      <w:pPr>
        <w:rPr>
          <w:szCs w:val="24"/>
          <w:lang w:val="en-NZ"/>
        </w:rPr>
      </w:pPr>
    </w:p>
    <w:p w:rsidR="008F5141" w:rsidRPr="00406019" w:rsidRDefault="00300DF6" w:rsidP="008F5141">
      <w:pPr>
        <w:rPr>
          <w:szCs w:val="24"/>
          <w:lang w:val="en-NZ"/>
        </w:rPr>
      </w:pPr>
      <w:r w:rsidRPr="00406019">
        <w:rPr>
          <w:szCs w:val="24"/>
          <w:lang w:val="en-NZ"/>
        </w:rPr>
        <w:t>T</w:t>
      </w:r>
      <w:r w:rsidR="008F5141" w:rsidRPr="00406019">
        <w:rPr>
          <w:szCs w:val="24"/>
          <w:lang w:val="en-NZ"/>
        </w:rPr>
        <w:t xml:space="preserve">rusts </w:t>
      </w:r>
      <w:r w:rsidRPr="00406019">
        <w:rPr>
          <w:szCs w:val="24"/>
          <w:lang w:val="en-NZ"/>
        </w:rPr>
        <w:t xml:space="preserve">that are non-active </w:t>
      </w:r>
      <w:r w:rsidR="008F5141" w:rsidRPr="00406019">
        <w:rPr>
          <w:szCs w:val="24"/>
          <w:lang w:val="en-NZ"/>
        </w:rPr>
        <w:t>will no longer be required to file annual income tax returns, if:</w:t>
      </w:r>
    </w:p>
    <w:p w:rsidR="008F5141" w:rsidRPr="00406019" w:rsidRDefault="008F5141" w:rsidP="008F5141">
      <w:pPr>
        <w:rPr>
          <w:szCs w:val="24"/>
          <w:lang w:val="en-NZ"/>
        </w:rPr>
      </w:pPr>
    </w:p>
    <w:p w:rsidR="008F5141" w:rsidRPr="00406019" w:rsidRDefault="00300DF6" w:rsidP="00511E52">
      <w:pPr>
        <w:pStyle w:val="Bullets"/>
        <w:rPr>
          <w:lang w:val="en-NZ"/>
        </w:rPr>
      </w:pPr>
      <w:r w:rsidRPr="00406019">
        <w:rPr>
          <w:lang w:val="en-NZ"/>
        </w:rPr>
        <w:t>t</w:t>
      </w:r>
      <w:r w:rsidR="008F5141" w:rsidRPr="00406019">
        <w:rPr>
          <w:lang w:val="en-NZ"/>
        </w:rPr>
        <w:t>hroughout the tax year the trust is a non-active complying trust</w:t>
      </w:r>
      <w:r w:rsidRPr="00406019">
        <w:rPr>
          <w:lang w:val="en-NZ"/>
        </w:rPr>
        <w:t>; and</w:t>
      </w:r>
    </w:p>
    <w:p w:rsidR="008F5141" w:rsidRPr="00406019" w:rsidRDefault="00300DF6" w:rsidP="00511E52">
      <w:pPr>
        <w:pStyle w:val="Bullets-last"/>
        <w:rPr>
          <w:lang w:val="en-NZ"/>
        </w:rPr>
      </w:pPr>
      <w:proofErr w:type="gramStart"/>
      <w:r w:rsidRPr="00406019">
        <w:rPr>
          <w:lang w:val="en-NZ"/>
        </w:rPr>
        <w:t>t</w:t>
      </w:r>
      <w:r w:rsidR="008F5141" w:rsidRPr="00406019">
        <w:rPr>
          <w:lang w:val="en-NZ"/>
        </w:rPr>
        <w:t>he</w:t>
      </w:r>
      <w:proofErr w:type="gramEnd"/>
      <w:r w:rsidR="008F5141" w:rsidRPr="00406019">
        <w:rPr>
          <w:lang w:val="en-NZ"/>
        </w:rPr>
        <w:t xml:space="preserve"> trustee of the trust has filed a declaration that the trust is non-active (and the trust has not become active since making the declaration)</w:t>
      </w:r>
      <w:r w:rsidRPr="00406019">
        <w:rPr>
          <w:lang w:val="en-NZ"/>
        </w:rPr>
        <w:t>.</w:t>
      </w:r>
    </w:p>
    <w:p w:rsidR="008F5141" w:rsidRPr="00406019" w:rsidRDefault="008F5141" w:rsidP="008F5141">
      <w:pPr>
        <w:rPr>
          <w:szCs w:val="24"/>
          <w:lang w:val="en-NZ"/>
        </w:rPr>
      </w:pPr>
    </w:p>
    <w:p w:rsidR="008F5141" w:rsidRPr="00406019" w:rsidRDefault="008F5141" w:rsidP="008F5141">
      <w:pPr>
        <w:rPr>
          <w:szCs w:val="24"/>
          <w:lang w:val="en-NZ"/>
        </w:rPr>
      </w:pPr>
      <w:r w:rsidRPr="00406019">
        <w:rPr>
          <w:szCs w:val="24"/>
          <w:lang w:val="en-NZ"/>
        </w:rPr>
        <w:t>A trust will be non-active if it:</w:t>
      </w:r>
    </w:p>
    <w:p w:rsidR="008F5141" w:rsidRPr="00406019" w:rsidRDefault="008F5141" w:rsidP="008F5141">
      <w:pPr>
        <w:rPr>
          <w:szCs w:val="24"/>
          <w:lang w:val="en-NZ"/>
        </w:rPr>
      </w:pPr>
    </w:p>
    <w:p w:rsidR="008F5141" w:rsidRPr="00406019" w:rsidRDefault="008F5141" w:rsidP="00511E52">
      <w:pPr>
        <w:pStyle w:val="Bullets"/>
        <w:rPr>
          <w:lang w:val="en-NZ"/>
        </w:rPr>
      </w:pPr>
      <w:r w:rsidRPr="00406019">
        <w:rPr>
          <w:lang w:val="en-NZ"/>
        </w:rPr>
        <w:t>has not derived or been deemed to have derived any income;</w:t>
      </w:r>
    </w:p>
    <w:p w:rsidR="008F5141" w:rsidRPr="00406019" w:rsidRDefault="008F5141" w:rsidP="00511E52">
      <w:pPr>
        <w:pStyle w:val="Bullets"/>
        <w:rPr>
          <w:lang w:val="en-NZ"/>
        </w:rPr>
      </w:pPr>
      <w:r w:rsidRPr="00406019">
        <w:rPr>
          <w:lang w:val="en-NZ"/>
        </w:rPr>
        <w:t>has no deductions;</w:t>
      </w:r>
    </w:p>
    <w:p w:rsidR="008F5141" w:rsidRPr="00406019" w:rsidRDefault="008F5141" w:rsidP="00511E52">
      <w:pPr>
        <w:pStyle w:val="Bullets"/>
        <w:rPr>
          <w:lang w:val="en-NZ"/>
        </w:rPr>
      </w:pPr>
      <w:r w:rsidRPr="00406019">
        <w:rPr>
          <w:lang w:val="en-NZ"/>
        </w:rPr>
        <w:t>has not disposed of</w:t>
      </w:r>
      <w:r w:rsidR="00320CBF" w:rsidRPr="00406019">
        <w:rPr>
          <w:lang w:val="en-NZ"/>
        </w:rPr>
        <w:t>,</w:t>
      </w:r>
      <w:r w:rsidRPr="00406019">
        <w:rPr>
          <w:lang w:val="en-NZ"/>
        </w:rPr>
        <w:t xml:space="preserve"> or been deemed to have disposed of</w:t>
      </w:r>
      <w:r w:rsidR="00320CBF" w:rsidRPr="00406019">
        <w:rPr>
          <w:lang w:val="en-NZ"/>
        </w:rPr>
        <w:t>,</w:t>
      </w:r>
      <w:r w:rsidRPr="00406019">
        <w:rPr>
          <w:lang w:val="en-NZ"/>
        </w:rPr>
        <w:t xml:space="preserve"> any assets of the trust; and</w:t>
      </w:r>
    </w:p>
    <w:p w:rsidR="008F5141" w:rsidRPr="00406019" w:rsidRDefault="008F5141" w:rsidP="00511E52">
      <w:pPr>
        <w:pStyle w:val="Bullets-last"/>
        <w:rPr>
          <w:lang w:val="en-NZ"/>
        </w:rPr>
      </w:pPr>
      <w:proofErr w:type="gramStart"/>
      <w:r w:rsidRPr="00406019">
        <w:rPr>
          <w:lang w:val="en-NZ"/>
        </w:rPr>
        <w:t>has</w:t>
      </w:r>
      <w:proofErr w:type="gramEnd"/>
      <w:r w:rsidRPr="00406019">
        <w:rPr>
          <w:lang w:val="en-NZ"/>
        </w:rPr>
        <w:t xml:space="preserve"> not been a party to</w:t>
      </w:r>
      <w:r w:rsidR="00320CBF" w:rsidRPr="00406019">
        <w:rPr>
          <w:lang w:val="en-NZ"/>
        </w:rPr>
        <w:t>,</w:t>
      </w:r>
      <w:r w:rsidRPr="00406019">
        <w:rPr>
          <w:lang w:val="en-NZ"/>
        </w:rPr>
        <w:t xml:space="preserve"> or perpetuated or continued with</w:t>
      </w:r>
      <w:r w:rsidR="00320CBF" w:rsidRPr="00406019">
        <w:rPr>
          <w:lang w:val="en-NZ"/>
        </w:rPr>
        <w:t>,</w:t>
      </w:r>
      <w:r w:rsidRPr="00406019">
        <w:rPr>
          <w:lang w:val="en-NZ"/>
        </w:rPr>
        <w:t xml:space="preserve"> any transactions with assets of the trust in the tax year</w:t>
      </w:r>
      <w:r w:rsidR="00300DF6" w:rsidRPr="00406019">
        <w:rPr>
          <w:lang w:val="en-NZ"/>
        </w:rPr>
        <w:t xml:space="preserve">, </w:t>
      </w:r>
      <w:r w:rsidRPr="00406019">
        <w:rPr>
          <w:lang w:val="en-NZ"/>
        </w:rPr>
        <w:t xml:space="preserve">which </w:t>
      </w:r>
      <w:r w:rsidR="00300DF6" w:rsidRPr="00406019">
        <w:rPr>
          <w:lang w:val="en-NZ"/>
        </w:rPr>
        <w:t xml:space="preserve">give </w:t>
      </w:r>
      <w:r w:rsidRPr="00406019">
        <w:rPr>
          <w:lang w:val="en-NZ"/>
        </w:rPr>
        <w:t>rise to income in any person’s hands, or fringe benefits to any employee or to any former employee.</w:t>
      </w:r>
    </w:p>
    <w:p w:rsidR="008F5141" w:rsidRPr="00406019" w:rsidRDefault="008F5141" w:rsidP="008F5141">
      <w:pPr>
        <w:rPr>
          <w:szCs w:val="24"/>
          <w:lang w:val="en-NZ"/>
        </w:rPr>
      </w:pPr>
    </w:p>
    <w:p w:rsidR="008F5141" w:rsidRPr="00406019" w:rsidRDefault="008F5141" w:rsidP="008F5141">
      <w:pPr>
        <w:rPr>
          <w:szCs w:val="24"/>
          <w:lang w:val="en-NZ"/>
        </w:rPr>
      </w:pPr>
      <w:r w:rsidRPr="00406019">
        <w:rPr>
          <w:szCs w:val="24"/>
          <w:lang w:val="en-NZ"/>
        </w:rPr>
        <w:t xml:space="preserve">Certain minimal amounts of income or deductions </w:t>
      </w:r>
      <w:proofErr w:type="gramStart"/>
      <w:r w:rsidR="00300DF6" w:rsidRPr="00406019">
        <w:rPr>
          <w:szCs w:val="24"/>
          <w:lang w:val="en-NZ"/>
        </w:rPr>
        <w:t xml:space="preserve">can </w:t>
      </w:r>
      <w:r w:rsidR="00AE61EC" w:rsidRPr="00406019">
        <w:rPr>
          <w:szCs w:val="24"/>
          <w:lang w:val="en-NZ"/>
        </w:rPr>
        <w:t>be</w:t>
      </w:r>
      <w:r w:rsidRPr="00406019">
        <w:rPr>
          <w:szCs w:val="24"/>
          <w:lang w:val="en-NZ"/>
        </w:rPr>
        <w:t xml:space="preserve"> ignored</w:t>
      </w:r>
      <w:proofErr w:type="gramEnd"/>
      <w:r w:rsidRPr="00406019">
        <w:rPr>
          <w:szCs w:val="24"/>
          <w:lang w:val="en-NZ"/>
        </w:rPr>
        <w:t xml:space="preserve"> in determining whether a trust is non-active.</w:t>
      </w:r>
    </w:p>
    <w:p w:rsidR="008F5141" w:rsidRPr="00406019" w:rsidRDefault="008F5141" w:rsidP="008F5141">
      <w:pPr>
        <w:rPr>
          <w:szCs w:val="24"/>
          <w:lang w:val="en-NZ"/>
        </w:rPr>
      </w:pPr>
    </w:p>
    <w:p w:rsidR="008F5141" w:rsidRPr="00406019" w:rsidRDefault="008F5141" w:rsidP="008F5141">
      <w:pPr>
        <w:rPr>
          <w:szCs w:val="24"/>
          <w:lang w:val="en-NZ"/>
        </w:rPr>
      </w:pPr>
      <w:r w:rsidRPr="00406019">
        <w:rPr>
          <w:szCs w:val="24"/>
          <w:lang w:val="en-NZ"/>
        </w:rPr>
        <w:t xml:space="preserve">The amendment </w:t>
      </w:r>
      <w:r w:rsidR="00295FBF" w:rsidRPr="00406019">
        <w:rPr>
          <w:szCs w:val="24"/>
          <w:lang w:val="en-NZ"/>
        </w:rPr>
        <w:t xml:space="preserve">sets out </w:t>
      </w:r>
      <w:r w:rsidRPr="00406019">
        <w:rPr>
          <w:szCs w:val="24"/>
          <w:lang w:val="en-NZ"/>
        </w:rPr>
        <w:t>the process by which a non-active trust may make application for exemption from filing income tax returns</w:t>
      </w:r>
      <w:r w:rsidR="00021CFC" w:rsidRPr="00406019">
        <w:rPr>
          <w:szCs w:val="24"/>
          <w:lang w:val="en-NZ"/>
        </w:rPr>
        <w:t xml:space="preserve">.  </w:t>
      </w:r>
      <w:r w:rsidRPr="00406019">
        <w:rPr>
          <w:szCs w:val="24"/>
          <w:lang w:val="en-NZ"/>
        </w:rPr>
        <w:t>This process entails the completion of a declaration</w:t>
      </w:r>
      <w:r w:rsidR="00300DF6" w:rsidRPr="00406019">
        <w:rPr>
          <w:szCs w:val="24"/>
          <w:lang w:val="en-NZ"/>
        </w:rPr>
        <w:t xml:space="preserve"> –</w:t>
      </w:r>
      <w:r w:rsidRPr="00406019">
        <w:rPr>
          <w:szCs w:val="24"/>
          <w:lang w:val="en-NZ"/>
        </w:rPr>
        <w:t xml:space="preserve"> first, that the trust is a non-active trust and secondly, that a trustee of the trust will inform the Commissioner if it ceases to be so</w:t>
      </w:r>
      <w:r w:rsidR="00021CFC" w:rsidRPr="00406019">
        <w:rPr>
          <w:szCs w:val="24"/>
          <w:lang w:val="en-NZ"/>
        </w:rPr>
        <w:t xml:space="preserve">.  </w:t>
      </w:r>
      <w:r w:rsidRPr="00406019">
        <w:rPr>
          <w:szCs w:val="24"/>
          <w:lang w:val="en-NZ"/>
        </w:rPr>
        <w:t xml:space="preserve">The trustees of the trust </w:t>
      </w:r>
      <w:proofErr w:type="gramStart"/>
      <w:r w:rsidRPr="00406019">
        <w:rPr>
          <w:szCs w:val="24"/>
          <w:lang w:val="en-NZ"/>
        </w:rPr>
        <w:t>are thereby placed</w:t>
      </w:r>
      <w:proofErr w:type="gramEnd"/>
      <w:r w:rsidRPr="00406019">
        <w:rPr>
          <w:szCs w:val="24"/>
          <w:lang w:val="en-NZ"/>
        </w:rPr>
        <w:t xml:space="preserve"> under a statutory obligation to inform the Commissioner upon </w:t>
      </w:r>
      <w:r w:rsidR="00300DF6" w:rsidRPr="00406019">
        <w:rPr>
          <w:szCs w:val="24"/>
          <w:lang w:val="en-NZ"/>
        </w:rPr>
        <w:t>the</w:t>
      </w:r>
      <w:r w:rsidRPr="00406019">
        <w:rPr>
          <w:szCs w:val="24"/>
          <w:lang w:val="en-NZ"/>
        </w:rPr>
        <w:t xml:space="preserve"> cessation.</w:t>
      </w:r>
    </w:p>
    <w:p w:rsidR="008F5141" w:rsidRPr="00406019" w:rsidRDefault="008F5141" w:rsidP="008F5141">
      <w:pPr>
        <w:rPr>
          <w:szCs w:val="24"/>
          <w:lang w:val="en-NZ"/>
        </w:rPr>
      </w:pPr>
    </w:p>
    <w:p w:rsidR="00607BF2" w:rsidRPr="00406019" w:rsidRDefault="00607BF2" w:rsidP="002C773A">
      <w:pPr>
        <w:rPr>
          <w:szCs w:val="24"/>
          <w:lang w:val="en-NZ"/>
        </w:rPr>
      </w:pPr>
      <w:r w:rsidRPr="00406019">
        <w:rPr>
          <w:szCs w:val="24"/>
          <w:lang w:val="en-NZ"/>
        </w:rPr>
        <w:br w:type="page"/>
      </w:r>
    </w:p>
    <w:p w:rsidR="008F5141" w:rsidRPr="00406019" w:rsidRDefault="008F5141" w:rsidP="008F5141">
      <w:pPr>
        <w:rPr>
          <w:szCs w:val="24"/>
          <w:lang w:val="en-NZ"/>
        </w:rPr>
      </w:pPr>
      <w:r w:rsidRPr="00406019">
        <w:rPr>
          <w:szCs w:val="24"/>
          <w:lang w:val="en-NZ"/>
        </w:rPr>
        <w:t xml:space="preserve">The Commissioner </w:t>
      </w:r>
      <w:r w:rsidR="00AE61EC" w:rsidRPr="00406019">
        <w:rPr>
          <w:szCs w:val="24"/>
          <w:lang w:val="en-NZ"/>
        </w:rPr>
        <w:t>will retain</w:t>
      </w:r>
      <w:r w:rsidRPr="00406019">
        <w:rPr>
          <w:szCs w:val="24"/>
          <w:lang w:val="en-NZ"/>
        </w:rPr>
        <w:t xml:space="preserve"> the power to request the trustees of a trust to furnish a return of income even if it holds an exemption under the </w:t>
      </w:r>
      <w:r w:rsidR="00BB5460" w:rsidRPr="00406019">
        <w:rPr>
          <w:szCs w:val="24"/>
          <w:lang w:val="en-NZ"/>
        </w:rPr>
        <w:t>proposed provision</w:t>
      </w:r>
      <w:r w:rsidRPr="00406019">
        <w:rPr>
          <w:szCs w:val="24"/>
          <w:lang w:val="en-NZ"/>
        </w:rPr>
        <w:t>.</w:t>
      </w:r>
    </w:p>
    <w:p w:rsidR="00B721FE" w:rsidRPr="00406019" w:rsidRDefault="00B721FE">
      <w:pPr>
        <w:rPr>
          <w:szCs w:val="24"/>
          <w:lang w:val="en-NZ"/>
        </w:rPr>
      </w:pPr>
    </w:p>
    <w:p w:rsidR="00295FBF" w:rsidRPr="00406019" w:rsidRDefault="00295FBF">
      <w:pPr>
        <w:rPr>
          <w:szCs w:val="24"/>
          <w:lang w:val="en-NZ"/>
        </w:rPr>
      </w:pPr>
      <w:r w:rsidRPr="00406019">
        <w:rPr>
          <w:szCs w:val="24"/>
          <w:lang w:val="en-NZ"/>
        </w:rPr>
        <w:t xml:space="preserve">The proposed amendment </w:t>
      </w:r>
      <w:proofErr w:type="gramStart"/>
      <w:r w:rsidRPr="00406019">
        <w:rPr>
          <w:szCs w:val="24"/>
          <w:lang w:val="en-NZ"/>
        </w:rPr>
        <w:t>is based</w:t>
      </w:r>
      <w:proofErr w:type="gramEnd"/>
      <w:r w:rsidRPr="00406019">
        <w:rPr>
          <w:szCs w:val="24"/>
          <w:lang w:val="en-NZ"/>
        </w:rPr>
        <w:t xml:space="preserve"> on a similar provision for </w:t>
      </w:r>
      <w:r w:rsidR="00220A61" w:rsidRPr="00406019">
        <w:rPr>
          <w:szCs w:val="24"/>
          <w:lang w:val="en-NZ"/>
        </w:rPr>
        <w:t xml:space="preserve">non-active companies in section </w:t>
      </w:r>
      <w:r w:rsidRPr="00406019">
        <w:rPr>
          <w:szCs w:val="24"/>
          <w:lang w:val="en-NZ"/>
        </w:rPr>
        <w:t>43A of the Tax Administration Act 1994.</w:t>
      </w:r>
    </w:p>
    <w:sectPr w:rsidR="00295FBF" w:rsidRPr="00406019" w:rsidSect="00F3348B">
      <w:pgSz w:w="11906" w:h="16838" w:code="9"/>
      <w:pgMar w:top="1304" w:right="1797" w:bottom="1134" w:left="1797"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37A" w:rsidRDefault="00E7437A">
      <w:r>
        <w:separator/>
      </w:r>
    </w:p>
  </w:endnote>
  <w:endnote w:type="continuationSeparator" w:id="0">
    <w:p w:rsidR="00E7437A" w:rsidRDefault="00E7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37A" w:rsidRPr="00F3348B" w:rsidRDefault="00E7437A" w:rsidP="00F3348B">
    <w:pPr>
      <w:pStyle w:val="Footer"/>
      <w:jc w:val="cen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357276"/>
      <w:docPartObj>
        <w:docPartGallery w:val="Page Numbers (Bottom of Page)"/>
        <w:docPartUnique/>
      </w:docPartObj>
    </w:sdtPr>
    <w:sdtEndPr>
      <w:rPr>
        <w:noProof/>
        <w:sz w:val="22"/>
        <w:szCs w:val="22"/>
      </w:rPr>
    </w:sdtEndPr>
    <w:sdtContent>
      <w:p w:rsidR="00E7437A" w:rsidRPr="00C338D9" w:rsidRDefault="00E7437A" w:rsidP="00C338D9">
        <w:pPr>
          <w:pStyle w:val="Footer"/>
          <w:jc w:val="center"/>
          <w:rPr>
            <w:sz w:val="22"/>
            <w:szCs w:val="22"/>
          </w:rPr>
        </w:pPr>
        <w:r w:rsidRPr="00C338D9">
          <w:rPr>
            <w:sz w:val="22"/>
            <w:szCs w:val="22"/>
          </w:rPr>
          <w:fldChar w:fldCharType="begin"/>
        </w:r>
        <w:r w:rsidRPr="00C338D9">
          <w:rPr>
            <w:sz w:val="22"/>
            <w:szCs w:val="22"/>
          </w:rPr>
          <w:instrText xml:space="preserve"> PAGE   \* MERGEFORMAT </w:instrText>
        </w:r>
        <w:r w:rsidRPr="00C338D9">
          <w:rPr>
            <w:sz w:val="22"/>
            <w:szCs w:val="22"/>
          </w:rPr>
          <w:fldChar w:fldCharType="separate"/>
        </w:r>
        <w:r>
          <w:rPr>
            <w:noProof/>
            <w:sz w:val="22"/>
            <w:szCs w:val="22"/>
          </w:rPr>
          <w:t>1</w:t>
        </w:r>
        <w:r w:rsidRPr="00C338D9">
          <w:rPr>
            <w:noProof/>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NZ"/>
      </w:rPr>
      <w:id w:val="-829749274"/>
      <w:docPartObj>
        <w:docPartGallery w:val="Page Numbers (Bottom of Page)"/>
        <w:docPartUnique/>
      </w:docPartObj>
    </w:sdtPr>
    <w:sdtEndPr>
      <w:rPr>
        <w:sz w:val="22"/>
        <w:szCs w:val="22"/>
      </w:rPr>
    </w:sdtEndPr>
    <w:sdtContent>
      <w:p w:rsidR="00E7437A" w:rsidRPr="00406019" w:rsidRDefault="00E7437A" w:rsidP="00F3348B">
        <w:pPr>
          <w:pStyle w:val="Footer"/>
          <w:jc w:val="center"/>
          <w:rPr>
            <w:sz w:val="22"/>
            <w:szCs w:val="22"/>
            <w:lang w:val="en-NZ"/>
          </w:rPr>
        </w:pPr>
        <w:r w:rsidRPr="00406019">
          <w:rPr>
            <w:sz w:val="22"/>
            <w:szCs w:val="22"/>
            <w:lang w:val="en-NZ"/>
          </w:rPr>
          <w:fldChar w:fldCharType="begin"/>
        </w:r>
        <w:r w:rsidRPr="00406019">
          <w:rPr>
            <w:sz w:val="22"/>
            <w:szCs w:val="22"/>
            <w:lang w:val="en-NZ"/>
          </w:rPr>
          <w:instrText xml:space="preserve"> PAGE   \* MERGEFORMAT </w:instrText>
        </w:r>
        <w:r w:rsidRPr="00406019">
          <w:rPr>
            <w:sz w:val="22"/>
            <w:szCs w:val="22"/>
            <w:lang w:val="en-NZ"/>
          </w:rPr>
          <w:fldChar w:fldCharType="separate"/>
        </w:r>
        <w:r w:rsidR="00C34197">
          <w:rPr>
            <w:noProof/>
            <w:sz w:val="22"/>
            <w:szCs w:val="22"/>
            <w:lang w:val="en-NZ"/>
          </w:rPr>
          <w:t>30</w:t>
        </w:r>
        <w:r w:rsidRPr="00406019">
          <w:rPr>
            <w:sz w:val="22"/>
            <w:szCs w:val="22"/>
            <w:lang w:val="en-NZ"/>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37A" w:rsidRDefault="00E7437A">
      <w:r>
        <w:separator/>
      </w:r>
    </w:p>
  </w:footnote>
  <w:footnote w:type="continuationSeparator" w:id="0">
    <w:p w:rsidR="00E7437A" w:rsidRDefault="00E7437A">
      <w:r>
        <w:continuationSeparator/>
      </w:r>
    </w:p>
  </w:footnote>
  <w:footnote w:id="1">
    <w:p w:rsidR="00E7437A" w:rsidRPr="00406019" w:rsidRDefault="00E7437A" w:rsidP="006B12FA">
      <w:pPr>
        <w:pStyle w:val="FootnoteText"/>
        <w:rPr>
          <w:lang w:val="en-NZ"/>
        </w:rPr>
      </w:pPr>
      <w:r w:rsidRPr="00406019">
        <w:rPr>
          <w:rStyle w:val="FootnoteReference"/>
          <w:lang w:val="en-NZ"/>
        </w:rPr>
        <w:footnoteRef/>
      </w:r>
      <w:r w:rsidRPr="00406019">
        <w:rPr>
          <w:lang w:val="en-NZ"/>
        </w:rPr>
        <w:t xml:space="preserve"> Public Works Act 1981, section 26(3).</w:t>
      </w:r>
    </w:p>
  </w:footnote>
  <w:footnote w:id="2">
    <w:p w:rsidR="00E7437A" w:rsidRPr="00406019" w:rsidRDefault="00E7437A" w:rsidP="00055CD7">
      <w:pPr>
        <w:pStyle w:val="FootnoteText"/>
        <w:rPr>
          <w:lang w:val="en-NZ"/>
        </w:rPr>
      </w:pPr>
      <w:r w:rsidRPr="00406019">
        <w:rPr>
          <w:rStyle w:val="FootnoteReference"/>
          <w:lang w:val="en-NZ"/>
        </w:rPr>
        <w:footnoteRef/>
      </w:r>
      <w:r w:rsidRPr="00406019">
        <w:rPr>
          <w:lang w:val="en-NZ"/>
        </w:rPr>
        <w:t xml:space="preserve"> That meets the criteria to be a “resident’s restricted amalgamation” under section FO 3.</w:t>
      </w:r>
    </w:p>
  </w:footnote>
  <w:footnote w:id="3">
    <w:p w:rsidR="00E7437A" w:rsidRPr="00406019" w:rsidRDefault="00E7437A" w:rsidP="00B62C34">
      <w:pPr>
        <w:pStyle w:val="FootnoteText"/>
        <w:rPr>
          <w:lang w:val="en-NZ"/>
        </w:rPr>
      </w:pPr>
      <w:r w:rsidRPr="00406019">
        <w:rPr>
          <w:rStyle w:val="FootnoteReference"/>
          <w:lang w:val="en-NZ"/>
        </w:rPr>
        <w:footnoteRef/>
      </w:r>
      <w:r w:rsidRPr="00406019">
        <w:rPr>
          <w:lang w:val="en-NZ"/>
        </w:rPr>
        <w:t xml:space="preserve"> See, for example, sections GB 49 and YC 9(2) of the Income Tax Act 2007.</w:t>
      </w:r>
    </w:p>
  </w:footnote>
  <w:footnote w:id="4">
    <w:p w:rsidR="00E7437A" w:rsidRPr="000B1D5C" w:rsidRDefault="00E7437A" w:rsidP="00B62C34">
      <w:pPr>
        <w:pStyle w:val="FootnoteText"/>
        <w:rPr>
          <w:lang w:val="en-NZ"/>
        </w:rPr>
      </w:pPr>
      <w:r w:rsidRPr="00406019">
        <w:rPr>
          <w:rStyle w:val="FootnoteReference"/>
          <w:lang w:val="en-NZ"/>
        </w:rPr>
        <w:footnoteRef/>
      </w:r>
      <w:r w:rsidRPr="00406019">
        <w:rPr>
          <w:lang w:val="en-NZ"/>
        </w:rPr>
        <w:t xml:space="preserve"> See </w:t>
      </w:r>
      <w:r w:rsidRPr="00406019">
        <w:rPr>
          <w:i/>
          <w:lang w:val="en-NZ"/>
        </w:rPr>
        <w:t>Ben Nevis Forestry Ventures Ltd v Commissioner of Inland Revenue</w:t>
      </w:r>
      <w:r w:rsidRPr="00406019">
        <w:rPr>
          <w:lang w:val="en-NZ"/>
        </w:rPr>
        <w:t xml:space="preserve"> [2008] NZSC 115, [2009] </w:t>
      </w:r>
      <w:proofErr w:type="gramStart"/>
      <w:r w:rsidRPr="00406019">
        <w:rPr>
          <w:lang w:val="en-NZ"/>
        </w:rPr>
        <w:t>2</w:t>
      </w:r>
      <w:proofErr w:type="gramEnd"/>
      <w:r w:rsidRPr="00406019">
        <w:rPr>
          <w:lang w:val="en-NZ"/>
        </w:rPr>
        <w:t xml:space="preserve"> NZLR 289.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A3FF4"/>
    <w:multiLevelType w:val="hybridMultilevel"/>
    <w:tmpl w:val="D07CBF04"/>
    <w:lvl w:ilvl="0" w:tplc="56CC2960">
      <w:start w:val="1"/>
      <w:numFmt w:val="bullet"/>
      <w:pStyle w:val="Bullets"/>
      <w:lvlText w:val=""/>
      <w:lvlJc w:val="left"/>
      <w:pPr>
        <w:ind w:left="720" w:hanging="360"/>
      </w:pPr>
      <w:rPr>
        <w:rFonts w:ascii="Symbol" w:hAnsi="Symbol" w:hint="default"/>
        <w:sz w:val="2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643147C"/>
    <w:multiLevelType w:val="multilevel"/>
    <w:tmpl w:val="49DE45CC"/>
    <w:styleLink w:val="Bullet"/>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6A0A611D"/>
    <w:multiLevelType w:val="hybridMultilevel"/>
    <w:tmpl w:val="B9AA1F42"/>
    <w:lvl w:ilvl="0" w:tplc="F0D4AA2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4D"/>
    <w:rsid w:val="00021CFC"/>
    <w:rsid w:val="00055CD7"/>
    <w:rsid w:val="000732EC"/>
    <w:rsid w:val="000C4FF2"/>
    <w:rsid w:val="000E156F"/>
    <w:rsid w:val="00124D53"/>
    <w:rsid w:val="00127583"/>
    <w:rsid w:val="00145DBA"/>
    <w:rsid w:val="00163F3C"/>
    <w:rsid w:val="001721EB"/>
    <w:rsid w:val="00175701"/>
    <w:rsid w:val="00176010"/>
    <w:rsid w:val="001B19A6"/>
    <w:rsid w:val="001C31B2"/>
    <w:rsid w:val="00220A61"/>
    <w:rsid w:val="00243098"/>
    <w:rsid w:val="002822B1"/>
    <w:rsid w:val="0028574B"/>
    <w:rsid w:val="00285791"/>
    <w:rsid w:val="00295FBF"/>
    <w:rsid w:val="002B6768"/>
    <w:rsid w:val="002C773A"/>
    <w:rsid w:val="00300DF6"/>
    <w:rsid w:val="00320CBF"/>
    <w:rsid w:val="00355176"/>
    <w:rsid w:val="00392A97"/>
    <w:rsid w:val="003A058A"/>
    <w:rsid w:val="003E7D69"/>
    <w:rsid w:val="00406019"/>
    <w:rsid w:val="0042259C"/>
    <w:rsid w:val="004278AA"/>
    <w:rsid w:val="00433597"/>
    <w:rsid w:val="004437C3"/>
    <w:rsid w:val="00443EB9"/>
    <w:rsid w:val="004639FE"/>
    <w:rsid w:val="00475F4F"/>
    <w:rsid w:val="004829BA"/>
    <w:rsid w:val="004979FB"/>
    <w:rsid w:val="004E7BC8"/>
    <w:rsid w:val="004F39B7"/>
    <w:rsid w:val="004F5D4C"/>
    <w:rsid w:val="005013A5"/>
    <w:rsid w:val="00511E52"/>
    <w:rsid w:val="00532A11"/>
    <w:rsid w:val="005414DF"/>
    <w:rsid w:val="00565E4C"/>
    <w:rsid w:val="00593E16"/>
    <w:rsid w:val="00597BA7"/>
    <w:rsid w:val="005A32D9"/>
    <w:rsid w:val="005B2BC0"/>
    <w:rsid w:val="005C3D8B"/>
    <w:rsid w:val="005F21DA"/>
    <w:rsid w:val="00607BF2"/>
    <w:rsid w:val="00614D99"/>
    <w:rsid w:val="006347C9"/>
    <w:rsid w:val="00642AB3"/>
    <w:rsid w:val="00681119"/>
    <w:rsid w:val="006B12FA"/>
    <w:rsid w:val="006B3925"/>
    <w:rsid w:val="006C223E"/>
    <w:rsid w:val="006C32FB"/>
    <w:rsid w:val="006D4DF9"/>
    <w:rsid w:val="006F5BED"/>
    <w:rsid w:val="00714E5F"/>
    <w:rsid w:val="00737FE3"/>
    <w:rsid w:val="007511A7"/>
    <w:rsid w:val="00760F5A"/>
    <w:rsid w:val="0076158D"/>
    <w:rsid w:val="007663D6"/>
    <w:rsid w:val="00780FBC"/>
    <w:rsid w:val="007A181F"/>
    <w:rsid w:val="007D17DC"/>
    <w:rsid w:val="008230C6"/>
    <w:rsid w:val="00841A91"/>
    <w:rsid w:val="00852D50"/>
    <w:rsid w:val="008B3488"/>
    <w:rsid w:val="008B39D5"/>
    <w:rsid w:val="008C2B33"/>
    <w:rsid w:val="008F5141"/>
    <w:rsid w:val="00911850"/>
    <w:rsid w:val="00922528"/>
    <w:rsid w:val="00934F18"/>
    <w:rsid w:val="009503B3"/>
    <w:rsid w:val="00955AAC"/>
    <w:rsid w:val="00973B23"/>
    <w:rsid w:val="009B00CB"/>
    <w:rsid w:val="009D5A3E"/>
    <w:rsid w:val="009E3969"/>
    <w:rsid w:val="00A12715"/>
    <w:rsid w:val="00A26053"/>
    <w:rsid w:val="00A35164"/>
    <w:rsid w:val="00A3624B"/>
    <w:rsid w:val="00A376CF"/>
    <w:rsid w:val="00A77407"/>
    <w:rsid w:val="00A97CFE"/>
    <w:rsid w:val="00AB709D"/>
    <w:rsid w:val="00AD1FAE"/>
    <w:rsid w:val="00AD5D0E"/>
    <w:rsid w:val="00AE61EC"/>
    <w:rsid w:val="00B07A5D"/>
    <w:rsid w:val="00B11A30"/>
    <w:rsid w:val="00B32D70"/>
    <w:rsid w:val="00B42446"/>
    <w:rsid w:val="00B62C34"/>
    <w:rsid w:val="00B721FE"/>
    <w:rsid w:val="00B760DE"/>
    <w:rsid w:val="00BA10D8"/>
    <w:rsid w:val="00BA7C03"/>
    <w:rsid w:val="00BB5460"/>
    <w:rsid w:val="00BC1BFC"/>
    <w:rsid w:val="00C11E75"/>
    <w:rsid w:val="00C338D9"/>
    <w:rsid w:val="00C34197"/>
    <w:rsid w:val="00C54249"/>
    <w:rsid w:val="00C54B4D"/>
    <w:rsid w:val="00C638DD"/>
    <w:rsid w:val="00C7032F"/>
    <w:rsid w:val="00CA40CB"/>
    <w:rsid w:val="00CD15B6"/>
    <w:rsid w:val="00D00DFF"/>
    <w:rsid w:val="00D33CFA"/>
    <w:rsid w:val="00D453C3"/>
    <w:rsid w:val="00D47660"/>
    <w:rsid w:val="00D514B5"/>
    <w:rsid w:val="00D6414C"/>
    <w:rsid w:val="00D82AC3"/>
    <w:rsid w:val="00D93BF7"/>
    <w:rsid w:val="00D97DCA"/>
    <w:rsid w:val="00DA4DDD"/>
    <w:rsid w:val="00DD2509"/>
    <w:rsid w:val="00DE1D59"/>
    <w:rsid w:val="00DE3DF1"/>
    <w:rsid w:val="00DE7484"/>
    <w:rsid w:val="00DF1369"/>
    <w:rsid w:val="00E22722"/>
    <w:rsid w:val="00E32393"/>
    <w:rsid w:val="00E32A2A"/>
    <w:rsid w:val="00E32C55"/>
    <w:rsid w:val="00E65434"/>
    <w:rsid w:val="00E67A56"/>
    <w:rsid w:val="00E7437A"/>
    <w:rsid w:val="00E77636"/>
    <w:rsid w:val="00EB5A69"/>
    <w:rsid w:val="00EB6E03"/>
    <w:rsid w:val="00EC0259"/>
    <w:rsid w:val="00EE28A0"/>
    <w:rsid w:val="00EE4375"/>
    <w:rsid w:val="00F2089E"/>
    <w:rsid w:val="00F3348B"/>
    <w:rsid w:val="00F57991"/>
    <w:rsid w:val="00FA2EAA"/>
    <w:rsid w:val="00FA7FA3"/>
    <w:rsid w:val="00FC0565"/>
    <w:rsid w:val="00FD75CB"/>
    <w:rsid w:val="00FE5F89"/>
    <w:rsid w:val="00FF1F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lang w:val="en-GB" w:eastAsia="en-AU"/>
    </w:rPr>
  </w:style>
  <w:style w:type="paragraph" w:styleId="Heading1">
    <w:name w:val="heading 1"/>
    <w:basedOn w:val="Normal"/>
    <w:next w:val="Normal"/>
    <w:link w:val="Heading1Char"/>
    <w:qFormat/>
    <w:pPr>
      <w:keepNext/>
      <w:pBdr>
        <w:bottom w:val="single" w:sz="4" w:space="6" w:color="auto"/>
      </w:pBdr>
      <w:jc w:val="left"/>
      <w:outlineLvl w:val="0"/>
    </w:pPr>
    <w:rPr>
      <w:b/>
      <w:caps/>
      <w:sz w:val="26"/>
      <w:lang w:val="en-NZ"/>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pBdr>
        <w:bottom w:val="single" w:sz="4" w:space="6" w:color="auto"/>
      </w:pBdr>
      <w:outlineLvl w:val="4"/>
    </w:pPr>
    <w:rPr>
      <w:b/>
      <w:sz w:val="26"/>
    </w:rPr>
  </w:style>
  <w:style w:type="paragraph" w:styleId="Heading6">
    <w:name w:val="heading 6"/>
    <w:basedOn w:val="Normal"/>
    <w:next w:val="Normal"/>
    <w:qFormat/>
    <w:pPr>
      <w:keepNext/>
      <w:outlineLvl w:val="5"/>
    </w:pPr>
    <w:rPr>
      <w:i/>
      <w:sz w:val="32"/>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outlineLvl w:val="7"/>
    </w:pPr>
    <w:rPr>
      <w:sz w:val="28"/>
    </w:rPr>
  </w:style>
  <w:style w:type="paragraph" w:styleId="Heading9">
    <w:name w:val="heading 9"/>
    <w:basedOn w:val="Normal"/>
    <w:next w:val="Normal"/>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4E5F"/>
    <w:rPr>
      <w:b/>
      <w:caps/>
      <w:sz w:val="26"/>
      <w:lang w:eastAsia="en-AU"/>
    </w:rPr>
  </w:style>
  <w:style w:type="character" w:customStyle="1" w:styleId="Heading2Char">
    <w:name w:val="Heading 2 Char"/>
    <w:basedOn w:val="DefaultParagraphFont"/>
    <w:link w:val="Heading2"/>
    <w:rsid w:val="00714E5F"/>
    <w:rPr>
      <w:b/>
      <w:sz w:val="24"/>
      <w:lang w:val="en-GB" w:eastAsia="en-AU"/>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A3624B"/>
    <w:rPr>
      <w:sz w:val="24"/>
      <w:lang w:val="en-GB" w:eastAsia="en-AU"/>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pPr>
      <w:tabs>
        <w:tab w:val="right" w:pos="8222"/>
      </w:tabs>
      <w:spacing w:before="240" w:after="120"/>
    </w:pPr>
    <w:rPr>
      <w:b/>
      <w:noProof/>
      <w:sz w:val="28"/>
    </w:rPr>
  </w:style>
  <w:style w:type="paragraph" w:styleId="TOC2">
    <w:name w:val="toc 2"/>
    <w:basedOn w:val="Normal"/>
    <w:next w:val="Normal"/>
    <w:autoRedefine/>
    <w:uiPriority w:val="39"/>
    <w:pPr>
      <w:tabs>
        <w:tab w:val="right" w:pos="8222"/>
      </w:tabs>
      <w:spacing w:after="60"/>
      <w:ind w:left="567" w:right="658"/>
      <w:jc w:val="left"/>
    </w:pPr>
    <w:rPr>
      <w:noProof/>
    </w:r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PartHeading">
    <w:name w:val="PartHeading"/>
    <w:basedOn w:val="Heading1"/>
    <w:pPr>
      <w:pBdr>
        <w:top w:val="single" w:sz="4" w:space="8" w:color="auto"/>
        <w:bottom w:val="single" w:sz="4" w:space="8" w:color="auto"/>
      </w:pBdr>
      <w:jc w:val="center"/>
    </w:pPr>
    <w:rPr>
      <w:b w:val="0"/>
      <w:sz w:val="60"/>
    </w:rPr>
  </w:style>
  <w:style w:type="paragraph" w:styleId="DocumentMap">
    <w:name w:val="Document Map"/>
    <w:basedOn w:val="Normal"/>
    <w:semiHidden/>
    <w:pPr>
      <w:shd w:val="clear" w:color="auto" w:fill="000080"/>
    </w:pPr>
    <w:rPr>
      <w:rFonts w:ascii="Tahoma" w:hAnsi="Tahoma"/>
    </w:rPr>
  </w:style>
  <w:style w:type="numbering" w:customStyle="1" w:styleId="Bullet">
    <w:name w:val="Bullet"/>
    <w:basedOn w:val="NoList"/>
    <w:rsid w:val="008230C6"/>
    <w:pPr>
      <w:numPr>
        <w:numId w:val="2"/>
      </w:numPr>
    </w:pPr>
  </w:style>
  <w:style w:type="paragraph" w:styleId="Title">
    <w:name w:val="Title"/>
    <w:basedOn w:val="Normal"/>
    <w:qFormat/>
    <w:rsid w:val="00D93BF7"/>
    <w:pPr>
      <w:pBdr>
        <w:bottom w:val="single" w:sz="4" w:space="6" w:color="auto"/>
      </w:pBdr>
      <w:jc w:val="left"/>
    </w:pPr>
    <w:rPr>
      <w:b/>
      <w:sz w:val="48"/>
      <w:lang w:val="en-NZ"/>
    </w:rPr>
  </w:style>
  <w:style w:type="character" w:styleId="CommentReference">
    <w:name w:val="annotation reference"/>
    <w:basedOn w:val="DefaultParagraphFont"/>
    <w:semiHidden/>
    <w:rPr>
      <w:sz w:val="16"/>
    </w:rPr>
  </w:style>
  <w:style w:type="paragraph" w:styleId="CommentText">
    <w:name w:val="annotation text"/>
    <w:basedOn w:val="Normal"/>
    <w:semiHidden/>
    <w:pPr>
      <w:jc w:val="left"/>
    </w:pPr>
    <w:rPr>
      <w:sz w:val="20"/>
      <w:lang w:val="en-US"/>
    </w:rPr>
  </w:style>
  <w:style w:type="table" w:styleId="TableGrid">
    <w:name w:val="Table Grid"/>
    <w:basedOn w:val="TableNormal"/>
    <w:uiPriority w:val="59"/>
    <w:rsid w:val="006B1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
    <w:name w:val="Bullets"/>
    <w:basedOn w:val="Normal"/>
    <w:rsid w:val="00511E52"/>
    <w:pPr>
      <w:numPr>
        <w:numId w:val="3"/>
      </w:numPr>
      <w:spacing w:after="140"/>
      <w:ind w:left="567" w:hanging="567"/>
    </w:pPr>
  </w:style>
  <w:style w:type="paragraph" w:styleId="BalloonText">
    <w:name w:val="Balloon Text"/>
    <w:basedOn w:val="Normal"/>
    <w:link w:val="BalloonTextChar"/>
    <w:uiPriority w:val="99"/>
    <w:semiHidden/>
    <w:unhideWhenUsed/>
    <w:rsid w:val="00C638DD"/>
    <w:rPr>
      <w:rFonts w:ascii="Tahoma" w:hAnsi="Tahoma" w:cs="Tahoma"/>
      <w:sz w:val="16"/>
      <w:szCs w:val="16"/>
    </w:rPr>
  </w:style>
  <w:style w:type="character" w:customStyle="1" w:styleId="BalloonTextChar">
    <w:name w:val="Balloon Text Char"/>
    <w:basedOn w:val="DefaultParagraphFont"/>
    <w:link w:val="BalloonText"/>
    <w:uiPriority w:val="99"/>
    <w:semiHidden/>
    <w:rsid w:val="00C638DD"/>
    <w:rPr>
      <w:rFonts w:ascii="Tahoma" w:hAnsi="Tahoma" w:cs="Tahoma"/>
      <w:sz w:val="16"/>
      <w:szCs w:val="16"/>
      <w:lang w:val="en-GB" w:eastAsia="en-AU"/>
    </w:rPr>
  </w:style>
  <w:style w:type="paragraph" w:customStyle="1" w:styleId="Bullets-last">
    <w:name w:val="Bullets - last"/>
    <w:basedOn w:val="Bullets"/>
    <w:next w:val="Normal"/>
    <w:rsid w:val="00511E52"/>
    <w:pPr>
      <w:spacing w:after="0"/>
    </w:pPr>
  </w:style>
  <w:style w:type="paragraph" w:styleId="Caption">
    <w:name w:val="caption"/>
    <w:basedOn w:val="Normal"/>
    <w:next w:val="Normal"/>
    <w:uiPriority w:val="35"/>
    <w:unhideWhenUsed/>
    <w:qFormat/>
    <w:rsid w:val="004F39B7"/>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lang w:val="en-GB" w:eastAsia="en-AU"/>
    </w:rPr>
  </w:style>
  <w:style w:type="paragraph" w:styleId="Heading1">
    <w:name w:val="heading 1"/>
    <w:basedOn w:val="Normal"/>
    <w:next w:val="Normal"/>
    <w:link w:val="Heading1Char"/>
    <w:qFormat/>
    <w:pPr>
      <w:keepNext/>
      <w:pBdr>
        <w:bottom w:val="single" w:sz="4" w:space="6" w:color="auto"/>
      </w:pBdr>
      <w:jc w:val="left"/>
      <w:outlineLvl w:val="0"/>
    </w:pPr>
    <w:rPr>
      <w:b/>
      <w:caps/>
      <w:sz w:val="26"/>
      <w:lang w:val="en-NZ"/>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pBdr>
        <w:bottom w:val="single" w:sz="4" w:space="6" w:color="auto"/>
      </w:pBdr>
      <w:outlineLvl w:val="4"/>
    </w:pPr>
    <w:rPr>
      <w:b/>
      <w:sz w:val="26"/>
    </w:rPr>
  </w:style>
  <w:style w:type="paragraph" w:styleId="Heading6">
    <w:name w:val="heading 6"/>
    <w:basedOn w:val="Normal"/>
    <w:next w:val="Normal"/>
    <w:qFormat/>
    <w:pPr>
      <w:keepNext/>
      <w:outlineLvl w:val="5"/>
    </w:pPr>
    <w:rPr>
      <w:i/>
      <w:sz w:val="32"/>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outlineLvl w:val="7"/>
    </w:pPr>
    <w:rPr>
      <w:sz w:val="28"/>
    </w:rPr>
  </w:style>
  <w:style w:type="paragraph" w:styleId="Heading9">
    <w:name w:val="heading 9"/>
    <w:basedOn w:val="Normal"/>
    <w:next w:val="Normal"/>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4E5F"/>
    <w:rPr>
      <w:b/>
      <w:caps/>
      <w:sz w:val="26"/>
      <w:lang w:eastAsia="en-AU"/>
    </w:rPr>
  </w:style>
  <w:style w:type="character" w:customStyle="1" w:styleId="Heading2Char">
    <w:name w:val="Heading 2 Char"/>
    <w:basedOn w:val="DefaultParagraphFont"/>
    <w:link w:val="Heading2"/>
    <w:rsid w:val="00714E5F"/>
    <w:rPr>
      <w:b/>
      <w:sz w:val="24"/>
      <w:lang w:val="en-GB" w:eastAsia="en-AU"/>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A3624B"/>
    <w:rPr>
      <w:sz w:val="24"/>
      <w:lang w:val="en-GB" w:eastAsia="en-AU"/>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pPr>
      <w:tabs>
        <w:tab w:val="right" w:pos="8222"/>
      </w:tabs>
      <w:spacing w:before="240" w:after="120"/>
    </w:pPr>
    <w:rPr>
      <w:b/>
      <w:noProof/>
      <w:sz w:val="28"/>
    </w:rPr>
  </w:style>
  <w:style w:type="paragraph" w:styleId="TOC2">
    <w:name w:val="toc 2"/>
    <w:basedOn w:val="Normal"/>
    <w:next w:val="Normal"/>
    <w:autoRedefine/>
    <w:uiPriority w:val="39"/>
    <w:pPr>
      <w:tabs>
        <w:tab w:val="right" w:pos="8222"/>
      </w:tabs>
      <w:spacing w:after="60"/>
      <w:ind w:left="567" w:right="658"/>
      <w:jc w:val="left"/>
    </w:pPr>
    <w:rPr>
      <w:noProof/>
    </w:r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PartHeading">
    <w:name w:val="PartHeading"/>
    <w:basedOn w:val="Heading1"/>
    <w:pPr>
      <w:pBdr>
        <w:top w:val="single" w:sz="4" w:space="8" w:color="auto"/>
        <w:bottom w:val="single" w:sz="4" w:space="8" w:color="auto"/>
      </w:pBdr>
      <w:jc w:val="center"/>
    </w:pPr>
    <w:rPr>
      <w:b w:val="0"/>
      <w:sz w:val="60"/>
    </w:rPr>
  </w:style>
  <w:style w:type="paragraph" w:styleId="DocumentMap">
    <w:name w:val="Document Map"/>
    <w:basedOn w:val="Normal"/>
    <w:semiHidden/>
    <w:pPr>
      <w:shd w:val="clear" w:color="auto" w:fill="000080"/>
    </w:pPr>
    <w:rPr>
      <w:rFonts w:ascii="Tahoma" w:hAnsi="Tahoma"/>
    </w:rPr>
  </w:style>
  <w:style w:type="numbering" w:customStyle="1" w:styleId="Bullet">
    <w:name w:val="Bullet"/>
    <w:basedOn w:val="NoList"/>
    <w:rsid w:val="008230C6"/>
    <w:pPr>
      <w:numPr>
        <w:numId w:val="2"/>
      </w:numPr>
    </w:pPr>
  </w:style>
  <w:style w:type="paragraph" w:styleId="Title">
    <w:name w:val="Title"/>
    <w:basedOn w:val="Normal"/>
    <w:qFormat/>
    <w:rsid w:val="00D93BF7"/>
    <w:pPr>
      <w:pBdr>
        <w:bottom w:val="single" w:sz="4" w:space="6" w:color="auto"/>
      </w:pBdr>
      <w:jc w:val="left"/>
    </w:pPr>
    <w:rPr>
      <w:b/>
      <w:sz w:val="48"/>
      <w:lang w:val="en-NZ"/>
    </w:rPr>
  </w:style>
  <w:style w:type="character" w:styleId="CommentReference">
    <w:name w:val="annotation reference"/>
    <w:basedOn w:val="DefaultParagraphFont"/>
    <w:semiHidden/>
    <w:rPr>
      <w:sz w:val="16"/>
    </w:rPr>
  </w:style>
  <w:style w:type="paragraph" w:styleId="CommentText">
    <w:name w:val="annotation text"/>
    <w:basedOn w:val="Normal"/>
    <w:semiHidden/>
    <w:pPr>
      <w:jc w:val="left"/>
    </w:pPr>
    <w:rPr>
      <w:sz w:val="20"/>
      <w:lang w:val="en-US"/>
    </w:rPr>
  </w:style>
  <w:style w:type="table" w:styleId="TableGrid">
    <w:name w:val="Table Grid"/>
    <w:basedOn w:val="TableNormal"/>
    <w:uiPriority w:val="59"/>
    <w:rsid w:val="006B1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
    <w:name w:val="Bullets"/>
    <w:basedOn w:val="Normal"/>
    <w:rsid w:val="00511E52"/>
    <w:pPr>
      <w:numPr>
        <w:numId w:val="3"/>
      </w:numPr>
      <w:spacing w:after="140"/>
      <w:ind w:left="567" w:hanging="567"/>
    </w:pPr>
  </w:style>
  <w:style w:type="paragraph" w:styleId="BalloonText">
    <w:name w:val="Balloon Text"/>
    <w:basedOn w:val="Normal"/>
    <w:link w:val="BalloonTextChar"/>
    <w:uiPriority w:val="99"/>
    <w:semiHidden/>
    <w:unhideWhenUsed/>
    <w:rsid w:val="00C638DD"/>
    <w:rPr>
      <w:rFonts w:ascii="Tahoma" w:hAnsi="Tahoma" w:cs="Tahoma"/>
      <w:sz w:val="16"/>
      <w:szCs w:val="16"/>
    </w:rPr>
  </w:style>
  <w:style w:type="character" w:customStyle="1" w:styleId="BalloonTextChar">
    <w:name w:val="Balloon Text Char"/>
    <w:basedOn w:val="DefaultParagraphFont"/>
    <w:link w:val="BalloonText"/>
    <w:uiPriority w:val="99"/>
    <w:semiHidden/>
    <w:rsid w:val="00C638DD"/>
    <w:rPr>
      <w:rFonts w:ascii="Tahoma" w:hAnsi="Tahoma" w:cs="Tahoma"/>
      <w:sz w:val="16"/>
      <w:szCs w:val="16"/>
      <w:lang w:val="en-GB" w:eastAsia="en-AU"/>
    </w:rPr>
  </w:style>
  <w:style w:type="paragraph" w:customStyle="1" w:styleId="Bullets-last">
    <w:name w:val="Bullets - last"/>
    <w:basedOn w:val="Bullets"/>
    <w:next w:val="Normal"/>
    <w:rsid w:val="00511E52"/>
    <w:pPr>
      <w:spacing w:after="0"/>
    </w:pPr>
  </w:style>
  <w:style w:type="paragraph" w:styleId="Caption">
    <w:name w:val="caption"/>
    <w:basedOn w:val="Normal"/>
    <w:next w:val="Normal"/>
    <w:uiPriority w:val="35"/>
    <w:unhideWhenUsed/>
    <w:qFormat/>
    <w:rsid w:val="004F39B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96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6134-387B-4440-9D19-958386B5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6328</Words>
  <Characters>32194</Characters>
  <Application>Microsoft Office Word</Application>
  <DocSecurity>0</DocSecurity>
  <Lines>1110</Lines>
  <Paragraphs>373</Paragraphs>
  <ScaleCrop>false</ScaleCrop>
  <HeadingPairs>
    <vt:vector size="2" baseType="variant">
      <vt:variant>
        <vt:lpstr>Title</vt:lpstr>
      </vt:variant>
      <vt:variant>
        <vt:i4>1</vt:i4>
      </vt:variant>
    </vt:vector>
  </HeadingPairs>
  <TitlesOfParts>
    <vt:vector size="1" baseType="lpstr">
      <vt:lpstr>Taxation (Bright-line Test for Residential Land) Bill - commentary on the Bill</vt:lpstr>
    </vt:vector>
  </TitlesOfParts>
  <Company>Inland Revenue</Company>
  <LinksUpToDate>false</LinksUpToDate>
  <CharactersWithSpaces>38149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(Bright-line Test for Residential Land) Bill - commentary on the Bill</dc:title>
  <dc:subject/>
  <dc:creator>Policy and Strategy</dc:creator>
  <cp:keywords/>
  <dc:description>Published August 2015</dc:description>
  <cp:lastModifiedBy>David Nind</cp:lastModifiedBy>
  <cp:revision>2</cp:revision>
  <dcterms:created xsi:type="dcterms:W3CDTF">2015-08-23T21:32:00Z</dcterms:created>
  <dcterms:modified xsi:type="dcterms:W3CDTF">2015-08-23T21:33:00Z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