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F05" w:rsidRDefault="00B44DD8">
      <w:pPr>
        <w:spacing w:before="62"/>
        <w:ind w:left="112"/>
        <w:rPr>
          <w:b/>
          <w:sz w:val="28"/>
        </w:rPr>
      </w:pPr>
      <w:r>
        <w:rPr>
          <w:b/>
          <w:sz w:val="28"/>
        </w:rPr>
        <w:t>The Government’s response to the recommendations of the Tax Working Group – 17 April 2019</w:t>
      </w:r>
    </w:p>
    <w:p w:rsidR="000F1F05" w:rsidRDefault="00B44DD8">
      <w:pPr>
        <w:pStyle w:val="BodyText"/>
        <w:spacing w:before="253"/>
        <w:ind w:left="112"/>
      </w:pPr>
      <w:bookmarkStart w:id="0" w:name="_GoBack"/>
      <w:bookmarkEnd w:id="0"/>
      <w:r>
        <w:t>The table below lists all 99 recommendations in the Tax Working Group’s (TWG) Final Report and the Government’s response.</w:t>
      </w:r>
    </w:p>
    <w:p w:rsidR="000F1F05" w:rsidRDefault="000F1F05">
      <w:pPr>
        <w:pStyle w:val="BodyText"/>
        <w:spacing w:before="11"/>
        <w:rPr>
          <w:sz w:val="20"/>
        </w:rPr>
      </w:pPr>
    </w:p>
    <w:p w:rsidR="000F1F05" w:rsidRDefault="00B44DD8">
      <w:pPr>
        <w:ind w:left="2272"/>
        <w:rPr>
          <w:b/>
          <w:sz w:val="20"/>
        </w:rPr>
      </w:pPr>
      <w:r>
        <w:rPr>
          <w:b/>
          <w:sz w:val="20"/>
        </w:rPr>
        <w:t>Table key:</w:t>
      </w:r>
    </w:p>
    <w:p w:rsidR="000F1F05" w:rsidRDefault="000F1F05">
      <w:pPr>
        <w:pStyle w:val="BodyText"/>
        <w:spacing w:before="6"/>
        <w:rPr>
          <w:b/>
          <w:sz w:val="10"/>
        </w:rPr>
      </w:pPr>
    </w:p>
    <w:tbl>
      <w:tblPr>
        <w:tblW w:w="0" w:type="auto"/>
        <w:tblInd w:w="2246" w:type="dxa"/>
        <w:tblLayout w:type="fixed"/>
        <w:tblCellMar>
          <w:left w:w="0" w:type="dxa"/>
          <w:right w:w="0" w:type="dxa"/>
        </w:tblCellMar>
        <w:tblLook w:val="01E0" w:firstRow="1" w:lastRow="1" w:firstColumn="1" w:lastColumn="1" w:noHBand="0" w:noVBand="0"/>
      </w:tblPr>
      <w:tblGrid>
        <w:gridCol w:w="2976"/>
        <w:gridCol w:w="7582"/>
      </w:tblGrid>
      <w:tr w:rsidR="000F1F05">
        <w:trPr>
          <w:trHeight w:val="568"/>
        </w:trPr>
        <w:tc>
          <w:tcPr>
            <w:tcW w:w="2976" w:type="dxa"/>
            <w:shd w:val="clear" w:color="auto" w:fill="C5DFB3"/>
          </w:tcPr>
          <w:p w:rsidR="000F1F05" w:rsidRDefault="00B44DD8">
            <w:pPr>
              <w:pStyle w:val="TableParagraph"/>
              <w:spacing w:before="76"/>
              <w:ind w:left="108" w:right="1407"/>
              <w:rPr>
                <w:sz w:val="18"/>
              </w:rPr>
            </w:pPr>
            <w:r>
              <w:rPr>
                <w:sz w:val="18"/>
              </w:rPr>
              <w:t>Endorse the TWG recommendation</w:t>
            </w:r>
          </w:p>
        </w:tc>
        <w:tc>
          <w:tcPr>
            <w:tcW w:w="7582" w:type="dxa"/>
          </w:tcPr>
          <w:p w:rsidR="000F1F05" w:rsidRDefault="00B44DD8">
            <w:pPr>
              <w:pStyle w:val="TableParagraph"/>
              <w:spacing w:before="76"/>
              <w:ind w:left="108" w:right="200"/>
              <w:rPr>
                <w:sz w:val="18"/>
              </w:rPr>
            </w:pPr>
            <w:r>
              <w:rPr>
                <w:sz w:val="18"/>
              </w:rPr>
              <w:t>The TWG recommended retaining the current tax settings and the Government agrees with this recommendation.</w:t>
            </w:r>
          </w:p>
        </w:tc>
      </w:tr>
      <w:tr w:rsidR="000F1F05">
        <w:trPr>
          <w:trHeight w:val="167"/>
        </w:trPr>
        <w:tc>
          <w:tcPr>
            <w:tcW w:w="2976" w:type="dxa"/>
          </w:tcPr>
          <w:p w:rsidR="000F1F05" w:rsidRDefault="000F1F05">
            <w:pPr>
              <w:pStyle w:val="TableParagraph"/>
              <w:spacing w:before="0"/>
              <w:ind w:left="0"/>
              <w:rPr>
                <w:rFonts w:ascii="Times New Roman"/>
                <w:sz w:val="10"/>
              </w:rPr>
            </w:pPr>
          </w:p>
        </w:tc>
        <w:tc>
          <w:tcPr>
            <w:tcW w:w="7582" w:type="dxa"/>
          </w:tcPr>
          <w:p w:rsidR="000F1F05" w:rsidRDefault="000F1F05">
            <w:pPr>
              <w:pStyle w:val="TableParagraph"/>
              <w:spacing w:before="0"/>
              <w:ind w:left="0"/>
              <w:rPr>
                <w:rFonts w:ascii="Times New Roman"/>
                <w:sz w:val="10"/>
              </w:rPr>
            </w:pPr>
          </w:p>
        </w:tc>
      </w:tr>
      <w:tr w:rsidR="000F1F05">
        <w:trPr>
          <w:trHeight w:val="568"/>
        </w:trPr>
        <w:tc>
          <w:tcPr>
            <w:tcW w:w="2976" w:type="dxa"/>
            <w:shd w:val="clear" w:color="auto" w:fill="D9D9D9"/>
          </w:tcPr>
          <w:p w:rsidR="000F1F05" w:rsidRDefault="00B44DD8">
            <w:pPr>
              <w:pStyle w:val="TableParagraph"/>
              <w:spacing w:before="179"/>
              <w:ind w:left="108"/>
              <w:rPr>
                <w:sz w:val="18"/>
              </w:rPr>
            </w:pPr>
            <w:r>
              <w:rPr>
                <w:sz w:val="18"/>
              </w:rPr>
              <w:t>Agree no further work</w:t>
            </w:r>
          </w:p>
        </w:tc>
        <w:tc>
          <w:tcPr>
            <w:tcW w:w="7582" w:type="dxa"/>
          </w:tcPr>
          <w:p w:rsidR="000F1F05" w:rsidRDefault="00B44DD8">
            <w:pPr>
              <w:pStyle w:val="TableParagraph"/>
              <w:spacing w:before="179"/>
              <w:ind w:left="108"/>
              <w:rPr>
                <w:sz w:val="18"/>
              </w:rPr>
            </w:pPr>
            <w:r>
              <w:rPr>
                <w:sz w:val="18"/>
              </w:rPr>
              <w:t>The Government considers no further work is necessary.</w:t>
            </w:r>
          </w:p>
        </w:tc>
      </w:tr>
      <w:tr w:rsidR="000F1F05">
        <w:trPr>
          <w:trHeight w:val="170"/>
        </w:trPr>
        <w:tc>
          <w:tcPr>
            <w:tcW w:w="2976" w:type="dxa"/>
          </w:tcPr>
          <w:p w:rsidR="000F1F05" w:rsidRDefault="000F1F05">
            <w:pPr>
              <w:pStyle w:val="TableParagraph"/>
              <w:spacing w:before="0"/>
              <w:ind w:left="0"/>
              <w:rPr>
                <w:rFonts w:ascii="Times New Roman"/>
                <w:sz w:val="10"/>
              </w:rPr>
            </w:pPr>
          </w:p>
        </w:tc>
        <w:tc>
          <w:tcPr>
            <w:tcW w:w="7582" w:type="dxa"/>
          </w:tcPr>
          <w:p w:rsidR="000F1F05" w:rsidRDefault="000F1F05">
            <w:pPr>
              <w:pStyle w:val="TableParagraph"/>
              <w:spacing w:before="0"/>
              <w:ind w:left="0"/>
              <w:rPr>
                <w:rFonts w:ascii="Times New Roman"/>
                <w:sz w:val="10"/>
              </w:rPr>
            </w:pPr>
          </w:p>
        </w:tc>
      </w:tr>
      <w:tr w:rsidR="000F1F05">
        <w:trPr>
          <w:trHeight w:val="566"/>
        </w:trPr>
        <w:tc>
          <w:tcPr>
            <w:tcW w:w="2976" w:type="dxa"/>
            <w:shd w:val="clear" w:color="auto" w:fill="BCD5ED"/>
          </w:tcPr>
          <w:p w:rsidR="000F1F05" w:rsidRDefault="00B44DD8">
            <w:pPr>
              <w:pStyle w:val="TableParagraph"/>
              <w:spacing w:before="179"/>
              <w:ind w:left="108"/>
              <w:rPr>
                <w:sz w:val="18"/>
              </w:rPr>
            </w:pPr>
            <w:r>
              <w:rPr>
                <w:sz w:val="18"/>
              </w:rPr>
              <w:t>Note work already underway</w:t>
            </w:r>
          </w:p>
        </w:tc>
        <w:tc>
          <w:tcPr>
            <w:tcW w:w="7582" w:type="dxa"/>
          </w:tcPr>
          <w:p w:rsidR="000F1F05" w:rsidRDefault="00B44DD8">
            <w:pPr>
              <w:pStyle w:val="TableParagraph"/>
              <w:spacing w:before="179"/>
              <w:ind w:left="108"/>
              <w:rPr>
                <w:sz w:val="18"/>
              </w:rPr>
            </w:pPr>
            <w:r>
              <w:rPr>
                <w:sz w:val="18"/>
              </w:rPr>
              <w:t>Work is already underway within Government to consider the recommendation.</w:t>
            </w:r>
          </w:p>
        </w:tc>
      </w:tr>
      <w:tr w:rsidR="000F1F05">
        <w:trPr>
          <w:trHeight w:val="170"/>
        </w:trPr>
        <w:tc>
          <w:tcPr>
            <w:tcW w:w="2976" w:type="dxa"/>
          </w:tcPr>
          <w:p w:rsidR="000F1F05" w:rsidRDefault="000F1F05">
            <w:pPr>
              <w:pStyle w:val="TableParagraph"/>
              <w:spacing w:before="0"/>
              <w:ind w:left="0"/>
              <w:rPr>
                <w:rFonts w:ascii="Times New Roman"/>
                <w:sz w:val="10"/>
              </w:rPr>
            </w:pPr>
          </w:p>
        </w:tc>
        <w:tc>
          <w:tcPr>
            <w:tcW w:w="7582" w:type="dxa"/>
          </w:tcPr>
          <w:p w:rsidR="000F1F05" w:rsidRDefault="000F1F05">
            <w:pPr>
              <w:pStyle w:val="TableParagraph"/>
              <w:spacing w:before="0"/>
              <w:ind w:left="0"/>
              <w:rPr>
                <w:rFonts w:ascii="Times New Roman"/>
                <w:sz w:val="10"/>
              </w:rPr>
            </w:pPr>
          </w:p>
        </w:tc>
      </w:tr>
      <w:tr w:rsidR="000F1F05">
        <w:trPr>
          <w:trHeight w:val="566"/>
        </w:trPr>
        <w:tc>
          <w:tcPr>
            <w:tcW w:w="2976" w:type="dxa"/>
            <w:shd w:val="clear" w:color="auto" w:fill="FFE499"/>
          </w:tcPr>
          <w:p w:rsidR="000F1F05" w:rsidRDefault="00B44DD8">
            <w:pPr>
              <w:pStyle w:val="TableParagraph"/>
              <w:spacing w:before="179"/>
              <w:ind w:left="108"/>
              <w:rPr>
                <w:sz w:val="18"/>
              </w:rPr>
            </w:pPr>
            <w:r>
              <w:rPr>
                <w:sz w:val="18"/>
              </w:rPr>
              <w:t>Consider for work programme</w:t>
            </w:r>
          </w:p>
        </w:tc>
        <w:tc>
          <w:tcPr>
            <w:tcW w:w="7582" w:type="dxa"/>
          </w:tcPr>
          <w:p w:rsidR="000F1F05" w:rsidRDefault="00B44DD8">
            <w:pPr>
              <w:pStyle w:val="TableParagraph"/>
              <w:spacing w:before="76"/>
              <w:ind w:left="108" w:right="560"/>
              <w:rPr>
                <w:sz w:val="18"/>
              </w:rPr>
            </w:pPr>
            <w:r>
              <w:rPr>
                <w:sz w:val="18"/>
              </w:rPr>
              <w:t xml:space="preserve">The recommendation should be considered for inclusion in the 2019/20 tax policy work programme (TPWP) and/or </w:t>
            </w:r>
            <w:proofErr w:type="gramStart"/>
            <w:r>
              <w:rPr>
                <w:sz w:val="18"/>
              </w:rPr>
              <w:t>other</w:t>
            </w:r>
            <w:proofErr w:type="gramEnd"/>
            <w:r>
              <w:rPr>
                <w:sz w:val="18"/>
              </w:rPr>
              <w:t xml:space="preserve"> agency work programme.</w:t>
            </w:r>
          </w:p>
        </w:tc>
      </w:tr>
      <w:tr w:rsidR="000F1F05">
        <w:trPr>
          <w:trHeight w:val="170"/>
        </w:trPr>
        <w:tc>
          <w:tcPr>
            <w:tcW w:w="2976" w:type="dxa"/>
          </w:tcPr>
          <w:p w:rsidR="000F1F05" w:rsidRDefault="000F1F05">
            <w:pPr>
              <w:pStyle w:val="TableParagraph"/>
              <w:spacing w:before="0"/>
              <w:ind w:left="0"/>
              <w:rPr>
                <w:rFonts w:ascii="Times New Roman"/>
                <w:sz w:val="10"/>
              </w:rPr>
            </w:pPr>
          </w:p>
        </w:tc>
        <w:tc>
          <w:tcPr>
            <w:tcW w:w="7582" w:type="dxa"/>
          </w:tcPr>
          <w:p w:rsidR="000F1F05" w:rsidRDefault="000F1F05">
            <w:pPr>
              <w:pStyle w:val="TableParagraph"/>
              <w:spacing w:before="0"/>
              <w:ind w:left="0"/>
              <w:rPr>
                <w:rFonts w:ascii="Times New Roman"/>
                <w:sz w:val="10"/>
              </w:rPr>
            </w:pPr>
          </w:p>
        </w:tc>
      </w:tr>
      <w:tr w:rsidR="000F1F05">
        <w:trPr>
          <w:trHeight w:val="566"/>
        </w:trPr>
        <w:tc>
          <w:tcPr>
            <w:tcW w:w="2976" w:type="dxa"/>
            <w:shd w:val="clear" w:color="auto" w:fill="F4AF83"/>
          </w:tcPr>
          <w:p w:rsidR="000F1F05" w:rsidRDefault="00B44DD8">
            <w:pPr>
              <w:pStyle w:val="TableParagraph"/>
              <w:spacing w:before="76"/>
              <w:ind w:left="108" w:right="496"/>
              <w:rPr>
                <w:sz w:val="18"/>
              </w:rPr>
            </w:pPr>
            <w:r>
              <w:rPr>
                <w:sz w:val="18"/>
              </w:rPr>
              <w:t>Consider as a high priority for work programme</w:t>
            </w:r>
          </w:p>
        </w:tc>
        <w:tc>
          <w:tcPr>
            <w:tcW w:w="7582" w:type="dxa"/>
          </w:tcPr>
          <w:p w:rsidR="000F1F05" w:rsidRDefault="00B44DD8">
            <w:pPr>
              <w:pStyle w:val="TableParagraph"/>
              <w:spacing w:before="76"/>
              <w:ind w:left="108" w:right="179"/>
              <w:rPr>
                <w:sz w:val="18"/>
              </w:rPr>
            </w:pPr>
            <w:r>
              <w:rPr>
                <w:sz w:val="18"/>
              </w:rPr>
              <w:t xml:space="preserve">The recommendation should be considered as a high priority for progression in the 2019/20 tax policy work programme (TPWP) and/or </w:t>
            </w:r>
            <w:proofErr w:type="gramStart"/>
            <w:r>
              <w:rPr>
                <w:sz w:val="18"/>
              </w:rPr>
              <w:t>other</w:t>
            </w:r>
            <w:proofErr w:type="gramEnd"/>
            <w:r>
              <w:rPr>
                <w:sz w:val="18"/>
              </w:rPr>
              <w:t xml:space="preserve"> agency work programme.</w:t>
            </w:r>
          </w:p>
        </w:tc>
      </w:tr>
    </w:tbl>
    <w:p w:rsidR="000F1F05" w:rsidRDefault="000F1F05">
      <w:pPr>
        <w:pStyle w:val="BodyText"/>
        <w:rPr>
          <w:b/>
          <w:sz w:val="20"/>
        </w:rPr>
      </w:pPr>
    </w:p>
    <w:p w:rsidR="000F1F05" w:rsidRDefault="000F1F05">
      <w:pPr>
        <w:pStyle w:val="BodyText"/>
        <w:spacing w:before="5"/>
        <w:rPr>
          <w:b/>
          <w:sz w:val="15"/>
        </w:r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77"/>
        </w:trPr>
        <w:tc>
          <w:tcPr>
            <w:tcW w:w="706" w:type="dxa"/>
            <w:tcBorders>
              <w:bottom w:val="single" w:sz="4" w:space="0" w:color="808080"/>
            </w:tcBorders>
            <w:shd w:val="clear" w:color="auto" w:fill="F1F1F1"/>
          </w:tcPr>
          <w:p w:rsidR="000F1F05" w:rsidRDefault="00B44DD8">
            <w:pPr>
              <w:pStyle w:val="TableParagraph"/>
              <w:spacing w:before="126"/>
              <w:rPr>
                <w:b/>
                <w:sz w:val="20"/>
              </w:rPr>
            </w:pPr>
            <w:r>
              <w:rPr>
                <w:b/>
                <w:sz w:val="20"/>
              </w:rPr>
              <w:t>Rec #</w:t>
            </w:r>
          </w:p>
        </w:tc>
        <w:tc>
          <w:tcPr>
            <w:tcW w:w="8649" w:type="dxa"/>
            <w:tcBorders>
              <w:bottom w:val="single" w:sz="4" w:space="0" w:color="808080"/>
            </w:tcBorders>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tcBorders>
              <w:bottom w:val="single" w:sz="4" w:space="0" w:color="808080"/>
            </w:tcBorders>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91"/>
        </w:trPr>
        <w:tc>
          <w:tcPr>
            <w:tcW w:w="15169" w:type="dxa"/>
            <w:gridSpan w:val="3"/>
            <w:tcBorders>
              <w:top w:val="single" w:sz="4" w:space="0" w:color="808080"/>
            </w:tcBorders>
          </w:tcPr>
          <w:p w:rsidR="000F1F05" w:rsidRDefault="00B44DD8">
            <w:pPr>
              <w:pStyle w:val="TableParagraph"/>
              <w:spacing w:before="113"/>
              <w:rPr>
                <w:b/>
              </w:rPr>
            </w:pPr>
            <w:r>
              <w:rPr>
                <w:b/>
              </w:rPr>
              <w:t>Capital gains taxation</w:t>
            </w:r>
          </w:p>
        </w:tc>
      </w:tr>
      <w:tr w:rsidR="000F1F05">
        <w:trPr>
          <w:trHeight w:val="599"/>
        </w:trPr>
        <w:tc>
          <w:tcPr>
            <w:tcW w:w="706" w:type="dxa"/>
            <w:vMerge w:val="restart"/>
          </w:tcPr>
          <w:p w:rsidR="000F1F05" w:rsidRDefault="00B44DD8">
            <w:pPr>
              <w:pStyle w:val="TableParagraph"/>
              <w:rPr>
                <w:sz w:val="20"/>
              </w:rPr>
            </w:pPr>
            <w:r>
              <w:rPr>
                <w:sz w:val="20"/>
              </w:rPr>
              <w:t>1, 2</w:t>
            </w:r>
          </w:p>
        </w:tc>
        <w:tc>
          <w:tcPr>
            <w:tcW w:w="8649" w:type="dxa"/>
            <w:vMerge w:val="restart"/>
          </w:tcPr>
          <w:p w:rsidR="000F1F05" w:rsidRDefault="00B44DD8">
            <w:pPr>
              <w:pStyle w:val="TableParagraph"/>
              <w:ind w:left="107"/>
              <w:rPr>
                <w:sz w:val="20"/>
              </w:rPr>
            </w:pPr>
            <w:r>
              <w:rPr>
                <w:sz w:val="20"/>
              </w:rPr>
              <w:t>The majority of the TWG recommends a broad extension of the taxation of capital gains.</w:t>
            </w:r>
          </w:p>
          <w:p w:rsidR="000F1F05" w:rsidRDefault="00B44DD8">
            <w:pPr>
              <w:pStyle w:val="TableParagraph"/>
              <w:spacing w:before="70" w:line="249" w:lineRule="auto"/>
              <w:ind w:left="107" w:right="175"/>
              <w:rPr>
                <w:sz w:val="20"/>
              </w:rPr>
            </w:pPr>
            <w:r>
              <w:rPr>
                <w:sz w:val="20"/>
              </w:rPr>
              <w:t>If a broad extension of capital gains taxation was adopted, the TWG recommends that it have the characteristics detailed in Volume II of the TWG report.</w:t>
            </w:r>
          </w:p>
        </w:tc>
        <w:tc>
          <w:tcPr>
            <w:tcW w:w="5814" w:type="dxa"/>
            <w:shd w:val="clear" w:color="auto" w:fill="D9D9D9"/>
          </w:tcPr>
          <w:p w:rsidR="000F1F05" w:rsidRDefault="00B44DD8">
            <w:pPr>
              <w:pStyle w:val="TableParagraph"/>
              <w:spacing w:before="66" w:line="249" w:lineRule="auto"/>
              <w:ind w:left="104" w:right="149"/>
              <w:rPr>
                <w:b/>
                <w:sz w:val="20"/>
              </w:rPr>
            </w:pPr>
            <w:r>
              <w:rPr>
                <w:b/>
                <w:sz w:val="20"/>
              </w:rPr>
              <w:t>Agree no further work required on these recommendations.</w:t>
            </w:r>
          </w:p>
        </w:tc>
      </w:tr>
      <w:tr w:rsidR="000F1F05">
        <w:trPr>
          <w:trHeight w:val="1800"/>
        </w:trPr>
        <w:tc>
          <w:tcPr>
            <w:tcW w:w="706" w:type="dxa"/>
            <w:vMerge/>
            <w:tcBorders>
              <w:top w:val="nil"/>
            </w:tcBorders>
          </w:tcPr>
          <w:p w:rsidR="000F1F05" w:rsidRDefault="000F1F05">
            <w:pPr>
              <w:rPr>
                <w:sz w:val="2"/>
                <w:szCs w:val="2"/>
              </w:rPr>
            </w:pPr>
          </w:p>
        </w:tc>
        <w:tc>
          <w:tcPr>
            <w:tcW w:w="8649" w:type="dxa"/>
            <w:vMerge/>
            <w:tcBorders>
              <w:top w:val="nil"/>
            </w:tcBorders>
          </w:tcPr>
          <w:p w:rsidR="000F1F05" w:rsidRDefault="000F1F05">
            <w:pPr>
              <w:rPr>
                <w:sz w:val="2"/>
                <w:szCs w:val="2"/>
              </w:rPr>
            </w:pPr>
          </w:p>
        </w:tc>
        <w:tc>
          <w:tcPr>
            <w:tcW w:w="5814" w:type="dxa"/>
            <w:shd w:val="clear" w:color="auto" w:fill="F4AF83"/>
          </w:tcPr>
          <w:p w:rsidR="000F1F05" w:rsidRDefault="00B44DD8">
            <w:pPr>
              <w:pStyle w:val="TableParagraph"/>
              <w:spacing w:before="66" w:line="252" w:lineRule="auto"/>
              <w:ind w:left="104" w:right="149"/>
              <w:rPr>
                <w:sz w:val="20"/>
              </w:rPr>
            </w:pPr>
            <w:r>
              <w:rPr>
                <w:b/>
                <w:sz w:val="20"/>
              </w:rPr>
              <w:t>The Government intends to explore options f</w:t>
            </w:r>
            <w:r>
              <w:rPr>
                <w:b/>
                <w:sz w:val="20"/>
              </w:rPr>
              <w:t xml:space="preserve">or taxing vacant land </w:t>
            </w:r>
            <w:r>
              <w:rPr>
                <w:sz w:val="20"/>
              </w:rPr>
              <w:t xml:space="preserve">including as recommended by the TWG, directing the Productivity Commission to include vacant land taxes within its inquiry into local government funding and financing </w:t>
            </w:r>
            <w:r>
              <w:rPr>
                <w:b/>
                <w:sz w:val="20"/>
              </w:rPr>
              <w:t>and seek a review of the current rules of taxing land speculators a</w:t>
            </w:r>
            <w:r>
              <w:rPr>
                <w:b/>
                <w:sz w:val="20"/>
              </w:rPr>
              <w:t xml:space="preserve">s a high priority for the work programme </w:t>
            </w:r>
            <w:r>
              <w:rPr>
                <w:sz w:val="20"/>
              </w:rPr>
              <w:t>(TPWP). (see response to recommendations 96 and 97).</w:t>
            </w:r>
          </w:p>
        </w:tc>
      </w:tr>
      <w:tr w:rsidR="000F1F05">
        <w:trPr>
          <w:trHeight w:val="491"/>
        </w:trPr>
        <w:tc>
          <w:tcPr>
            <w:tcW w:w="15169" w:type="dxa"/>
            <w:gridSpan w:val="3"/>
          </w:tcPr>
          <w:p w:rsidR="000F1F05" w:rsidRDefault="00B44DD8">
            <w:pPr>
              <w:pStyle w:val="TableParagraph"/>
              <w:spacing w:before="115"/>
              <w:rPr>
                <w:b/>
              </w:rPr>
            </w:pPr>
            <w:r>
              <w:rPr>
                <w:b/>
              </w:rPr>
              <w:t>Capital and wealth</w:t>
            </w:r>
          </w:p>
        </w:tc>
      </w:tr>
      <w:tr w:rsidR="000F1F05">
        <w:trPr>
          <w:trHeight w:val="441"/>
        </w:trPr>
        <w:tc>
          <w:tcPr>
            <w:tcW w:w="706" w:type="dxa"/>
          </w:tcPr>
          <w:p w:rsidR="000F1F05" w:rsidRDefault="00B44DD8">
            <w:pPr>
              <w:pStyle w:val="TableParagraph"/>
              <w:rPr>
                <w:sz w:val="20"/>
              </w:rPr>
            </w:pPr>
            <w:r>
              <w:rPr>
                <w:w w:val="99"/>
                <w:sz w:val="20"/>
              </w:rPr>
              <w:t>3</w:t>
            </w:r>
          </w:p>
        </w:tc>
        <w:tc>
          <w:tcPr>
            <w:tcW w:w="8649" w:type="dxa"/>
          </w:tcPr>
          <w:p w:rsidR="000F1F05" w:rsidRDefault="00B44DD8">
            <w:pPr>
              <w:pStyle w:val="TableParagraph"/>
              <w:ind w:left="107"/>
              <w:rPr>
                <w:sz w:val="20"/>
              </w:rPr>
            </w:pPr>
            <w:r>
              <w:rPr>
                <w:sz w:val="20"/>
              </w:rPr>
              <w:t>Do not introduce a wealth tax.</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395"/>
        </w:trPr>
        <w:tc>
          <w:tcPr>
            <w:tcW w:w="706" w:type="dxa"/>
          </w:tcPr>
          <w:p w:rsidR="000F1F05" w:rsidRDefault="00B44DD8">
            <w:pPr>
              <w:pStyle w:val="TableParagraph"/>
              <w:rPr>
                <w:sz w:val="20"/>
              </w:rPr>
            </w:pPr>
            <w:r>
              <w:rPr>
                <w:w w:val="99"/>
                <w:sz w:val="20"/>
              </w:rPr>
              <w:t>4</w:t>
            </w:r>
          </w:p>
        </w:tc>
        <w:tc>
          <w:tcPr>
            <w:tcW w:w="8649" w:type="dxa"/>
          </w:tcPr>
          <w:p w:rsidR="000F1F05" w:rsidRDefault="00B44DD8">
            <w:pPr>
              <w:pStyle w:val="TableParagraph"/>
              <w:ind w:left="107"/>
              <w:rPr>
                <w:sz w:val="20"/>
              </w:rPr>
            </w:pPr>
            <w:r>
              <w:rPr>
                <w:sz w:val="20"/>
              </w:rPr>
              <w:t>Do not introduce a land tax.</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bl>
    <w:p w:rsidR="000F1F05" w:rsidRDefault="000F1F05">
      <w:pPr>
        <w:rPr>
          <w:sz w:val="20"/>
        </w:rPr>
        <w:sectPr w:rsidR="000F1F05">
          <w:footerReference w:type="default" r:id="rId7"/>
          <w:type w:val="continuous"/>
          <w:pgSz w:w="16840" w:h="11910" w:orient="landscape"/>
          <w:pgMar w:top="780" w:right="700" w:bottom="580" w:left="740" w:header="720" w:footer="380" w:gutter="0"/>
          <w:pgNumType w:start="1"/>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lastRenderedPageBreak/>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91"/>
        </w:trPr>
        <w:tc>
          <w:tcPr>
            <w:tcW w:w="15169" w:type="dxa"/>
            <w:gridSpan w:val="3"/>
          </w:tcPr>
          <w:p w:rsidR="000F1F05" w:rsidRDefault="00B44DD8">
            <w:pPr>
              <w:pStyle w:val="TableParagraph"/>
              <w:spacing w:before="115"/>
              <w:rPr>
                <w:b/>
              </w:rPr>
            </w:pPr>
            <w:r>
              <w:rPr>
                <w:b/>
              </w:rPr>
              <w:t>Environmental and ecological outcomes</w:t>
            </w:r>
          </w:p>
        </w:tc>
      </w:tr>
      <w:tr w:rsidR="000F1F05">
        <w:trPr>
          <w:trHeight w:val="599"/>
        </w:trPr>
        <w:tc>
          <w:tcPr>
            <w:tcW w:w="706" w:type="dxa"/>
            <w:vMerge w:val="restart"/>
          </w:tcPr>
          <w:p w:rsidR="000F1F05" w:rsidRDefault="00B44DD8">
            <w:pPr>
              <w:pStyle w:val="TableParagraph"/>
              <w:rPr>
                <w:sz w:val="20"/>
              </w:rPr>
            </w:pPr>
            <w:r>
              <w:rPr>
                <w:w w:val="99"/>
                <w:sz w:val="20"/>
              </w:rPr>
              <w:t>5</w:t>
            </w:r>
          </w:p>
        </w:tc>
        <w:tc>
          <w:tcPr>
            <w:tcW w:w="8649" w:type="dxa"/>
            <w:vMerge w:val="restart"/>
          </w:tcPr>
          <w:p w:rsidR="000F1F05" w:rsidRDefault="00B44DD8">
            <w:pPr>
              <w:pStyle w:val="TableParagraph"/>
              <w:ind w:left="107"/>
              <w:rPr>
                <w:sz w:val="20"/>
              </w:rPr>
            </w:pPr>
            <w:r>
              <w:rPr>
                <w:sz w:val="20"/>
              </w:rPr>
              <w:t>Adopt the TWG’s framework for taxing negative environmental externalities.</w:t>
            </w:r>
          </w:p>
        </w:tc>
        <w:tc>
          <w:tcPr>
            <w:tcW w:w="5814" w:type="dxa"/>
            <w:shd w:val="clear" w:color="auto" w:fill="FFE499"/>
          </w:tcPr>
          <w:p w:rsidR="000F1F05" w:rsidRDefault="00B44DD8">
            <w:pPr>
              <w:pStyle w:val="TableParagraph"/>
              <w:spacing w:before="66" w:line="252" w:lineRule="auto"/>
              <w:ind w:left="104" w:right="495"/>
              <w:rPr>
                <w:sz w:val="20"/>
              </w:rPr>
            </w:pPr>
            <w:r>
              <w:rPr>
                <w:b/>
                <w:sz w:val="20"/>
              </w:rPr>
              <w:t xml:space="preserve">Consider for inclusion on work programme </w:t>
            </w:r>
            <w:r>
              <w:rPr>
                <w:sz w:val="20"/>
              </w:rPr>
              <w:t>(TPWP and Ministry for the Environment)</w:t>
            </w:r>
          </w:p>
        </w:tc>
      </w:tr>
      <w:tr w:rsidR="000F1F05">
        <w:trPr>
          <w:trHeight w:val="839"/>
        </w:trPr>
        <w:tc>
          <w:tcPr>
            <w:tcW w:w="706" w:type="dxa"/>
            <w:vMerge/>
            <w:tcBorders>
              <w:top w:val="nil"/>
            </w:tcBorders>
          </w:tcPr>
          <w:p w:rsidR="000F1F05" w:rsidRDefault="000F1F05">
            <w:pPr>
              <w:rPr>
                <w:sz w:val="2"/>
                <w:szCs w:val="2"/>
              </w:rPr>
            </w:pPr>
          </w:p>
        </w:tc>
        <w:tc>
          <w:tcPr>
            <w:tcW w:w="8649" w:type="dxa"/>
            <w:vMerge/>
            <w:tcBorders>
              <w:top w:val="nil"/>
            </w:tcBorders>
          </w:tcPr>
          <w:p w:rsidR="000F1F05" w:rsidRDefault="000F1F05">
            <w:pPr>
              <w:rPr>
                <w:sz w:val="2"/>
                <w:szCs w:val="2"/>
              </w:rPr>
            </w:pPr>
          </w:p>
        </w:tc>
        <w:tc>
          <w:tcPr>
            <w:tcW w:w="5814" w:type="dxa"/>
            <w:shd w:val="clear" w:color="auto" w:fill="D9D9D9"/>
          </w:tcPr>
          <w:p w:rsidR="000F1F05" w:rsidRDefault="00B44DD8">
            <w:pPr>
              <w:pStyle w:val="TableParagraph"/>
              <w:spacing w:before="66" w:line="249" w:lineRule="auto"/>
              <w:ind w:left="104" w:right="594"/>
              <w:jc w:val="both"/>
              <w:rPr>
                <w:b/>
                <w:sz w:val="20"/>
              </w:rPr>
            </w:pPr>
            <w:r>
              <w:rPr>
                <w:b/>
                <w:sz w:val="20"/>
              </w:rPr>
              <w:t>Agree that the Government will not be advancing new environmental tax proposals beyond the current</w:t>
            </w:r>
            <w:r>
              <w:rPr>
                <w:b/>
                <w:spacing w:val="-18"/>
                <w:sz w:val="20"/>
              </w:rPr>
              <w:t xml:space="preserve"> </w:t>
            </w:r>
            <w:r>
              <w:rPr>
                <w:b/>
                <w:sz w:val="20"/>
              </w:rPr>
              <w:t>work programme.</w:t>
            </w:r>
          </w:p>
        </w:tc>
      </w:tr>
      <w:tr w:rsidR="000F1F05">
        <w:trPr>
          <w:trHeight w:val="1980"/>
        </w:trPr>
        <w:tc>
          <w:tcPr>
            <w:tcW w:w="706" w:type="dxa"/>
          </w:tcPr>
          <w:p w:rsidR="000F1F05" w:rsidRDefault="00B44DD8">
            <w:pPr>
              <w:pStyle w:val="TableParagraph"/>
              <w:rPr>
                <w:sz w:val="20"/>
              </w:rPr>
            </w:pPr>
            <w:r>
              <w:rPr>
                <w:sz w:val="20"/>
              </w:rPr>
              <w:t>6-8</w:t>
            </w:r>
          </w:p>
        </w:tc>
        <w:tc>
          <w:tcPr>
            <w:tcW w:w="8649" w:type="dxa"/>
          </w:tcPr>
          <w:p w:rsidR="000F1F05" w:rsidRDefault="00B44DD8">
            <w:pPr>
              <w:pStyle w:val="TableParagraph"/>
              <w:ind w:left="107"/>
              <w:rPr>
                <w:b/>
                <w:i/>
                <w:sz w:val="20"/>
              </w:rPr>
            </w:pPr>
            <w:r>
              <w:rPr>
                <w:b/>
                <w:i/>
                <w:sz w:val="20"/>
              </w:rPr>
              <w:t>Greenhouse gases</w:t>
            </w:r>
          </w:p>
          <w:p w:rsidR="000F1F05" w:rsidRDefault="00B44DD8">
            <w:pPr>
              <w:pStyle w:val="TableParagraph"/>
              <w:numPr>
                <w:ilvl w:val="0"/>
                <w:numId w:val="13"/>
              </w:numPr>
              <w:tabs>
                <w:tab w:val="left" w:pos="466"/>
              </w:tabs>
              <w:spacing w:before="70" w:line="249" w:lineRule="auto"/>
              <w:ind w:right="245"/>
              <w:jc w:val="both"/>
              <w:rPr>
                <w:sz w:val="20"/>
              </w:rPr>
            </w:pPr>
            <w:r>
              <w:rPr>
                <w:sz w:val="20"/>
              </w:rPr>
              <w:t>Support for a reformed Emissions Trading Scheme (ETS) as the centrepiece of</w:t>
            </w:r>
            <w:r>
              <w:rPr>
                <w:spacing w:val="-24"/>
                <w:sz w:val="20"/>
              </w:rPr>
              <w:t xml:space="preserve"> </w:t>
            </w:r>
            <w:r>
              <w:rPr>
                <w:sz w:val="20"/>
              </w:rPr>
              <w:t>emissions reduction efforts, but there should be greater guidance on price and auctioning emissions units to raise</w:t>
            </w:r>
            <w:r>
              <w:rPr>
                <w:spacing w:val="-1"/>
                <w:sz w:val="20"/>
              </w:rPr>
              <w:t xml:space="preserve"> </w:t>
            </w:r>
            <w:r>
              <w:rPr>
                <w:sz w:val="20"/>
              </w:rPr>
              <w:t>revenue.</w:t>
            </w:r>
          </w:p>
          <w:p w:rsidR="000F1F05" w:rsidRDefault="00B44DD8">
            <w:pPr>
              <w:pStyle w:val="TableParagraph"/>
              <w:numPr>
                <w:ilvl w:val="0"/>
                <w:numId w:val="13"/>
              </w:numPr>
              <w:tabs>
                <w:tab w:val="left" w:pos="466"/>
              </w:tabs>
              <w:spacing w:before="63"/>
              <w:rPr>
                <w:sz w:val="20"/>
              </w:rPr>
            </w:pPr>
            <w:r>
              <w:rPr>
                <w:sz w:val="20"/>
              </w:rPr>
              <w:t>Periodic reviews of the ETS to ensure it is fit for</w:t>
            </w:r>
            <w:r>
              <w:rPr>
                <w:spacing w:val="-1"/>
                <w:sz w:val="20"/>
              </w:rPr>
              <w:t xml:space="preserve"> </w:t>
            </w:r>
            <w:r>
              <w:rPr>
                <w:sz w:val="20"/>
              </w:rPr>
              <w:t>purpose.</w:t>
            </w:r>
          </w:p>
          <w:p w:rsidR="000F1F05" w:rsidRDefault="00B44DD8">
            <w:pPr>
              <w:pStyle w:val="TableParagraph"/>
              <w:numPr>
                <w:ilvl w:val="0"/>
                <w:numId w:val="13"/>
              </w:numPr>
              <w:tabs>
                <w:tab w:val="left" w:pos="466"/>
              </w:tabs>
              <w:spacing w:before="70" w:line="249" w:lineRule="auto"/>
              <w:ind w:right="1279"/>
              <w:rPr>
                <w:sz w:val="20"/>
              </w:rPr>
            </w:pPr>
            <w:r>
              <w:rPr>
                <w:sz w:val="20"/>
              </w:rPr>
              <w:t>Emissions should face a price, including from agriculture, either from ETS or</w:t>
            </w:r>
            <w:r>
              <w:rPr>
                <w:spacing w:val="-23"/>
                <w:sz w:val="20"/>
              </w:rPr>
              <w:t xml:space="preserve"> </w:t>
            </w:r>
            <w:r>
              <w:rPr>
                <w:sz w:val="20"/>
              </w:rPr>
              <w:t>a complementary</w:t>
            </w:r>
            <w:r>
              <w:rPr>
                <w:spacing w:val="-5"/>
                <w:sz w:val="20"/>
              </w:rPr>
              <w:t xml:space="preserve"> </w:t>
            </w:r>
            <w:r>
              <w:rPr>
                <w:sz w:val="20"/>
              </w:rPr>
              <w:t>system.</w:t>
            </w:r>
          </w:p>
        </w:tc>
        <w:tc>
          <w:tcPr>
            <w:tcW w:w="5814" w:type="dxa"/>
            <w:shd w:val="clear" w:color="auto" w:fill="BCD5ED"/>
          </w:tcPr>
          <w:p w:rsidR="000F1F05" w:rsidRDefault="00B44DD8">
            <w:pPr>
              <w:pStyle w:val="TableParagraph"/>
              <w:spacing w:before="66" w:line="252" w:lineRule="auto"/>
              <w:ind w:left="104" w:right="371"/>
              <w:rPr>
                <w:sz w:val="20"/>
              </w:rPr>
            </w:pPr>
            <w:r>
              <w:rPr>
                <w:b/>
                <w:sz w:val="20"/>
              </w:rPr>
              <w:t xml:space="preserve">Note work already underway </w:t>
            </w:r>
            <w:r>
              <w:rPr>
                <w:sz w:val="20"/>
              </w:rPr>
              <w:t>– considered as part of the Climate Change Response Act Amendment Bill. The Interim Committee on Climate Change is also conside</w:t>
            </w:r>
            <w:r>
              <w:rPr>
                <w:sz w:val="20"/>
              </w:rPr>
              <w:t>ring the treatment of agricultural emissions.</w:t>
            </w:r>
          </w:p>
        </w:tc>
      </w:tr>
      <w:tr w:rsidR="000F1F05">
        <w:trPr>
          <w:trHeight w:val="1920"/>
        </w:trPr>
        <w:tc>
          <w:tcPr>
            <w:tcW w:w="706" w:type="dxa"/>
          </w:tcPr>
          <w:p w:rsidR="000F1F05" w:rsidRDefault="00B44DD8">
            <w:pPr>
              <w:pStyle w:val="TableParagraph"/>
              <w:rPr>
                <w:sz w:val="20"/>
              </w:rPr>
            </w:pPr>
            <w:r>
              <w:rPr>
                <w:sz w:val="20"/>
              </w:rPr>
              <w:t>9-11</w:t>
            </w:r>
          </w:p>
        </w:tc>
        <w:tc>
          <w:tcPr>
            <w:tcW w:w="8649" w:type="dxa"/>
          </w:tcPr>
          <w:p w:rsidR="000F1F05" w:rsidRDefault="00B44DD8">
            <w:pPr>
              <w:pStyle w:val="TableParagraph"/>
              <w:ind w:left="107"/>
              <w:rPr>
                <w:b/>
                <w:i/>
                <w:sz w:val="20"/>
              </w:rPr>
            </w:pPr>
            <w:r>
              <w:rPr>
                <w:b/>
                <w:i/>
                <w:sz w:val="20"/>
              </w:rPr>
              <w:t>Water abstraction and water pollution</w:t>
            </w:r>
          </w:p>
          <w:p w:rsidR="000F1F05" w:rsidRDefault="00B44DD8">
            <w:pPr>
              <w:pStyle w:val="TableParagraph"/>
              <w:numPr>
                <w:ilvl w:val="0"/>
                <w:numId w:val="12"/>
              </w:numPr>
              <w:tabs>
                <w:tab w:val="left" w:pos="466"/>
              </w:tabs>
              <w:spacing w:before="70" w:line="249" w:lineRule="auto"/>
              <w:ind w:right="615"/>
              <w:rPr>
                <w:sz w:val="20"/>
              </w:rPr>
            </w:pPr>
            <w:r>
              <w:rPr>
                <w:sz w:val="20"/>
              </w:rPr>
              <w:t>Tax instruments could be considered to address water pollution and water</w:t>
            </w:r>
            <w:r>
              <w:rPr>
                <w:spacing w:val="-32"/>
                <w:sz w:val="20"/>
              </w:rPr>
              <w:t xml:space="preserve"> </w:t>
            </w:r>
            <w:r>
              <w:rPr>
                <w:sz w:val="20"/>
              </w:rPr>
              <w:t>abstraction challenges.</w:t>
            </w:r>
          </w:p>
          <w:p w:rsidR="000F1F05" w:rsidRDefault="00B44DD8">
            <w:pPr>
              <w:pStyle w:val="TableParagraph"/>
              <w:numPr>
                <w:ilvl w:val="0"/>
                <w:numId w:val="12"/>
              </w:numPr>
              <w:tabs>
                <w:tab w:val="left" w:pos="466"/>
              </w:tabs>
              <w:spacing w:before="61"/>
              <w:rPr>
                <w:sz w:val="20"/>
              </w:rPr>
            </w:pPr>
            <w:r>
              <w:rPr>
                <w:sz w:val="20"/>
              </w:rPr>
              <w:t>Further develop tools to estimate diffuse water</w:t>
            </w:r>
            <w:r>
              <w:rPr>
                <w:spacing w:val="-8"/>
                <w:sz w:val="20"/>
              </w:rPr>
              <w:t xml:space="preserve"> </w:t>
            </w:r>
            <w:r>
              <w:rPr>
                <w:sz w:val="20"/>
              </w:rPr>
              <w:t>pollution.</w:t>
            </w:r>
          </w:p>
          <w:p w:rsidR="000F1F05" w:rsidRDefault="00B44DD8">
            <w:pPr>
              <w:pStyle w:val="TableParagraph"/>
              <w:numPr>
                <w:ilvl w:val="0"/>
                <w:numId w:val="12"/>
              </w:numPr>
              <w:tabs>
                <w:tab w:val="left" w:pos="466"/>
              </w:tabs>
              <w:spacing w:before="70" w:line="252" w:lineRule="auto"/>
              <w:ind w:right="380"/>
              <w:rPr>
                <w:sz w:val="20"/>
              </w:rPr>
            </w:pPr>
            <w:r>
              <w:rPr>
                <w:sz w:val="20"/>
              </w:rPr>
              <w:t>Introduce input-based tax instruments, including on fertiliser, if significant progress is</w:t>
            </w:r>
            <w:r>
              <w:rPr>
                <w:spacing w:val="-31"/>
                <w:sz w:val="20"/>
              </w:rPr>
              <w:t xml:space="preserve"> </w:t>
            </w:r>
            <w:r>
              <w:rPr>
                <w:sz w:val="20"/>
              </w:rPr>
              <w:t>not made in the near term on output-based approaches.</w:t>
            </w:r>
          </w:p>
        </w:tc>
        <w:tc>
          <w:tcPr>
            <w:tcW w:w="5814" w:type="dxa"/>
            <w:shd w:val="clear" w:color="auto" w:fill="BCD5ED"/>
          </w:tcPr>
          <w:p w:rsidR="000F1F05" w:rsidRDefault="00B44DD8">
            <w:pPr>
              <w:pStyle w:val="TableParagraph"/>
              <w:spacing w:before="66" w:line="252" w:lineRule="auto"/>
              <w:ind w:left="104" w:right="683"/>
              <w:rPr>
                <w:sz w:val="20"/>
              </w:rPr>
            </w:pPr>
            <w:r>
              <w:rPr>
                <w:b/>
                <w:sz w:val="20"/>
              </w:rPr>
              <w:t xml:space="preserve">Note work already underway </w:t>
            </w:r>
            <w:r>
              <w:rPr>
                <w:sz w:val="20"/>
              </w:rPr>
              <w:t>– The Water Taskforce is working to achieve improvements in water quality.</w:t>
            </w:r>
          </w:p>
          <w:p w:rsidR="000F1F05" w:rsidRDefault="00B44DD8">
            <w:pPr>
              <w:pStyle w:val="TableParagraph"/>
              <w:spacing w:before="60" w:line="249" w:lineRule="auto"/>
              <w:ind w:left="104"/>
              <w:rPr>
                <w:sz w:val="20"/>
              </w:rPr>
            </w:pPr>
            <w:r>
              <w:rPr>
                <w:sz w:val="20"/>
              </w:rPr>
              <w:t>There wil</w:t>
            </w:r>
            <w:r>
              <w:rPr>
                <w:sz w:val="20"/>
              </w:rPr>
              <w:t>l be no resource rentals for water in this term of Parliament as per the Coalition Agreement.</w:t>
            </w:r>
          </w:p>
          <w:p w:rsidR="000F1F05" w:rsidRDefault="00B44DD8">
            <w:pPr>
              <w:pStyle w:val="TableParagraph"/>
              <w:spacing w:before="61" w:line="249" w:lineRule="auto"/>
              <w:ind w:left="104" w:right="267"/>
              <w:rPr>
                <w:sz w:val="20"/>
              </w:rPr>
            </w:pPr>
            <w:r>
              <w:rPr>
                <w:sz w:val="20"/>
              </w:rPr>
              <w:t>These are no plans in this term of Parliament to introduce input-based instruments, including on fertiliser (i.e., a fertiliser tax).</w:t>
            </w:r>
          </w:p>
        </w:tc>
      </w:tr>
      <w:tr w:rsidR="000F1F05">
        <w:trPr>
          <w:trHeight w:val="2282"/>
        </w:trPr>
        <w:tc>
          <w:tcPr>
            <w:tcW w:w="706" w:type="dxa"/>
          </w:tcPr>
          <w:p w:rsidR="000F1F05" w:rsidRDefault="00B44DD8">
            <w:pPr>
              <w:pStyle w:val="TableParagraph"/>
              <w:spacing w:before="71"/>
              <w:rPr>
                <w:sz w:val="20"/>
              </w:rPr>
            </w:pPr>
            <w:r>
              <w:rPr>
                <w:sz w:val="20"/>
              </w:rPr>
              <w:t>12-15</w:t>
            </w:r>
          </w:p>
        </w:tc>
        <w:tc>
          <w:tcPr>
            <w:tcW w:w="8649" w:type="dxa"/>
          </w:tcPr>
          <w:p w:rsidR="000F1F05" w:rsidRDefault="00B44DD8">
            <w:pPr>
              <w:pStyle w:val="TableParagraph"/>
              <w:spacing w:before="71"/>
              <w:ind w:left="107"/>
              <w:rPr>
                <w:b/>
                <w:i/>
                <w:sz w:val="20"/>
              </w:rPr>
            </w:pPr>
            <w:r>
              <w:rPr>
                <w:b/>
                <w:i/>
                <w:sz w:val="20"/>
              </w:rPr>
              <w:t>Solid waste</w:t>
            </w:r>
          </w:p>
          <w:p w:rsidR="000F1F05" w:rsidRDefault="00B44DD8">
            <w:pPr>
              <w:pStyle w:val="TableParagraph"/>
              <w:numPr>
                <w:ilvl w:val="0"/>
                <w:numId w:val="11"/>
              </w:numPr>
              <w:tabs>
                <w:tab w:val="left" w:pos="466"/>
              </w:tabs>
              <w:spacing w:before="70" w:line="249" w:lineRule="auto"/>
              <w:ind w:right="322"/>
              <w:rPr>
                <w:sz w:val="20"/>
              </w:rPr>
            </w:pPr>
            <w:r>
              <w:rPr>
                <w:sz w:val="20"/>
              </w:rPr>
              <w:t>Supports</w:t>
            </w:r>
            <w:r>
              <w:rPr>
                <w:spacing w:val="-3"/>
                <w:sz w:val="20"/>
              </w:rPr>
              <w:t xml:space="preserve"> </w:t>
            </w:r>
            <w:r>
              <w:rPr>
                <w:sz w:val="20"/>
              </w:rPr>
              <w:t>the</w:t>
            </w:r>
            <w:r>
              <w:rPr>
                <w:spacing w:val="-3"/>
                <w:sz w:val="20"/>
              </w:rPr>
              <w:t xml:space="preserve"> </w:t>
            </w:r>
            <w:r>
              <w:rPr>
                <w:sz w:val="20"/>
              </w:rPr>
              <w:t>Ministry</w:t>
            </w:r>
            <w:r>
              <w:rPr>
                <w:spacing w:val="-6"/>
                <w:sz w:val="20"/>
              </w:rPr>
              <w:t xml:space="preserve"> </w:t>
            </w:r>
            <w:r>
              <w:rPr>
                <w:sz w:val="20"/>
              </w:rPr>
              <w:t>for</w:t>
            </w:r>
            <w:r>
              <w:rPr>
                <w:spacing w:val="-3"/>
                <w:sz w:val="20"/>
              </w:rPr>
              <w:t xml:space="preserve"> </w:t>
            </w:r>
            <w:r>
              <w:rPr>
                <w:sz w:val="20"/>
              </w:rPr>
              <w:t>the</w:t>
            </w:r>
            <w:r>
              <w:rPr>
                <w:spacing w:val="-3"/>
                <w:sz w:val="20"/>
              </w:rPr>
              <w:t xml:space="preserve"> </w:t>
            </w:r>
            <w:r>
              <w:rPr>
                <w:sz w:val="20"/>
              </w:rPr>
              <w:t>Environment’s</w:t>
            </w:r>
            <w:r>
              <w:rPr>
                <w:spacing w:val="-3"/>
                <w:sz w:val="20"/>
              </w:rPr>
              <w:t xml:space="preserve"> </w:t>
            </w:r>
            <w:r>
              <w:rPr>
                <w:sz w:val="20"/>
              </w:rPr>
              <w:t>review</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rate</w:t>
            </w:r>
            <w:r>
              <w:rPr>
                <w:spacing w:val="-1"/>
                <w:sz w:val="20"/>
              </w:rPr>
              <w:t xml:space="preserve"> </w:t>
            </w:r>
            <w:r>
              <w:rPr>
                <w:sz w:val="20"/>
              </w:rPr>
              <w:t>and</w:t>
            </w:r>
            <w:r>
              <w:rPr>
                <w:spacing w:val="-4"/>
                <w:sz w:val="20"/>
              </w:rPr>
              <w:t xml:space="preserve"> </w:t>
            </w:r>
            <w:r>
              <w:rPr>
                <w:sz w:val="20"/>
              </w:rPr>
              <w:t>coverage</w:t>
            </w:r>
            <w:r>
              <w:rPr>
                <w:spacing w:val="-3"/>
                <w:sz w:val="20"/>
              </w:rPr>
              <w:t xml:space="preserve"> </w:t>
            </w:r>
            <w:r>
              <w:rPr>
                <w:sz w:val="20"/>
              </w:rPr>
              <w:t>of</w:t>
            </w:r>
            <w:r>
              <w:rPr>
                <w:spacing w:val="-1"/>
                <w:sz w:val="20"/>
              </w:rPr>
              <w:t xml:space="preserve"> </w:t>
            </w:r>
            <w:r>
              <w:rPr>
                <w:sz w:val="20"/>
              </w:rPr>
              <w:t>the</w:t>
            </w:r>
            <w:r>
              <w:rPr>
                <w:spacing w:val="-6"/>
                <w:sz w:val="20"/>
              </w:rPr>
              <w:t xml:space="preserve"> </w:t>
            </w:r>
            <w:r>
              <w:rPr>
                <w:sz w:val="20"/>
              </w:rPr>
              <w:t>Waste Disposal</w:t>
            </w:r>
            <w:r>
              <w:rPr>
                <w:spacing w:val="-3"/>
                <w:sz w:val="20"/>
              </w:rPr>
              <w:t xml:space="preserve"> </w:t>
            </w:r>
            <w:r>
              <w:rPr>
                <w:sz w:val="20"/>
              </w:rPr>
              <w:t>Levy.</w:t>
            </w:r>
          </w:p>
          <w:p w:rsidR="000F1F05" w:rsidRDefault="00B44DD8">
            <w:pPr>
              <w:pStyle w:val="TableParagraph"/>
              <w:numPr>
                <w:ilvl w:val="0"/>
                <w:numId w:val="11"/>
              </w:numPr>
              <w:tabs>
                <w:tab w:val="left" w:pos="466"/>
              </w:tabs>
              <w:spacing w:before="62"/>
              <w:rPr>
                <w:sz w:val="20"/>
              </w:rPr>
            </w:pPr>
            <w:r>
              <w:rPr>
                <w:sz w:val="20"/>
              </w:rPr>
              <w:t>Expand the coverage of the Waste Disposal</w:t>
            </w:r>
            <w:r>
              <w:rPr>
                <w:spacing w:val="-9"/>
                <w:sz w:val="20"/>
              </w:rPr>
              <w:t xml:space="preserve"> </w:t>
            </w:r>
            <w:r>
              <w:rPr>
                <w:sz w:val="20"/>
              </w:rPr>
              <w:t>Levy.</w:t>
            </w:r>
          </w:p>
          <w:p w:rsidR="000F1F05" w:rsidRDefault="00B44DD8">
            <w:pPr>
              <w:pStyle w:val="TableParagraph"/>
              <w:numPr>
                <w:ilvl w:val="0"/>
                <w:numId w:val="11"/>
              </w:numPr>
              <w:tabs>
                <w:tab w:val="left" w:pos="466"/>
              </w:tabs>
              <w:spacing w:before="70" w:line="249" w:lineRule="auto"/>
              <w:ind w:right="538"/>
              <w:rPr>
                <w:sz w:val="20"/>
              </w:rPr>
            </w:pPr>
            <w:r>
              <w:rPr>
                <w:sz w:val="20"/>
              </w:rPr>
              <w:t>Reassess the negative externalities associated with landfill disposal in New Zealand</w:t>
            </w:r>
            <w:r>
              <w:rPr>
                <w:spacing w:val="-27"/>
                <w:sz w:val="20"/>
              </w:rPr>
              <w:t xml:space="preserve"> </w:t>
            </w:r>
            <w:r>
              <w:rPr>
                <w:sz w:val="20"/>
              </w:rPr>
              <w:t>to ascertain if a higher levy is</w:t>
            </w:r>
            <w:r>
              <w:rPr>
                <w:spacing w:val="-2"/>
                <w:sz w:val="20"/>
              </w:rPr>
              <w:t xml:space="preserve"> </w:t>
            </w:r>
            <w:r>
              <w:rPr>
                <w:sz w:val="20"/>
              </w:rPr>
              <w:t>appropriate.</w:t>
            </w:r>
          </w:p>
          <w:p w:rsidR="000F1F05" w:rsidRDefault="00B44DD8">
            <w:pPr>
              <w:pStyle w:val="TableParagraph"/>
              <w:numPr>
                <w:ilvl w:val="0"/>
                <w:numId w:val="11"/>
              </w:numPr>
              <w:tabs>
                <w:tab w:val="left" w:pos="466"/>
              </w:tabs>
              <w:spacing w:before="62" w:line="252" w:lineRule="auto"/>
              <w:ind w:right="390"/>
              <w:rPr>
                <w:sz w:val="20"/>
              </w:rPr>
            </w:pPr>
            <w:r>
              <w:rPr>
                <w:sz w:val="20"/>
              </w:rPr>
              <w:t>Review hypothecation of the Waste Disposal Levy to ensure funds are being used in</w:t>
            </w:r>
            <w:r>
              <w:rPr>
                <w:spacing w:val="-24"/>
                <w:sz w:val="20"/>
              </w:rPr>
              <w:t xml:space="preserve"> </w:t>
            </w:r>
            <w:r>
              <w:rPr>
                <w:sz w:val="20"/>
              </w:rPr>
              <w:t>the most effective way to move towards a more circular</w:t>
            </w:r>
            <w:r>
              <w:rPr>
                <w:spacing w:val="-6"/>
                <w:sz w:val="20"/>
              </w:rPr>
              <w:t xml:space="preserve"> </w:t>
            </w:r>
            <w:r>
              <w:rPr>
                <w:sz w:val="20"/>
              </w:rPr>
              <w:t>economy.</w:t>
            </w:r>
          </w:p>
        </w:tc>
        <w:tc>
          <w:tcPr>
            <w:tcW w:w="5814" w:type="dxa"/>
            <w:shd w:val="clear" w:color="auto" w:fill="BCD5ED"/>
          </w:tcPr>
          <w:p w:rsidR="000F1F05" w:rsidRDefault="00B44DD8">
            <w:pPr>
              <w:pStyle w:val="TableParagraph"/>
              <w:spacing w:line="252" w:lineRule="auto"/>
              <w:ind w:left="104" w:right="371"/>
              <w:rPr>
                <w:sz w:val="20"/>
              </w:rPr>
            </w:pPr>
            <w:r>
              <w:rPr>
                <w:b/>
                <w:sz w:val="20"/>
              </w:rPr>
              <w:t xml:space="preserve">Note work already underway </w:t>
            </w:r>
            <w:r>
              <w:rPr>
                <w:sz w:val="20"/>
              </w:rPr>
              <w:t>– The Ministry for the Environment is currently reviewing the scope and rate of the Waste Disposal Levy.</w:t>
            </w:r>
          </w:p>
        </w:tc>
      </w:tr>
      <w:tr w:rsidR="000F1F05">
        <w:trPr>
          <w:trHeight w:val="1079"/>
        </w:trPr>
        <w:tc>
          <w:tcPr>
            <w:tcW w:w="706" w:type="dxa"/>
          </w:tcPr>
          <w:p w:rsidR="000F1F05" w:rsidRDefault="00B44DD8">
            <w:pPr>
              <w:pStyle w:val="TableParagraph"/>
              <w:rPr>
                <w:sz w:val="20"/>
              </w:rPr>
            </w:pPr>
            <w:r>
              <w:rPr>
                <w:sz w:val="20"/>
              </w:rPr>
              <w:t>16</w:t>
            </w:r>
          </w:p>
        </w:tc>
        <w:tc>
          <w:tcPr>
            <w:tcW w:w="8649" w:type="dxa"/>
          </w:tcPr>
          <w:p w:rsidR="000F1F05" w:rsidRDefault="00B44DD8">
            <w:pPr>
              <w:pStyle w:val="TableParagraph"/>
              <w:ind w:left="107"/>
              <w:rPr>
                <w:b/>
                <w:i/>
                <w:sz w:val="20"/>
              </w:rPr>
            </w:pPr>
            <w:r>
              <w:rPr>
                <w:b/>
                <w:i/>
                <w:sz w:val="20"/>
              </w:rPr>
              <w:t>Transport</w:t>
            </w:r>
          </w:p>
          <w:p w:rsidR="000F1F05" w:rsidRDefault="00B44DD8">
            <w:pPr>
              <w:pStyle w:val="TableParagraph"/>
              <w:spacing w:before="70" w:line="249" w:lineRule="auto"/>
              <w:ind w:left="107"/>
              <w:rPr>
                <w:sz w:val="20"/>
              </w:rPr>
            </w:pPr>
            <w:r>
              <w:rPr>
                <w:sz w:val="20"/>
              </w:rPr>
              <w:t>Supports current reviews by the Government and Auckland Council into introducing congestion pricing.</w:t>
            </w:r>
          </w:p>
        </w:tc>
        <w:tc>
          <w:tcPr>
            <w:tcW w:w="5814" w:type="dxa"/>
            <w:shd w:val="clear" w:color="auto" w:fill="BCD5ED"/>
          </w:tcPr>
          <w:p w:rsidR="000F1F05" w:rsidRDefault="00B44DD8">
            <w:pPr>
              <w:pStyle w:val="TableParagraph"/>
              <w:spacing w:before="66" w:line="252" w:lineRule="auto"/>
              <w:ind w:left="104"/>
              <w:rPr>
                <w:sz w:val="20"/>
              </w:rPr>
            </w:pPr>
            <w:r>
              <w:rPr>
                <w:b/>
                <w:sz w:val="20"/>
              </w:rPr>
              <w:t xml:space="preserve">Note work already underway </w:t>
            </w:r>
            <w:r>
              <w:rPr>
                <w:sz w:val="20"/>
              </w:rPr>
              <w:t>– There is a project (“The Congestion Question”) between Government and Auckland Council to investigate whether or not to introduce congestion pricing in Auckland.</w:t>
            </w:r>
          </w:p>
        </w:tc>
      </w:tr>
    </w:tbl>
    <w:p w:rsidR="000F1F05" w:rsidRDefault="000F1F05">
      <w:pPr>
        <w:spacing w:line="252" w:lineRule="auto"/>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w:t>
            </w:r>
            <w:r>
              <w:rPr>
                <w:b/>
                <w:sz w:val="20"/>
              </w:rPr>
              <w:t>se</w:t>
            </w:r>
          </w:p>
        </w:tc>
      </w:tr>
      <w:tr w:rsidR="000F1F05">
        <w:trPr>
          <w:trHeight w:val="359"/>
        </w:trPr>
        <w:tc>
          <w:tcPr>
            <w:tcW w:w="15169" w:type="dxa"/>
            <w:gridSpan w:val="3"/>
          </w:tcPr>
          <w:p w:rsidR="000F1F05" w:rsidRDefault="00B44DD8">
            <w:pPr>
              <w:pStyle w:val="TableParagraph"/>
              <w:rPr>
                <w:b/>
                <w:i/>
                <w:sz w:val="20"/>
              </w:rPr>
            </w:pPr>
            <w:r>
              <w:rPr>
                <w:b/>
                <w:i/>
                <w:sz w:val="20"/>
              </w:rPr>
              <w:t>Concessions</w:t>
            </w:r>
          </w:p>
        </w:tc>
      </w:tr>
      <w:tr w:rsidR="000F1F05">
        <w:trPr>
          <w:trHeight w:val="590"/>
        </w:trPr>
        <w:tc>
          <w:tcPr>
            <w:tcW w:w="706" w:type="dxa"/>
          </w:tcPr>
          <w:p w:rsidR="000F1F05" w:rsidRDefault="00B44DD8">
            <w:pPr>
              <w:pStyle w:val="TableParagraph"/>
              <w:spacing w:before="59"/>
              <w:rPr>
                <w:sz w:val="20"/>
              </w:rPr>
            </w:pPr>
            <w:r>
              <w:rPr>
                <w:sz w:val="20"/>
              </w:rPr>
              <w:t>17</w:t>
            </w:r>
          </w:p>
        </w:tc>
        <w:tc>
          <w:tcPr>
            <w:tcW w:w="8649" w:type="dxa"/>
          </w:tcPr>
          <w:p w:rsidR="000F1F05" w:rsidRDefault="00B44DD8">
            <w:pPr>
              <w:pStyle w:val="TableParagraph"/>
              <w:spacing w:before="59" w:line="249" w:lineRule="auto"/>
              <w:ind w:left="107"/>
              <w:rPr>
                <w:sz w:val="20"/>
              </w:rPr>
            </w:pPr>
            <w:r>
              <w:rPr>
                <w:sz w:val="20"/>
              </w:rPr>
              <w:t xml:space="preserve">Costs associated with the care of land subject to a QEII covenant or </w:t>
            </w:r>
            <w:proofErr w:type="spellStart"/>
            <w:r>
              <w:rPr>
                <w:sz w:val="20"/>
              </w:rPr>
              <w:t>Ngā</w:t>
            </w:r>
            <w:proofErr w:type="spellEnd"/>
            <w:r>
              <w:rPr>
                <w:sz w:val="20"/>
              </w:rPr>
              <w:t xml:space="preserve"> Whenua </w:t>
            </w:r>
            <w:proofErr w:type="spellStart"/>
            <w:r>
              <w:rPr>
                <w:sz w:val="20"/>
              </w:rPr>
              <w:t>Rāhui</w:t>
            </w:r>
            <w:proofErr w:type="spellEnd"/>
            <w:r>
              <w:rPr>
                <w:sz w:val="20"/>
              </w:rPr>
              <w:t xml:space="preserve"> be tax deductible.</w:t>
            </w:r>
          </w:p>
        </w:tc>
        <w:tc>
          <w:tcPr>
            <w:tcW w:w="5814" w:type="dxa"/>
            <w:shd w:val="clear" w:color="auto" w:fill="FFE499"/>
          </w:tcPr>
          <w:p w:rsidR="000F1F05" w:rsidRDefault="00B44DD8">
            <w:pPr>
              <w:pStyle w:val="TableParagraph"/>
              <w:spacing w:before="57"/>
              <w:ind w:left="104"/>
              <w:rPr>
                <w:sz w:val="20"/>
              </w:rPr>
            </w:pPr>
            <w:r>
              <w:rPr>
                <w:b/>
                <w:sz w:val="20"/>
              </w:rPr>
              <w:t xml:space="preserve">Consider for inclusion on work programme </w:t>
            </w:r>
            <w:r>
              <w:rPr>
                <w:sz w:val="20"/>
              </w:rPr>
              <w:t>(TPWP)</w:t>
            </w:r>
          </w:p>
        </w:tc>
      </w:tr>
      <w:tr w:rsidR="000F1F05">
        <w:trPr>
          <w:trHeight w:val="350"/>
        </w:trPr>
        <w:tc>
          <w:tcPr>
            <w:tcW w:w="706" w:type="dxa"/>
          </w:tcPr>
          <w:p w:rsidR="000F1F05" w:rsidRDefault="00B44DD8">
            <w:pPr>
              <w:pStyle w:val="TableParagraph"/>
              <w:spacing w:before="59"/>
              <w:rPr>
                <w:sz w:val="20"/>
              </w:rPr>
            </w:pPr>
            <w:r>
              <w:rPr>
                <w:sz w:val="20"/>
              </w:rPr>
              <w:t>18</w:t>
            </w:r>
          </w:p>
        </w:tc>
        <w:tc>
          <w:tcPr>
            <w:tcW w:w="8649" w:type="dxa"/>
          </w:tcPr>
          <w:p w:rsidR="000F1F05" w:rsidRDefault="00B44DD8">
            <w:pPr>
              <w:pStyle w:val="TableParagraph"/>
              <w:spacing w:before="59"/>
              <w:ind w:left="107"/>
              <w:rPr>
                <w:sz w:val="20"/>
              </w:rPr>
            </w:pPr>
            <w:r>
              <w:rPr>
                <w:sz w:val="20"/>
              </w:rPr>
              <w:t>Consider a fringe benefit tax exemption for public transport.</w:t>
            </w:r>
          </w:p>
        </w:tc>
        <w:tc>
          <w:tcPr>
            <w:tcW w:w="5814" w:type="dxa"/>
            <w:shd w:val="clear" w:color="auto" w:fill="FFE499"/>
          </w:tcPr>
          <w:p w:rsidR="000F1F05" w:rsidRDefault="00B44DD8">
            <w:pPr>
              <w:pStyle w:val="TableParagraph"/>
              <w:spacing w:before="57"/>
              <w:ind w:left="104"/>
              <w:rPr>
                <w:sz w:val="20"/>
              </w:rPr>
            </w:pPr>
            <w:r>
              <w:rPr>
                <w:b/>
                <w:sz w:val="20"/>
              </w:rPr>
              <w:t xml:space="preserve">Consider for inclusion on work programme </w:t>
            </w:r>
            <w:r>
              <w:rPr>
                <w:sz w:val="20"/>
              </w:rPr>
              <w:t>(TPWP)</w:t>
            </w:r>
          </w:p>
        </w:tc>
      </w:tr>
      <w:tr w:rsidR="000F1F05">
        <w:trPr>
          <w:trHeight w:val="830"/>
        </w:trPr>
        <w:tc>
          <w:tcPr>
            <w:tcW w:w="706" w:type="dxa"/>
          </w:tcPr>
          <w:p w:rsidR="000F1F05" w:rsidRDefault="00B44DD8">
            <w:pPr>
              <w:pStyle w:val="TableParagraph"/>
              <w:spacing w:before="59"/>
              <w:rPr>
                <w:sz w:val="20"/>
              </w:rPr>
            </w:pPr>
            <w:r>
              <w:rPr>
                <w:sz w:val="20"/>
              </w:rPr>
              <w:t>19</w:t>
            </w:r>
          </w:p>
        </w:tc>
        <w:tc>
          <w:tcPr>
            <w:tcW w:w="8649" w:type="dxa"/>
          </w:tcPr>
          <w:p w:rsidR="000F1F05" w:rsidRDefault="00B44DD8">
            <w:pPr>
              <w:pStyle w:val="TableParagraph"/>
              <w:spacing w:before="59" w:line="249" w:lineRule="auto"/>
              <w:ind w:left="107"/>
              <w:rPr>
                <w:sz w:val="20"/>
              </w:rPr>
            </w:pPr>
            <w:r>
              <w:rPr>
                <w:sz w:val="20"/>
              </w:rPr>
              <w:t>Review various tax provisions specific to farming, forestry and petroleum mining with a view to removing concessions harmful to natural capital, while also considering new concessions that could enhance natural capital.</w:t>
            </w:r>
          </w:p>
        </w:tc>
        <w:tc>
          <w:tcPr>
            <w:tcW w:w="5814" w:type="dxa"/>
            <w:shd w:val="clear" w:color="auto" w:fill="FFE499"/>
          </w:tcPr>
          <w:p w:rsidR="000F1F05" w:rsidRDefault="00B44DD8">
            <w:pPr>
              <w:pStyle w:val="TableParagraph"/>
              <w:spacing w:before="57"/>
              <w:ind w:left="104"/>
              <w:rPr>
                <w:sz w:val="20"/>
              </w:rPr>
            </w:pPr>
            <w:r>
              <w:rPr>
                <w:b/>
                <w:sz w:val="20"/>
              </w:rPr>
              <w:t>Consider for inclusion on work progr</w:t>
            </w:r>
            <w:r>
              <w:rPr>
                <w:b/>
                <w:sz w:val="20"/>
              </w:rPr>
              <w:t xml:space="preserve">amme </w:t>
            </w:r>
            <w:r>
              <w:rPr>
                <w:sz w:val="20"/>
              </w:rPr>
              <w:t>(TPWP)</w:t>
            </w:r>
          </w:p>
        </w:tc>
      </w:tr>
      <w:tr w:rsidR="000F1F05">
        <w:trPr>
          <w:trHeight w:val="359"/>
        </w:trPr>
        <w:tc>
          <w:tcPr>
            <w:tcW w:w="15169" w:type="dxa"/>
            <w:gridSpan w:val="3"/>
          </w:tcPr>
          <w:p w:rsidR="000F1F05" w:rsidRDefault="00B44DD8">
            <w:pPr>
              <w:pStyle w:val="TableParagraph"/>
              <w:rPr>
                <w:b/>
                <w:i/>
                <w:sz w:val="20"/>
              </w:rPr>
            </w:pPr>
            <w:r>
              <w:rPr>
                <w:b/>
                <w:i/>
                <w:sz w:val="20"/>
              </w:rPr>
              <w:t>Other environmental recommendations</w:t>
            </w:r>
          </w:p>
        </w:tc>
      </w:tr>
      <w:tr w:rsidR="000F1F05">
        <w:trPr>
          <w:trHeight w:val="590"/>
        </w:trPr>
        <w:tc>
          <w:tcPr>
            <w:tcW w:w="706" w:type="dxa"/>
          </w:tcPr>
          <w:p w:rsidR="000F1F05" w:rsidRDefault="00B44DD8">
            <w:pPr>
              <w:pStyle w:val="TableParagraph"/>
              <w:spacing w:before="60"/>
              <w:rPr>
                <w:sz w:val="20"/>
              </w:rPr>
            </w:pPr>
            <w:r>
              <w:rPr>
                <w:sz w:val="20"/>
              </w:rPr>
              <w:t>20</w:t>
            </w:r>
          </w:p>
        </w:tc>
        <w:tc>
          <w:tcPr>
            <w:tcW w:w="8649" w:type="dxa"/>
          </w:tcPr>
          <w:p w:rsidR="000F1F05" w:rsidRDefault="00B44DD8">
            <w:pPr>
              <w:pStyle w:val="TableParagraph"/>
              <w:spacing w:before="60" w:line="249" w:lineRule="auto"/>
              <w:ind w:left="107" w:right="175"/>
              <w:rPr>
                <w:sz w:val="20"/>
              </w:rPr>
            </w:pPr>
            <w:r>
              <w:rPr>
                <w:sz w:val="20"/>
              </w:rPr>
              <w:t>Recycle some or all of the revenue raised by environmental taxes into measures that support the transition to a more sustainable economy.</w:t>
            </w:r>
          </w:p>
        </w:tc>
        <w:tc>
          <w:tcPr>
            <w:tcW w:w="5814" w:type="dxa"/>
            <w:shd w:val="clear" w:color="auto" w:fill="FFE499"/>
          </w:tcPr>
          <w:p w:rsidR="000F1F05" w:rsidRDefault="00B44DD8">
            <w:pPr>
              <w:pStyle w:val="TableParagraph"/>
              <w:spacing w:before="57" w:line="252" w:lineRule="auto"/>
              <w:ind w:left="104" w:right="495"/>
              <w:rPr>
                <w:sz w:val="20"/>
              </w:rPr>
            </w:pPr>
            <w:r>
              <w:rPr>
                <w:b/>
                <w:sz w:val="20"/>
              </w:rPr>
              <w:t xml:space="preserve">Consider for inclusion on work programme </w:t>
            </w:r>
            <w:r>
              <w:rPr>
                <w:sz w:val="20"/>
              </w:rPr>
              <w:t>(TPWP and Ministry for the Environment)</w:t>
            </w:r>
          </w:p>
        </w:tc>
      </w:tr>
      <w:tr w:rsidR="000F1F05">
        <w:trPr>
          <w:trHeight w:val="827"/>
        </w:trPr>
        <w:tc>
          <w:tcPr>
            <w:tcW w:w="706" w:type="dxa"/>
          </w:tcPr>
          <w:p w:rsidR="000F1F05" w:rsidRDefault="00B44DD8">
            <w:pPr>
              <w:pStyle w:val="TableParagraph"/>
              <w:spacing w:before="59"/>
              <w:rPr>
                <w:sz w:val="20"/>
              </w:rPr>
            </w:pPr>
            <w:r>
              <w:rPr>
                <w:sz w:val="20"/>
              </w:rPr>
              <w:t>21</w:t>
            </w:r>
          </w:p>
        </w:tc>
        <w:tc>
          <w:tcPr>
            <w:tcW w:w="8649" w:type="dxa"/>
          </w:tcPr>
          <w:p w:rsidR="000F1F05" w:rsidRDefault="00B44DD8">
            <w:pPr>
              <w:pStyle w:val="TableParagraph"/>
              <w:spacing w:before="57" w:line="249" w:lineRule="auto"/>
              <w:ind w:left="107"/>
              <w:rPr>
                <w:sz w:val="20"/>
              </w:rPr>
            </w:pPr>
            <w:r>
              <w:rPr>
                <w:sz w:val="20"/>
              </w:rPr>
              <w:t>Over the longer term, consider an environmental footprint tax or a natural capital enhancement tax.</w:t>
            </w:r>
          </w:p>
        </w:tc>
        <w:tc>
          <w:tcPr>
            <w:tcW w:w="5814" w:type="dxa"/>
            <w:shd w:val="clear" w:color="auto" w:fill="FFE499"/>
          </w:tcPr>
          <w:p w:rsidR="000F1F05" w:rsidRDefault="00B44DD8">
            <w:pPr>
              <w:pStyle w:val="TableParagraph"/>
              <w:spacing w:before="54" w:line="252" w:lineRule="auto"/>
              <w:ind w:left="104" w:right="383"/>
              <w:rPr>
                <w:sz w:val="20"/>
              </w:rPr>
            </w:pPr>
            <w:r>
              <w:rPr>
                <w:b/>
                <w:sz w:val="20"/>
              </w:rPr>
              <w:t xml:space="preserve">Defer for now, but consider for inclusion on work programme in the longer term </w:t>
            </w:r>
            <w:r>
              <w:rPr>
                <w:sz w:val="20"/>
              </w:rPr>
              <w:t>(TPWP and Ministry for the Enviro</w:t>
            </w:r>
            <w:r>
              <w:rPr>
                <w:sz w:val="20"/>
              </w:rPr>
              <w:t>nment)</w:t>
            </w:r>
          </w:p>
        </w:tc>
      </w:tr>
      <w:tr w:rsidR="000F1F05">
        <w:trPr>
          <w:trHeight w:val="830"/>
        </w:trPr>
        <w:tc>
          <w:tcPr>
            <w:tcW w:w="706" w:type="dxa"/>
          </w:tcPr>
          <w:p w:rsidR="000F1F05" w:rsidRDefault="00B44DD8">
            <w:pPr>
              <w:pStyle w:val="TableParagraph"/>
              <w:spacing w:before="62"/>
              <w:rPr>
                <w:sz w:val="20"/>
              </w:rPr>
            </w:pPr>
            <w:r>
              <w:rPr>
                <w:sz w:val="20"/>
              </w:rPr>
              <w:t>22</w:t>
            </w:r>
          </w:p>
        </w:tc>
        <w:tc>
          <w:tcPr>
            <w:tcW w:w="8649" w:type="dxa"/>
          </w:tcPr>
          <w:p w:rsidR="000F1F05" w:rsidRDefault="00B44DD8">
            <w:pPr>
              <w:pStyle w:val="TableParagraph"/>
              <w:spacing w:before="59" w:line="249" w:lineRule="auto"/>
              <w:ind w:left="107"/>
              <w:rPr>
                <w:sz w:val="20"/>
              </w:rPr>
            </w:pPr>
            <w:r>
              <w:rPr>
                <w:sz w:val="20"/>
              </w:rPr>
              <w:t>The Government should strengthen its environmental tax capabilities, including with the Parliamentary Commissioner for the Environment.</w:t>
            </w:r>
          </w:p>
        </w:tc>
        <w:tc>
          <w:tcPr>
            <w:tcW w:w="5814" w:type="dxa"/>
            <w:shd w:val="clear" w:color="auto" w:fill="FFE499"/>
          </w:tcPr>
          <w:p w:rsidR="000F1F05" w:rsidRDefault="00B44DD8">
            <w:pPr>
              <w:pStyle w:val="TableParagraph"/>
              <w:spacing w:before="57" w:line="252" w:lineRule="auto"/>
              <w:ind w:left="104" w:right="127"/>
              <w:rPr>
                <w:sz w:val="20"/>
              </w:rPr>
            </w:pPr>
            <w:r>
              <w:rPr>
                <w:b/>
                <w:sz w:val="20"/>
              </w:rPr>
              <w:t xml:space="preserve">Consider for inclusion on work programme </w:t>
            </w:r>
            <w:r>
              <w:rPr>
                <w:sz w:val="20"/>
              </w:rPr>
              <w:t>(TPWP, Parliamentary Commissioner for the Environment, and Ministry for the Environment)</w:t>
            </w:r>
          </w:p>
        </w:tc>
      </w:tr>
      <w:tr w:rsidR="000F1F05">
        <w:trPr>
          <w:trHeight w:val="590"/>
        </w:trPr>
        <w:tc>
          <w:tcPr>
            <w:tcW w:w="706" w:type="dxa"/>
          </w:tcPr>
          <w:p w:rsidR="000F1F05" w:rsidRDefault="00B44DD8">
            <w:pPr>
              <w:pStyle w:val="TableParagraph"/>
              <w:spacing w:before="59"/>
              <w:rPr>
                <w:sz w:val="20"/>
              </w:rPr>
            </w:pPr>
            <w:r>
              <w:rPr>
                <w:sz w:val="20"/>
              </w:rPr>
              <w:t>23</w:t>
            </w:r>
          </w:p>
        </w:tc>
        <w:tc>
          <w:tcPr>
            <w:tcW w:w="8649" w:type="dxa"/>
          </w:tcPr>
          <w:p w:rsidR="000F1F05" w:rsidRDefault="00B44DD8">
            <w:pPr>
              <w:pStyle w:val="TableParagraph"/>
              <w:spacing w:before="59"/>
              <w:ind w:left="107"/>
              <w:rPr>
                <w:sz w:val="20"/>
              </w:rPr>
            </w:pPr>
            <w:r>
              <w:rPr>
                <w:sz w:val="20"/>
              </w:rPr>
              <w:t>Commission incidence studies on environmental taxes.</w:t>
            </w:r>
          </w:p>
        </w:tc>
        <w:tc>
          <w:tcPr>
            <w:tcW w:w="5814" w:type="dxa"/>
            <w:shd w:val="clear" w:color="auto" w:fill="FFE499"/>
          </w:tcPr>
          <w:p w:rsidR="000F1F05" w:rsidRDefault="00B44DD8">
            <w:pPr>
              <w:pStyle w:val="TableParagraph"/>
              <w:spacing w:before="57" w:line="252" w:lineRule="auto"/>
              <w:ind w:left="104" w:right="495"/>
              <w:rPr>
                <w:sz w:val="20"/>
              </w:rPr>
            </w:pPr>
            <w:r>
              <w:rPr>
                <w:b/>
                <w:sz w:val="20"/>
              </w:rPr>
              <w:t xml:space="preserve">Consider for inclusion on work programme </w:t>
            </w:r>
            <w:r>
              <w:rPr>
                <w:sz w:val="20"/>
              </w:rPr>
              <w:t>(TPWP and Ministry for the Environment)</w:t>
            </w:r>
          </w:p>
        </w:tc>
      </w:tr>
      <w:tr w:rsidR="000F1F05">
        <w:trPr>
          <w:trHeight w:val="830"/>
        </w:trPr>
        <w:tc>
          <w:tcPr>
            <w:tcW w:w="706" w:type="dxa"/>
          </w:tcPr>
          <w:p w:rsidR="000F1F05" w:rsidRDefault="00B44DD8">
            <w:pPr>
              <w:pStyle w:val="TableParagraph"/>
              <w:spacing w:before="59"/>
              <w:rPr>
                <w:sz w:val="20"/>
              </w:rPr>
            </w:pPr>
            <w:r>
              <w:rPr>
                <w:sz w:val="20"/>
              </w:rPr>
              <w:t>24</w:t>
            </w:r>
          </w:p>
        </w:tc>
        <w:tc>
          <w:tcPr>
            <w:tcW w:w="8649" w:type="dxa"/>
          </w:tcPr>
          <w:p w:rsidR="000F1F05" w:rsidRDefault="00B44DD8">
            <w:pPr>
              <w:pStyle w:val="TableParagraph"/>
              <w:spacing w:before="59" w:line="249" w:lineRule="auto"/>
              <w:ind w:left="107" w:right="175"/>
              <w:rPr>
                <w:sz w:val="20"/>
              </w:rPr>
            </w:pPr>
            <w:r>
              <w:rPr>
                <w:sz w:val="20"/>
              </w:rPr>
              <w:t>Undertake further work to assess how taxes can complement other environmental policy measures and to work through the design principles in the TWG’s framework for taxing negative environmental externalities.</w:t>
            </w:r>
          </w:p>
        </w:tc>
        <w:tc>
          <w:tcPr>
            <w:tcW w:w="5814" w:type="dxa"/>
            <w:shd w:val="clear" w:color="auto" w:fill="FFE499"/>
          </w:tcPr>
          <w:p w:rsidR="000F1F05" w:rsidRDefault="00B44DD8">
            <w:pPr>
              <w:pStyle w:val="TableParagraph"/>
              <w:spacing w:before="57" w:line="252" w:lineRule="auto"/>
              <w:ind w:left="104" w:right="495"/>
              <w:rPr>
                <w:sz w:val="20"/>
              </w:rPr>
            </w:pPr>
            <w:r>
              <w:rPr>
                <w:b/>
                <w:sz w:val="20"/>
              </w:rPr>
              <w:t xml:space="preserve">Consider for inclusion on work programme </w:t>
            </w:r>
            <w:r>
              <w:rPr>
                <w:sz w:val="20"/>
              </w:rPr>
              <w:t>(TPWP a</w:t>
            </w:r>
            <w:r>
              <w:rPr>
                <w:sz w:val="20"/>
              </w:rPr>
              <w:t>nd Ministry for the Environment)</w:t>
            </w:r>
          </w:p>
        </w:tc>
      </w:tr>
      <w:tr w:rsidR="000F1F05">
        <w:trPr>
          <w:trHeight w:val="453"/>
        </w:trPr>
        <w:tc>
          <w:tcPr>
            <w:tcW w:w="15169" w:type="dxa"/>
            <w:gridSpan w:val="3"/>
          </w:tcPr>
          <w:p w:rsidR="000F1F05" w:rsidRDefault="00B44DD8">
            <w:pPr>
              <w:pStyle w:val="TableParagraph"/>
              <w:spacing w:before="96"/>
              <w:rPr>
                <w:b/>
              </w:rPr>
            </w:pPr>
            <w:r>
              <w:rPr>
                <w:b/>
              </w:rPr>
              <w:t>The taxation of business</w:t>
            </w:r>
          </w:p>
        </w:tc>
      </w:tr>
      <w:tr w:rsidR="000F1F05">
        <w:trPr>
          <w:trHeight w:val="350"/>
        </w:trPr>
        <w:tc>
          <w:tcPr>
            <w:tcW w:w="706" w:type="dxa"/>
          </w:tcPr>
          <w:p w:rsidR="000F1F05" w:rsidRDefault="00B44DD8">
            <w:pPr>
              <w:pStyle w:val="TableParagraph"/>
              <w:spacing w:before="59"/>
              <w:rPr>
                <w:sz w:val="20"/>
              </w:rPr>
            </w:pPr>
            <w:r>
              <w:rPr>
                <w:sz w:val="20"/>
              </w:rPr>
              <w:t>25</w:t>
            </w:r>
          </w:p>
        </w:tc>
        <w:tc>
          <w:tcPr>
            <w:tcW w:w="8649" w:type="dxa"/>
          </w:tcPr>
          <w:p w:rsidR="000F1F05" w:rsidRDefault="00B44DD8">
            <w:pPr>
              <w:pStyle w:val="TableParagraph"/>
              <w:spacing w:before="59"/>
              <w:ind w:left="107"/>
              <w:rPr>
                <w:sz w:val="20"/>
              </w:rPr>
            </w:pPr>
            <w:r>
              <w:rPr>
                <w:sz w:val="20"/>
              </w:rPr>
              <w:t>Retain the imputation system.</w:t>
            </w:r>
          </w:p>
        </w:tc>
        <w:tc>
          <w:tcPr>
            <w:tcW w:w="5814" w:type="dxa"/>
            <w:shd w:val="clear" w:color="auto" w:fill="C5DFB3"/>
          </w:tcPr>
          <w:p w:rsidR="000F1F05" w:rsidRDefault="00B44DD8">
            <w:pPr>
              <w:pStyle w:val="TableParagraph"/>
              <w:spacing w:before="57"/>
              <w:ind w:left="104"/>
              <w:rPr>
                <w:b/>
                <w:sz w:val="20"/>
              </w:rPr>
            </w:pPr>
            <w:r>
              <w:rPr>
                <w:b/>
                <w:sz w:val="20"/>
              </w:rPr>
              <w:t>Endorse the TWG recommendation</w:t>
            </w:r>
          </w:p>
        </w:tc>
      </w:tr>
      <w:tr w:rsidR="000F1F05">
        <w:trPr>
          <w:trHeight w:val="350"/>
        </w:trPr>
        <w:tc>
          <w:tcPr>
            <w:tcW w:w="706" w:type="dxa"/>
          </w:tcPr>
          <w:p w:rsidR="000F1F05" w:rsidRDefault="00B44DD8">
            <w:pPr>
              <w:pStyle w:val="TableParagraph"/>
              <w:spacing w:before="59"/>
              <w:rPr>
                <w:sz w:val="20"/>
              </w:rPr>
            </w:pPr>
            <w:r>
              <w:rPr>
                <w:sz w:val="20"/>
              </w:rPr>
              <w:t>26</w:t>
            </w:r>
          </w:p>
        </w:tc>
        <w:tc>
          <w:tcPr>
            <w:tcW w:w="8649" w:type="dxa"/>
          </w:tcPr>
          <w:p w:rsidR="000F1F05" w:rsidRDefault="00B44DD8">
            <w:pPr>
              <w:pStyle w:val="TableParagraph"/>
              <w:spacing w:before="59"/>
              <w:ind w:left="107"/>
              <w:rPr>
                <w:sz w:val="20"/>
              </w:rPr>
            </w:pPr>
            <w:r>
              <w:rPr>
                <w:sz w:val="20"/>
              </w:rPr>
              <w:t>Do not reduce the company tax rate at the present time.</w:t>
            </w:r>
          </w:p>
        </w:tc>
        <w:tc>
          <w:tcPr>
            <w:tcW w:w="5814" w:type="dxa"/>
            <w:shd w:val="clear" w:color="auto" w:fill="C5DFB3"/>
          </w:tcPr>
          <w:p w:rsidR="000F1F05" w:rsidRDefault="00B44DD8">
            <w:pPr>
              <w:pStyle w:val="TableParagraph"/>
              <w:spacing w:before="57"/>
              <w:ind w:left="104"/>
              <w:rPr>
                <w:b/>
                <w:sz w:val="20"/>
              </w:rPr>
            </w:pPr>
            <w:r>
              <w:rPr>
                <w:b/>
                <w:sz w:val="20"/>
              </w:rPr>
              <w:t>Endorse the TWG recommendation</w:t>
            </w:r>
          </w:p>
        </w:tc>
      </w:tr>
      <w:tr w:rsidR="000F1F05">
        <w:trPr>
          <w:trHeight w:val="350"/>
        </w:trPr>
        <w:tc>
          <w:tcPr>
            <w:tcW w:w="706" w:type="dxa"/>
          </w:tcPr>
          <w:p w:rsidR="000F1F05" w:rsidRDefault="00B44DD8">
            <w:pPr>
              <w:pStyle w:val="TableParagraph"/>
              <w:spacing w:before="59"/>
              <w:rPr>
                <w:sz w:val="20"/>
              </w:rPr>
            </w:pPr>
            <w:r>
              <w:rPr>
                <w:sz w:val="20"/>
              </w:rPr>
              <w:t>27</w:t>
            </w:r>
          </w:p>
        </w:tc>
        <w:tc>
          <w:tcPr>
            <w:tcW w:w="8649" w:type="dxa"/>
          </w:tcPr>
          <w:p w:rsidR="000F1F05" w:rsidRDefault="00B44DD8">
            <w:pPr>
              <w:pStyle w:val="TableParagraph"/>
              <w:spacing w:before="59"/>
              <w:ind w:left="107"/>
              <w:rPr>
                <w:sz w:val="20"/>
              </w:rPr>
            </w:pPr>
            <w:r>
              <w:rPr>
                <w:sz w:val="20"/>
              </w:rPr>
              <w:t>Do not introduce a progressive company tax.</w:t>
            </w:r>
          </w:p>
        </w:tc>
        <w:tc>
          <w:tcPr>
            <w:tcW w:w="5814" w:type="dxa"/>
            <w:shd w:val="clear" w:color="auto" w:fill="C5DFB3"/>
          </w:tcPr>
          <w:p w:rsidR="000F1F05" w:rsidRDefault="00B44DD8">
            <w:pPr>
              <w:pStyle w:val="TableParagraph"/>
              <w:spacing w:before="57"/>
              <w:ind w:left="104"/>
              <w:rPr>
                <w:b/>
                <w:sz w:val="20"/>
              </w:rPr>
            </w:pPr>
            <w:r>
              <w:rPr>
                <w:b/>
                <w:sz w:val="20"/>
              </w:rPr>
              <w:t>Endorse the TWG recommendation</w:t>
            </w:r>
          </w:p>
        </w:tc>
      </w:tr>
      <w:tr w:rsidR="000F1F05">
        <w:trPr>
          <w:trHeight w:val="590"/>
        </w:trPr>
        <w:tc>
          <w:tcPr>
            <w:tcW w:w="706" w:type="dxa"/>
          </w:tcPr>
          <w:p w:rsidR="000F1F05" w:rsidRDefault="00B44DD8">
            <w:pPr>
              <w:pStyle w:val="TableParagraph"/>
              <w:spacing w:before="59"/>
              <w:rPr>
                <w:sz w:val="20"/>
              </w:rPr>
            </w:pPr>
            <w:r>
              <w:rPr>
                <w:sz w:val="20"/>
              </w:rPr>
              <w:t>28</w:t>
            </w:r>
          </w:p>
        </w:tc>
        <w:tc>
          <w:tcPr>
            <w:tcW w:w="8649" w:type="dxa"/>
          </w:tcPr>
          <w:p w:rsidR="000F1F05" w:rsidRDefault="00B44DD8">
            <w:pPr>
              <w:pStyle w:val="TableParagraph"/>
              <w:spacing w:before="59" w:line="252" w:lineRule="auto"/>
              <w:ind w:left="107"/>
              <w:rPr>
                <w:sz w:val="20"/>
              </w:rPr>
            </w:pPr>
            <w:r>
              <w:rPr>
                <w:sz w:val="20"/>
              </w:rPr>
              <w:t>Do not introduce an alternative basis of taxation for smaller businesses, such as a cash flow or turnover taxes.</w:t>
            </w:r>
          </w:p>
        </w:tc>
        <w:tc>
          <w:tcPr>
            <w:tcW w:w="5814" w:type="dxa"/>
            <w:shd w:val="clear" w:color="auto" w:fill="C5DFB3"/>
          </w:tcPr>
          <w:p w:rsidR="000F1F05" w:rsidRDefault="00B44DD8">
            <w:pPr>
              <w:pStyle w:val="TableParagraph"/>
              <w:spacing w:before="57"/>
              <w:ind w:left="104"/>
              <w:rPr>
                <w:b/>
                <w:sz w:val="20"/>
              </w:rPr>
            </w:pPr>
            <w:r>
              <w:rPr>
                <w:b/>
                <w:sz w:val="20"/>
              </w:rPr>
              <w:t>Endorse the TWG recommendation</w:t>
            </w:r>
          </w:p>
        </w:tc>
      </w:tr>
      <w:tr w:rsidR="000F1F05">
        <w:trPr>
          <w:trHeight w:val="350"/>
        </w:trPr>
        <w:tc>
          <w:tcPr>
            <w:tcW w:w="706" w:type="dxa"/>
          </w:tcPr>
          <w:p w:rsidR="000F1F05" w:rsidRDefault="00B44DD8">
            <w:pPr>
              <w:pStyle w:val="TableParagraph"/>
              <w:spacing w:before="59"/>
              <w:rPr>
                <w:sz w:val="20"/>
              </w:rPr>
            </w:pPr>
            <w:r>
              <w:rPr>
                <w:sz w:val="20"/>
              </w:rPr>
              <w:t>29</w:t>
            </w:r>
          </w:p>
        </w:tc>
        <w:tc>
          <w:tcPr>
            <w:tcW w:w="8649" w:type="dxa"/>
          </w:tcPr>
          <w:p w:rsidR="000F1F05" w:rsidRDefault="00B44DD8">
            <w:pPr>
              <w:pStyle w:val="TableParagraph"/>
              <w:spacing w:before="59"/>
              <w:ind w:left="107"/>
              <w:rPr>
                <w:sz w:val="20"/>
              </w:rPr>
            </w:pPr>
            <w:r>
              <w:rPr>
                <w:sz w:val="20"/>
              </w:rPr>
              <w:t>Retain the 17.5% rate for Māori authorities.</w:t>
            </w:r>
          </w:p>
        </w:tc>
        <w:tc>
          <w:tcPr>
            <w:tcW w:w="5814" w:type="dxa"/>
            <w:shd w:val="clear" w:color="auto" w:fill="C5DFB3"/>
          </w:tcPr>
          <w:p w:rsidR="000F1F05" w:rsidRDefault="00B44DD8">
            <w:pPr>
              <w:pStyle w:val="TableParagraph"/>
              <w:spacing w:before="57"/>
              <w:ind w:left="104"/>
              <w:rPr>
                <w:b/>
                <w:sz w:val="20"/>
              </w:rPr>
            </w:pPr>
            <w:r>
              <w:rPr>
                <w:b/>
                <w:sz w:val="20"/>
              </w:rPr>
              <w:t>Endorse the TWG recommendation</w:t>
            </w:r>
          </w:p>
        </w:tc>
      </w:tr>
      <w:tr w:rsidR="000F1F05">
        <w:trPr>
          <w:trHeight w:val="347"/>
        </w:trPr>
        <w:tc>
          <w:tcPr>
            <w:tcW w:w="706" w:type="dxa"/>
          </w:tcPr>
          <w:p w:rsidR="000F1F05" w:rsidRDefault="00B44DD8">
            <w:pPr>
              <w:pStyle w:val="TableParagraph"/>
              <w:spacing w:before="59"/>
              <w:rPr>
                <w:sz w:val="20"/>
              </w:rPr>
            </w:pPr>
            <w:r>
              <w:rPr>
                <w:sz w:val="20"/>
              </w:rPr>
              <w:t>30</w:t>
            </w:r>
          </w:p>
        </w:tc>
        <w:tc>
          <w:tcPr>
            <w:tcW w:w="8649" w:type="dxa"/>
          </w:tcPr>
          <w:p w:rsidR="000F1F05" w:rsidRDefault="00B44DD8">
            <w:pPr>
              <w:pStyle w:val="TableParagraph"/>
              <w:spacing w:before="59"/>
              <w:ind w:left="107"/>
              <w:rPr>
                <w:sz w:val="20"/>
              </w:rPr>
            </w:pPr>
            <w:r>
              <w:rPr>
                <w:sz w:val="20"/>
              </w:rPr>
              <w:t>Extend the 17.5% rate to the subsidiaries of Māori authorities.</w:t>
            </w:r>
          </w:p>
        </w:tc>
        <w:tc>
          <w:tcPr>
            <w:tcW w:w="5814" w:type="dxa"/>
            <w:shd w:val="clear" w:color="auto" w:fill="FFE499"/>
          </w:tcPr>
          <w:p w:rsidR="000F1F05" w:rsidRDefault="00B44DD8">
            <w:pPr>
              <w:pStyle w:val="TableParagraph"/>
              <w:spacing w:before="57"/>
              <w:ind w:left="104"/>
              <w:rPr>
                <w:sz w:val="20"/>
              </w:rPr>
            </w:pPr>
            <w:r>
              <w:rPr>
                <w:b/>
                <w:sz w:val="20"/>
              </w:rPr>
              <w:t xml:space="preserve">Consider for inclusion on work programme </w:t>
            </w:r>
            <w:r>
              <w:rPr>
                <w:sz w:val="20"/>
              </w:rPr>
              <w:t>(TPWP)</w:t>
            </w:r>
          </w:p>
        </w:tc>
      </w:tr>
      <w:tr w:rsidR="000F1F05">
        <w:trPr>
          <w:trHeight w:val="590"/>
        </w:trPr>
        <w:tc>
          <w:tcPr>
            <w:tcW w:w="706" w:type="dxa"/>
          </w:tcPr>
          <w:p w:rsidR="000F1F05" w:rsidRDefault="00B44DD8">
            <w:pPr>
              <w:pStyle w:val="TableParagraph"/>
              <w:spacing w:before="62"/>
              <w:rPr>
                <w:sz w:val="20"/>
              </w:rPr>
            </w:pPr>
            <w:r>
              <w:rPr>
                <w:sz w:val="20"/>
              </w:rPr>
              <w:t>31</w:t>
            </w:r>
          </w:p>
        </w:tc>
        <w:tc>
          <w:tcPr>
            <w:tcW w:w="8649" w:type="dxa"/>
          </w:tcPr>
          <w:p w:rsidR="000F1F05" w:rsidRDefault="00B44DD8">
            <w:pPr>
              <w:pStyle w:val="TableParagraph"/>
              <w:spacing w:before="59" w:line="249" w:lineRule="auto"/>
              <w:ind w:left="107"/>
              <w:rPr>
                <w:sz w:val="20"/>
              </w:rPr>
            </w:pPr>
            <w:r>
              <w:rPr>
                <w:sz w:val="20"/>
              </w:rPr>
              <w:t>Consider technical refinements to the Māori authority rules, as suggested by submitters, in the Tax Policy Work Programme.</w:t>
            </w:r>
          </w:p>
        </w:tc>
        <w:tc>
          <w:tcPr>
            <w:tcW w:w="5814" w:type="dxa"/>
            <w:shd w:val="clear" w:color="auto" w:fill="FFE499"/>
          </w:tcPr>
          <w:p w:rsidR="000F1F05" w:rsidRDefault="00B44DD8">
            <w:pPr>
              <w:pStyle w:val="TableParagraph"/>
              <w:spacing w:before="59"/>
              <w:ind w:left="104"/>
              <w:rPr>
                <w:sz w:val="20"/>
              </w:rPr>
            </w:pPr>
            <w:r>
              <w:rPr>
                <w:b/>
                <w:sz w:val="20"/>
              </w:rPr>
              <w:t xml:space="preserve">Consider for inclusion on work programme </w:t>
            </w:r>
            <w:r>
              <w:rPr>
                <w:sz w:val="20"/>
              </w:rPr>
              <w:t>(TPWP)</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338"/>
        </w:trPr>
        <w:tc>
          <w:tcPr>
            <w:tcW w:w="706" w:type="dxa"/>
          </w:tcPr>
          <w:p w:rsidR="000F1F05" w:rsidRDefault="00B44DD8">
            <w:pPr>
              <w:pStyle w:val="TableParagraph"/>
              <w:spacing w:before="59"/>
              <w:rPr>
                <w:sz w:val="20"/>
              </w:rPr>
            </w:pPr>
            <w:r>
              <w:rPr>
                <w:sz w:val="20"/>
              </w:rPr>
              <w:t>32</w:t>
            </w:r>
          </w:p>
        </w:tc>
        <w:tc>
          <w:tcPr>
            <w:tcW w:w="8649" w:type="dxa"/>
          </w:tcPr>
          <w:p w:rsidR="000F1F05" w:rsidRDefault="00B44DD8">
            <w:pPr>
              <w:pStyle w:val="TableParagraph"/>
              <w:spacing w:before="59"/>
              <w:ind w:left="107"/>
              <w:rPr>
                <w:sz w:val="20"/>
              </w:rPr>
            </w:pPr>
            <w:r>
              <w:rPr>
                <w:sz w:val="20"/>
              </w:rPr>
              <w:t>Change the loss continuity rules to support the growth of innovative start-up firms.</w:t>
            </w:r>
          </w:p>
        </w:tc>
        <w:tc>
          <w:tcPr>
            <w:tcW w:w="5814" w:type="dxa"/>
            <w:shd w:val="clear" w:color="auto" w:fill="FFE499"/>
          </w:tcPr>
          <w:p w:rsidR="000F1F05" w:rsidRDefault="00B44DD8">
            <w:pPr>
              <w:pStyle w:val="TableParagraph"/>
              <w:spacing w:before="57"/>
              <w:ind w:left="104"/>
              <w:rPr>
                <w:sz w:val="20"/>
              </w:rPr>
            </w:pPr>
            <w:r>
              <w:rPr>
                <w:b/>
                <w:sz w:val="20"/>
              </w:rPr>
              <w:t xml:space="preserve">Consider for inclusion on work programme </w:t>
            </w:r>
            <w:r>
              <w:rPr>
                <w:sz w:val="20"/>
              </w:rPr>
              <w:t>(TPWP)</w:t>
            </w:r>
          </w:p>
        </w:tc>
      </w:tr>
      <w:tr w:rsidR="000F1F05">
        <w:trPr>
          <w:trHeight w:val="580"/>
        </w:trPr>
        <w:tc>
          <w:tcPr>
            <w:tcW w:w="706" w:type="dxa"/>
          </w:tcPr>
          <w:p w:rsidR="000F1F05" w:rsidRDefault="00B44DD8">
            <w:pPr>
              <w:pStyle w:val="TableParagraph"/>
              <w:spacing w:before="62"/>
              <w:rPr>
                <w:sz w:val="20"/>
              </w:rPr>
            </w:pPr>
            <w:r>
              <w:rPr>
                <w:sz w:val="20"/>
              </w:rPr>
              <w:t>33</w:t>
            </w:r>
          </w:p>
        </w:tc>
        <w:tc>
          <w:tcPr>
            <w:tcW w:w="8649" w:type="dxa"/>
          </w:tcPr>
          <w:p w:rsidR="000F1F05" w:rsidRDefault="00B44DD8">
            <w:pPr>
              <w:pStyle w:val="TableParagraph"/>
              <w:spacing w:before="59" w:line="249" w:lineRule="auto"/>
              <w:ind w:left="107"/>
              <w:rPr>
                <w:sz w:val="20"/>
              </w:rPr>
            </w:pPr>
            <w:r>
              <w:rPr>
                <w:sz w:val="20"/>
              </w:rPr>
              <w:t>Reform the treatment of black-hole expenditure by spreading such expenditure over five years with a $10,000 safe-harbour threshold of upfront deductions for feasibility expenditure.</w:t>
            </w:r>
          </w:p>
        </w:tc>
        <w:tc>
          <w:tcPr>
            <w:tcW w:w="5814" w:type="dxa"/>
            <w:shd w:val="clear" w:color="auto" w:fill="FFE499"/>
          </w:tcPr>
          <w:p w:rsidR="000F1F05" w:rsidRDefault="00B44DD8">
            <w:pPr>
              <w:pStyle w:val="TableParagraph"/>
              <w:spacing w:before="59"/>
              <w:ind w:left="104"/>
              <w:rPr>
                <w:sz w:val="20"/>
              </w:rPr>
            </w:pPr>
            <w:r>
              <w:rPr>
                <w:b/>
                <w:sz w:val="20"/>
              </w:rPr>
              <w:t xml:space="preserve">Consider for inclusion on work programme </w:t>
            </w:r>
            <w:r>
              <w:rPr>
                <w:sz w:val="20"/>
              </w:rPr>
              <w:t>(TPWP)</w:t>
            </w:r>
          </w:p>
        </w:tc>
      </w:tr>
      <w:tr w:rsidR="000F1F05">
        <w:trPr>
          <w:trHeight w:val="623"/>
        </w:trPr>
        <w:tc>
          <w:tcPr>
            <w:tcW w:w="706" w:type="dxa"/>
            <w:vMerge w:val="restart"/>
          </w:tcPr>
          <w:p w:rsidR="000F1F05" w:rsidRDefault="00B44DD8">
            <w:pPr>
              <w:pStyle w:val="TableParagraph"/>
              <w:rPr>
                <w:sz w:val="20"/>
              </w:rPr>
            </w:pPr>
            <w:r>
              <w:rPr>
                <w:sz w:val="20"/>
              </w:rPr>
              <w:t>34</w:t>
            </w:r>
          </w:p>
        </w:tc>
        <w:tc>
          <w:tcPr>
            <w:tcW w:w="8649" w:type="dxa"/>
            <w:vMerge w:val="restart"/>
          </w:tcPr>
          <w:p w:rsidR="000F1F05" w:rsidRDefault="00B44DD8">
            <w:pPr>
              <w:pStyle w:val="TableParagraph"/>
              <w:spacing w:before="59" w:line="249" w:lineRule="auto"/>
              <w:ind w:left="107" w:right="175"/>
              <w:rPr>
                <w:sz w:val="20"/>
              </w:rPr>
            </w:pPr>
            <w:r>
              <w:rPr>
                <w:sz w:val="20"/>
              </w:rPr>
              <w:t>Consider restoring depreciation deductions for buildings if there is an extension of the taxation of capital gains (subject to fiscal constraints). To manage the fiscal costs, the Government could reinstate building depreciation on a partial basis for:</w:t>
            </w:r>
          </w:p>
          <w:p w:rsidR="000F1F05" w:rsidRDefault="00B44DD8">
            <w:pPr>
              <w:pStyle w:val="TableParagraph"/>
              <w:numPr>
                <w:ilvl w:val="0"/>
                <w:numId w:val="10"/>
              </w:numPr>
              <w:tabs>
                <w:tab w:val="left" w:pos="432"/>
              </w:tabs>
              <w:spacing w:before="53"/>
              <w:ind w:hanging="358"/>
              <w:rPr>
                <w:sz w:val="20"/>
              </w:rPr>
            </w:pPr>
            <w:r>
              <w:rPr>
                <w:sz w:val="20"/>
              </w:rPr>
              <w:t>sei</w:t>
            </w:r>
            <w:r>
              <w:rPr>
                <w:sz w:val="20"/>
              </w:rPr>
              <w:t>smic strengthening only;</w:t>
            </w:r>
          </w:p>
          <w:p w:rsidR="000F1F05" w:rsidRDefault="00B44DD8">
            <w:pPr>
              <w:pStyle w:val="TableParagraph"/>
              <w:numPr>
                <w:ilvl w:val="0"/>
                <w:numId w:val="10"/>
              </w:numPr>
              <w:tabs>
                <w:tab w:val="left" w:pos="432"/>
              </w:tabs>
              <w:spacing w:before="60"/>
              <w:ind w:hanging="358"/>
              <w:rPr>
                <w:sz w:val="20"/>
              </w:rPr>
            </w:pPr>
            <w:r>
              <w:rPr>
                <w:sz w:val="20"/>
              </w:rPr>
              <w:t>multi-unit residential buildings;</w:t>
            </w:r>
            <w:r>
              <w:rPr>
                <w:spacing w:val="-3"/>
                <w:sz w:val="20"/>
              </w:rPr>
              <w:t xml:space="preserve"> </w:t>
            </w:r>
            <w:r>
              <w:rPr>
                <w:sz w:val="20"/>
              </w:rPr>
              <w:t>or</w:t>
            </w:r>
          </w:p>
          <w:p w:rsidR="000F1F05" w:rsidRDefault="00B44DD8">
            <w:pPr>
              <w:pStyle w:val="TableParagraph"/>
              <w:numPr>
                <w:ilvl w:val="0"/>
                <w:numId w:val="10"/>
              </w:numPr>
              <w:tabs>
                <w:tab w:val="left" w:pos="432"/>
              </w:tabs>
              <w:spacing w:before="61"/>
              <w:ind w:hanging="360"/>
              <w:rPr>
                <w:sz w:val="20"/>
              </w:rPr>
            </w:pPr>
            <w:r>
              <w:rPr>
                <w:sz w:val="20"/>
              </w:rPr>
              <w:t>industrial, commercial, and multi-unit residential</w:t>
            </w:r>
            <w:r>
              <w:rPr>
                <w:spacing w:val="-2"/>
                <w:sz w:val="20"/>
              </w:rPr>
              <w:t xml:space="preserve"> </w:t>
            </w:r>
            <w:r>
              <w:rPr>
                <w:sz w:val="20"/>
              </w:rPr>
              <w:t>buildings.</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1072"/>
        </w:trPr>
        <w:tc>
          <w:tcPr>
            <w:tcW w:w="706" w:type="dxa"/>
            <w:vMerge/>
            <w:tcBorders>
              <w:top w:val="nil"/>
            </w:tcBorders>
          </w:tcPr>
          <w:p w:rsidR="000F1F05" w:rsidRDefault="000F1F05">
            <w:pPr>
              <w:rPr>
                <w:sz w:val="2"/>
                <w:szCs w:val="2"/>
              </w:rPr>
            </w:pPr>
          </w:p>
        </w:tc>
        <w:tc>
          <w:tcPr>
            <w:tcW w:w="8649" w:type="dxa"/>
            <w:vMerge/>
            <w:tcBorders>
              <w:top w:val="nil"/>
            </w:tcBorders>
          </w:tcPr>
          <w:p w:rsidR="000F1F05" w:rsidRDefault="000F1F05">
            <w:pPr>
              <w:rPr>
                <w:sz w:val="2"/>
                <w:szCs w:val="2"/>
              </w:rPr>
            </w:pPr>
          </w:p>
        </w:tc>
        <w:tc>
          <w:tcPr>
            <w:tcW w:w="5814" w:type="dxa"/>
            <w:shd w:val="clear" w:color="auto" w:fill="F4AF83"/>
          </w:tcPr>
          <w:p w:rsidR="000F1F05" w:rsidRDefault="00B44DD8">
            <w:pPr>
              <w:pStyle w:val="TableParagraph"/>
              <w:spacing w:before="66" w:line="249" w:lineRule="auto"/>
              <w:ind w:left="104" w:right="361"/>
              <w:rPr>
                <w:sz w:val="20"/>
              </w:rPr>
            </w:pPr>
            <w:r>
              <w:rPr>
                <w:b/>
                <w:sz w:val="20"/>
              </w:rPr>
              <w:t xml:space="preserve">Consider </w:t>
            </w:r>
            <w:r>
              <w:rPr>
                <w:sz w:val="20"/>
              </w:rPr>
              <w:t xml:space="preserve">seismic strengthening work </w:t>
            </w:r>
            <w:r>
              <w:rPr>
                <w:b/>
                <w:sz w:val="20"/>
              </w:rPr>
              <w:t xml:space="preserve">as a high priority for inclusion on work programme </w:t>
            </w:r>
            <w:r>
              <w:rPr>
                <w:sz w:val="20"/>
              </w:rPr>
              <w:t>(TPWP)</w:t>
            </w:r>
          </w:p>
        </w:tc>
      </w:tr>
      <w:tr w:rsidR="000F1F05">
        <w:trPr>
          <w:trHeight w:val="578"/>
        </w:trPr>
        <w:tc>
          <w:tcPr>
            <w:tcW w:w="706" w:type="dxa"/>
          </w:tcPr>
          <w:p w:rsidR="000F1F05" w:rsidRDefault="00B44DD8">
            <w:pPr>
              <w:pStyle w:val="TableParagraph"/>
              <w:spacing w:before="60"/>
              <w:rPr>
                <w:sz w:val="20"/>
              </w:rPr>
            </w:pPr>
            <w:r>
              <w:rPr>
                <w:sz w:val="20"/>
              </w:rPr>
              <w:t>35</w:t>
            </w:r>
          </w:p>
        </w:tc>
        <w:tc>
          <w:tcPr>
            <w:tcW w:w="8649" w:type="dxa"/>
          </w:tcPr>
          <w:p w:rsidR="000F1F05" w:rsidRDefault="00B44DD8">
            <w:pPr>
              <w:pStyle w:val="TableParagraph"/>
              <w:spacing w:before="60"/>
              <w:ind w:left="107"/>
              <w:rPr>
                <w:sz w:val="20"/>
              </w:rPr>
            </w:pPr>
            <w:r>
              <w:rPr>
                <w:sz w:val="20"/>
              </w:rPr>
              <w:t>Consider tax measures that encourage building to higher environmental standards.</w:t>
            </w:r>
          </w:p>
        </w:tc>
        <w:tc>
          <w:tcPr>
            <w:tcW w:w="5814" w:type="dxa"/>
            <w:shd w:val="clear" w:color="auto" w:fill="FFE499"/>
          </w:tcPr>
          <w:p w:rsidR="000F1F05" w:rsidRDefault="00B44DD8">
            <w:pPr>
              <w:pStyle w:val="TableParagraph"/>
              <w:spacing w:before="57" w:line="252" w:lineRule="auto"/>
              <w:ind w:left="104" w:right="228"/>
              <w:rPr>
                <w:sz w:val="20"/>
              </w:rPr>
            </w:pPr>
            <w:r>
              <w:rPr>
                <w:b/>
                <w:sz w:val="20"/>
              </w:rPr>
              <w:t xml:space="preserve">Consider for inclusion on work programme </w:t>
            </w:r>
            <w:r>
              <w:rPr>
                <w:sz w:val="20"/>
              </w:rPr>
              <w:t>(TPWP, MBIE, and Ministry for the Environment)</w:t>
            </w:r>
          </w:p>
        </w:tc>
      </w:tr>
      <w:tr w:rsidR="000F1F05">
        <w:trPr>
          <w:trHeight w:val="580"/>
        </w:trPr>
        <w:tc>
          <w:tcPr>
            <w:tcW w:w="706" w:type="dxa"/>
          </w:tcPr>
          <w:p w:rsidR="000F1F05" w:rsidRDefault="00B44DD8">
            <w:pPr>
              <w:pStyle w:val="TableParagraph"/>
              <w:spacing w:before="59"/>
              <w:rPr>
                <w:sz w:val="20"/>
              </w:rPr>
            </w:pPr>
            <w:r>
              <w:rPr>
                <w:sz w:val="20"/>
              </w:rPr>
              <w:t>36</w:t>
            </w:r>
          </w:p>
        </w:tc>
        <w:tc>
          <w:tcPr>
            <w:tcW w:w="8649" w:type="dxa"/>
          </w:tcPr>
          <w:p w:rsidR="000F1F05" w:rsidRDefault="00B44DD8">
            <w:pPr>
              <w:pStyle w:val="TableParagraph"/>
              <w:spacing w:before="59" w:line="249" w:lineRule="auto"/>
              <w:ind w:left="107" w:right="1112"/>
              <w:rPr>
                <w:sz w:val="20"/>
              </w:rPr>
            </w:pPr>
            <w:r>
              <w:rPr>
                <w:sz w:val="20"/>
              </w:rPr>
              <w:t>Consider developing a regime that encourages investment into nationally-significant infrastructure projects.</w:t>
            </w:r>
          </w:p>
        </w:tc>
        <w:tc>
          <w:tcPr>
            <w:tcW w:w="5814" w:type="dxa"/>
            <w:shd w:val="clear" w:color="auto" w:fill="F4AF83"/>
          </w:tcPr>
          <w:p w:rsidR="000F1F05" w:rsidRDefault="00B44DD8">
            <w:pPr>
              <w:pStyle w:val="TableParagraph"/>
              <w:spacing w:before="57" w:line="249" w:lineRule="auto"/>
              <w:ind w:left="104" w:right="1073"/>
              <w:rPr>
                <w:sz w:val="20"/>
              </w:rPr>
            </w:pPr>
            <w:r>
              <w:rPr>
                <w:b/>
                <w:sz w:val="20"/>
              </w:rPr>
              <w:t xml:space="preserve">Consider as a high priority for inclusion on work programme </w:t>
            </w:r>
            <w:r>
              <w:rPr>
                <w:sz w:val="20"/>
              </w:rPr>
              <w:t>(TPWP)</w:t>
            </w:r>
          </w:p>
        </w:tc>
      </w:tr>
      <w:tr w:rsidR="000F1F05">
        <w:trPr>
          <w:trHeight w:val="5902"/>
        </w:trPr>
        <w:tc>
          <w:tcPr>
            <w:tcW w:w="706" w:type="dxa"/>
          </w:tcPr>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10"/>
              <w:ind w:left="0"/>
              <w:rPr>
                <w:b/>
                <w:sz w:val="26"/>
              </w:rPr>
            </w:pPr>
          </w:p>
          <w:p w:rsidR="000F1F05" w:rsidRDefault="00B44DD8">
            <w:pPr>
              <w:pStyle w:val="TableParagraph"/>
              <w:spacing w:before="0"/>
              <w:rPr>
                <w:sz w:val="20"/>
              </w:rPr>
            </w:pPr>
            <w:r>
              <w:rPr>
                <w:sz w:val="20"/>
              </w:rPr>
              <w:t>37</w:t>
            </w:r>
          </w:p>
        </w:tc>
        <w:tc>
          <w:tcPr>
            <w:tcW w:w="8649" w:type="dxa"/>
          </w:tcPr>
          <w:p w:rsidR="000F1F05" w:rsidRDefault="00B44DD8">
            <w:pPr>
              <w:pStyle w:val="TableParagraph"/>
              <w:spacing w:before="59"/>
              <w:ind w:left="107"/>
              <w:rPr>
                <w:sz w:val="20"/>
              </w:rPr>
            </w:pPr>
            <w:r>
              <w:rPr>
                <w:sz w:val="20"/>
              </w:rPr>
              <w:t>Examine the following options to reduce compliance costs:</w:t>
            </w:r>
          </w:p>
          <w:p w:rsidR="000F1F05" w:rsidRDefault="00B44DD8">
            <w:pPr>
              <w:pStyle w:val="TableParagraph"/>
              <w:spacing w:before="58"/>
              <w:ind w:left="107"/>
              <w:rPr>
                <w:i/>
                <w:sz w:val="20"/>
              </w:rPr>
            </w:pPr>
            <w:r>
              <w:rPr>
                <w:i/>
                <w:sz w:val="20"/>
              </w:rPr>
              <w:t>For immediate action:</w:t>
            </w:r>
          </w:p>
          <w:p w:rsidR="000F1F05" w:rsidRDefault="00B44DD8">
            <w:pPr>
              <w:pStyle w:val="TableParagraph"/>
              <w:numPr>
                <w:ilvl w:val="0"/>
                <w:numId w:val="9"/>
              </w:numPr>
              <w:tabs>
                <w:tab w:val="left" w:pos="432"/>
              </w:tabs>
              <w:spacing w:before="63"/>
              <w:ind w:hanging="358"/>
              <w:rPr>
                <w:sz w:val="20"/>
              </w:rPr>
            </w:pPr>
            <w:r>
              <w:rPr>
                <w:sz w:val="20"/>
              </w:rPr>
              <w:t>Increase the threshold for provisional tax from $2,500 to $5,000 of residual income</w:t>
            </w:r>
            <w:r>
              <w:rPr>
                <w:spacing w:val="-15"/>
                <w:sz w:val="20"/>
              </w:rPr>
              <w:t xml:space="preserve"> </w:t>
            </w:r>
            <w:r>
              <w:rPr>
                <w:sz w:val="20"/>
              </w:rPr>
              <w:t>tax.</w:t>
            </w:r>
          </w:p>
          <w:p w:rsidR="000F1F05" w:rsidRDefault="00B44DD8">
            <w:pPr>
              <w:pStyle w:val="TableParagraph"/>
              <w:numPr>
                <w:ilvl w:val="0"/>
                <w:numId w:val="9"/>
              </w:numPr>
              <w:tabs>
                <w:tab w:val="left" w:pos="432"/>
              </w:tabs>
              <w:spacing w:before="60"/>
              <w:ind w:hanging="358"/>
              <w:rPr>
                <w:sz w:val="20"/>
              </w:rPr>
            </w:pPr>
            <w:r>
              <w:rPr>
                <w:sz w:val="20"/>
              </w:rPr>
              <w:t>Increase the closing stock adjustment from $10,000 to $20,000 - $30,000.</w:t>
            </w:r>
          </w:p>
          <w:p w:rsidR="000F1F05" w:rsidRDefault="00B44DD8">
            <w:pPr>
              <w:pStyle w:val="TableParagraph"/>
              <w:numPr>
                <w:ilvl w:val="0"/>
                <w:numId w:val="9"/>
              </w:numPr>
              <w:tabs>
                <w:tab w:val="left" w:pos="432"/>
              </w:tabs>
              <w:spacing w:before="58" w:line="252" w:lineRule="auto"/>
              <w:ind w:right="186" w:hanging="358"/>
              <w:rPr>
                <w:sz w:val="20"/>
              </w:rPr>
            </w:pPr>
            <w:r>
              <w:rPr>
                <w:sz w:val="20"/>
              </w:rPr>
              <w:t>Increasing the $10,000 automatic deduction for legal fees, and a potenti</w:t>
            </w:r>
            <w:r>
              <w:rPr>
                <w:sz w:val="20"/>
              </w:rPr>
              <w:t>al expansion of</w:t>
            </w:r>
            <w:r>
              <w:rPr>
                <w:spacing w:val="-24"/>
                <w:sz w:val="20"/>
              </w:rPr>
              <w:t xml:space="preserve"> </w:t>
            </w:r>
            <w:r>
              <w:rPr>
                <w:sz w:val="20"/>
              </w:rPr>
              <w:t>the automatic deduction to other types of professional</w:t>
            </w:r>
            <w:r>
              <w:rPr>
                <w:spacing w:val="-6"/>
                <w:sz w:val="20"/>
              </w:rPr>
              <w:t xml:space="preserve"> </w:t>
            </w:r>
            <w:r>
              <w:rPr>
                <w:sz w:val="20"/>
              </w:rPr>
              <w:t>fees.</w:t>
            </w:r>
          </w:p>
          <w:p w:rsidR="000F1F05" w:rsidRDefault="00B44DD8">
            <w:pPr>
              <w:pStyle w:val="TableParagraph"/>
              <w:numPr>
                <w:ilvl w:val="0"/>
                <w:numId w:val="9"/>
              </w:numPr>
              <w:tabs>
                <w:tab w:val="left" w:pos="432"/>
              </w:tabs>
              <w:spacing w:before="48"/>
              <w:ind w:hanging="358"/>
              <w:rPr>
                <w:sz w:val="20"/>
              </w:rPr>
            </w:pPr>
            <w:r>
              <w:rPr>
                <w:sz w:val="20"/>
              </w:rPr>
              <w:t>Reduce</w:t>
            </w:r>
            <w:r>
              <w:rPr>
                <w:spacing w:val="-13"/>
                <w:sz w:val="20"/>
              </w:rPr>
              <w:t xml:space="preserve"> </w:t>
            </w:r>
            <w:r>
              <w:rPr>
                <w:sz w:val="20"/>
              </w:rPr>
              <w:t>the</w:t>
            </w:r>
            <w:r>
              <w:rPr>
                <w:spacing w:val="-13"/>
                <w:sz w:val="20"/>
              </w:rPr>
              <w:t xml:space="preserve"> </w:t>
            </w:r>
            <w:r>
              <w:rPr>
                <w:sz w:val="20"/>
              </w:rPr>
              <w:t>number</w:t>
            </w:r>
            <w:r>
              <w:rPr>
                <w:spacing w:val="-12"/>
                <w:sz w:val="20"/>
              </w:rPr>
              <w:t xml:space="preserve"> </w:t>
            </w:r>
            <w:r>
              <w:rPr>
                <w:sz w:val="20"/>
              </w:rPr>
              <w:t>of</w:t>
            </w:r>
            <w:r>
              <w:rPr>
                <w:spacing w:val="-12"/>
                <w:sz w:val="20"/>
              </w:rPr>
              <w:t xml:space="preserve"> </w:t>
            </w:r>
            <w:r>
              <w:rPr>
                <w:sz w:val="20"/>
              </w:rPr>
              <w:t>depreciation</w:t>
            </w:r>
            <w:r>
              <w:rPr>
                <w:spacing w:val="-14"/>
                <w:sz w:val="20"/>
              </w:rPr>
              <w:t xml:space="preserve"> </w:t>
            </w:r>
            <w:proofErr w:type="gramStart"/>
            <w:r>
              <w:rPr>
                <w:sz w:val="20"/>
              </w:rPr>
              <w:t>rates,</w:t>
            </w:r>
            <w:r>
              <w:rPr>
                <w:spacing w:val="-12"/>
                <w:sz w:val="20"/>
              </w:rPr>
              <w:t xml:space="preserve"> </w:t>
            </w:r>
            <w:r>
              <w:rPr>
                <w:sz w:val="20"/>
              </w:rPr>
              <w:t>and</w:t>
            </w:r>
            <w:proofErr w:type="gramEnd"/>
            <w:r>
              <w:rPr>
                <w:spacing w:val="-13"/>
                <w:sz w:val="20"/>
              </w:rPr>
              <w:t xml:space="preserve"> </w:t>
            </w:r>
            <w:r>
              <w:rPr>
                <w:sz w:val="20"/>
              </w:rPr>
              <w:t>simplifying</w:t>
            </w:r>
            <w:r>
              <w:rPr>
                <w:spacing w:val="-15"/>
                <w:sz w:val="20"/>
              </w:rPr>
              <w:t xml:space="preserve"> </w:t>
            </w:r>
            <w:r>
              <w:rPr>
                <w:sz w:val="20"/>
              </w:rPr>
              <w:t>the</w:t>
            </w:r>
            <w:r>
              <w:rPr>
                <w:spacing w:val="-13"/>
                <w:sz w:val="20"/>
              </w:rPr>
              <w:t xml:space="preserve"> </w:t>
            </w:r>
            <w:r>
              <w:rPr>
                <w:sz w:val="20"/>
              </w:rPr>
              <w:t>process</w:t>
            </w:r>
            <w:r>
              <w:rPr>
                <w:spacing w:val="-13"/>
                <w:sz w:val="20"/>
              </w:rPr>
              <w:t xml:space="preserve"> </w:t>
            </w:r>
            <w:r>
              <w:rPr>
                <w:sz w:val="20"/>
              </w:rPr>
              <w:t>for</w:t>
            </w:r>
            <w:r>
              <w:rPr>
                <w:spacing w:val="-14"/>
                <w:sz w:val="20"/>
              </w:rPr>
              <w:t xml:space="preserve"> </w:t>
            </w:r>
            <w:r>
              <w:rPr>
                <w:sz w:val="20"/>
              </w:rPr>
              <w:t>using</w:t>
            </w:r>
            <w:r>
              <w:rPr>
                <w:spacing w:val="-13"/>
                <w:sz w:val="20"/>
              </w:rPr>
              <w:t xml:space="preserve"> </w:t>
            </w:r>
            <w:r>
              <w:rPr>
                <w:sz w:val="20"/>
              </w:rPr>
              <w:t>default</w:t>
            </w:r>
            <w:r>
              <w:rPr>
                <w:spacing w:val="-14"/>
                <w:sz w:val="20"/>
              </w:rPr>
              <w:t xml:space="preserve"> </w:t>
            </w:r>
            <w:r>
              <w:rPr>
                <w:sz w:val="20"/>
              </w:rPr>
              <w:t>rates.</w:t>
            </w:r>
          </w:p>
          <w:p w:rsidR="000F1F05" w:rsidRDefault="00B44DD8">
            <w:pPr>
              <w:pStyle w:val="TableParagraph"/>
              <w:spacing w:before="58"/>
              <w:ind w:left="107"/>
              <w:rPr>
                <w:i/>
                <w:sz w:val="20"/>
              </w:rPr>
            </w:pPr>
            <w:r>
              <w:rPr>
                <w:i/>
                <w:sz w:val="20"/>
              </w:rPr>
              <w:t>Subject to fiscal constraints:</w:t>
            </w:r>
          </w:p>
          <w:p w:rsidR="000F1F05" w:rsidRDefault="00B44DD8">
            <w:pPr>
              <w:pStyle w:val="TableParagraph"/>
              <w:numPr>
                <w:ilvl w:val="0"/>
                <w:numId w:val="9"/>
              </w:numPr>
              <w:tabs>
                <w:tab w:val="left" w:pos="432"/>
              </w:tabs>
              <w:spacing w:before="63" w:line="249" w:lineRule="auto"/>
              <w:ind w:right="1022" w:hanging="358"/>
              <w:rPr>
                <w:sz w:val="20"/>
              </w:rPr>
            </w:pPr>
            <w:r>
              <w:rPr>
                <w:sz w:val="20"/>
              </w:rPr>
              <w:t xml:space="preserve">Simplify the fringe benefit </w:t>
            </w:r>
            <w:proofErr w:type="gramStart"/>
            <w:r>
              <w:rPr>
                <w:sz w:val="20"/>
              </w:rPr>
              <w:t>tax, and</w:t>
            </w:r>
            <w:proofErr w:type="gramEnd"/>
            <w:r>
              <w:rPr>
                <w:sz w:val="20"/>
              </w:rPr>
              <w:t xml:space="preserve"> simplifying (or e</w:t>
            </w:r>
            <w:r>
              <w:rPr>
                <w:sz w:val="20"/>
              </w:rPr>
              <w:t>ven remove) the</w:t>
            </w:r>
            <w:r>
              <w:rPr>
                <w:spacing w:val="-25"/>
                <w:sz w:val="20"/>
              </w:rPr>
              <w:t xml:space="preserve"> </w:t>
            </w:r>
            <w:r>
              <w:rPr>
                <w:sz w:val="20"/>
              </w:rPr>
              <w:t>entertainment adjustment.</w:t>
            </w:r>
          </w:p>
          <w:p w:rsidR="000F1F05" w:rsidRDefault="00B44DD8">
            <w:pPr>
              <w:pStyle w:val="TableParagraph"/>
              <w:numPr>
                <w:ilvl w:val="0"/>
                <w:numId w:val="9"/>
              </w:numPr>
              <w:tabs>
                <w:tab w:val="left" w:pos="431"/>
                <w:tab w:val="left" w:pos="432"/>
              </w:tabs>
              <w:spacing w:before="52" w:line="249" w:lineRule="auto"/>
              <w:ind w:right="578" w:hanging="358"/>
              <w:rPr>
                <w:sz w:val="20"/>
              </w:rPr>
            </w:pPr>
            <w:r>
              <w:rPr>
                <w:sz w:val="20"/>
              </w:rPr>
              <w:t>Remove resident withholding tax on close company-related party interest and</w:t>
            </w:r>
            <w:r>
              <w:rPr>
                <w:spacing w:val="-26"/>
                <w:sz w:val="20"/>
              </w:rPr>
              <w:t xml:space="preserve"> </w:t>
            </w:r>
            <w:r>
              <w:rPr>
                <w:sz w:val="20"/>
              </w:rPr>
              <w:t>dividend payments, subject to integrity</w:t>
            </w:r>
            <w:r>
              <w:rPr>
                <w:spacing w:val="-6"/>
                <w:sz w:val="20"/>
              </w:rPr>
              <w:t xml:space="preserve"> </w:t>
            </w:r>
            <w:r>
              <w:rPr>
                <w:sz w:val="20"/>
              </w:rPr>
              <w:t>concerns.</w:t>
            </w:r>
          </w:p>
          <w:p w:rsidR="000F1F05" w:rsidRDefault="00B44DD8">
            <w:pPr>
              <w:pStyle w:val="TableParagraph"/>
              <w:numPr>
                <w:ilvl w:val="0"/>
                <w:numId w:val="9"/>
              </w:numPr>
              <w:tabs>
                <w:tab w:val="left" w:pos="432"/>
              </w:tabs>
              <w:spacing w:before="52" w:line="249" w:lineRule="auto"/>
              <w:ind w:right="229" w:hanging="358"/>
              <w:rPr>
                <w:sz w:val="20"/>
              </w:rPr>
            </w:pPr>
            <w:r>
              <w:rPr>
                <w:sz w:val="20"/>
              </w:rPr>
              <w:t>Remove the requirement for taxpayers to seek the approval of the Commissioner of Inland Revenue to issue GST Buyer Created Tax</w:t>
            </w:r>
            <w:r>
              <w:rPr>
                <w:spacing w:val="-3"/>
                <w:sz w:val="20"/>
              </w:rPr>
              <w:t xml:space="preserve"> </w:t>
            </w:r>
            <w:r>
              <w:rPr>
                <w:sz w:val="20"/>
              </w:rPr>
              <w:t>Invoices.</w:t>
            </w:r>
          </w:p>
          <w:p w:rsidR="000F1F05" w:rsidRDefault="00B44DD8">
            <w:pPr>
              <w:pStyle w:val="TableParagraph"/>
              <w:numPr>
                <w:ilvl w:val="0"/>
                <w:numId w:val="9"/>
              </w:numPr>
              <w:tabs>
                <w:tab w:val="left" w:pos="432"/>
              </w:tabs>
              <w:spacing w:before="50"/>
              <w:ind w:hanging="358"/>
              <w:rPr>
                <w:sz w:val="20"/>
              </w:rPr>
            </w:pPr>
            <w:r>
              <w:rPr>
                <w:sz w:val="20"/>
              </w:rPr>
              <w:t>Allow special rate certificates and certificates of exemption to be granted</w:t>
            </w:r>
            <w:r>
              <w:rPr>
                <w:spacing w:val="-19"/>
                <w:sz w:val="20"/>
              </w:rPr>
              <w:t xml:space="preserve"> </w:t>
            </w:r>
            <w:r>
              <w:rPr>
                <w:sz w:val="20"/>
              </w:rPr>
              <w:t>retrospectively.</w:t>
            </w:r>
          </w:p>
          <w:p w:rsidR="000F1F05" w:rsidRDefault="00B44DD8">
            <w:pPr>
              <w:pStyle w:val="TableParagraph"/>
              <w:numPr>
                <w:ilvl w:val="0"/>
                <w:numId w:val="9"/>
              </w:numPr>
              <w:tabs>
                <w:tab w:val="left" w:pos="431"/>
                <w:tab w:val="left" w:pos="432"/>
              </w:tabs>
              <w:spacing w:before="61"/>
              <w:ind w:hanging="358"/>
              <w:rPr>
                <w:sz w:val="20"/>
              </w:rPr>
            </w:pPr>
            <w:r>
              <w:rPr>
                <w:sz w:val="20"/>
              </w:rPr>
              <w:t>Increase the period of validity for a certificate of exemption or special rate</w:t>
            </w:r>
            <w:r>
              <w:rPr>
                <w:spacing w:val="-19"/>
                <w:sz w:val="20"/>
              </w:rPr>
              <w:t xml:space="preserve"> </w:t>
            </w:r>
            <w:r>
              <w:rPr>
                <w:sz w:val="20"/>
              </w:rPr>
              <w:t>certificate.</w:t>
            </w:r>
          </w:p>
          <w:p w:rsidR="000F1F05" w:rsidRDefault="00B44DD8">
            <w:pPr>
              <w:pStyle w:val="TableParagraph"/>
              <w:numPr>
                <w:ilvl w:val="0"/>
                <w:numId w:val="9"/>
              </w:numPr>
              <w:tabs>
                <w:tab w:val="left" w:pos="431"/>
                <w:tab w:val="left" w:pos="432"/>
              </w:tabs>
              <w:spacing w:before="60"/>
              <w:ind w:hanging="358"/>
              <w:rPr>
                <w:sz w:val="20"/>
              </w:rPr>
            </w:pPr>
            <w:r>
              <w:rPr>
                <w:sz w:val="20"/>
              </w:rPr>
              <w:t>Remove the requirement to file a change of imputation ratio notice with Inland</w:t>
            </w:r>
            <w:r>
              <w:rPr>
                <w:spacing w:val="-15"/>
                <w:sz w:val="20"/>
              </w:rPr>
              <w:t xml:space="preserve"> </w:t>
            </w:r>
            <w:r>
              <w:rPr>
                <w:sz w:val="20"/>
              </w:rPr>
              <w:t>Revenue.</w:t>
            </w:r>
          </w:p>
          <w:p w:rsidR="000F1F05" w:rsidRDefault="00B44DD8">
            <w:pPr>
              <w:pStyle w:val="TableParagraph"/>
              <w:numPr>
                <w:ilvl w:val="0"/>
                <w:numId w:val="9"/>
              </w:numPr>
              <w:tabs>
                <w:tab w:val="left" w:pos="432"/>
              </w:tabs>
              <w:spacing w:before="61"/>
              <w:ind w:hanging="358"/>
              <w:rPr>
                <w:sz w:val="20"/>
              </w:rPr>
            </w:pPr>
            <w:r>
              <w:rPr>
                <w:sz w:val="20"/>
              </w:rPr>
              <w:t>Extend the threshold of ‘cash</w:t>
            </w:r>
            <w:r>
              <w:rPr>
                <w:spacing w:val="1"/>
                <w:sz w:val="20"/>
              </w:rPr>
              <w:t xml:space="preserve"> </w:t>
            </w:r>
            <w:r>
              <w:rPr>
                <w:sz w:val="20"/>
              </w:rPr>
              <w:t>basis</w:t>
            </w:r>
          </w:p>
          <w:p w:rsidR="000F1F05" w:rsidRDefault="00B44DD8">
            <w:pPr>
              <w:pStyle w:val="TableParagraph"/>
              <w:numPr>
                <w:ilvl w:val="0"/>
                <w:numId w:val="9"/>
              </w:numPr>
              <w:tabs>
                <w:tab w:val="left" w:pos="431"/>
                <w:tab w:val="left" w:pos="432"/>
              </w:tabs>
              <w:spacing w:before="60" w:line="249" w:lineRule="auto"/>
              <w:ind w:right="236" w:hanging="358"/>
              <w:rPr>
                <w:sz w:val="20"/>
              </w:rPr>
            </w:pPr>
            <w:r>
              <w:rPr>
                <w:sz w:val="20"/>
              </w:rPr>
              <w:t>person’</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financial</w:t>
            </w:r>
            <w:r>
              <w:rPr>
                <w:spacing w:val="-4"/>
                <w:sz w:val="20"/>
              </w:rPr>
              <w:t xml:space="preserve"> </w:t>
            </w:r>
            <w:r>
              <w:rPr>
                <w:sz w:val="20"/>
              </w:rPr>
              <w:t>arrangement</w:t>
            </w:r>
            <w:r>
              <w:rPr>
                <w:spacing w:val="-5"/>
                <w:sz w:val="20"/>
              </w:rPr>
              <w:t xml:space="preserve"> </w:t>
            </w:r>
            <w:r>
              <w:rPr>
                <w:sz w:val="20"/>
              </w:rPr>
              <w:t>rules</w:t>
            </w:r>
            <w:r>
              <w:rPr>
                <w:spacing w:val="-2"/>
                <w:sz w:val="20"/>
              </w:rPr>
              <w:t xml:space="preserve"> </w:t>
            </w:r>
            <w:r>
              <w:rPr>
                <w:sz w:val="20"/>
              </w:rPr>
              <w:t>which</w:t>
            </w:r>
            <w:r>
              <w:rPr>
                <w:spacing w:val="-3"/>
                <w:sz w:val="20"/>
              </w:rPr>
              <w:t xml:space="preserve"> </w:t>
            </w:r>
            <w:r>
              <w:rPr>
                <w:sz w:val="20"/>
              </w:rPr>
              <w:t>would</w:t>
            </w:r>
            <w:r>
              <w:rPr>
                <w:spacing w:val="-3"/>
                <w:sz w:val="20"/>
              </w:rPr>
              <w:t xml:space="preserve"> </w:t>
            </w:r>
            <w:r>
              <w:rPr>
                <w:sz w:val="20"/>
              </w:rPr>
              <w:t>better</w:t>
            </w:r>
            <w:r>
              <w:rPr>
                <w:spacing w:val="-5"/>
                <w:sz w:val="20"/>
              </w:rPr>
              <w:t xml:space="preserve"> </w:t>
            </w:r>
            <w:r>
              <w:rPr>
                <w:sz w:val="20"/>
              </w:rPr>
              <w:t>allow</w:t>
            </w:r>
            <w:r>
              <w:rPr>
                <w:spacing w:val="-7"/>
                <w:sz w:val="20"/>
              </w:rPr>
              <w:t xml:space="preserve"> </w:t>
            </w:r>
            <w:r>
              <w:rPr>
                <w:sz w:val="20"/>
              </w:rPr>
              <w:t>for</w:t>
            </w:r>
            <w:r>
              <w:rPr>
                <w:spacing w:val="-5"/>
                <w:sz w:val="20"/>
              </w:rPr>
              <w:t xml:space="preserve"> </w:t>
            </w:r>
            <w:r>
              <w:rPr>
                <w:sz w:val="20"/>
              </w:rPr>
              <w:t>the</w:t>
            </w:r>
            <w:r>
              <w:rPr>
                <w:spacing w:val="-5"/>
                <w:sz w:val="20"/>
              </w:rPr>
              <w:t xml:space="preserve"> </w:t>
            </w:r>
            <w:r>
              <w:rPr>
                <w:sz w:val="20"/>
              </w:rPr>
              <w:t>current</w:t>
            </w:r>
            <w:r>
              <w:rPr>
                <w:spacing w:val="-3"/>
                <w:sz w:val="20"/>
              </w:rPr>
              <w:t xml:space="preserve"> </w:t>
            </w:r>
            <w:r>
              <w:rPr>
                <w:sz w:val="20"/>
              </w:rPr>
              <w:t>levels</w:t>
            </w:r>
            <w:r>
              <w:rPr>
                <w:spacing w:val="-2"/>
                <w:sz w:val="20"/>
              </w:rPr>
              <w:t xml:space="preserve"> </w:t>
            </w:r>
            <w:r>
              <w:rPr>
                <w:sz w:val="20"/>
              </w:rPr>
              <w:t>of personal</w:t>
            </w:r>
            <w:r>
              <w:rPr>
                <w:spacing w:val="-3"/>
                <w:sz w:val="20"/>
              </w:rPr>
              <w:t xml:space="preserve"> </w:t>
            </w:r>
            <w:r>
              <w:rPr>
                <w:sz w:val="20"/>
              </w:rPr>
              <w:t>debt.</w:t>
            </w:r>
          </w:p>
          <w:p w:rsidR="000F1F05" w:rsidRDefault="00B44DD8">
            <w:pPr>
              <w:pStyle w:val="TableParagraph"/>
              <w:numPr>
                <w:ilvl w:val="0"/>
                <w:numId w:val="9"/>
              </w:numPr>
              <w:tabs>
                <w:tab w:val="left" w:pos="468"/>
              </w:tabs>
              <w:spacing w:before="52"/>
              <w:ind w:left="467" w:hanging="360"/>
              <w:rPr>
                <w:sz w:val="20"/>
              </w:rPr>
            </w:pPr>
            <w:r>
              <w:rPr>
                <w:sz w:val="20"/>
              </w:rPr>
              <w:t>Increase the threshold for not requiring a GST change of use</w:t>
            </w:r>
            <w:r>
              <w:rPr>
                <w:spacing w:val="-4"/>
                <w:sz w:val="20"/>
              </w:rPr>
              <w:t xml:space="preserve"> </w:t>
            </w:r>
            <w:r>
              <w:rPr>
                <w:sz w:val="20"/>
              </w:rPr>
              <w:t>adjustment.</w:t>
            </w:r>
          </w:p>
        </w:tc>
        <w:tc>
          <w:tcPr>
            <w:tcW w:w="5814" w:type="dxa"/>
            <w:shd w:val="clear" w:color="auto" w:fill="FFE499"/>
          </w:tcPr>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3"/>
              <w:ind w:left="0"/>
              <w:rPr>
                <w:b/>
                <w:sz w:val="18"/>
              </w:rPr>
            </w:pPr>
          </w:p>
          <w:p w:rsidR="000F1F05" w:rsidRDefault="00B44DD8">
            <w:pPr>
              <w:pStyle w:val="TableParagraph"/>
              <w:spacing w:before="1"/>
              <w:ind w:left="104"/>
              <w:rPr>
                <w:sz w:val="20"/>
              </w:rPr>
            </w:pPr>
            <w:r>
              <w:rPr>
                <w:b/>
                <w:sz w:val="20"/>
              </w:rPr>
              <w:t xml:space="preserve">Consider for inclusion on work programme </w:t>
            </w:r>
            <w:r>
              <w:rPr>
                <w:sz w:val="20"/>
              </w:rPr>
              <w:t>(TPWP)</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2579"/>
        </w:trPr>
        <w:tc>
          <w:tcPr>
            <w:tcW w:w="706" w:type="dxa"/>
          </w:tcPr>
          <w:p w:rsidR="000F1F05" w:rsidRDefault="000F1F05">
            <w:pPr>
              <w:pStyle w:val="TableParagraph"/>
              <w:spacing w:before="0"/>
              <w:ind w:left="0"/>
              <w:rPr>
                <w:rFonts w:ascii="Times New Roman"/>
                <w:sz w:val="18"/>
              </w:rPr>
            </w:pPr>
          </w:p>
        </w:tc>
        <w:tc>
          <w:tcPr>
            <w:tcW w:w="8649" w:type="dxa"/>
          </w:tcPr>
          <w:p w:rsidR="000F1F05" w:rsidRDefault="00B44DD8">
            <w:pPr>
              <w:pStyle w:val="TableParagraph"/>
              <w:spacing w:before="66"/>
              <w:ind w:left="107"/>
              <w:rPr>
                <w:i/>
                <w:sz w:val="20"/>
              </w:rPr>
            </w:pPr>
            <w:r>
              <w:rPr>
                <w:i/>
                <w:sz w:val="20"/>
              </w:rPr>
              <w:t>The Government should also review and explore opportunities to:</w:t>
            </w:r>
          </w:p>
          <w:p w:rsidR="000F1F05" w:rsidRDefault="00B44DD8">
            <w:pPr>
              <w:pStyle w:val="TableParagraph"/>
              <w:numPr>
                <w:ilvl w:val="0"/>
                <w:numId w:val="8"/>
              </w:numPr>
              <w:tabs>
                <w:tab w:val="left" w:pos="466"/>
              </w:tabs>
              <w:spacing w:before="73"/>
              <w:rPr>
                <w:sz w:val="20"/>
              </w:rPr>
            </w:pPr>
            <w:r>
              <w:rPr>
                <w:sz w:val="20"/>
              </w:rPr>
              <w:t>Adjust the thresholds for unexpired expenditure, and for the write-off of low value</w:t>
            </w:r>
            <w:r>
              <w:rPr>
                <w:spacing w:val="-16"/>
                <w:sz w:val="20"/>
              </w:rPr>
              <w:t xml:space="preserve"> </w:t>
            </w:r>
            <w:r>
              <w:rPr>
                <w:sz w:val="20"/>
              </w:rPr>
              <w:t>assets.</w:t>
            </w:r>
          </w:p>
          <w:p w:rsidR="000F1F05" w:rsidRDefault="00B44DD8">
            <w:pPr>
              <w:pStyle w:val="TableParagraph"/>
              <w:numPr>
                <w:ilvl w:val="0"/>
                <w:numId w:val="8"/>
              </w:numPr>
              <w:tabs>
                <w:tab w:val="left" w:pos="466"/>
              </w:tabs>
              <w:spacing w:before="70" w:line="249" w:lineRule="auto"/>
              <w:ind w:right="1117"/>
              <w:rPr>
                <w:sz w:val="20"/>
              </w:rPr>
            </w:pPr>
            <w:r>
              <w:rPr>
                <w:sz w:val="20"/>
              </w:rPr>
              <w:t>Help small businesses reduce compliance costs through the use of cloud-based accounting</w:t>
            </w:r>
            <w:r>
              <w:rPr>
                <w:spacing w:val="-2"/>
                <w:sz w:val="20"/>
              </w:rPr>
              <w:t xml:space="preserve"> </w:t>
            </w:r>
            <w:r>
              <w:rPr>
                <w:sz w:val="20"/>
              </w:rPr>
              <w:t>software.</w:t>
            </w:r>
          </w:p>
          <w:p w:rsidR="000F1F05" w:rsidRDefault="00B44DD8">
            <w:pPr>
              <w:pStyle w:val="TableParagraph"/>
              <w:numPr>
                <w:ilvl w:val="0"/>
                <w:numId w:val="8"/>
              </w:numPr>
              <w:tabs>
                <w:tab w:val="left" w:pos="466"/>
              </w:tabs>
              <w:spacing w:before="61" w:line="249" w:lineRule="auto"/>
              <w:ind w:right="280"/>
              <w:rPr>
                <w:sz w:val="20"/>
              </w:rPr>
            </w:pPr>
            <w:r>
              <w:rPr>
                <w:sz w:val="20"/>
              </w:rPr>
              <w:t>Consider compensation for withholding agents if additional withholding tax obligations</w:t>
            </w:r>
            <w:r>
              <w:rPr>
                <w:spacing w:val="-31"/>
                <w:sz w:val="20"/>
              </w:rPr>
              <w:t xml:space="preserve"> </w:t>
            </w:r>
            <w:r>
              <w:rPr>
                <w:sz w:val="20"/>
              </w:rPr>
              <w:t>are imposed.</w:t>
            </w:r>
          </w:p>
          <w:p w:rsidR="000F1F05" w:rsidRDefault="00B44DD8">
            <w:pPr>
              <w:pStyle w:val="TableParagraph"/>
              <w:numPr>
                <w:ilvl w:val="0"/>
                <w:numId w:val="8"/>
              </w:numPr>
              <w:tabs>
                <w:tab w:val="left" w:pos="466"/>
              </w:tabs>
              <w:spacing w:before="62"/>
              <w:rPr>
                <w:sz w:val="20"/>
              </w:rPr>
            </w:pPr>
            <w:r>
              <w:rPr>
                <w:sz w:val="20"/>
              </w:rPr>
              <w:t>Review the taxation of non-resident</w:t>
            </w:r>
            <w:r>
              <w:rPr>
                <w:spacing w:val="1"/>
                <w:sz w:val="20"/>
              </w:rPr>
              <w:t xml:space="preserve"> </w:t>
            </w:r>
            <w:r>
              <w:rPr>
                <w:sz w:val="20"/>
              </w:rPr>
              <w:t>employees.</w:t>
            </w:r>
          </w:p>
          <w:p w:rsidR="000F1F05" w:rsidRDefault="00B44DD8">
            <w:pPr>
              <w:pStyle w:val="TableParagraph"/>
              <w:numPr>
                <w:ilvl w:val="0"/>
                <w:numId w:val="8"/>
              </w:numPr>
              <w:tabs>
                <w:tab w:val="left" w:pos="465"/>
                <w:tab w:val="left" w:pos="466"/>
              </w:tabs>
              <w:spacing w:before="70" w:line="249" w:lineRule="auto"/>
              <w:ind w:right="708"/>
              <w:rPr>
                <w:sz w:val="20"/>
              </w:rPr>
            </w:pPr>
            <w:r>
              <w:rPr>
                <w:sz w:val="20"/>
              </w:rPr>
              <w:t>Review whether the rules for hybrid mismatches should apply to small businesses</w:t>
            </w:r>
            <w:r>
              <w:rPr>
                <w:spacing w:val="-23"/>
                <w:sz w:val="20"/>
              </w:rPr>
              <w:t xml:space="preserve"> </w:t>
            </w:r>
            <w:r>
              <w:rPr>
                <w:sz w:val="20"/>
              </w:rPr>
              <w:t>or simple business</w:t>
            </w:r>
            <w:r>
              <w:rPr>
                <w:spacing w:val="-2"/>
                <w:sz w:val="20"/>
              </w:rPr>
              <w:t xml:space="preserve"> </w:t>
            </w:r>
            <w:r>
              <w:rPr>
                <w:sz w:val="20"/>
              </w:rPr>
              <w:t>transactions.</w:t>
            </w:r>
          </w:p>
        </w:tc>
        <w:tc>
          <w:tcPr>
            <w:tcW w:w="5814" w:type="dxa"/>
            <w:shd w:val="clear" w:color="auto" w:fill="FFE499"/>
          </w:tcPr>
          <w:p w:rsidR="000F1F05" w:rsidRDefault="000F1F05">
            <w:pPr>
              <w:pStyle w:val="TableParagraph"/>
              <w:spacing w:before="0"/>
              <w:ind w:left="0"/>
              <w:rPr>
                <w:rFonts w:ascii="Times New Roman"/>
                <w:sz w:val="18"/>
              </w:rPr>
            </w:pPr>
          </w:p>
        </w:tc>
      </w:tr>
      <w:tr w:rsidR="000F1F05">
        <w:trPr>
          <w:trHeight w:val="840"/>
        </w:trPr>
        <w:tc>
          <w:tcPr>
            <w:tcW w:w="706" w:type="dxa"/>
          </w:tcPr>
          <w:p w:rsidR="000F1F05" w:rsidRDefault="00B44DD8">
            <w:pPr>
              <w:pStyle w:val="TableParagraph"/>
              <w:rPr>
                <w:sz w:val="20"/>
              </w:rPr>
            </w:pPr>
            <w:r>
              <w:rPr>
                <w:sz w:val="20"/>
              </w:rPr>
              <w:t>38</w:t>
            </w:r>
          </w:p>
        </w:tc>
        <w:tc>
          <w:tcPr>
            <w:tcW w:w="8649" w:type="dxa"/>
          </w:tcPr>
          <w:p w:rsidR="000F1F05" w:rsidRDefault="00B44DD8">
            <w:pPr>
              <w:pStyle w:val="TableParagraph"/>
              <w:spacing w:line="249" w:lineRule="auto"/>
              <w:ind w:left="107" w:right="667"/>
              <w:rPr>
                <w:sz w:val="20"/>
              </w:rPr>
            </w:pPr>
            <w:proofErr w:type="gramStart"/>
            <w:r>
              <w:rPr>
                <w:sz w:val="20"/>
              </w:rPr>
              <w:t>Give favourable consideration to</w:t>
            </w:r>
            <w:proofErr w:type="gramEnd"/>
            <w:r>
              <w:rPr>
                <w:sz w:val="20"/>
              </w:rPr>
              <w:t xml:space="preserve"> exempting the New Zealand Superannuation Fund from New Zealand tax obligations.</w:t>
            </w:r>
          </w:p>
        </w:tc>
        <w:tc>
          <w:tcPr>
            <w:tcW w:w="5814" w:type="dxa"/>
            <w:shd w:val="clear" w:color="auto" w:fill="FFE499"/>
          </w:tcPr>
          <w:p w:rsidR="000F1F05" w:rsidRDefault="00B44DD8">
            <w:pPr>
              <w:pStyle w:val="TableParagraph"/>
              <w:spacing w:before="67" w:line="252" w:lineRule="auto"/>
              <w:ind w:left="104" w:right="651"/>
              <w:rPr>
                <w:sz w:val="20"/>
              </w:rPr>
            </w:pPr>
            <w:r>
              <w:rPr>
                <w:b/>
                <w:sz w:val="20"/>
              </w:rPr>
              <w:t xml:space="preserve">Consider for inclusion on work programme </w:t>
            </w:r>
            <w:r>
              <w:rPr>
                <w:sz w:val="20"/>
              </w:rPr>
              <w:t>(TPWP) – noting the significant economic and fiscal implications associated with this proposal.</w:t>
            </w:r>
          </w:p>
        </w:tc>
      </w:tr>
      <w:tr w:rsidR="000F1F05">
        <w:trPr>
          <w:trHeight w:val="491"/>
        </w:trPr>
        <w:tc>
          <w:tcPr>
            <w:tcW w:w="15169" w:type="dxa"/>
            <w:gridSpan w:val="3"/>
          </w:tcPr>
          <w:p w:rsidR="000F1F05" w:rsidRDefault="00B44DD8">
            <w:pPr>
              <w:pStyle w:val="TableParagraph"/>
              <w:spacing w:before="115"/>
              <w:rPr>
                <w:b/>
              </w:rPr>
            </w:pPr>
            <w:r>
              <w:rPr>
                <w:b/>
              </w:rPr>
              <w:t>International income taxation</w:t>
            </w:r>
          </w:p>
        </w:tc>
      </w:tr>
      <w:tr w:rsidR="000F1F05">
        <w:trPr>
          <w:trHeight w:val="839"/>
        </w:trPr>
        <w:tc>
          <w:tcPr>
            <w:tcW w:w="706" w:type="dxa"/>
          </w:tcPr>
          <w:p w:rsidR="000F1F05" w:rsidRDefault="00B44DD8">
            <w:pPr>
              <w:pStyle w:val="TableParagraph"/>
              <w:rPr>
                <w:sz w:val="20"/>
              </w:rPr>
            </w:pPr>
            <w:r>
              <w:rPr>
                <w:sz w:val="20"/>
              </w:rPr>
              <w:t>39</w:t>
            </w:r>
          </w:p>
        </w:tc>
        <w:tc>
          <w:tcPr>
            <w:tcW w:w="8649" w:type="dxa"/>
          </w:tcPr>
          <w:p w:rsidR="000F1F05" w:rsidRDefault="00B44DD8">
            <w:pPr>
              <w:pStyle w:val="TableParagraph"/>
              <w:spacing w:line="249" w:lineRule="auto"/>
              <w:ind w:left="107"/>
              <w:rPr>
                <w:sz w:val="20"/>
              </w:rPr>
            </w:pPr>
            <w:r>
              <w:rPr>
                <w:sz w:val="20"/>
              </w:rPr>
              <w:t>New Zealand should continue to participate in the OECD discussions on the future of the international tax framework.</w:t>
            </w:r>
          </w:p>
        </w:tc>
        <w:tc>
          <w:tcPr>
            <w:tcW w:w="5814" w:type="dxa"/>
            <w:shd w:val="clear" w:color="auto" w:fill="BCD5ED"/>
          </w:tcPr>
          <w:p w:rsidR="000F1F05" w:rsidRDefault="00B44DD8">
            <w:pPr>
              <w:pStyle w:val="TableParagraph"/>
              <w:spacing w:before="66" w:line="252" w:lineRule="auto"/>
              <w:ind w:left="104"/>
              <w:rPr>
                <w:sz w:val="20"/>
              </w:rPr>
            </w:pPr>
            <w:r>
              <w:rPr>
                <w:b/>
                <w:sz w:val="20"/>
              </w:rPr>
              <w:t xml:space="preserve">Note work already underway </w:t>
            </w:r>
            <w:r>
              <w:rPr>
                <w:sz w:val="20"/>
              </w:rPr>
              <w:t>– New Zealand is currently participating in discussions at the OECD on the future of the international tax frame</w:t>
            </w:r>
            <w:r>
              <w:rPr>
                <w:sz w:val="20"/>
              </w:rPr>
              <w:t>work</w:t>
            </w:r>
          </w:p>
        </w:tc>
      </w:tr>
      <w:tr w:rsidR="000F1F05">
        <w:trPr>
          <w:trHeight w:val="840"/>
        </w:trPr>
        <w:tc>
          <w:tcPr>
            <w:tcW w:w="706" w:type="dxa"/>
          </w:tcPr>
          <w:p w:rsidR="000F1F05" w:rsidRDefault="00B44DD8">
            <w:pPr>
              <w:pStyle w:val="TableParagraph"/>
              <w:rPr>
                <w:sz w:val="20"/>
              </w:rPr>
            </w:pPr>
            <w:r>
              <w:rPr>
                <w:sz w:val="20"/>
              </w:rPr>
              <w:t>40</w:t>
            </w:r>
          </w:p>
        </w:tc>
        <w:tc>
          <w:tcPr>
            <w:tcW w:w="8649" w:type="dxa"/>
          </w:tcPr>
          <w:p w:rsidR="000F1F05" w:rsidRDefault="00B44DD8">
            <w:pPr>
              <w:pStyle w:val="TableParagraph"/>
              <w:spacing w:line="249" w:lineRule="auto"/>
              <w:ind w:left="107" w:right="175"/>
              <w:rPr>
                <w:sz w:val="20"/>
              </w:rPr>
            </w:pPr>
            <w:r>
              <w:rPr>
                <w:sz w:val="20"/>
              </w:rPr>
              <w:t xml:space="preserve">The Government should stand ready to implement a digital services tax if a critical mass of other countries </w:t>
            </w:r>
            <w:proofErr w:type="gramStart"/>
            <w:r>
              <w:rPr>
                <w:sz w:val="20"/>
              </w:rPr>
              <w:t>move</w:t>
            </w:r>
            <w:proofErr w:type="gramEnd"/>
            <w:r>
              <w:rPr>
                <w:sz w:val="20"/>
              </w:rPr>
              <w:t xml:space="preserve"> in that direction, and if it is reasonably certain that New Zealand’s export industries will not be materially impacted by any retaliatory meas</w:t>
            </w:r>
            <w:r>
              <w:rPr>
                <w:sz w:val="20"/>
              </w:rPr>
              <w:t>ures.</w:t>
            </w:r>
          </w:p>
        </w:tc>
        <w:tc>
          <w:tcPr>
            <w:tcW w:w="5814" w:type="dxa"/>
            <w:shd w:val="clear" w:color="auto" w:fill="BCD5ED"/>
          </w:tcPr>
          <w:p w:rsidR="000F1F05" w:rsidRDefault="00B44DD8">
            <w:pPr>
              <w:pStyle w:val="TableParagraph"/>
              <w:spacing w:before="66" w:line="252" w:lineRule="auto"/>
              <w:ind w:left="104" w:right="282"/>
              <w:rPr>
                <w:sz w:val="20"/>
              </w:rPr>
            </w:pPr>
            <w:r>
              <w:rPr>
                <w:b/>
                <w:sz w:val="20"/>
              </w:rPr>
              <w:t xml:space="preserve">Note work already underway </w:t>
            </w:r>
            <w:r>
              <w:rPr>
                <w:sz w:val="20"/>
              </w:rPr>
              <w:t>– Officials have been directed to draft a discussion document on the options for taxing the digital economy that will come to Cabinet in May.</w:t>
            </w:r>
          </w:p>
        </w:tc>
      </w:tr>
      <w:tr w:rsidR="000F1F05">
        <w:trPr>
          <w:trHeight w:val="602"/>
        </w:trPr>
        <w:tc>
          <w:tcPr>
            <w:tcW w:w="706" w:type="dxa"/>
          </w:tcPr>
          <w:p w:rsidR="000F1F05" w:rsidRDefault="00B44DD8">
            <w:pPr>
              <w:pStyle w:val="TableParagraph"/>
              <w:spacing w:before="71"/>
              <w:rPr>
                <w:sz w:val="20"/>
              </w:rPr>
            </w:pPr>
            <w:r>
              <w:rPr>
                <w:sz w:val="20"/>
              </w:rPr>
              <w:t>41</w:t>
            </w:r>
          </w:p>
        </w:tc>
        <w:tc>
          <w:tcPr>
            <w:tcW w:w="8649" w:type="dxa"/>
          </w:tcPr>
          <w:p w:rsidR="000F1F05" w:rsidRDefault="00B44DD8">
            <w:pPr>
              <w:pStyle w:val="TableParagraph"/>
              <w:spacing w:before="71" w:line="249" w:lineRule="auto"/>
              <w:ind w:left="107"/>
              <w:rPr>
                <w:sz w:val="20"/>
              </w:rPr>
            </w:pPr>
            <w:r>
              <w:rPr>
                <w:sz w:val="20"/>
              </w:rPr>
              <w:t>New Zealand should actively monitor developments and collaborate with other c</w:t>
            </w:r>
            <w:r>
              <w:rPr>
                <w:sz w:val="20"/>
              </w:rPr>
              <w:t>ountries with respect to equalisation taxes.</w:t>
            </w:r>
          </w:p>
        </w:tc>
        <w:tc>
          <w:tcPr>
            <w:tcW w:w="5814" w:type="dxa"/>
            <w:shd w:val="clear" w:color="auto" w:fill="BCD5ED"/>
          </w:tcPr>
          <w:p w:rsidR="000F1F05" w:rsidRDefault="00B44DD8">
            <w:pPr>
              <w:pStyle w:val="TableParagraph"/>
              <w:ind w:left="104"/>
              <w:rPr>
                <w:sz w:val="20"/>
              </w:rPr>
            </w:pPr>
            <w:r>
              <w:rPr>
                <w:b/>
                <w:sz w:val="20"/>
              </w:rPr>
              <w:t xml:space="preserve">Note work already underway </w:t>
            </w:r>
            <w:r>
              <w:rPr>
                <w:sz w:val="20"/>
              </w:rPr>
              <w:t>– as above</w:t>
            </w:r>
          </w:p>
        </w:tc>
      </w:tr>
      <w:tr w:rsidR="000F1F05">
        <w:trPr>
          <w:trHeight w:val="599"/>
        </w:trPr>
        <w:tc>
          <w:tcPr>
            <w:tcW w:w="706" w:type="dxa"/>
          </w:tcPr>
          <w:p w:rsidR="000F1F05" w:rsidRDefault="00B44DD8">
            <w:pPr>
              <w:pStyle w:val="TableParagraph"/>
              <w:rPr>
                <w:sz w:val="20"/>
              </w:rPr>
            </w:pPr>
            <w:r>
              <w:rPr>
                <w:sz w:val="20"/>
              </w:rPr>
              <w:t>42</w:t>
            </w:r>
          </w:p>
        </w:tc>
        <w:tc>
          <w:tcPr>
            <w:tcW w:w="8649" w:type="dxa"/>
          </w:tcPr>
          <w:p w:rsidR="000F1F05" w:rsidRDefault="00B44DD8">
            <w:pPr>
              <w:pStyle w:val="TableParagraph"/>
              <w:spacing w:line="249" w:lineRule="auto"/>
              <w:ind w:left="107"/>
              <w:rPr>
                <w:sz w:val="20"/>
              </w:rPr>
            </w:pPr>
            <w:r>
              <w:rPr>
                <w:sz w:val="20"/>
              </w:rPr>
              <w:t>Ensure, to the extent possible, that our double tax agreements and trade agreements do not restrict our taxation options in these matters.</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as above</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91"/>
        </w:trPr>
        <w:tc>
          <w:tcPr>
            <w:tcW w:w="15169" w:type="dxa"/>
            <w:gridSpan w:val="3"/>
          </w:tcPr>
          <w:p w:rsidR="000F1F05" w:rsidRDefault="00B44DD8">
            <w:pPr>
              <w:pStyle w:val="TableParagraph"/>
              <w:spacing w:before="115"/>
              <w:rPr>
                <w:b/>
              </w:rPr>
            </w:pPr>
            <w:r>
              <w:rPr>
                <w:b/>
              </w:rPr>
              <w:t>Retirement savings</w:t>
            </w:r>
          </w:p>
        </w:tc>
      </w:tr>
      <w:tr w:rsidR="000F1F05">
        <w:trPr>
          <w:trHeight w:val="3240"/>
        </w:trPr>
        <w:tc>
          <w:tcPr>
            <w:tcW w:w="706" w:type="dxa"/>
          </w:tcPr>
          <w:p w:rsidR="000F1F05" w:rsidRDefault="00B44DD8">
            <w:pPr>
              <w:pStyle w:val="TableParagraph"/>
              <w:rPr>
                <w:sz w:val="20"/>
              </w:rPr>
            </w:pPr>
            <w:r>
              <w:rPr>
                <w:sz w:val="20"/>
              </w:rPr>
              <w:t>43</w:t>
            </w:r>
          </w:p>
        </w:tc>
        <w:tc>
          <w:tcPr>
            <w:tcW w:w="8649" w:type="dxa"/>
          </w:tcPr>
          <w:p w:rsidR="000F1F05" w:rsidRDefault="00B44DD8">
            <w:pPr>
              <w:pStyle w:val="TableParagraph"/>
              <w:spacing w:line="249" w:lineRule="auto"/>
              <w:ind w:left="107"/>
              <w:rPr>
                <w:sz w:val="20"/>
              </w:rPr>
            </w:pPr>
            <w:r>
              <w:rPr>
                <w:sz w:val="20"/>
              </w:rPr>
              <w:t>Consider encouraging the savings of low-income earners by carrying out one or more of the following:</w:t>
            </w:r>
          </w:p>
          <w:p w:rsidR="000F1F05" w:rsidRDefault="00B44DD8">
            <w:pPr>
              <w:pStyle w:val="TableParagraph"/>
              <w:numPr>
                <w:ilvl w:val="0"/>
                <w:numId w:val="7"/>
              </w:numPr>
              <w:tabs>
                <w:tab w:val="left" w:pos="468"/>
              </w:tabs>
              <w:spacing w:before="61" w:line="249" w:lineRule="auto"/>
              <w:ind w:right="119" w:hanging="360"/>
              <w:rPr>
                <w:sz w:val="20"/>
              </w:rPr>
            </w:pPr>
            <w:r>
              <w:rPr>
                <w:sz w:val="20"/>
              </w:rPr>
              <w:t xml:space="preserve">Refund the Employer Superannuation Contribution Tax (ESCT) for </w:t>
            </w:r>
            <w:proofErr w:type="spellStart"/>
            <w:r>
              <w:rPr>
                <w:sz w:val="20"/>
              </w:rPr>
              <w:t>KiwiSaver</w:t>
            </w:r>
            <w:proofErr w:type="spellEnd"/>
            <w:r>
              <w:rPr>
                <w:sz w:val="20"/>
              </w:rPr>
              <w:t xml:space="preserve"> members earning up to $48,000 per annum. This refund would be clawed back for </w:t>
            </w:r>
            <w:proofErr w:type="spellStart"/>
            <w:r>
              <w:rPr>
                <w:sz w:val="20"/>
              </w:rPr>
              <w:t>KiwiSaver</w:t>
            </w:r>
            <w:proofErr w:type="spellEnd"/>
            <w:r>
              <w:rPr>
                <w:sz w:val="20"/>
              </w:rPr>
              <w:t xml:space="preserve"> members earning more than $48,000 per annum, such that members earning over</w:t>
            </w:r>
            <w:r>
              <w:rPr>
                <w:spacing w:val="-28"/>
                <w:sz w:val="20"/>
              </w:rPr>
              <w:t xml:space="preserve"> </w:t>
            </w:r>
            <w:r>
              <w:rPr>
                <w:sz w:val="20"/>
              </w:rPr>
              <w:t>$70,000 would recei</w:t>
            </w:r>
            <w:r>
              <w:rPr>
                <w:sz w:val="20"/>
              </w:rPr>
              <w:t>ve no</w:t>
            </w:r>
            <w:r>
              <w:rPr>
                <w:spacing w:val="-2"/>
                <w:sz w:val="20"/>
              </w:rPr>
              <w:t xml:space="preserve"> </w:t>
            </w:r>
            <w:r>
              <w:rPr>
                <w:sz w:val="20"/>
              </w:rPr>
              <w:t>benefit.</w:t>
            </w:r>
          </w:p>
          <w:p w:rsidR="000F1F05" w:rsidRDefault="00B44DD8">
            <w:pPr>
              <w:pStyle w:val="TableParagraph"/>
              <w:numPr>
                <w:ilvl w:val="0"/>
                <w:numId w:val="7"/>
              </w:numPr>
              <w:tabs>
                <w:tab w:val="left" w:pos="468"/>
              </w:tabs>
              <w:spacing w:before="64" w:line="249" w:lineRule="auto"/>
              <w:ind w:right="340" w:hanging="360"/>
              <w:rPr>
                <w:sz w:val="20"/>
              </w:rPr>
            </w:pPr>
            <w:r>
              <w:rPr>
                <w:sz w:val="20"/>
              </w:rPr>
              <w:t xml:space="preserve">Ensure that a </w:t>
            </w:r>
            <w:proofErr w:type="spellStart"/>
            <w:r>
              <w:rPr>
                <w:sz w:val="20"/>
              </w:rPr>
              <w:t>KiwiSaver</w:t>
            </w:r>
            <w:proofErr w:type="spellEnd"/>
            <w:r>
              <w:rPr>
                <w:sz w:val="20"/>
              </w:rPr>
              <w:t xml:space="preserve"> member on parental leave would receive the maximum</w:t>
            </w:r>
            <w:r>
              <w:rPr>
                <w:spacing w:val="-23"/>
                <w:sz w:val="20"/>
              </w:rPr>
              <w:t xml:space="preserve"> </w:t>
            </w:r>
            <w:r>
              <w:rPr>
                <w:sz w:val="20"/>
              </w:rPr>
              <w:t>member tax credit regardless of their level of</w:t>
            </w:r>
            <w:r>
              <w:rPr>
                <w:spacing w:val="-1"/>
                <w:sz w:val="20"/>
              </w:rPr>
              <w:t xml:space="preserve"> </w:t>
            </w:r>
            <w:r>
              <w:rPr>
                <w:sz w:val="20"/>
              </w:rPr>
              <w:t>contributions.</w:t>
            </w:r>
          </w:p>
          <w:p w:rsidR="000F1F05" w:rsidRDefault="00B44DD8">
            <w:pPr>
              <w:pStyle w:val="TableParagraph"/>
              <w:numPr>
                <w:ilvl w:val="0"/>
                <w:numId w:val="7"/>
              </w:numPr>
              <w:tabs>
                <w:tab w:val="left" w:pos="468"/>
              </w:tabs>
              <w:spacing w:before="62" w:line="249" w:lineRule="auto"/>
              <w:ind w:right="857" w:hanging="360"/>
              <w:rPr>
                <w:sz w:val="20"/>
              </w:rPr>
            </w:pPr>
            <w:r>
              <w:rPr>
                <w:sz w:val="20"/>
              </w:rPr>
              <w:t>Increase the member tax credit from $0.50 per $1 of contribution to $0.75 per $1</w:t>
            </w:r>
            <w:r>
              <w:rPr>
                <w:spacing w:val="-29"/>
                <w:sz w:val="20"/>
              </w:rPr>
              <w:t xml:space="preserve"> </w:t>
            </w:r>
            <w:r>
              <w:rPr>
                <w:sz w:val="20"/>
              </w:rPr>
              <w:t>of contribution. The co</w:t>
            </w:r>
            <w:r>
              <w:rPr>
                <w:sz w:val="20"/>
              </w:rPr>
              <w:t>ntribution cap should remain</w:t>
            </w:r>
            <w:r>
              <w:rPr>
                <w:spacing w:val="-8"/>
                <w:sz w:val="20"/>
              </w:rPr>
              <w:t xml:space="preserve"> </w:t>
            </w:r>
            <w:r>
              <w:rPr>
                <w:sz w:val="20"/>
              </w:rPr>
              <w:t>unchanged.</w:t>
            </w:r>
          </w:p>
          <w:p w:rsidR="000F1F05" w:rsidRDefault="00B44DD8">
            <w:pPr>
              <w:pStyle w:val="TableParagraph"/>
              <w:numPr>
                <w:ilvl w:val="0"/>
                <w:numId w:val="7"/>
              </w:numPr>
              <w:tabs>
                <w:tab w:val="left" w:pos="468"/>
              </w:tabs>
              <w:spacing w:before="62" w:line="249" w:lineRule="auto"/>
              <w:ind w:right="511" w:hanging="360"/>
              <w:rPr>
                <w:sz w:val="20"/>
              </w:rPr>
            </w:pPr>
            <w:r>
              <w:rPr>
                <w:sz w:val="20"/>
              </w:rPr>
              <w:t xml:space="preserve">Reduce the lower PIE rates for </w:t>
            </w:r>
            <w:proofErr w:type="spellStart"/>
            <w:r>
              <w:rPr>
                <w:sz w:val="20"/>
              </w:rPr>
              <w:t>KiwiSaver</w:t>
            </w:r>
            <w:proofErr w:type="spellEnd"/>
            <w:r>
              <w:rPr>
                <w:sz w:val="20"/>
              </w:rPr>
              <w:t xml:space="preserve"> funds (10.5% and 17.5%) by five</w:t>
            </w:r>
            <w:r>
              <w:rPr>
                <w:spacing w:val="-27"/>
                <w:sz w:val="20"/>
              </w:rPr>
              <w:t xml:space="preserve"> </w:t>
            </w:r>
            <w:r>
              <w:rPr>
                <w:sz w:val="20"/>
              </w:rPr>
              <w:t>percentage points</w:t>
            </w:r>
            <w:r>
              <w:rPr>
                <w:spacing w:val="-1"/>
                <w:sz w:val="20"/>
              </w:rPr>
              <w:t xml:space="preserve"> </w:t>
            </w:r>
            <w:r>
              <w:rPr>
                <w:sz w:val="20"/>
              </w:rPr>
              <w:t>each.</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p w:rsidR="000F1F05" w:rsidRDefault="00B44DD8">
            <w:pPr>
              <w:pStyle w:val="TableParagraph"/>
              <w:spacing w:before="73" w:line="249" w:lineRule="auto"/>
              <w:ind w:left="104" w:right="127"/>
              <w:rPr>
                <w:sz w:val="20"/>
              </w:rPr>
            </w:pPr>
            <w:r>
              <w:rPr>
                <w:sz w:val="20"/>
              </w:rPr>
              <w:t xml:space="preserve">This work would sit alongside the Government’s broader work on </w:t>
            </w:r>
            <w:proofErr w:type="spellStart"/>
            <w:r>
              <w:rPr>
                <w:sz w:val="20"/>
              </w:rPr>
              <w:t>KiwiSave</w:t>
            </w:r>
            <w:r>
              <w:rPr>
                <w:sz w:val="20"/>
              </w:rPr>
              <w:t>r</w:t>
            </w:r>
            <w:proofErr w:type="spellEnd"/>
            <w:r>
              <w:rPr>
                <w:sz w:val="20"/>
              </w:rPr>
              <w:t xml:space="preserve">, which includes the default provider review and a consideration of options to increase </w:t>
            </w:r>
            <w:proofErr w:type="spellStart"/>
            <w:r>
              <w:rPr>
                <w:sz w:val="20"/>
              </w:rPr>
              <w:t>KiwiSaver</w:t>
            </w:r>
            <w:proofErr w:type="spellEnd"/>
            <w:r>
              <w:rPr>
                <w:sz w:val="20"/>
              </w:rPr>
              <w:t xml:space="preserve"> uptake and contributions.</w:t>
            </w:r>
          </w:p>
        </w:tc>
      </w:tr>
      <w:tr w:rsidR="000F1F05">
        <w:trPr>
          <w:trHeight w:val="359"/>
        </w:trPr>
        <w:tc>
          <w:tcPr>
            <w:tcW w:w="706" w:type="dxa"/>
          </w:tcPr>
          <w:p w:rsidR="000F1F05" w:rsidRDefault="00B44DD8">
            <w:pPr>
              <w:pStyle w:val="TableParagraph"/>
              <w:rPr>
                <w:sz w:val="20"/>
              </w:rPr>
            </w:pPr>
            <w:r>
              <w:rPr>
                <w:sz w:val="20"/>
              </w:rPr>
              <w:t>44</w:t>
            </w:r>
          </w:p>
        </w:tc>
        <w:tc>
          <w:tcPr>
            <w:tcW w:w="8649" w:type="dxa"/>
          </w:tcPr>
          <w:p w:rsidR="000F1F05" w:rsidRDefault="00B44DD8">
            <w:pPr>
              <w:pStyle w:val="TableParagraph"/>
              <w:ind w:left="107"/>
              <w:rPr>
                <w:sz w:val="20"/>
              </w:rPr>
            </w:pPr>
            <w:r>
              <w:rPr>
                <w:sz w:val="20"/>
              </w:rPr>
              <w:t xml:space="preserve">Consider ways to simplify the determination of the PIE rates (which would apply to </w:t>
            </w:r>
            <w:proofErr w:type="spellStart"/>
            <w:r>
              <w:rPr>
                <w:sz w:val="20"/>
              </w:rPr>
              <w:t>KiwiSaver</w:t>
            </w:r>
            <w:proofErr w:type="spellEnd"/>
            <w:r>
              <w:rPr>
                <w:sz w:val="20"/>
              </w:rPr>
              <w:t>).</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494"/>
        </w:trPr>
        <w:tc>
          <w:tcPr>
            <w:tcW w:w="15169" w:type="dxa"/>
            <w:gridSpan w:val="3"/>
          </w:tcPr>
          <w:p w:rsidR="000F1F05" w:rsidRDefault="00B44DD8">
            <w:pPr>
              <w:pStyle w:val="TableParagraph"/>
              <w:spacing w:before="115"/>
              <w:rPr>
                <w:b/>
              </w:rPr>
            </w:pPr>
            <w:r>
              <w:rPr>
                <w:b/>
              </w:rPr>
              <w:t>Personal income tax</w:t>
            </w:r>
          </w:p>
        </w:tc>
      </w:tr>
      <w:tr w:rsidR="000F1F05">
        <w:trPr>
          <w:trHeight w:val="1680"/>
        </w:trPr>
        <w:tc>
          <w:tcPr>
            <w:tcW w:w="706" w:type="dxa"/>
          </w:tcPr>
          <w:p w:rsidR="000F1F05" w:rsidRDefault="00B44DD8">
            <w:pPr>
              <w:pStyle w:val="TableParagraph"/>
              <w:rPr>
                <w:sz w:val="20"/>
              </w:rPr>
            </w:pPr>
            <w:r>
              <w:rPr>
                <w:sz w:val="20"/>
              </w:rPr>
              <w:t>45</w:t>
            </w:r>
          </w:p>
        </w:tc>
        <w:tc>
          <w:tcPr>
            <w:tcW w:w="8649" w:type="dxa"/>
          </w:tcPr>
          <w:p w:rsidR="000F1F05" w:rsidRDefault="00B44DD8">
            <w:pPr>
              <w:pStyle w:val="TableParagraph"/>
              <w:ind w:left="107"/>
              <w:rPr>
                <w:sz w:val="20"/>
              </w:rPr>
            </w:pPr>
            <w:r>
              <w:rPr>
                <w:sz w:val="20"/>
              </w:rPr>
              <w:t>Recommendations on personal tax are dependent on the objectives of the Government:</w:t>
            </w:r>
          </w:p>
          <w:p w:rsidR="000F1F05" w:rsidRDefault="00B44DD8">
            <w:pPr>
              <w:pStyle w:val="TableParagraph"/>
              <w:numPr>
                <w:ilvl w:val="0"/>
                <w:numId w:val="6"/>
              </w:numPr>
              <w:tabs>
                <w:tab w:val="left" w:pos="466"/>
              </w:tabs>
              <w:spacing w:before="70" w:line="252" w:lineRule="auto"/>
              <w:ind w:right="448"/>
              <w:rPr>
                <w:sz w:val="20"/>
              </w:rPr>
            </w:pPr>
            <w:r>
              <w:rPr>
                <w:sz w:val="20"/>
              </w:rPr>
              <w:t xml:space="preserve">If the Government wishes to improve incomes for very </w:t>
            </w:r>
            <w:proofErr w:type="gramStart"/>
            <w:r>
              <w:rPr>
                <w:sz w:val="20"/>
              </w:rPr>
              <w:t>low income</w:t>
            </w:r>
            <w:proofErr w:type="gramEnd"/>
            <w:r>
              <w:rPr>
                <w:sz w:val="20"/>
              </w:rPr>
              <w:t xml:space="preserve"> households, the</w:t>
            </w:r>
            <w:r>
              <w:rPr>
                <w:spacing w:val="-31"/>
                <w:sz w:val="20"/>
              </w:rPr>
              <w:t xml:space="preserve"> </w:t>
            </w:r>
            <w:r>
              <w:rPr>
                <w:sz w:val="20"/>
              </w:rPr>
              <w:t>best means of doing so will be through welfare</w:t>
            </w:r>
            <w:r>
              <w:rPr>
                <w:spacing w:val="-4"/>
                <w:sz w:val="20"/>
              </w:rPr>
              <w:t xml:space="preserve"> </w:t>
            </w:r>
            <w:r>
              <w:rPr>
                <w:sz w:val="20"/>
              </w:rPr>
              <w:t>transfers.</w:t>
            </w:r>
          </w:p>
          <w:p w:rsidR="000F1F05" w:rsidRDefault="00B44DD8">
            <w:pPr>
              <w:pStyle w:val="TableParagraph"/>
              <w:numPr>
                <w:ilvl w:val="0"/>
                <w:numId w:val="6"/>
              </w:numPr>
              <w:tabs>
                <w:tab w:val="left" w:pos="468"/>
              </w:tabs>
              <w:spacing w:before="57" w:line="249" w:lineRule="auto"/>
              <w:ind w:left="467" w:right="118" w:hanging="360"/>
              <w:rPr>
                <w:sz w:val="20"/>
              </w:rPr>
            </w:pPr>
            <w:r>
              <w:rPr>
                <w:sz w:val="20"/>
              </w:rPr>
              <w:t>If the Government wishes to improve incomes for certain groups of low to middle income earners, such as full-time workers on the minimum wage, then changes to personal</w:t>
            </w:r>
            <w:r>
              <w:rPr>
                <w:spacing w:val="-26"/>
                <w:sz w:val="20"/>
              </w:rPr>
              <w:t xml:space="preserve"> </w:t>
            </w:r>
            <w:r>
              <w:rPr>
                <w:sz w:val="20"/>
              </w:rPr>
              <w:t>income taxation may be a bette</w:t>
            </w:r>
            <w:r>
              <w:rPr>
                <w:sz w:val="20"/>
              </w:rPr>
              <w:t>r</w:t>
            </w:r>
            <w:r>
              <w:rPr>
                <w:spacing w:val="-4"/>
                <w:sz w:val="20"/>
              </w:rPr>
              <w:t xml:space="preserve"> </w:t>
            </w:r>
            <w:r>
              <w:rPr>
                <w:sz w:val="20"/>
              </w:rPr>
              <w:t>option.</w:t>
            </w:r>
          </w:p>
        </w:tc>
        <w:tc>
          <w:tcPr>
            <w:tcW w:w="5814" w:type="dxa"/>
            <w:vMerge w:val="restart"/>
            <w:shd w:val="clear" w:color="auto" w:fill="D9D9D9"/>
          </w:tcPr>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0"/>
              <w:ind w:left="0"/>
              <w:rPr>
                <w:b/>
              </w:rPr>
            </w:pPr>
          </w:p>
          <w:p w:rsidR="000F1F05" w:rsidRDefault="000F1F05">
            <w:pPr>
              <w:pStyle w:val="TableParagraph"/>
              <w:spacing w:before="5"/>
              <w:ind w:left="0"/>
              <w:rPr>
                <w:b/>
                <w:sz w:val="25"/>
              </w:rPr>
            </w:pPr>
          </w:p>
          <w:p w:rsidR="000F1F05" w:rsidRDefault="00B44DD8">
            <w:pPr>
              <w:pStyle w:val="TableParagraph"/>
              <w:spacing w:before="0" w:line="249" w:lineRule="auto"/>
              <w:ind w:left="104" w:right="515"/>
              <w:rPr>
                <w:b/>
                <w:sz w:val="20"/>
              </w:rPr>
            </w:pPr>
            <w:r>
              <w:rPr>
                <w:sz w:val="20"/>
              </w:rPr>
              <w:t xml:space="preserve">It is proposed to not adopt any of the recommendations on capital gains taxation. As a </w:t>
            </w:r>
            <w:proofErr w:type="gramStart"/>
            <w:r>
              <w:rPr>
                <w:sz w:val="20"/>
              </w:rPr>
              <w:t>result</w:t>
            </w:r>
            <w:proofErr w:type="gramEnd"/>
            <w:r>
              <w:rPr>
                <w:sz w:val="20"/>
              </w:rPr>
              <w:t xml:space="preserve"> there is no revenue to recycle. </w:t>
            </w:r>
            <w:proofErr w:type="gramStart"/>
            <w:r>
              <w:rPr>
                <w:sz w:val="20"/>
              </w:rPr>
              <w:t>Consequently</w:t>
            </w:r>
            <w:proofErr w:type="gramEnd"/>
            <w:r>
              <w:rPr>
                <w:sz w:val="20"/>
              </w:rPr>
              <w:t xml:space="preserve"> </w:t>
            </w:r>
            <w:r>
              <w:rPr>
                <w:b/>
                <w:sz w:val="20"/>
              </w:rPr>
              <w:t>it is agreed no further work is necessary.</w:t>
            </w:r>
          </w:p>
        </w:tc>
      </w:tr>
      <w:tr w:rsidR="000F1F05">
        <w:trPr>
          <w:trHeight w:val="599"/>
        </w:trPr>
        <w:tc>
          <w:tcPr>
            <w:tcW w:w="706" w:type="dxa"/>
          </w:tcPr>
          <w:p w:rsidR="000F1F05" w:rsidRDefault="00B44DD8">
            <w:pPr>
              <w:pStyle w:val="TableParagraph"/>
              <w:rPr>
                <w:sz w:val="20"/>
              </w:rPr>
            </w:pPr>
            <w:r>
              <w:rPr>
                <w:sz w:val="20"/>
              </w:rPr>
              <w:t>46</w:t>
            </w:r>
          </w:p>
        </w:tc>
        <w:tc>
          <w:tcPr>
            <w:tcW w:w="8649" w:type="dxa"/>
          </w:tcPr>
          <w:p w:rsidR="000F1F05" w:rsidRDefault="00B44DD8">
            <w:pPr>
              <w:pStyle w:val="TableParagraph"/>
              <w:spacing w:line="249" w:lineRule="auto"/>
              <w:ind w:left="107"/>
              <w:rPr>
                <w:sz w:val="20"/>
              </w:rPr>
            </w:pPr>
            <w:r>
              <w:rPr>
                <w:sz w:val="20"/>
              </w:rPr>
              <w:t>Consider increases in the bottom threshold of personal tax to increase the progressivity of the personal tax system.</w:t>
            </w:r>
          </w:p>
        </w:tc>
        <w:tc>
          <w:tcPr>
            <w:tcW w:w="5814" w:type="dxa"/>
            <w:vMerge/>
            <w:tcBorders>
              <w:top w:val="nil"/>
            </w:tcBorders>
            <w:shd w:val="clear" w:color="auto" w:fill="D9D9D9"/>
          </w:tcPr>
          <w:p w:rsidR="000F1F05" w:rsidRDefault="000F1F05">
            <w:pPr>
              <w:rPr>
                <w:sz w:val="2"/>
                <w:szCs w:val="2"/>
              </w:rPr>
            </w:pPr>
          </w:p>
        </w:tc>
      </w:tr>
      <w:tr w:rsidR="000F1F05">
        <w:trPr>
          <w:trHeight w:val="599"/>
        </w:trPr>
        <w:tc>
          <w:tcPr>
            <w:tcW w:w="706" w:type="dxa"/>
          </w:tcPr>
          <w:p w:rsidR="000F1F05" w:rsidRDefault="00B44DD8">
            <w:pPr>
              <w:pStyle w:val="TableParagraph"/>
              <w:rPr>
                <w:sz w:val="20"/>
              </w:rPr>
            </w:pPr>
            <w:r>
              <w:rPr>
                <w:sz w:val="20"/>
              </w:rPr>
              <w:t>47</w:t>
            </w:r>
          </w:p>
        </w:tc>
        <w:tc>
          <w:tcPr>
            <w:tcW w:w="8649" w:type="dxa"/>
          </w:tcPr>
          <w:p w:rsidR="000F1F05" w:rsidRDefault="00B44DD8">
            <w:pPr>
              <w:pStyle w:val="TableParagraph"/>
              <w:spacing w:line="249" w:lineRule="auto"/>
              <w:ind w:left="107"/>
              <w:rPr>
                <w:sz w:val="20"/>
              </w:rPr>
            </w:pPr>
            <w:r>
              <w:rPr>
                <w:sz w:val="20"/>
              </w:rPr>
              <w:t>Consider combining increases in the bottom threshold with an increase in the second marginal tax rate.</w:t>
            </w:r>
          </w:p>
        </w:tc>
        <w:tc>
          <w:tcPr>
            <w:tcW w:w="5814" w:type="dxa"/>
            <w:vMerge/>
            <w:tcBorders>
              <w:top w:val="nil"/>
            </w:tcBorders>
            <w:shd w:val="clear" w:color="auto" w:fill="D9D9D9"/>
          </w:tcPr>
          <w:p w:rsidR="000F1F05" w:rsidRDefault="000F1F05">
            <w:pPr>
              <w:rPr>
                <w:sz w:val="2"/>
                <w:szCs w:val="2"/>
              </w:rPr>
            </w:pPr>
          </w:p>
        </w:tc>
      </w:tr>
      <w:tr w:rsidR="000F1F05">
        <w:trPr>
          <w:trHeight w:val="600"/>
        </w:trPr>
        <w:tc>
          <w:tcPr>
            <w:tcW w:w="706" w:type="dxa"/>
          </w:tcPr>
          <w:p w:rsidR="000F1F05" w:rsidRDefault="00B44DD8">
            <w:pPr>
              <w:pStyle w:val="TableParagraph"/>
              <w:rPr>
                <w:sz w:val="20"/>
              </w:rPr>
            </w:pPr>
            <w:r>
              <w:rPr>
                <w:sz w:val="20"/>
              </w:rPr>
              <w:t>48</w:t>
            </w:r>
          </w:p>
        </w:tc>
        <w:tc>
          <w:tcPr>
            <w:tcW w:w="8649" w:type="dxa"/>
          </w:tcPr>
          <w:p w:rsidR="000F1F05" w:rsidRDefault="00B44DD8">
            <w:pPr>
              <w:pStyle w:val="TableParagraph"/>
              <w:spacing w:line="249" w:lineRule="auto"/>
              <w:ind w:left="107" w:right="175"/>
              <w:rPr>
                <w:sz w:val="20"/>
              </w:rPr>
            </w:pPr>
            <w:r>
              <w:rPr>
                <w:sz w:val="20"/>
              </w:rPr>
              <w:t>If (47) is adopted, consider a reduction of the abatement rate of Working for Families tax credits to offset the impact of the increase.</w:t>
            </w:r>
          </w:p>
        </w:tc>
        <w:tc>
          <w:tcPr>
            <w:tcW w:w="5814" w:type="dxa"/>
            <w:vMerge/>
            <w:tcBorders>
              <w:top w:val="nil"/>
            </w:tcBorders>
            <w:shd w:val="clear" w:color="auto" w:fill="D9D9D9"/>
          </w:tcPr>
          <w:p w:rsidR="000F1F05" w:rsidRDefault="000F1F05">
            <w:pPr>
              <w:rPr>
                <w:sz w:val="2"/>
                <w:szCs w:val="2"/>
              </w:rPr>
            </w:pPr>
          </w:p>
        </w:tc>
      </w:tr>
      <w:tr w:rsidR="000F1F05">
        <w:trPr>
          <w:trHeight w:val="359"/>
        </w:trPr>
        <w:tc>
          <w:tcPr>
            <w:tcW w:w="706" w:type="dxa"/>
          </w:tcPr>
          <w:p w:rsidR="000F1F05" w:rsidRDefault="00B44DD8">
            <w:pPr>
              <w:pStyle w:val="TableParagraph"/>
              <w:rPr>
                <w:sz w:val="20"/>
              </w:rPr>
            </w:pPr>
            <w:r>
              <w:rPr>
                <w:sz w:val="20"/>
              </w:rPr>
              <w:t>49</w:t>
            </w:r>
          </w:p>
        </w:tc>
        <w:tc>
          <w:tcPr>
            <w:tcW w:w="8649" w:type="dxa"/>
          </w:tcPr>
          <w:p w:rsidR="000F1F05" w:rsidRDefault="00B44DD8">
            <w:pPr>
              <w:pStyle w:val="TableParagraph"/>
              <w:ind w:left="107"/>
              <w:rPr>
                <w:sz w:val="20"/>
              </w:rPr>
            </w:pPr>
            <w:r>
              <w:rPr>
                <w:sz w:val="20"/>
              </w:rPr>
              <w:t>Prefer increasing the bottom threshold to introducing a tax-free threshold.</w:t>
            </w:r>
          </w:p>
        </w:tc>
        <w:tc>
          <w:tcPr>
            <w:tcW w:w="5814" w:type="dxa"/>
            <w:vMerge/>
            <w:tcBorders>
              <w:top w:val="nil"/>
            </w:tcBorders>
            <w:shd w:val="clear" w:color="auto" w:fill="D9D9D9"/>
          </w:tcPr>
          <w:p w:rsidR="000F1F05" w:rsidRDefault="000F1F05">
            <w:pPr>
              <w:rPr>
                <w:sz w:val="2"/>
                <w:szCs w:val="2"/>
              </w:rPr>
            </w:pPr>
          </w:p>
        </w:tc>
      </w:tr>
      <w:tr w:rsidR="000F1F05">
        <w:trPr>
          <w:trHeight w:val="599"/>
        </w:trPr>
        <w:tc>
          <w:tcPr>
            <w:tcW w:w="706" w:type="dxa"/>
          </w:tcPr>
          <w:p w:rsidR="000F1F05" w:rsidRDefault="00B44DD8">
            <w:pPr>
              <w:pStyle w:val="TableParagraph"/>
              <w:rPr>
                <w:sz w:val="20"/>
              </w:rPr>
            </w:pPr>
            <w:r>
              <w:rPr>
                <w:sz w:val="20"/>
              </w:rPr>
              <w:t>50</w:t>
            </w:r>
          </w:p>
        </w:tc>
        <w:tc>
          <w:tcPr>
            <w:tcW w:w="8649" w:type="dxa"/>
          </w:tcPr>
          <w:p w:rsidR="000F1F05" w:rsidRDefault="00B44DD8">
            <w:pPr>
              <w:pStyle w:val="TableParagraph"/>
              <w:spacing w:line="249" w:lineRule="auto"/>
              <w:ind w:left="107" w:right="90"/>
              <w:rPr>
                <w:sz w:val="20"/>
              </w:rPr>
            </w:pPr>
            <w:r>
              <w:rPr>
                <w:sz w:val="20"/>
              </w:rPr>
              <w:t>Consider an increase in net benefit payments to ensure beneficiaries receive the same post-tax increase as other people on the same income.</w:t>
            </w:r>
          </w:p>
        </w:tc>
        <w:tc>
          <w:tcPr>
            <w:tcW w:w="5814" w:type="dxa"/>
            <w:vMerge/>
            <w:tcBorders>
              <w:top w:val="nil"/>
            </w:tcBorders>
            <w:shd w:val="clear" w:color="auto" w:fill="D9D9D9"/>
          </w:tcPr>
          <w:p w:rsidR="000F1F05" w:rsidRDefault="000F1F05">
            <w:pPr>
              <w:rPr>
                <w:sz w:val="2"/>
                <w:szCs w:val="2"/>
              </w:rPr>
            </w:pPr>
          </w:p>
        </w:tc>
      </w:tr>
      <w:tr w:rsidR="000F1F05">
        <w:trPr>
          <w:trHeight w:val="599"/>
        </w:trPr>
        <w:tc>
          <w:tcPr>
            <w:tcW w:w="706" w:type="dxa"/>
          </w:tcPr>
          <w:p w:rsidR="000F1F05" w:rsidRDefault="00B44DD8">
            <w:pPr>
              <w:pStyle w:val="TableParagraph"/>
              <w:rPr>
                <w:sz w:val="20"/>
              </w:rPr>
            </w:pPr>
            <w:r>
              <w:rPr>
                <w:sz w:val="20"/>
              </w:rPr>
              <w:t>51</w:t>
            </w:r>
          </w:p>
        </w:tc>
        <w:tc>
          <w:tcPr>
            <w:tcW w:w="8649" w:type="dxa"/>
          </w:tcPr>
          <w:p w:rsidR="000F1F05" w:rsidRDefault="00B44DD8">
            <w:pPr>
              <w:pStyle w:val="TableParagraph"/>
              <w:spacing w:line="249" w:lineRule="auto"/>
              <w:ind w:left="107" w:right="175"/>
              <w:rPr>
                <w:sz w:val="20"/>
              </w:rPr>
            </w:pPr>
            <w:r>
              <w:rPr>
                <w:sz w:val="20"/>
              </w:rPr>
              <w:t>Consider changes to tax rates and thresholds alongside any recommendations made by WEAG.</w:t>
            </w:r>
          </w:p>
        </w:tc>
        <w:tc>
          <w:tcPr>
            <w:tcW w:w="5814" w:type="dxa"/>
            <w:vMerge/>
            <w:tcBorders>
              <w:top w:val="nil"/>
            </w:tcBorders>
            <w:shd w:val="clear" w:color="auto" w:fill="D9D9D9"/>
          </w:tcPr>
          <w:p w:rsidR="000F1F05" w:rsidRDefault="000F1F05">
            <w:pPr>
              <w:rPr>
                <w:sz w:val="2"/>
                <w:szCs w:val="2"/>
              </w:rPr>
            </w:pPr>
          </w:p>
        </w:tc>
      </w:tr>
    </w:tbl>
    <w:p w:rsidR="000F1F05" w:rsidRDefault="000F1F05">
      <w:pPr>
        <w:rPr>
          <w:sz w:val="2"/>
          <w:szCs w:val="2"/>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599"/>
        </w:trPr>
        <w:tc>
          <w:tcPr>
            <w:tcW w:w="706" w:type="dxa"/>
          </w:tcPr>
          <w:p w:rsidR="000F1F05" w:rsidRDefault="00B44DD8">
            <w:pPr>
              <w:pStyle w:val="TableParagraph"/>
              <w:rPr>
                <w:sz w:val="20"/>
              </w:rPr>
            </w:pPr>
            <w:r>
              <w:rPr>
                <w:sz w:val="20"/>
              </w:rPr>
              <w:t>52</w:t>
            </w:r>
          </w:p>
        </w:tc>
        <w:tc>
          <w:tcPr>
            <w:tcW w:w="8649" w:type="dxa"/>
          </w:tcPr>
          <w:p w:rsidR="000F1F05" w:rsidRDefault="00B44DD8">
            <w:pPr>
              <w:pStyle w:val="TableParagraph"/>
              <w:spacing w:line="249" w:lineRule="auto"/>
              <w:ind w:left="107" w:right="175"/>
              <w:rPr>
                <w:sz w:val="20"/>
              </w:rPr>
            </w:pPr>
            <w:r>
              <w:rPr>
                <w:sz w:val="20"/>
              </w:rPr>
              <w:t>Do not reduce the top marginal tax rate because it is already low by international standards and it would not increase progressivity of the tax system.</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1079"/>
        </w:trPr>
        <w:tc>
          <w:tcPr>
            <w:tcW w:w="706" w:type="dxa"/>
          </w:tcPr>
          <w:p w:rsidR="000F1F05" w:rsidRDefault="00B44DD8">
            <w:pPr>
              <w:pStyle w:val="TableParagraph"/>
              <w:rPr>
                <w:sz w:val="20"/>
              </w:rPr>
            </w:pPr>
            <w:r>
              <w:rPr>
                <w:sz w:val="20"/>
              </w:rPr>
              <w:t>53</w:t>
            </w:r>
          </w:p>
        </w:tc>
        <w:tc>
          <w:tcPr>
            <w:tcW w:w="8649" w:type="dxa"/>
          </w:tcPr>
          <w:p w:rsidR="000F1F05" w:rsidRDefault="00B44DD8">
            <w:pPr>
              <w:pStyle w:val="TableParagraph"/>
              <w:spacing w:line="249" w:lineRule="auto"/>
              <w:ind w:left="107" w:right="168"/>
              <w:rPr>
                <w:sz w:val="20"/>
              </w:rPr>
            </w:pPr>
            <w:r>
              <w:rPr>
                <w:sz w:val="20"/>
              </w:rPr>
              <w:t>The TWG notes that many submissions called for increasing tax personal tax rates to make a material reduction in income equality through the personal tax system. These increases are precluded by the TWG’s Terms of reference and the TWG did not undertake an</w:t>
            </w:r>
            <w:r>
              <w:rPr>
                <w:sz w:val="20"/>
              </w:rPr>
              <w:t xml:space="preserve"> analysis of the options (and their effectiveness).</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491"/>
        </w:trPr>
        <w:tc>
          <w:tcPr>
            <w:tcW w:w="15169" w:type="dxa"/>
            <w:gridSpan w:val="3"/>
          </w:tcPr>
          <w:p w:rsidR="000F1F05" w:rsidRDefault="00B44DD8">
            <w:pPr>
              <w:pStyle w:val="TableParagraph"/>
              <w:spacing w:before="115"/>
              <w:rPr>
                <w:b/>
              </w:rPr>
            </w:pPr>
            <w:r>
              <w:rPr>
                <w:b/>
              </w:rPr>
              <w:t>Future of work</w:t>
            </w:r>
          </w:p>
        </w:tc>
      </w:tr>
      <w:tr w:rsidR="000F1F05">
        <w:trPr>
          <w:trHeight w:val="2340"/>
        </w:trPr>
        <w:tc>
          <w:tcPr>
            <w:tcW w:w="706" w:type="dxa"/>
          </w:tcPr>
          <w:p w:rsidR="000F1F05" w:rsidRDefault="00B44DD8">
            <w:pPr>
              <w:pStyle w:val="TableParagraph"/>
              <w:rPr>
                <w:sz w:val="20"/>
              </w:rPr>
            </w:pPr>
            <w:r>
              <w:rPr>
                <w:sz w:val="20"/>
              </w:rPr>
              <w:t>54</w:t>
            </w:r>
          </w:p>
        </w:tc>
        <w:tc>
          <w:tcPr>
            <w:tcW w:w="8649" w:type="dxa"/>
          </w:tcPr>
          <w:p w:rsidR="000F1F05" w:rsidRDefault="00B44DD8">
            <w:pPr>
              <w:pStyle w:val="TableParagraph"/>
              <w:spacing w:line="252" w:lineRule="auto"/>
              <w:ind w:left="107" w:right="234"/>
              <w:rPr>
                <w:sz w:val="20"/>
              </w:rPr>
            </w:pPr>
            <w:r>
              <w:rPr>
                <w:sz w:val="20"/>
              </w:rPr>
              <w:t>Support Inland Revenue’s efforts to increase the compliance of the self-employed, particularly expanding the use of withholding tax as far as practicable, including to platform providers.</w:t>
            </w:r>
          </w:p>
        </w:tc>
        <w:tc>
          <w:tcPr>
            <w:tcW w:w="5814" w:type="dxa"/>
            <w:shd w:val="clear" w:color="auto" w:fill="BCD5ED"/>
          </w:tcPr>
          <w:p w:rsidR="000F1F05" w:rsidRDefault="00B44DD8">
            <w:pPr>
              <w:pStyle w:val="TableParagraph"/>
              <w:spacing w:before="66" w:line="252" w:lineRule="auto"/>
              <w:ind w:left="104" w:right="137"/>
              <w:rPr>
                <w:sz w:val="20"/>
              </w:rPr>
            </w:pPr>
            <w:r>
              <w:rPr>
                <w:b/>
                <w:sz w:val="20"/>
              </w:rPr>
              <w:t xml:space="preserve">Note work already underway </w:t>
            </w:r>
            <w:r>
              <w:rPr>
                <w:sz w:val="20"/>
              </w:rPr>
              <w:t>– additional operational funding for Inland Revenue is being put towards increasing investigations capability, public awareness campaigns, and new policy initiatives.</w:t>
            </w:r>
          </w:p>
          <w:p w:rsidR="000F1F05" w:rsidRDefault="00B44DD8">
            <w:pPr>
              <w:pStyle w:val="TableParagraph"/>
              <w:spacing w:before="57" w:line="249" w:lineRule="auto"/>
              <w:ind w:left="104" w:right="201"/>
              <w:rPr>
                <w:sz w:val="20"/>
              </w:rPr>
            </w:pPr>
            <w:r>
              <w:rPr>
                <w:sz w:val="20"/>
              </w:rPr>
              <w:t>Inland Revenue officials are undertaking targeted consultation on a number of proposals t</w:t>
            </w:r>
            <w:r>
              <w:rPr>
                <w:sz w:val="20"/>
              </w:rPr>
              <w:t>o expand the scope of the Schedular Payments rules and address non-compliance of self-employed workers. An update on this work will be provided in the second half of 2019.</w:t>
            </w:r>
          </w:p>
        </w:tc>
      </w:tr>
      <w:tr w:rsidR="000F1F05">
        <w:trPr>
          <w:trHeight w:val="599"/>
        </w:trPr>
        <w:tc>
          <w:tcPr>
            <w:tcW w:w="706" w:type="dxa"/>
          </w:tcPr>
          <w:p w:rsidR="000F1F05" w:rsidRDefault="00B44DD8">
            <w:pPr>
              <w:pStyle w:val="TableParagraph"/>
              <w:rPr>
                <w:sz w:val="20"/>
              </w:rPr>
            </w:pPr>
            <w:r>
              <w:rPr>
                <w:sz w:val="20"/>
              </w:rPr>
              <w:t>55</w:t>
            </w:r>
          </w:p>
        </w:tc>
        <w:tc>
          <w:tcPr>
            <w:tcW w:w="8649" w:type="dxa"/>
          </w:tcPr>
          <w:p w:rsidR="000F1F05" w:rsidRDefault="00B44DD8">
            <w:pPr>
              <w:pStyle w:val="TableParagraph"/>
              <w:spacing w:line="249" w:lineRule="auto"/>
              <w:ind w:left="107"/>
              <w:rPr>
                <w:sz w:val="20"/>
              </w:rPr>
            </w:pPr>
            <w:r>
              <w:rPr>
                <w:sz w:val="20"/>
              </w:rPr>
              <w:t xml:space="preserve">Support the facilitation of technology platforms to assist the self-employed meet their tax obligations through the use of ‘smart accounts’ or other </w:t>
            </w:r>
            <w:proofErr w:type="gramStart"/>
            <w:r>
              <w:rPr>
                <w:sz w:val="20"/>
              </w:rPr>
              <w:t>technology based</w:t>
            </w:r>
            <w:proofErr w:type="gramEnd"/>
            <w:r>
              <w:rPr>
                <w:sz w:val="20"/>
              </w:rPr>
              <w:t xml:space="preserve"> solutions.</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as above</w:t>
            </w:r>
          </w:p>
        </w:tc>
      </w:tr>
      <w:tr w:rsidR="000F1F05">
        <w:trPr>
          <w:trHeight w:val="602"/>
        </w:trPr>
        <w:tc>
          <w:tcPr>
            <w:tcW w:w="706" w:type="dxa"/>
          </w:tcPr>
          <w:p w:rsidR="000F1F05" w:rsidRDefault="00B44DD8">
            <w:pPr>
              <w:pStyle w:val="TableParagraph"/>
              <w:spacing w:before="72"/>
              <w:rPr>
                <w:sz w:val="20"/>
              </w:rPr>
            </w:pPr>
            <w:r>
              <w:rPr>
                <w:sz w:val="20"/>
              </w:rPr>
              <w:t>56</w:t>
            </w:r>
          </w:p>
        </w:tc>
        <w:tc>
          <w:tcPr>
            <w:tcW w:w="8649" w:type="dxa"/>
          </w:tcPr>
          <w:p w:rsidR="000F1F05" w:rsidRDefault="00B44DD8">
            <w:pPr>
              <w:pStyle w:val="TableParagraph"/>
              <w:spacing w:before="72" w:line="249" w:lineRule="auto"/>
              <w:ind w:left="107" w:right="957"/>
              <w:rPr>
                <w:sz w:val="20"/>
              </w:rPr>
            </w:pPr>
            <w:r>
              <w:rPr>
                <w:sz w:val="20"/>
              </w:rPr>
              <w:t>Continue (through Inland Revenue’s current work) to use data analytics and matching information for specific taxpayers to identify underreporting of income.</w:t>
            </w:r>
          </w:p>
        </w:tc>
        <w:tc>
          <w:tcPr>
            <w:tcW w:w="5814" w:type="dxa"/>
            <w:shd w:val="clear" w:color="auto" w:fill="BCD5ED"/>
          </w:tcPr>
          <w:p w:rsidR="000F1F05" w:rsidRDefault="00B44DD8">
            <w:pPr>
              <w:pStyle w:val="TableParagraph"/>
              <w:ind w:left="104"/>
              <w:rPr>
                <w:sz w:val="20"/>
              </w:rPr>
            </w:pPr>
            <w:r>
              <w:rPr>
                <w:b/>
                <w:sz w:val="20"/>
              </w:rPr>
              <w:t xml:space="preserve">Note work already underway </w:t>
            </w:r>
            <w:r>
              <w:rPr>
                <w:sz w:val="20"/>
              </w:rPr>
              <w:t>– as above</w:t>
            </w:r>
          </w:p>
        </w:tc>
      </w:tr>
      <w:tr w:rsidR="000F1F05">
        <w:trPr>
          <w:trHeight w:val="359"/>
        </w:trPr>
        <w:tc>
          <w:tcPr>
            <w:tcW w:w="706" w:type="dxa"/>
          </w:tcPr>
          <w:p w:rsidR="000F1F05" w:rsidRDefault="00B44DD8">
            <w:pPr>
              <w:pStyle w:val="TableParagraph"/>
              <w:rPr>
                <w:sz w:val="20"/>
              </w:rPr>
            </w:pPr>
            <w:r>
              <w:rPr>
                <w:sz w:val="20"/>
              </w:rPr>
              <w:t>57</w:t>
            </w:r>
          </w:p>
        </w:tc>
        <w:tc>
          <w:tcPr>
            <w:tcW w:w="8649" w:type="dxa"/>
          </w:tcPr>
          <w:p w:rsidR="000F1F05" w:rsidRDefault="00B44DD8">
            <w:pPr>
              <w:pStyle w:val="TableParagraph"/>
              <w:ind w:left="107"/>
              <w:rPr>
                <w:sz w:val="20"/>
              </w:rPr>
            </w:pPr>
            <w:r>
              <w:rPr>
                <w:sz w:val="20"/>
              </w:rPr>
              <w:t>Review the current GST requirements for contractors who are akin to employees.</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359"/>
        </w:trPr>
        <w:tc>
          <w:tcPr>
            <w:tcW w:w="706" w:type="dxa"/>
          </w:tcPr>
          <w:p w:rsidR="000F1F05" w:rsidRDefault="00B44DD8">
            <w:pPr>
              <w:pStyle w:val="TableParagraph"/>
              <w:rPr>
                <w:sz w:val="20"/>
              </w:rPr>
            </w:pPr>
            <w:r>
              <w:rPr>
                <w:sz w:val="20"/>
              </w:rPr>
              <w:t>58</w:t>
            </w:r>
          </w:p>
        </w:tc>
        <w:tc>
          <w:tcPr>
            <w:tcW w:w="8649" w:type="dxa"/>
          </w:tcPr>
          <w:p w:rsidR="000F1F05" w:rsidRDefault="00B44DD8">
            <w:pPr>
              <w:pStyle w:val="TableParagraph"/>
              <w:ind w:left="107"/>
              <w:rPr>
                <w:sz w:val="20"/>
              </w:rPr>
            </w:pPr>
            <w:r>
              <w:rPr>
                <w:sz w:val="20"/>
              </w:rPr>
              <w:t>Align the definition of employee and dependent contractor for tax and employment purposes.</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MBIE</w:t>
            </w:r>
          </w:p>
        </w:tc>
      </w:tr>
      <w:tr w:rsidR="000F1F05">
        <w:trPr>
          <w:trHeight w:val="599"/>
        </w:trPr>
        <w:tc>
          <w:tcPr>
            <w:tcW w:w="706" w:type="dxa"/>
          </w:tcPr>
          <w:p w:rsidR="000F1F05" w:rsidRDefault="00B44DD8">
            <w:pPr>
              <w:pStyle w:val="TableParagraph"/>
              <w:rPr>
                <w:sz w:val="20"/>
              </w:rPr>
            </w:pPr>
            <w:r>
              <w:rPr>
                <w:sz w:val="20"/>
              </w:rPr>
              <w:t>59</w:t>
            </w:r>
          </w:p>
        </w:tc>
        <w:tc>
          <w:tcPr>
            <w:tcW w:w="8649" w:type="dxa"/>
          </w:tcPr>
          <w:p w:rsidR="000F1F05" w:rsidRDefault="00B44DD8">
            <w:pPr>
              <w:pStyle w:val="TableParagraph"/>
              <w:spacing w:line="249" w:lineRule="auto"/>
              <w:ind w:left="107" w:right="175"/>
              <w:rPr>
                <w:sz w:val="20"/>
              </w:rPr>
            </w:pPr>
            <w:r>
              <w:rPr>
                <w:sz w:val="20"/>
              </w:rPr>
              <w:t>Provide more support for childcare costs, with this support best provided outside the tax system.</w:t>
            </w:r>
          </w:p>
        </w:tc>
        <w:tc>
          <w:tcPr>
            <w:tcW w:w="5814" w:type="dxa"/>
            <w:shd w:val="clear" w:color="auto" w:fill="FFE499"/>
          </w:tcPr>
          <w:p w:rsidR="000F1F05" w:rsidRDefault="00B44DD8">
            <w:pPr>
              <w:pStyle w:val="TableParagraph"/>
              <w:spacing w:before="66"/>
              <w:ind w:left="104"/>
              <w:rPr>
                <w:b/>
                <w:sz w:val="20"/>
              </w:rPr>
            </w:pPr>
            <w:r>
              <w:rPr>
                <w:b/>
                <w:sz w:val="20"/>
              </w:rPr>
              <w:t>Cross-agency advice should be sought.</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91"/>
        </w:trPr>
        <w:tc>
          <w:tcPr>
            <w:tcW w:w="15169" w:type="dxa"/>
            <w:gridSpan w:val="3"/>
          </w:tcPr>
          <w:p w:rsidR="000F1F05" w:rsidRDefault="00B44DD8">
            <w:pPr>
              <w:pStyle w:val="TableParagraph"/>
              <w:spacing w:before="115"/>
              <w:rPr>
                <w:b/>
              </w:rPr>
            </w:pPr>
            <w:r>
              <w:rPr>
                <w:b/>
              </w:rPr>
              <w:t>Integrity of the tax system</w:t>
            </w:r>
          </w:p>
        </w:tc>
      </w:tr>
      <w:tr w:rsidR="000F1F05">
        <w:trPr>
          <w:trHeight w:val="599"/>
        </w:trPr>
        <w:tc>
          <w:tcPr>
            <w:tcW w:w="706" w:type="dxa"/>
          </w:tcPr>
          <w:p w:rsidR="000F1F05" w:rsidRDefault="00B44DD8">
            <w:pPr>
              <w:pStyle w:val="TableParagraph"/>
              <w:rPr>
                <w:sz w:val="20"/>
              </w:rPr>
            </w:pPr>
            <w:r>
              <w:rPr>
                <w:sz w:val="20"/>
              </w:rPr>
              <w:t>60</w:t>
            </w:r>
          </w:p>
        </w:tc>
        <w:tc>
          <w:tcPr>
            <w:tcW w:w="8649" w:type="dxa"/>
          </w:tcPr>
          <w:p w:rsidR="000F1F05" w:rsidRDefault="00B44DD8">
            <w:pPr>
              <w:pStyle w:val="TableParagraph"/>
              <w:spacing w:line="249" w:lineRule="auto"/>
              <w:ind w:left="107"/>
              <w:rPr>
                <w:sz w:val="20"/>
              </w:rPr>
            </w:pPr>
            <w:r>
              <w:rPr>
                <w:sz w:val="20"/>
              </w:rPr>
              <w:t>A review of loss-trading, potentially in tandem with a review of the loss continuity rules for companies.</w:t>
            </w:r>
          </w:p>
        </w:tc>
        <w:tc>
          <w:tcPr>
            <w:tcW w:w="5814" w:type="dxa"/>
            <w:shd w:val="clear" w:color="auto" w:fill="F4AF83"/>
          </w:tcPr>
          <w:p w:rsidR="000F1F05" w:rsidRDefault="00B44DD8">
            <w:pPr>
              <w:pStyle w:val="TableParagraph"/>
              <w:spacing w:before="66" w:line="249" w:lineRule="auto"/>
              <w:ind w:left="104" w:right="1073"/>
              <w:rPr>
                <w:sz w:val="20"/>
              </w:rPr>
            </w:pPr>
            <w:r>
              <w:rPr>
                <w:b/>
                <w:sz w:val="20"/>
              </w:rPr>
              <w:t xml:space="preserve">Consider as a high priority for inclusion on work programme </w:t>
            </w:r>
            <w:r>
              <w:rPr>
                <w:sz w:val="20"/>
              </w:rPr>
              <w:t>(TPWP)</w:t>
            </w:r>
          </w:p>
        </w:tc>
      </w:tr>
      <w:tr w:rsidR="000F1F05">
        <w:trPr>
          <w:trHeight w:val="1499"/>
        </w:trPr>
        <w:tc>
          <w:tcPr>
            <w:tcW w:w="706" w:type="dxa"/>
          </w:tcPr>
          <w:p w:rsidR="000F1F05" w:rsidRDefault="00B44DD8">
            <w:pPr>
              <w:pStyle w:val="TableParagraph"/>
              <w:rPr>
                <w:sz w:val="20"/>
              </w:rPr>
            </w:pPr>
            <w:r>
              <w:rPr>
                <w:sz w:val="20"/>
              </w:rPr>
              <w:t>61</w:t>
            </w:r>
          </w:p>
        </w:tc>
        <w:tc>
          <w:tcPr>
            <w:tcW w:w="8649" w:type="dxa"/>
          </w:tcPr>
          <w:p w:rsidR="000F1F05" w:rsidRDefault="00B44DD8">
            <w:pPr>
              <w:pStyle w:val="TableParagraph"/>
              <w:spacing w:line="249" w:lineRule="auto"/>
              <w:ind w:left="107" w:right="323"/>
              <w:rPr>
                <w:sz w:val="20"/>
              </w:rPr>
            </w:pPr>
            <w:r>
              <w:rPr>
                <w:sz w:val="20"/>
              </w:rPr>
              <w:t>Inland Revenue should have the ability to require a shareholder in a closely-held company to provide security to Inland Revenue if:</w:t>
            </w:r>
          </w:p>
          <w:p w:rsidR="000F1F05" w:rsidRDefault="00B44DD8">
            <w:pPr>
              <w:pStyle w:val="TableParagraph"/>
              <w:numPr>
                <w:ilvl w:val="0"/>
                <w:numId w:val="5"/>
              </w:numPr>
              <w:tabs>
                <w:tab w:val="left" w:pos="466"/>
              </w:tabs>
              <w:spacing w:before="61"/>
              <w:rPr>
                <w:sz w:val="20"/>
              </w:rPr>
            </w:pPr>
            <w:r>
              <w:rPr>
                <w:sz w:val="20"/>
              </w:rPr>
              <w:t>The company owes a debt to Inland Revenue;</w:t>
            </w:r>
            <w:r>
              <w:rPr>
                <w:spacing w:val="-6"/>
                <w:sz w:val="20"/>
              </w:rPr>
              <w:t xml:space="preserve"> </w:t>
            </w:r>
            <w:r>
              <w:rPr>
                <w:sz w:val="20"/>
              </w:rPr>
              <w:t>and</w:t>
            </w:r>
          </w:p>
          <w:p w:rsidR="000F1F05" w:rsidRDefault="00B44DD8">
            <w:pPr>
              <w:pStyle w:val="TableParagraph"/>
              <w:numPr>
                <w:ilvl w:val="0"/>
                <w:numId w:val="5"/>
              </w:numPr>
              <w:tabs>
                <w:tab w:val="left" w:pos="466"/>
              </w:tabs>
              <w:spacing w:before="70"/>
              <w:rPr>
                <w:sz w:val="20"/>
              </w:rPr>
            </w:pPr>
            <w:r>
              <w:rPr>
                <w:sz w:val="20"/>
              </w:rPr>
              <w:t>The company is owed a debt by the shareholder;</w:t>
            </w:r>
            <w:r>
              <w:rPr>
                <w:spacing w:val="-10"/>
                <w:sz w:val="20"/>
              </w:rPr>
              <w:t xml:space="preserve"> </w:t>
            </w:r>
            <w:r>
              <w:rPr>
                <w:sz w:val="20"/>
              </w:rPr>
              <w:t>and</w:t>
            </w:r>
          </w:p>
          <w:p w:rsidR="000F1F05" w:rsidRDefault="00B44DD8">
            <w:pPr>
              <w:pStyle w:val="TableParagraph"/>
              <w:numPr>
                <w:ilvl w:val="0"/>
                <w:numId w:val="5"/>
              </w:numPr>
              <w:tabs>
                <w:tab w:val="left" w:pos="466"/>
              </w:tabs>
              <w:spacing w:before="70"/>
              <w:rPr>
                <w:sz w:val="20"/>
              </w:rPr>
            </w:pPr>
            <w:r>
              <w:rPr>
                <w:sz w:val="20"/>
              </w:rPr>
              <w:t>There is doubt as to the a</w:t>
            </w:r>
            <w:r>
              <w:rPr>
                <w:sz w:val="20"/>
              </w:rPr>
              <w:t>bility/and or the intention of the shareholder to repay the</w:t>
            </w:r>
            <w:r>
              <w:rPr>
                <w:spacing w:val="-23"/>
                <w:sz w:val="20"/>
              </w:rPr>
              <w:t xml:space="preserve"> </w:t>
            </w:r>
            <w:r>
              <w:rPr>
                <w:sz w:val="20"/>
              </w:rPr>
              <w:t>debt.</w:t>
            </w:r>
          </w:p>
        </w:tc>
        <w:tc>
          <w:tcPr>
            <w:tcW w:w="5814" w:type="dxa"/>
            <w:shd w:val="clear" w:color="auto" w:fill="F4AF83"/>
          </w:tcPr>
          <w:p w:rsidR="000F1F05" w:rsidRDefault="00B44DD8">
            <w:pPr>
              <w:pStyle w:val="TableParagraph"/>
              <w:spacing w:before="66" w:line="249" w:lineRule="auto"/>
              <w:ind w:left="104" w:right="1073"/>
              <w:rPr>
                <w:sz w:val="20"/>
              </w:rPr>
            </w:pPr>
            <w:r>
              <w:rPr>
                <w:b/>
                <w:sz w:val="20"/>
              </w:rPr>
              <w:t xml:space="preserve">Consider as a high priority for inclusion on work programme </w:t>
            </w:r>
            <w:r>
              <w:rPr>
                <w:sz w:val="20"/>
              </w:rPr>
              <w:t>(TPWP)</w:t>
            </w:r>
          </w:p>
        </w:tc>
      </w:tr>
      <w:tr w:rsidR="000F1F05">
        <w:trPr>
          <w:trHeight w:val="1980"/>
        </w:trPr>
        <w:tc>
          <w:tcPr>
            <w:tcW w:w="706" w:type="dxa"/>
          </w:tcPr>
          <w:p w:rsidR="000F1F05" w:rsidRDefault="00B44DD8">
            <w:pPr>
              <w:pStyle w:val="TableParagraph"/>
              <w:rPr>
                <w:sz w:val="20"/>
              </w:rPr>
            </w:pPr>
            <w:r>
              <w:rPr>
                <w:sz w:val="20"/>
              </w:rPr>
              <w:t>62</w:t>
            </w:r>
          </w:p>
        </w:tc>
        <w:tc>
          <w:tcPr>
            <w:tcW w:w="8649" w:type="dxa"/>
          </w:tcPr>
          <w:p w:rsidR="000F1F05" w:rsidRDefault="00B44DD8">
            <w:pPr>
              <w:pStyle w:val="TableParagraph"/>
              <w:ind w:left="107"/>
              <w:rPr>
                <w:sz w:val="20"/>
              </w:rPr>
            </w:pPr>
            <w:r>
              <w:rPr>
                <w:sz w:val="20"/>
              </w:rPr>
              <w:t>Further action in relation to the hidden economy, including:</w:t>
            </w:r>
          </w:p>
          <w:p w:rsidR="000F1F05" w:rsidRDefault="00B44DD8">
            <w:pPr>
              <w:pStyle w:val="TableParagraph"/>
              <w:numPr>
                <w:ilvl w:val="0"/>
                <w:numId w:val="4"/>
              </w:numPr>
              <w:tabs>
                <w:tab w:val="left" w:pos="466"/>
              </w:tabs>
              <w:spacing w:before="70" w:line="249" w:lineRule="auto"/>
              <w:ind w:right="665"/>
              <w:rPr>
                <w:sz w:val="20"/>
              </w:rPr>
            </w:pPr>
            <w:r>
              <w:rPr>
                <w:sz w:val="20"/>
              </w:rPr>
              <w:t>An increase in the reporting of labour income (subject to not unreasonably</w:t>
            </w:r>
            <w:r>
              <w:rPr>
                <w:spacing w:val="-24"/>
                <w:sz w:val="20"/>
              </w:rPr>
              <w:t xml:space="preserve"> </w:t>
            </w:r>
            <w:r>
              <w:rPr>
                <w:sz w:val="20"/>
              </w:rPr>
              <w:t>increasing compliance costs on</w:t>
            </w:r>
            <w:r>
              <w:rPr>
                <w:spacing w:val="-1"/>
                <w:sz w:val="20"/>
              </w:rPr>
              <w:t xml:space="preserve"> </w:t>
            </w:r>
            <w:r>
              <w:rPr>
                <w:sz w:val="20"/>
              </w:rPr>
              <w:t>business).</w:t>
            </w:r>
          </w:p>
          <w:p w:rsidR="000F1F05" w:rsidRDefault="00B44DD8">
            <w:pPr>
              <w:pStyle w:val="TableParagraph"/>
              <w:numPr>
                <w:ilvl w:val="0"/>
                <w:numId w:val="4"/>
              </w:numPr>
              <w:tabs>
                <w:tab w:val="left" w:pos="466"/>
              </w:tabs>
              <w:spacing w:before="62" w:line="249" w:lineRule="auto"/>
              <w:ind w:right="237"/>
              <w:rPr>
                <w:sz w:val="20"/>
              </w:rPr>
            </w:pPr>
            <w:r>
              <w:rPr>
                <w:sz w:val="20"/>
              </w:rPr>
              <w:t>A review of the measures recently adopted by Australia in relation to the hidden</w:t>
            </w:r>
            <w:r>
              <w:rPr>
                <w:spacing w:val="-32"/>
                <w:sz w:val="20"/>
              </w:rPr>
              <w:t xml:space="preserve"> </w:t>
            </w:r>
            <w:r>
              <w:rPr>
                <w:sz w:val="20"/>
              </w:rPr>
              <w:t>economy, with a view to applying them in New</w:t>
            </w:r>
            <w:r>
              <w:rPr>
                <w:spacing w:val="-1"/>
                <w:sz w:val="20"/>
              </w:rPr>
              <w:t xml:space="preserve"> </w:t>
            </w:r>
            <w:r>
              <w:rPr>
                <w:sz w:val="20"/>
              </w:rPr>
              <w:t>Zealand.</w:t>
            </w:r>
          </w:p>
          <w:p w:rsidR="000F1F05" w:rsidRDefault="00B44DD8">
            <w:pPr>
              <w:pStyle w:val="TableParagraph"/>
              <w:numPr>
                <w:ilvl w:val="0"/>
                <w:numId w:val="4"/>
              </w:numPr>
              <w:tabs>
                <w:tab w:val="left" w:pos="466"/>
              </w:tabs>
              <w:spacing w:before="62" w:line="249" w:lineRule="auto"/>
              <w:ind w:right="178"/>
              <w:rPr>
                <w:sz w:val="20"/>
              </w:rPr>
            </w:pPr>
            <w:r>
              <w:rPr>
                <w:sz w:val="20"/>
              </w:rPr>
              <w:t>The removal of tax deductibility if a taxpayer has not followed labour income withholding</w:t>
            </w:r>
            <w:r>
              <w:rPr>
                <w:spacing w:val="-33"/>
                <w:sz w:val="20"/>
              </w:rPr>
              <w:t xml:space="preserve"> </w:t>
            </w:r>
            <w:r>
              <w:rPr>
                <w:sz w:val="20"/>
              </w:rPr>
              <w:t>or reporting</w:t>
            </w:r>
            <w:r>
              <w:rPr>
                <w:spacing w:val="-2"/>
                <w:sz w:val="20"/>
              </w:rPr>
              <w:t xml:space="preserve"> </w:t>
            </w:r>
            <w:r>
              <w:rPr>
                <w:sz w:val="20"/>
              </w:rPr>
              <w:t>rules.</w:t>
            </w:r>
          </w:p>
        </w:tc>
        <w:tc>
          <w:tcPr>
            <w:tcW w:w="5814" w:type="dxa"/>
            <w:shd w:val="clear" w:color="auto" w:fill="BCD5ED"/>
          </w:tcPr>
          <w:p w:rsidR="000F1F05" w:rsidRDefault="00B44DD8">
            <w:pPr>
              <w:pStyle w:val="TableParagraph"/>
              <w:spacing w:before="67"/>
              <w:ind w:left="104"/>
              <w:rPr>
                <w:sz w:val="20"/>
              </w:rPr>
            </w:pPr>
            <w:r>
              <w:rPr>
                <w:b/>
                <w:sz w:val="20"/>
              </w:rPr>
              <w:t xml:space="preserve">Note work already underway </w:t>
            </w:r>
            <w:r>
              <w:rPr>
                <w:sz w:val="20"/>
              </w:rPr>
              <w:t>– see recommendation 54.</w:t>
            </w:r>
          </w:p>
        </w:tc>
      </w:tr>
      <w:tr w:rsidR="000F1F05">
        <w:trPr>
          <w:trHeight w:val="359"/>
        </w:trPr>
        <w:tc>
          <w:tcPr>
            <w:tcW w:w="706" w:type="dxa"/>
          </w:tcPr>
          <w:p w:rsidR="000F1F05" w:rsidRDefault="00B44DD8">
            <w:pPr>
              <w:pStyle w:val="TableParagraph"/>
              <w:rPr>
                <w:sz w:val="20"/>
              </w:rPr>
            </w:pPr>
            <w:r>
              <w:rPr>
                <w:sz w:val="20"/>
              </w:rPr>
              <w:t>63</w:t>
            </w:r>
          </w:p>
        </w:tc>
        <w:tc>
          <w:tcPr>
            <w:tcW w:w="8649" w:type="dxa"/>
          </w:tcPr>
          <w:p w:rsidR="000F1F05" w:rsidRDefault="00B44DD8">
            <w:pPr>
              <w:pStyle w:val="TableParagraph"/>
              <w:ind w:left="107"/>
              <w:rPr>
                <w:sz w:val="20"/>
              </w:rPr>
            </w:pPr>
            <w:r>
              <w:rPr>
                <w:sz w:val="20"/>
              </w:rPr>
              <w:t>That Inland Revenue continue to invest in the technical and investigatory skills of its st</w:t>
            </w:r>
            <w:r>
              <w:rPr>
                <w:sz w:val="20"/>
              </w:rPr>
              <w:t>aff.</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see recommendation 54.</w:t>
            </w:r>
          </w:p>
        </w:tc>
      </w:tr>
      <w:tr w:rsidR="000F1F05">
        <w:trPr>
          <w:trHeight w:val="1502"/>
        </w:trPr>
        <w:tc>
          <w:tcPr>
            <w:tcW w:w="706" w:type="dxa"/>
          </w:tcPr>
          <w:p w:rsidR="000F1F05" w:rsidRDefault="00B44DD8">
            <w:pPr>
              <w:pStyle w:val="TableParagraph"/>
              <w:spacing w:before="71"/>
              <w:rPr>
                <w:sz w:val="20"/>
              </w:rPr>
            </w:pPr>
            <w:r>
              <w:rPr>
                <w:sz w:val="20"/>
              </w:rPr>
              <w:t>64</w:t>
            </w:r>
          </w:p>
        </w:tc>
        <w:tc>
          <w:tcPr>
            <w:tcW w:w="8649" w:type="dxa"/>
          </w:tcPr>
          <w:p w:rsidR="000F1F05" w:rsidRDefault="00B44DD8">
            <w:pPr>
              <w:pStyle w:val="TableParagraph"/>
              <w:spacing w:before="71"/>
              <w:ind w:left="107"/>
              <w:rPr>
                <w:sz w:val="20"/>
              </w:rPr>
            </w:pPr>
            <w:r>
              <w:rPr>
                <w:sz w:val="20"/>
              </w:rPr>
              <w:t>Further measures to improve collection and encourage compliance, including:</w:t>
            </w:r>
          </w:p>
          <w:p w:rsidR="000F1F05" w:rsidRDefault="00B44DD8">
            <w:pPr>
              <w:pStyle w:val="TableParagraph"/>
              <w:numPr>
                <w:ilvl w:val="0"/>
                <w:numId w:val="3"/>
              </w:numPr>
              <w:tabs>
                <w:tab w:val="left" w:pos="466"/>
              </w:tabs>
              <w:spacing w:before="71" w:line="249" w:lineRule="auto"/>
              <w:ind w:right="155"/>
              <w:rPr>
                <w:sz w:val="20"/>
              </w:rPr>
            </w:pPr>
            <w:r>
              <w:rPr>
                <w:sz w:val="20"/>
              </w:rPr>
              <w:t>Making directors who have an economic ownership in the company personally liable for arrears on GST and PAYE obligations (as long as there is an appropriate warning</w:t>
            </w:r>
            <w:r>
              <w:rPr>
                <w:spacing w:val="-26"/>
                <w:sz w:val="20"/>
              </w:rPr>
              <w:t xml:space="preserve"> </w:t>
            </w:r>
            <w:r>
              <w:rPr>
                <w:sz w:val="20"/>
              </w:rPr>
              <w:t>system).</w:t>
            </w:r>
          </w:p>
          <w:p w:rsidR="000F1F05" w:rsidRDefault="00B44DD8">
            <w:pPr>
              <w:pStyle w:val="TableParagraph"/>
              <w:numPr>
                <w:ilvl w:val="0"/>
                <w:numId w:val="3"/>
              </w:numPr>
              <w:tabs>
                <w:tab w:val="left" w:pos="466"/>
              </w:tabs>
              <w:spacing w:before="61"/>
              <w:rPr>
                <w:sz w:val="20"/>
              </w:rPr>
            </w:pPr>
            <w:r>
              <w:rPr>
                <w:sz w:val="20"/>
              </w:rPr>
              <w:t>Departure prohibition</w:t>
            </w:r>
            <w:r>
              <w:rPr>
                <w:spacing w:val="-1"/>
                <w:sz w:val="20"/>
              </w:rPr>
              <w:t xml:space="preserve"> </w:t>
            </w:r>
            <w:r>
              <w:rPr>
                <w:sz w:val="20"/>
              </w:rPr>
              <w:t>orders.</w:t>
            </w:r>
          </w:p>
          <w:p w:rsidR="000F1F05" w:rsidRDefault="00B44DD8">
            <w:pPr>
              <w:pStyle w:val="TableParagraph"/>
              <w:numPr>
                <w:ilvl w:val="0"/>
                <w:numId w:val="3"/>
              </w:numPr>
              <w:tabs>
                <w:tab w:val="left" w:pos="466"/>
              </w:tabs>
              <w:spacing w:before="70"/>
              <w:rPr>
                <w:sz w:val="20"/>
              </w:rPr>
            </w:pPr>
            <w:r>
              <w:rPr>
                <w:sz w:val="20"/>
              </w:rPr>
              <w:t>Aligning the standard of proof for PAYE and GST</w:t>
            </w:r>
            <w:r>
              <w:rPr>
                <w:spacing w:val="3"/>
                <w:sz w:val="20"/>
              </w:rPr>
              <w:t xml:space="preserve"> </w:t>
            </w:r>
            <w:r>
              <w:rPr>
                <w:sz w:val="20"/>
              </w:rPr>
              <w:t>offe</w:t>
            </w:r>
            <w:r>
              <w:rPr>
                <w:sz w:val="20"/>
              </w:rPr>
              <w:t>nces.</w:t>
            </w:r>
          </w:p>
        </w:tc>
        <w:tc>
          <w:tcPr>
            <w:tcW w:w="5814" w:type="dxa"/>
            <w:shd w:val="clear" w:color="auto" w:fill="F4AF83"/>
          </w:tcPr>
          <w:p w:rsidR="000F1F05" w:rsidRDefault="00B44DD8">
            <w:pPr>
              <w:pStyle w:val="TableParagraph"/>
              <w:spacing w:line="252" w:lineRule="auto"/>
              <w:ind w:left="104" w:right="1073"/>
              <w:rPr>
                <w:sz w:val="20"/>
              </w:rPr>
            </w:pPr>
            <w:r>
              <w:rPr>
                <w:b/>
                <w:sz w:val="20"/>
              </w:rPr>
              <w:t xml:space="preserve">Consider as a high priority for inclusion on work programme </w:t>
            </w:r>
            <w:r>
              <w:rPr>
                <w:sz w:val="20"/>
              </w:rPr>
              <w:t>(TPWP)</w:t>
            </w:r>
          </w:p>
        </w:tc>
      </w:tr>
      <w:tr w:rsidR="000F1F05">
        <w:trPr>
          <w:trHeight w:val="839"/>
        </w:trPr>
        <w:tc>
          <w:tcPr>
            <w:tcW w:w="706" w:type="dxa"/>
          </w:tcPr>
          <w:p w:rsidR="000F1F05" w:rsidRDefault="00B44DD8">
            <w:pPr>
              <w:pStyle w:val="TableParagraph"/>
              <w:rPr>
                <w:sz w:val="20"/>
              </w:rPr>
            </w:pPr>
            <w:r>
              <w:rPr>
                <w:sz w:val="20"/>
              </w:rPr>
              <w:t>65</w:t>
            </w:r>
          </w:p>
        </w:tc>
        <w:tc>
          <w:tcPr>
            <w:tcW w:w="8649" w:type="dxa"/>
          </w:tcPr>
          <w:p w:rsidR="000F1F05" w:rsidRDefault="00B44DD8">
            <w:pPr>
              <w:pStyle w:val="TableParagraph"/>
              <w:spacing w:line="249" w:lineRule="auto"/>
              <w:ind w:left="107" w:right="175"/>
              <w:rPr>
                <w:sz w:val="20"/>
              </w:rPr>
            </w:pPr>
            <w:r>
              <w:rPr>
                <w:sz w:val="20"/>
              </w:rPr>
              <w:t>The establishment of a single centralised Crown debt collection agency to achieve economies of scale and more equitable outcomes across all Crown debtors.</w:t>
            </w:r>
          </w:p>
        </w:tc>
        <w:tc>
          <w:tcPr>
            <w:tcW w:w="5814" w:type="dxa"/>
            <w:shd w:val="clear" w:color="auto" w:fill="FFE499"/>
          </w:tcPr>
          <w:p w:rsidR="000F1F05" w:rsidRDefault="00B44DD8">
            <w:pPr>
              <w:pStyle w:val="TableParagraph"/>
              <w:spacing w:line="249" w:lineRule="auto"/>
              <w:ind w:left="104" w:right="291"/>
              <w:jc w:val="both"/>
              <w:rPr>
                <w:b/>
                <w:sz w:val="20"/>
              </w:rPr>
            </w:pPr>
            <w:r>
              <w:rPr>
                <w:sz w:val="20"/>
              </w:rPr>
              <w:t>Objectives may be better achieved through greater</w:t>
            </w:r>
            <w:r>
              <w:rPr>
                <w:spacing w:val="-16"/>
                <w:sz w:val="20"/>
              </w:rPr>
              <w:t xml:space="preserve"> </w:t>
            </w:r>
            <w:r>
              <w:rPr>
                <w:sz w:val="20"/>
              </w:rPr>
              <w:t xml:space="preserve">alignment of agency policies on debt prevention and collection. </w:t>
            </w:r>
            <w:r>
              <w:rPr>
                <w:b/>
                <w:sz w:val="20"/>
              </w:rPr>
              <w:t>Cross- agency advice should be</w:t>
            </w:r>
            <w:r>
              <w:rPr>
                <w:b/>
                <w:spacing w:val="-3"/>
                <w:sz w:val="20"/>
              </w:rPr>
              <w:t xml:space="preserve"> </w:t>
            </w:r>
            <w:r>
              <w:rPr>
                <w:b/>
                <w:sz w:val="20"/>
              </w:rPr>
              <w:t>sought.</w:t>
            </w:r>
          </w:p>
        </w:tc>
      </w:tr>
      <w:tr w:rsidR="000F1F05">
        <w:trPr>
          <w:trHeight w:val="599"/>
        </w:trPr>
        <w:tc>
          <w:tcPr>
            <w:tcW w:w="706" w:type="dxa"/>
          </w:tcPr>
          <w:p w:rsidR="000F1F05" w:rsidRDefault="00B44DD8">
            <w:pPr>
              <w:pStyle w:val="TableParagraph"/>
              <w:rPr>
                <w:sz w:val="20"/>
              </w:rPr>
            </w:pPr>
            <w:r>
              <w:rPr>
                <w:sz w:val="20"/>
              </w:rPr>
              <w:t>66</w:t>
            </w:r>
          </w:p>
        </w:tc>
        <w:tc>
          <w:tcPr>
            <w:tcW w:w="8649" w:type="dxa"/>
          </w:tcPr>
          <w:p w:rsidR="000F1F05" w:rsidRDefault="00B44DD8">
            <w:pPr>
              <w:pStyle w:val="TableParagraph"/>
              <w:ind w:left="107"/>
              <w:rPr>
                <w:sz w:val="20"/>
              </w:rPr>
            </w:pPr>
            <w:r>
              <w:rPr>
                <w:sz w:val="20"/>
              </w:rPr>
              <w:t>That Inland Revenue strengthens enforcement of rules for closely-held companies.</w:t>
            </w:r>
          </w:p>
        </w:tc>
        <w:tc>
          <w:tcPr>
            <w:tcW w:w="5814" w:type="dxa"/>
            <w:shd w:val="clear" w:color="auto" w:fill="F4AF83"/>
          </w:tcPr>
          <w:p w:rsidR="000F1F05" w:rsidRDefault="00B44DD8">
            <w:pPr>
              <w:pStyle w:val="TableParagraph"/>
              <w:spacing w:before="66" w:line="249" w:lineRule="auto"/>
              <w:ind w:left="104" w:right="1073"/>
              <w:rPr>
                <w:sz w:val="20"/>
              </w:rPr>
            </w:pPr>
            <w:r>
              <w:rPr>
                <w:b/>
                <w:sz w:val="20"/>
              </w:rPr>
              <w:t xml:space="preserve">Consider as a high priority for inclusion on work programme </w:t>
            </w:r>
            <w:r>
              <w:rPr>
                <w:sz w:val="20"/>
              </w:rPr>
              <w:t>(TPWP)</w:t>
            </w:r>
          </w:p>
        </w:tc>
      </w:tr>
      <w:tr w:rsidR="000F1F05">
        <w:trPr>
          <w:trHeight w:val="600"/>
        </w:trPr>
        <w:tc>
          <w:tcPr>
            <w:tcW w:w="706" w:type="dxa"/>
          </w:tcPr>
          <w:p w:rsidR="000F1F05" w:rsidRDefault="00B44DD8">
            <w:pPr>
              <w:pStyle w:val="TableParagraph"/>
              <w:rPr>
                <w:sz w:val="20"/>
              </w:rPr>
            </w:pPr>
            <w:r>
              <w:rPr>
                <w:sz w:val="20"/>
              </w:rPr>
              <w:t>67</w:t>
            </w:r>
          </w:p>
        </w:tc>
        <w:tc>
          <w:tcPr>
            <w:tcW w:w="8649" w:type="dxa"/>
          </w:tcPr>
          <w:p w:rsidR="000F1F05" w:rsidRDefault="00B44DD8">
            <w:pPr>
              <w:pStyle w:val="TableParagraph"/>
              <w:spacing w:line="249" w:lineRule="auto"/>
              <w:ind w:left="107" w:right="175"/>
              <w:rPr>
                <w:sz w:val="20"/>
              </w:rPr>
            </w:pPr>
            <w:r>
              <w:rPr>
                <w:sz w:val="20"/>
              </w:rPr>
              <w:t>Explore options to enable the flexibility of a wider gap between the company and top personal tax rates without a reduction in the integrity of the tax system.</w:t>
            </w:r>
          </w:p>
        </w:tc>
        <w:tc>
          <w:tcPr>
            <w:tcW w:w="5814" w:type="dxa"/>
            <w:shd w:val="clear" w:color="auto" w:fill="FFE499"/>
          </w:tcPr>
          <w:p w:rsidR="000F1F05" w:rsidRDefault="00B44DD8">
            <w:pPr>
              <w:pStyle w:val="TableParagraph"/>
              <w:spacing w:before="67"/>
              <w:ind w:left="104"/>
              <w:rPr>
                <w:sz w:val="20"/>
              </w:rPr>
            </w:pPr>
            <w:r>
              <w:rPr>
                <w:b/>
                <w:sz w:val="20"/>
              </w:rPr>
              <w:t xml:space="preserve">Consider for inclusion on work programme </w:t>
            </w:r>
            <w:r>
              <w:rPr>
                <w:sz w:val="20"/>
              </w:rPr>
              <w:t>(TPWP)</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91"/>
        </w:trPr>
        <w:tc>
          <w:tcPr>
            <w:tcW w:w="15169" w:type="dxa"/>
            <w:gridSpan w:val="3"/>
          </w:tcPr>
          <w:p w:rsidR="000F1F05" w:rsidRDefault="00B44DD8">
            <w:pPr>
              <w:pStyle w:val="TableParagraph"/>
              <w:spacing w:before="115"/>
              <w:rPr>
                <w:b/>
              </w:rPr>
            </w:pPr>
            <w:r>
              <w:rPr>
                <w:b/>
              </w:rPr>
              <w:t>Administration of the tax system</w:t>
            </w:r>
          </w:p>
        </w:tc>
      </w:tr>
      <w:tr w:rsidR="000F1F05">
        <w:trPr>
          <w:trHeight w:val="359"/>
        </w:trPr>
        <w:tc>
          <w:tcPr>
            <w:tcW w:w="15169" w:type="dxa"/>
            <w:gridSpan w:val="3"/>
          </w:tcPr>
          <w:p w:rsidR="000F1F05" w:rsidRDefault="00B44DD8">
            <w:pPr>
              <w:pStyle w:val="TableParagraph"/>
              <w:rPr>
                <w:b/>
                <w:i/>
                <w:sz w:val="20"/>
              </w:rPr>
            </w:pPr>
            <w:r>
              <w:rPr>
                <w:b/>
                <w:i/>
                <w:sz w:val="20"/>
              </w:rPr>
              <w:t>Tax secrecy and tax transparency</w:t>
            </w:r>
          </w:p>
        </w:tc>
      </w:tr>
      <w:tr w:rsidR="000F1F05">
        <w:trPr>
          <w:trHeight w:val="2040"/>
        </w:trPr>
        <w:tc>
          <w:tcPr>
            <w:tcW w:w="706" w:type="dxa"/>
          </w:tcPr>
          <w:p w:rsidR="000F1F05" w:rsidRDefault="00B44DD8">
            <w:pPr>
              <w:pStyle w:val="TableParagraph"/>
              <w:rPr>
                <w:sz w:val="20"/>
              </w:rPr>
            </w:pPr>
            <w:r>
              <w:rPr>
                <w:sz w:val="20"/>
              </w:rPr>
              <w:t>68</w:t>
            </w:r>
          </w:p>
        </w:tc>
        <w:tc>
          <w:tcPr>
            <w:tcW w:w="8649" w:type="dxa"/>
          </w:tcPr>
          <w:p w:rsidR="000F1F05" w:rsidRDefault="00B44DD8">
            <w:pPr>
              <w:pStyle w:val="TableParagraph"/>
              <w:ind w:left="107"/>
              <w:rPr>
                <w:sz w:val="20"/>
              </w:rPr>
            </w:pPr>
            <w:r>
              <w:rPr>
                <w:sz w:val="20"/>
              </w:rPr>
              <w:t>The Government should:</w:t>
            </w:r>
          </w:p>
          <w:p w:rsidR="000F1F05" w:rsidRDefault="00B44DD8">
            <w:pPr>
              <w:pStyle w:val="TableParagraph"/>
              <w:numPr>
                <w:ilvl w:val="0"/>
                <w:numId w:val="2"/>
              </w:numPr>
              <w:tabs>
                <w:tab w:val="left" w:pos="466"/>
              </w:tabs>
              <w:spacing w:before="70"/>
              <w:rPr>
                <w:sz w:val="20"/>
              </w:rPr>
            </w:pPr>
            <w:r>
              <w:rPr>
                <w:sz w:val="20"/>
              </w:rPr>
              <w:t>Fund oversampling of the wealthy in existing wealth</w:t>
            </w:r>
            <w:r>
              <w:rPr>
                <w:spacing w:val="-4"/>
                <w:sz w:val="20"/>
              </w:rPr>
              <w:t xml:space="preserve"> </w:t>
            </w:r>
            <w:r>
              <w:rPr>
                <w:sz w:val="20"/>
              </w:rPr>
              <w:t>surveys.</w:t>
            </w:r>
          </w:p>
          <w:p w:rsidR="000F1F05" w:rsidRDefault="00B44DD8">
            <w:pPr>
              <w:pStyle w:val="TableParagraph"/>
              <w:numPr>
                <w:ilvl w:val="0"/>
                <w:numId w:val="2"/>
              </w:numPr>
              <w:tabs>
                <w:tab w:val="left" w:pos="466"/>
              </w:tabs>
              <w:spacing w:before="70"/>
              <w:rPr>
                <w:sz w:val="20"/>
              </w:rPr>
            </w:pPr>
            <w:r>
              <w:rPr>
                <w:sz w:val="20"/>
              </w:rPr>
              <w:t>Include a question on wealth in the</w:t>
            </w:r>
            <w:r>
              <w:rPr>
                <w:spacing w:val="1"/>
                <w:sz w:val="20"/>
              </w:rPr>
              <w:t xml:space="preserve"> </w:t>
            </w:r>
            <w:r>
              <w:rPr>
                <w:sz w:val="20"/>
              </w:rPr>
              <w:t>census.</w:t>
            </w:r>
          </w:p>
          <w:p w:rsidR="000F1F05" w:rsidRDefault="00B44DD8">
            <w:pPr>
              <w:pStyle w:val="TableParagraph"/>
              <w:numPr>
                <w:ilvl w:val="0"/>
                <w:numId w:val="2"/>
              </w:numPr>
              <w:tabs>
                <w:tab w:val="left" w:pos="466"/>
              </w:tabs>
              <w:spacing w:before="70" w:line="249" w:lineRule="auto"/>
              <w:ind w:right="856"/>
              <w:rPr>
                <w:sz w:val="20"/>
              </w:rPr>
            </w:pPr>
            <w:r>
              <w:rPr>
                <w:sz w:val="20"/>
              </w:rPr>
              <w:t>Request Inland Revenue regularly repeat its analysis of the tax paid by high</w:t>
            </w:r>
            <w:r>
              <w:rPr>
                <w:spacing w:val="-25"/>
                <w:sz w:val="20"/>
              </w:rPr>
              <w:t xml:space="preserve"> </w:t>
            </w:r>
            <w:r>
              <w:rPr>
                <w:sz w:val="20"/>
              </w:rPr>
              <w:t>wealth individuals.</w:t>
            </w:r>
          </w:p>
          <w:p w:rsidR="000F1F05" w:rsidRDefault="00B44DD8">
            <w:pPr>
              <w:pStyle w:val="TableParagraph"/>
              <w:numPr>
                <w:ilvl w:val="0"/>
                <w:numId w:val="2"/>
              </w:numPr>
              <w:tabs>
                <w:tab w:val="left" w:pos="466"/>
              </w:tabs>
              <w:spacing w:before="62" w:line="252" w:lineRule="auto"/>
              <w:ind w:right="470"/>
              <w:rPr>
                <w:sz w:val="20"/>
              </w:rPr>
            </w:pPr>
            <w:r>
              <w:rPr>
                <w:sz w:val="20"/>
              </w:rPr>
              <w:t>Commission research on using a variety of sources of d</w:t>
            </w:r>
            <w:r>
              <w:rPr>
                <w:sz w:val="20"/>
              </w:rPr>
              <w:t>ata on capital income,</w:t>
            </w:r>
            <w:r>
              <w:rPr>
                <w:spacing w:val="-25"/>
                <w:sz w:val="20"/>
              </w:rPr>
              <w:t xml:space="preserve"> </w:t>
            </w:r>
            <w:r>
              <w:rPr>
                <w:sz w:val="20"/>
              </w:rPr>
              <w:t>including administrative data, to estimate the wealth of individuals.</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1255"/>
        </w:trPr>
        <w:tc>
          <w:tcPr>
            <w:tcW w:w="706" w:type="dxa"/>
          </w:tcPr>
          <w:p w:rsidR="000F1F05" w:rsidRDefault="00B44DD8">
            <w:pPr>
              <w:pStyle w:val="TableParagraph"/>
              <w:rPr>
                <w:sz w:val="20"/>
              </w:rPr>
            </w:pPr>
            <w:r>
              <w:rPr>
                <w:sz w:val="20"/>
              </w:rPr>
              <w:t>69</w:t>
            </w:r>
          </w:p>
        </w:tc>
        <w:tc>
          <w:tcPr>
            <w:tcW w:w="8649" w:type="dxa"/>
          </w:tcPr>
          <w:p w:rsidR="000F1F05" w:rsidRDefault="00B44DD8">
            <w:pPr>
              <w:pStyle w:val="TableParagraph"/>
              <w:spacing w:line="249" w:lineRule="auto"/>
              <w:ind w:left="107" w:right="175"/>
              <w:rPr>
                <w:sz w:val="20"/>
              </w:rPr>
            </w:pPr>
            <w:r>
              <w:rPr>
                <w:sz w:val="20"/>
              </w:rPr>
              <w:t>The TWG strongly encourages the Government to release more statistical and aggregated information about the tax system (so long as it does not reveal data about specific individuals or corporates that is not otherwise publicly available). The Government co</w:t>
            </w:r>
            <w:r>
              <w:rPr>
                <w:sz w:val="20"/>
              </w:rPr>
              <w:t>uld consider further measures to increase transparency as public attitudes change over time.</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839"/>
        </w:trPr>
        <w:tc>
          <w:tcPr>
            <w:tcW w:w="706" w:type="dxa"/>
          </w:tcPr>
          <w:p w:rsidR="000F1F05" w:rsidRDefault="00B44DD8">
            <w:pPr>
              <w:pStyle w:val="TableParagraph"/>
              <w:rPr>
                <w:sz w:val="20"/>
              </w:rPr>
            </w:pPr>
            <w:r>
              <w:rPr>
                <w:sz w:val="20"/>
              </w:rPr>
              <w:t>70</w:t>
            </w:r>
          </w:p>
        </w:tc>
        <w:tc>
          <w:tcPr>
            <w:tcW w:w="8649" w:type="dxa"/>
          </w:tcPr>
          <w:p w:rsidR="000F1F05" w:rsidRDefault="00B44DD8">
            <w:pPr>
              <w:pStyle w:val="TableParagraph"/>
              <w:spacing w:line="249" w:lineRule="auto"/>
              <w:ind w:left="107" w:right="175"/>
              <w:rPr>
                <w:sz w:val="20"/>
              </w:rPr>
            </w:pPr>
            <w:r>
              <w:rPr>
                <w:sz w:val="20"/>
              </w:rPr>
              <w:t>The TWG encourages Inland Revenue to publish or make available a broader range of statistics, in consultation with potential users, either directly or (preferably) through Statistics New Zealand.</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600"/>
        </w:trPr>
        <w:tc>
          <w:tcPr>
            <w:tcW w:w="706" w:type="dxa"/>
          </w:tcPr>
          <w:p w:rsidR="000F1F05" w:rsidRDefault="00B44DD8">
            <w:pPr>
              <w:pStyle w:val="TableParagraph"/>
              <w:rPr>
                <w:sz w:val="20"/>
              </w:rPr>
            </w:pPr>
            <w:r>
              <w:rPr>
                <w:sz w:val="20"/>
              </w:rPr>
              <w:t>71</w:t>
            </w:r>
          </w:p>
        </w:tc>
        <w:tc>
          <w:tcPr>
            <w:tcW w:w="8649" w:type="dxa"/>
          </w:tcPr>
          <w:p w:rsidR="000F1F05" w:rsidRDefault="00B44DD8">
            <w:pPr>
              <w:pStyle w:val="TableParagraph"/>
              <w:spacing w:line="252" w:lineRule="auto"/>
              <w:ind w:left="107"/>
              <w:rPr>
                <w:sz w:val="20"/>
              </w:rPr>
            </w:pPr>
            <w:r>
              <w:rPr>
                <w:sz w:val="20"/>
              </w:rPr>
              <w:t>The TWG encourages Inland Revenue to collect information on income and expenditure associated with environmental outcomes that are part of the tax calculation.</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359"/>
        </w:trPr>
        <w:tc>
          <w:tcPr>
            <w:tcW w:w="15169" w:type="dxa"/>
            <w:gridSpan w:val="3"/>
          </w:tcPr>
          <w:p w:rsidR="000F1F05" w:rsidRDefault="00B44DD8">
            <w:pPr>
              <w:pStyle w:val="TableParagraph"/>
              <w:rPr>
                <w:b/>
                <w:i/>
                <w:sz w:val="20"/>
              </w:rPr>
            </w:pPr>
            <w:r>
              <w:rPr>
                <w:b/>
                <w:i/>
                <w:sz w:val="20"/>
              </w:rPr>
              <w:t>Ombudsman</w:t>
            </w:r>
          </w:p>
        </w:tc>
      </w:tr>
      <w:tr w:rsidR="000F1F05">
        <w:trPr>
          <w:trHeight w:val="1079"/>
        </w:trPr>
        <w:tc>
          <w:tcPr>
            <w:tcW w:w="706" w:type="dxa"/>
          </w:tcPr>
          <w:p w:rsidR="000F1F05" w:rsidRDefault="00B44DD8">
            <w:pPr>
              <w:pStyle w:val="TableParagraph"/>
              <w:rPr>
                <w:sz w:val="20"/>
              </w:rPr>
            </w:pPr>
            <w:r>
              <w:rPr>
                <w:sz w:val="20"/>
              </w:rPr>
              <w:t>72</w:t>
            </w:r>
          </w:p>
        </w:tc>
        <w:tc>
          <w:tcPr>
            <w:tcW w:w="8649" w:type="dxa"/>
          </w:tcPr>
          <w:p w:rsidR="000F1F05" w:rsidRDefault="00B44DD8">
            <w:pPr>
              <w:pStyle w:val="TableParagraph"/>
              <w:spacing w:line="249" w:lineRule="auto"/>
              <w:ind w:left="107" w:right="175"/>
              <w:rPr>
                <w:sz w:val="20"/>
              </w:rPr>
            </w:pPr>
            <w:r>
              <w:rPr>
                <w:sz w:val="20"/>
              </w:rPr>
              <w:t>Any further expansion of the resources available to the Ombudsman should include consideration of provision for additional tax expertise, and possibly support to manage any increase in the volume of complaints relating to the new Crown debt collection agen</w:t>
            </w:r>
            <w:r>
              <w:rPr>
                <w:sz w:val="20"/>
              </w:rPr>
              <w:t>cy proposed by the TWG.</w:t>
            </w:r>
          </w:p>
        </w:tc>
        <w:tc>
          <w:tcPr>
            <w:tcW w:w="5814" w:type="dxa"/>
            <w:shd w:val="clear" w:color="auto" w:fill="D9D9D9"/>
          </w:tcPr>
          <w:p w:rsidR="000F1F05" w:rsidRDefault="00B44DD8">
            <w:pPr>
              <w:pStyle w:val="TableParagraph"/>
              <w:spacing w:before="66" w:line="252" w:lineRule="auto"/>
              <w:ind w:left="104" w:right="149"/>
              <w:rPr>
                <w:sz w:val="20"/>
              </w:rPr>
            </w:pPr>
            <w:r>
              <w:rPr>
                <w:b/>
                <w:sz w:val="20"/>
              </w:rPr>
              <w:t xml:space="preserve">Agree no further work required </w:t>
            </w:r>
            <w:r>
              <w:rPr>
                <w:sz w:val="20"/>
              </w:rPr>
              <w:t>at this stage unless there is an unsustainable increase in complaints.</w:t>
            </w:r>
          </w:p>
        </w:tc>
      </w:tr>
      <w:tr w:rsidR="000F1F05">
        <w:trPr>
          <w:trHeight w:val="359"/>
        </w:trPr>
        <w:tc>
          <w:tcPr>
            <w:tcW w:w="15169" w:type="dxa"/>
            <w:gridSpan w:val="3"/>
          </w:tcPr>
          <w:p w:rsidR="000F1F05" w:rsidRDefault="00B44DD8">
            <w:pPr>
              <w:pStyle w:val="TableParagraph"/>
              <w:rPr>
                <w:b/>
                <w:i/>
                <w:sz w:val="20"/>
              </w:rPr>
            </w:pPr>
            <w:r>
              <w:rPr>
                <w:b/>
                <w:i/>
                <w:sz w:val="20"/>
              </w:rPr>
              <w:t>Taxpayer advocate service</w:t>
            </w:r>
          </w:p>
        </w:tc>
      </w:tr>
      <w:tr w:rsidR="000F1F05">
        <w:trPr>
          <w:trHeight w:val="602"/>
        </w:trPr>
        <w:tc>
          <w:tcPr>
            <w:tcW w:w="706" w:type="dxa"/>
          </w:tcPr>
          <w:p w:rsidR="000F1F05" w:rsidRDefault="00B44DD8">
            <w:pPr>
              <w:pStyle w:val="TableParagraph"/>
              <w:rPr>
                <w:sz w:val="20"/>
              </w:rPr>
            </w:pPr>
            <w:r>
              <w:rPr>
                <w:sz w:val="20"/>
              </w:rPr>
              <w:t>73</w:t>
            </w:r>
          </w:p>
        </w:tc>
        <w:tc>
          <w:tcPr>
            <w:tcW w:w="8649" w:type="dxa"/>
          </w:tcPr>
          <w:p w:rsidR="000F1F05" w:rsidRDefault="00B44DD8">
            <w:pPr>
              <w:pStyle w:val="TableParagraph"/>
              <w:ind w:left="107"/>
              <w:rPr>
                <w:sz w:val="20"/>
              </w:rPr>
            </w:pPr>
            <w:r>
              <w:rPr>
                <w:sz w:val="20"/>
              </w:rPr>
              <w:t>Establish a taxpayer advocacy service to assist with the resolution of tax disputes.</w:t>
            </w:r>
          </w:p>
        </w:tc>
        <w:tc>
          <w:tcPr>
            <w:tcW w:w="5814" w:type="dxa"/>
            <w:shd w:val="clear" w:color="auto" w:fill="D9D9D9"/>
          </w:tcPr>
          <w:p w:rsidR="000F1F05" w:rsidRDefault="00B44DD8">
            <w:pPr>
              <w:pStyle w:val="TableParagraph"/>
              <w:spacing w:before="66"/>
              <w:ind w:left="104"/>
              <w:rPr>
                <w:sz w:val="20"/>
              </w:rPr>
            </w:pPr>
            <w:r>
              <w:rPr>
                <w:b/>
                <w:sz w:val="20"/>
              </w:rPr>
              <w:t>Agree no further work required</w:t>
            </w:r>
            <w:r>
              <w:rPr>
                <w:sz w:val="20"/>
              </w:rPr>
              <w:t>.</w:t>
            </w:r>
          </w:p>
        </w:tc>
      </w:tr>
      <w:tr w:rsidR="000F1F05">
        <w:trPr>
          <w:trHeight w:val="359"/>
        </w:trPr>
        <w:tc>
          <w:tcPr>
            <w:tcW w:w="706" w:type="dxa"/>
          </w:tcPr>
          <w:p w:rsidR="000F1F05" w:rsidRDefault="00B44DD8">
            <w:pPr>
              <w:pStyle w:val="TableParagraph"/>
              <w:rPr>
                <w:sz w:val="20"/>
              </w:rPr>
            </w:pPr>
            <w:r>
              <w:rPr>
                <w:sz w:val="20"/>
              </w:rPr>
              <w:t>74</w:t>
            </w:r>
          </w:p>
        </w:tc>
        <w:tc>
          <w:tcPr>
            <w:tcW w:w="8649" w:type="dxa"/>
          </w:tcPr>
          <w:p w:rsidR="000F1F05" w:rsidRDefault="00B44DD8">
            <w:pPr>
              <w:pStyle w:val="TableParagraph"/>
              <w:ind w:left="107"/>
              <w:rPr>
                <w:sz w:val="20"/>
              </w:rPr>
            </w:pPr>
            <w:r>
              <w:rPr>
                <w:sz w:val="20"/>
              </w:rPr>
              <w:t>Consider a truncated tax disputes process for small taxpayers.</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479"/>
        </w:trPr>
        <w:tc>
          <w:tcPr>
            <w:tcW w:w="15169" w:type="dxa"/>
            <w:gridSpan w:val="3"/>
          </w:tcPr>
          <w:p w:rsidR="000F1F05" w:rsidRDefault="00B44DD8">
            <w:pPr>
              <w:pStyle w:val="TableParagraph"/>
              <w:spacing w:before="129"/>
              <w:rPr>
                <w:b/>
                <w:i/>
                <w:sz w:val="20"/>
              </w:rPr>
            </w:pPr>
            <w:r>
              <w:rPr>
                <w:b/>
                <w:i/>
                <w:sz w:val="20"/>
              </w:rPr>
              <w:t>The development of tax policy</w:t>
            </w:r>
          </w:p>
        </w:tc>
      </w:tr>
      <w:tr w:rsidR="000F1F05">
        <w:trPr>
          <w:trHeight w:val="2099"/>
        </w:trPr>
        <w:tc>
          <w:tcPr>
            <w:tcW w:w="706" w:type="dxa"/>
          </w:tcPr>
          <w:p w:rsidR="000F1F05" w:rsidRDefault="00B44DD8">
            <w:pPr>
              <w:pStyle w:val="TableParagraph"/>
              <w:rPr>
                <w:sz w:val="20"/>
              </w:rPr>
            </w:pPr>
            <w:r>
              <w:rPr>
                <w:sz w:val="20"/>
              </w:rPr>
              <w:t>75</w:t>
            </w:r>
          </w:p>
        </w:tc>
        <w:tc>
          <w:tcPr>
            <w:tcW w:w="8649" w:type="dxa"/>
          </w:tcPr>
          <w:p w:rsidR="000F1F05" w:rsidRDefault="00B44DD8">
            <w:pPr>
              <w:pStyle w:val="TableParagraph"/>
              <w:ind w:left="107"/>
              <w:rPr>
                <w:sz w:val="20"/>
              </w:rPr>
            </w:pPr>
            <w:r>
              <w:rPr>
                <w:sz w:val="20"/>
              </w:rPr>
              <w:t>The following principles should be applied in public engagement on tax policy:</w:t>
            </w:r>
          </w:p>
          <w:p w:rsidR="000F1F05" w:rsidRDefault="00B44DD8">
            <w:pPr>
              <w:pStyle w:val="TableParagraph"/>
              <w:numPr>
                <w:ilvl w:val="0"/>
                <w:numId w:val="1"/>
              </w:numPr>
              <w:tabs>
                <w:tab w:val="left" w:pos="466"/>
              </w:tabs>
              <w:spacing w:before="70"/>
              <w:rPr>
                <w:sz w:val="20"/>
              </w:rPr>
            </w:pPr>
            <w:r>
              <w:rPr>
                <w:sz w:val="20"/>
              </w:rPr>
              <w:t>Good faith engagement by all</w:t>
            </w:r>
            <w:r>
              <w:rPr>
                <w:spacing w:val="-5"/>
                <w:sz w:val="20"/>
              </w:rPr>
              <w:t xml:space="preserve"> </w:t>
            </w:r>
            <w:r>
              <w:rPr>
                <w:sz w:val="20"/>
              </w:rPr>
              <w:t>participants.</w:t>
            </w:r>
          </w:p>
          <w:p w:rsidR="000F1F05" w:rsidRDefault="00B44DD8">
            <w:pPr>
              <w:pStyle w:val="TableParagraph"/>
              <w:numPr>
                <w:ilvl w:val="0"/>
                <w:numId w:val="1"/>
              </w:numPr>
              <w:tabs>
                <w:tab w:val="left" w:pos="466"/>
              </w:tabs>
              <w:spacing w:before="70" w:line="249" w:lineRule="auto"/>
              <w:ind w:right="179"/>
              <w:rPr>
                <w:sz w:val="20"/>
              </w:rPr>
            </w:pPr>
            <w:r>
              <w:rPr>
                <w:sz w:val="20"/>
              </w:rPr>
              <w:t>Engagement with a wider range of stakeholders, particularly including greater</w:t>
            </w:r>
            <w:r>
              <w:rPr>
                <w:spacing w:val="-25"/>
                <w:sz w:val="20"/>
              </w:rPr>
              <w:t xml:space="preserve"> </w:t>
            </w:r>
            <w:r>
              <w:rPr>
                <w:sz w:val="20"/>
              </w:rPr>
              <w:t>engagement with Māori (guided by the Government’s Māori/Crown engagement</w:t>
            </w:r>
            <w:r>
              <w:rPr>
                <w:spacing w:val="-14"/>
                <w:sz w:val="20"/>
              </w:rPr>
              <w:t xml:space="preserve"> </w:t>
            </w:r>
            <w:r>
              <w:rPr>
                <w:sz w:val="20"/>
              </w:rPr>
              <w:t>framework).</w:t>
            </w:r>
          </w:p>
          <w:p w:rsidR="000F1F05" w:rsidRDefault="00B44DD8">
            <w:pPr>
              <w:pStyle w:val="TableParagraph"/>
              <w:numPr>
                <w:ilvl w:val="0"/>
                <w:numId w:val="1"/>
              </w:numPr>
              <w:tabs>
                <w:tab w:val="left" w:pos="466"/>
              </w:tabs>
              <w:spacing w:before="61"/>
              <w:rPr>
                <w:sz w:val="20"/>
              </w:rPr>
            </w:pPr>
            <w:r>
              <w:rPr>
                <w:sz w:val="20"/>
              </w:rPr>
              <w:t>Earlier and more frequent</w:t>
            </w:r>
            <w:r>
              <w:rPr>
                <w:spacing w:val="-3"/>
                <w:sz w:val="20"/>
              </w:rPr>
              <w:t xml:space="preserve"> </w:t>
            </w:r>
            <w:r>
              <w:rPr>
                <w:sz w:val="20"/>
              </w:rPr>
              <w:t>engagement.</w:t>
            </w:r>
          </w:p>
          <w:p w:rsidR="000F1F05" w:rsidRDefault="00B44DD8">
            <w:pPr>
              <w:pStyle w:val="TableParagraph"/>
              <w:numPr>
                <w:ilvl w:val="0"/>
                <w:numId w:val="1"/>
              </w:numPr>
              <w:tabs>
                <w:tab w:val="left" w:pos="466"/>
              </w:tabs>
              <w:spacing w:before="71"/>
              <w:rPr>
                <w:sz w:val="20"/>
              </w:rPr>
            </w:pPr>
            <w:r>
              <w:rPr>
                <w:sz w:val="20"/>
              </w:rPr>
              <w:t>The use of a greater variety of engagement</w:t>
            </w:r>
            <w:r>
              <w:rPr>
                <w:spacing w:val="-5"/>
                <w:sz w:val="20"/>
              </w:rPr>
              <w:t xml:space="preserve"> </w:t>
            </w:r>
            <w:r>
              <w:rPr>
                <w:sz w:val="20"/>
              </w:rPr>
              <w:t>methods.</w:t>
            </w:r>
          </w:p>
          <w:p w:rsidR="000F1F05" w:rsidRDefault="00B44DD8">
            <w:pPr>
              <w:pStyle w:val="TableParagraph"/>
              <w:numPr>
                <w:ilvl w:val="0"/>
                <w:numId w:val="1"/>
              </w:numPr>
              <w:tabs>
                <w:tab w:val="left" w:pos="466"/>
              </w:tabs>
              <w:spacing w:before="70"/>
              <w:rPr>
                <w:sz w:val="20"/>
              </w:rPr>
            </w:pPr>
            <w:r>
              <w:rPr>
                <w:sz w:val="20"/>
              </w:rPr>
              <w:t>Greater transparency and accountability on the part of the</w:t>
            </w:r>
            <w:r>
              <w:rPr>
                <w:spacing w:val="-9"/>
                <w:sz w:val="20"/>
              </w:rPr>
              <w:t xml:space="preserve"> </w:t>
            </w:r>
            <w:r>
              <w:rPr>
                <w:sz w:val="20"/>
              </w:rPr>
              <w:t>Government.</w:t>
            </w:r>
          </w:p>
        </w:tc>
        <w:tc>
          <w:tcPr>
            <w:tcW w:w="5814" w:type="dxa"/>
            <w:shd w:val="clear" w:color="auto" w:fill="BCD5ED"/>
          </w:tcPr>
          <w:p w:rsidR="000F1F05" w:rsidRDefault="00B44DD8">
            <w:pPr>
              <w:pStyle w:val="TableParagraph"/>
              <w:spacing w:before="66" w:line="252" w:lineRule="auto"/>
              <w:ind w:left="104" w:right="149"/>
              <w:rPr>
                <w:sz w:val="20"/>
              </w:rPr>
            </w:pPr>
            <w:r>
              <w:rPr>
                <w:b/>
                <w:sz w:val="20"/>
              </w:rPr>
              <w:t xml:space="preserve">Note work </w:t>
            </w:r>
            <w:r>
              <w:rPr>
                <w:b/>
                <w:sz w:val="20"/>
              </w:rPr>
              <w:t xml:space="preserve">already underway </w:t>
            </w:r>
            <w:r>
              <w:rPr>
                <w:sz w:val="20"/>
              </w:rPr>
              <w:t>– officials have provided Ministers with a public engagement framework which incorporates the principles recommended by the TWG. Ministers are considering releasing this framework for public feedback.</w:t>
            </w:r>
          </w:p>
        </w:tc>
      </w:tr>
      <w:tr w:rsidR="000F1F05">
        <w:trPr>
          <w:trHeight w:val="840"/>
        </w:trPr>
        <w:tc>
          <w:tcPr>
            <w:tcW w:w="706" w:type="dxa"/>
          </w:tcPr>
          <w:p w:rsidR="000F1F05" w:rsidRDefault="00B44DD8">
            <w:pPr>
              <w:pStyle w:val="TableParagraph"/>
              <w:rPr>
                <w:sz w:val="20"/>
              </w:rPr>
            </w:pPr>
            <w:r>
              <w:rPr>
                <w:sz w:val="20"/>
              </w:rPr>
              <w:t>76</w:t>
            </w:r>
          </w:p>
        </w:tc>
        <w:tc>
          <w:tcPr>
            <w:tcW w:w="8649" w:type="dxa"/>
          </w:tcPr>
          <w:p w:rsidR="000F1F05" w:rsidRDefault="00B44DD8">
            <w:pPr>
              <w:pStyle w:val="TableParagraph"/>
              <w:spacing w:line="249" w:lineRule="auto"/>
              <w:ind w:left="107" w:right="175"/>
              <w:rPr>
                <w:sz w:val="20"/>
              </w:rPr>
            </w:pPr>
            <w:r>
              <w:rPr>
                <w:sz w:val="20"/>
              </w:rPr>
              <w:t>The TWG notes the need for the Treasury to play a strong role in tax policy development, and the importance of Inland Revenue maintaining deep technical expertise and strategic policy capability.</w:t>
            </w:r>
          </w:p>
        </w:tc>
        <w:tc>
          <w:tcPr>
            <w:tcW w:w="5814" w:type="dxa"/>
            <w:shd w:val="clear" w:color="auto" w:fill="BCD5ED"/>
          </w:tcPr>
          <w:p w:rsidR="000F1F05" w:rsidRDefault="00B44DD8">
            <w:pPr>
              <w:pStyle w:val="TableParagraph"/>
              <w:spacing w:before="67" w:line="252" w:lineRule="auto"/>
              <w:ind w:left="104" w:right="234"/>
              <w:jc w:val="both"/>
              <w:rPr>
                <w:sz w:val="20"/>
              </w:rPr>
            </w:pPr>
            <w:r>
              <w:rPr>
                <w:b/>
                <w:sz w:val="20"/>
              </w:rPr>
              <w:t xml:space="preserve">Note work already underway </w:t>
            </w:r>
            <w:r>
              <w:rPr>
                <w:sz w:val="20"/>
              </w:rPr>
              <w:t xml:space="preserve">– Inland Revenue continues to be </w:t>
            </w:r>
            <w:r>
              <w:rPr>
                <w:sz w:val="20"/>
              </w:rPr>
              <w:t>committed to investing in the technical skills and capability of their investigation staff.</w:t>
            </w:r>
          </w:p>
        </w:tc>
      </w:tr>
      <w:tr w:rsidR="000F1F05">
        <w:trPr>
          <w:trHeight w:val="491"/>
        </w:trPr>
        <w:tc>
          <w:tcPr>
            <w:tcW w:w="15169" w:type="dxa"/>
            <w:gridSpan w:val="3"/>
          </w:tcPr>
          <w:p w:rsidR="000F1F05" w:rsidRDefault="00B44DD8">
            <w:pPr>
              <w:pStyle w:val="TableParagraph"/>
              <w:spacing w:before="115"/>
              <w:rPr>
                <w:b/>
              </w:rPr>
            </w:pPr>
            <w:r>
              <w:rPr>
                <w:b/>
              </w:rPr>
              <w:t>Legislative frameworks</w:t>
            </w:r>
          </w:p>
        </w:tc>
      </w:tr>
      <w:tr w:rsidR="000F1F05">
        <w:trPr>
          <w:trHeight w:val="359"/>
        </w:trPr>
        <w:tc>
          <w:tcPr>
            <w:tcW w:w="706" w:type="dxa"/>
          </w:tcPr>
          <w:p w:rsidR="000F1F05" w:rsidRDefault="00B44DD8">
            <w:pPr>
              <w:pStyle w:val="TableParagraph"/>
              <w:rPr>
                <w:sz w:val="20"/>
              </w:rPr>
            </w:pPr>
            <w:r>
              <w:rPr>
                <w:sz w:val="20"/>
              </w:rPr>
              <w:t>77a</w:t>
            </w:r>
          </w:p>
        </w:tc>
        <w:tc>
          <w:tcPr>
            <w:tcW w:w="8649" w:type="dxa"/>
          </w:tcPr>
          <w:p w:rsidR="000F1F05" w:rsidRDefault="00B44DD8">
            <w:pPr>
              <w:pStyle w:val="TableParagraph"/>
              <w:ind w:left="107"/>
              <w:rPr>
                <w:sz w:val="20"/>
              </w:rPr>
            </w:pPr>
            <w:r>
              <w:rPr>
                <w:sz w:val="20"/>
              </w:rPr>
              <w:t>The TWG encourages the continuing use of purpose clauses where appropriate.</w:t>
            </w:r>
          </w:p>
        </w:tc>
        <w:tc>
          <w:tcPr>
            <w:tcW w:w="5814" w:type="dxa"/>
            <w:shd w:val="clear" w:color="auto" w:fill="D9D9D9"/>
          </w:tcPr>
          <w:p w:rsidR="000F1F05" w:rsidRDefault="00B44DD8">
            <w:pPr>
              <w:pStyle w:val="TableParagraph"/>
              <w:spacing w:before="66"/>
              <w:ind w:left="104"/>
              <w:rPr>
                <w:b/>
                <w:sz w:val="20"/>
              </w:rPr>
            </w:pPr>
            <w:r>
              <w:rPr>
                <w:b/>
                <w:sz w:val="20"/>
              </w:rPr>
              <w:t>Agree no further work required</w:t>
            </w:r>
          </w:p>
        </w:tc>
      </w:tr>
      <w:tr w:rsidR="000F1F05">
        <w:trPr>
          <w:trHeight w:val="602"/>
        </w:trPr>
        <w:tc>
          <w:tcPr>
            <w:tcW w:w="706" w:type="dxa"/>
          </w:tcPr>
          <w:p w:rsidR="000F1F05" w:rsidRDefault="00B44DD8">
            <w:pPr>
              <w:pStyle w:val="TableParagraph"/>
              <w:spacing w:before="71"/>
              <w:rPr>
                <w:sz w:val="20"/>
              </w:rPr>
            </w:pPr>
            <w:r>
              <w:rPr>
                <w:sz w:val="20"/>
              </w:rPr>
              <w:t>77b</w:t>
            </w:r>
          </w:p>
        </w:tc>
        <w:tc>
          <w:tcPr>
            <w:tcW w:w="8649" w:type="dxa"/>
          </w:tcPr>
          <w:p w:rsidR="000F1F05" w:rsidRDefault="00B44DD8">
            <w:pPr>
              <w:pStyle w:val="TableParagraph"/>
              <w:spacing w:before="71" w:line="249" w:lineRule="auto"/>
              <w:ind w:left="107"/>
              <w:rPr>
                <w:sz w:val="20"/>
              </w:rPr>
            </w:pPr>
            <w:r>
              <w:rPr>
                <w:sz w:val="20"/>
              </w:rPr>
              <w:t>Include an overriding purpose clause in the Tax Administration Act 1994 to specify Parliament’s purpose in levying taxation.</w:t>
            </w:r>
          </w:p>
        </w:tc>
        <w:tc>
          <w:tcPr>
            <w:tcW w:w="5814" w:type="dxa"/>
            <w:shd w:val="clear" w:color="auto" w:fill="D9D9D9"/>
          </w:tcPr>
          <w:p w:rsidR="000F1F05" w:rsidRDefault="00B44DD8">
            <w:pPr>
              <w:pStyle w:val="TableParagraph"/>
              <w:ind w:left="104"/>
              <w:rPr>
                <w:b/>
                <w:sz w:val="20"/>
              </w:rPr>
            </w:pPr>
            <w:r>
              <w:rPr>
                <w:b/>
                <w:sz w:val="20"/>
              </w:rPr>
              <w:t>Agree no further work required</w:t>
            </w:r>
          </w:p>
        </w:tc>
      </w:tr>
      <w:tr w:rsidR="000F1F05">
        <w:trPr>
          <w:trHeight w:val="492"/>
        </w:trPr>
        <w:tc>
          <w:tcPr>
            <w:tcW w:w="15169" w:type="dxa"/>
            <w:gridSpan w:val="3"/>
          </w:tcPr>
          <w:p w:rsidR="000F1F05" w:rsidRDefault="00B44DD8">
            <w:pPr>
              <w:pStyle w:val="TableParagraph"/>
              <w:spacing w:before="115"/>
              <w:rPr>
                <w:b/>
              </w:rPr>
            </w:pPr>
            <w:r>
              <w:rPr>
                <w:b/>
              </w:rPr>
              <w:t>Charities</w:t>
            </w:r>
          </w:p>
        </w:tc>
      </w:tr>
      <w:tr w:rsidR="000F1F05">
        <w:trPr>
          <w:trHeight w:val="1619"/>
        </w:trPr>
        <w:tc>
          <w:tcPr>
            <w:tcW w:w="706" w:type="dxa"/>
          </w:tcPr>
          <w:p w:rsidR="000F1F05" w:rsidRDefault="00B44DD8">
            <w:pPr>
              <w:pStyle w:val="TableParagraph"/>
              <w:rPr>
                <w:sz w:val="20"/>
              </w:rPr>
            </w:pPr>
            <w:r>
              <w:rPr>
                <w:sz w:val="20"/>
              </w:rPr>
              <w:t>78</w:t>
            </w:r>
          </w:p>
        </w:tc>
        <w:tc>
          <w:tcPr>
            <w:tcW w:w="8649" w:type="dxa"/>
          </w:tcPr>
          <w:p w:rsidR="000F1F05" w:rsidRDefault="00B44DD8">
            <w:pPr>
              <w:pStyle w:val="TableParagraph"/>
              <w:spacing w:line="249" w:lineRule="auto"/>
              <w:ind w:left="107"/>
              <w:rPr>
                <w:sz w:val="20"/>
              </w:rPr>
            </w:pPr>
            <w:r>
              <w:rPr>
                <w:sz w:val="20"/>
              </w:rPr>
              <w:t>Periodically review the charitable sector’s use of what would otherwise be tax revenue to verify that intended social outcomes are being achieved.</w:t>
            </w:r>
          </w:p>
        </w:tc>
        <w:tc>
          <w:tcPr>
            <w:tcW w:w="5814" w:type="dxa"/>
            <w:shd w:val="clear" w:color="auto" w:fill="BCD5ED"/>
          </w:tcPr>
          <w:p w:rsidR="000F1F05" w:rsidRDefault="00B44DD8">
            <w:pPr>
              <w:pStyle w:val="TableParagraph"/>
              <w:spacing w:before="66" w:line="252" w:lineRule="auto"/>
              <w:ind w:left="104" w:right="148"/>
              <w:rPr>
                <w:sz w:val="20"/>
              </w:rPr>
            </w:pPr>
            <w:r>
              <w:rPr>
                <w:b/>
                <w:sz w:val="20"/>
              </w:rPr>
              <w:t xml:space="preserve">Note work already underway </w:t>
            </w:r>
            <w:r>
              <w:rPr>
                <w:sz w:val="20"/>
              </w:rPr>
              <w:t>– the Government added a review of charities and non-profit organisations to the TPWP in 2018.</w:t>
            </w:r>
          </w:p>
          <w:p w:rsidR="000F1F05" w:rsidRDefault="00B44DD8">
            <w:pPr>
              <w:pStyle w:val="TableParagraph"/>
              <w:spacing w:before="58" w:line="249" w:lineRule="auto"/>
              <w:ind w:left="104" w:right="127"/>
              <w:rPr>
                <w:sz w:val="20"/>
              </w:rPr>
            </w:pPr>
            <w:r>
              <w:rPr>
                <w:sz w:val="20"/>
              </w:rPr>
              <w:t>Department of Internal Affairs (on behalf of the Minister for the Community and Voluntary Sector), is currently modernising the Charities Act 2005.</w:t>
            </w:r>
          </w:p>
        </w:tc>
      </w:tr>
      <w:tr w:rsidR="000F1F05">
        <w:trPr>
          <w:trHeight w:val="599"/>
        </w:trPr>
        <w:tc>
          <w:tcPr>
            <w:tcW w:w="706" w:type="dxa"/>
          </w:tcPr>
          <w:p w:rsidR="000F1F05" w:rsidRDefault="00B44DD8">
            <w:pPr>
              <w:pStyle w:val="TableParagraph"/>
              <w:rPr>
                <w:sz w:val="20"/>
              </w:rPr>
            </w:pPr>
            <w:r>
              <w:rPr>
                <w:sz w:val="20"/>
              </w:rPr>
              <w:t>79</w:t>
            </w:r>
          </w:p>
        </w:tc>
        <w:tc>
          <w:tcPr>
            <w:tcW w:w="8649" w:type="dxa"/>
          </w:tcPr>
          <w:p w:rsidR="000F1F05" w:rsidRDefault="00B44DD8">
            <w:pPr>
              <w:pStyle w:val="TableParagraph"/>
              <w:spacing w:line="249" w:lineRule="auto"/>
              <w:ind w:left="107" w:right="175"/>
              <w:rPr>
                <w:sz w:val="20"/>
              </w:rPr>
            </w:pPr>
            <w:r>
              <w:rPr>
                <w:sz w:val="20"/>
              </w:rPr>
              <w:t>The TWG s</w:t>
            </w:r>
            <w:r>
              <w:rPr>
                <w:sz w:val="20"/>
              </w:rPr>
              <w:t>upports the Government’s inclusion of a review of the tax treatment of the charitable sector on its Tax Policy Work Programme, as announced in May 2018.</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on the TPWP</w:t>
            </w:r>
          </w:p>
        </w:tc>
      </w:tr>
      <w:tr w:rsidR="000F1F05">
        <w:trPr>
          <w:trHeight w:val="1320"/>
        </w:trPr>
        <w:tc>
          <w:tcPr>
            <w:tcW w:w="706" w:type="dxa"/>
          </w:tcPr>
          <w:p w:rsidR="000F1F05" w:rsidRDefault="00B44DD8">
            <w:pPr>
              <w:pStyle w:val="TableParagraph"/>
              <w:rPr>
                <w:sz w:val="20"/>
              </w:rPr>
            </w:pPr>
            <w:r>
              <w:rPr>
                <w:sz w:val="20"/>
              </w:rPr>
              <w:t>80-81</w:t>
            </w:r>
          </w:p>
        </w:tc>
        <w:tc>
          <w:tcPr>
            <w:tcW w:w="8649" w:type="dxa"/>
          </w:tcPr>
          <w:p w:rsidR="000F1F05" w:rsidRDefault="00B44DD8">
            <w:pPr>
              <w:pStyle w:val="TableParagraph"/>
              <w:spacing w:line="249" w:lineRule="auto"/>
              <w:ind w:left="107" w:right="163"/>
              <w:rPr>
                <w:sz w:val="20"/>
              </w:rPr>
            </w:pPr>
            <w:r>
              <w:rPr>
                <w:sz w:val="20"/>
              </w:rPr>
              <w:t>The TWG notes the income tax exemption for charitable entities’ trading operations was perceived by some submitters to provide an unfair advantage over commercial entities’ trading operations. The TWG notes, however, that the underlying issue is the extent</w:t>
            </w:r>
            <w:r>
              <w:rPr>
                <w:sz w:val="20"/>
              </w:rPr>
              <w:t xml:space="preserve"> to which charitable entities are accumulating surpluses rather than distributing or applying those surpluses for the benefit of their charitable activities.</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see rec 78</w:t>
            </w:r>
          </w:p>
        </w:tc>
      </w:tr>
      <w:tr w:rsidR="000F1F05">
        <w:trPr>
          <w:trHeight w:val="599"/>
        </w:trPr>
        <w:tc>
          <w:tcPr>
            <w:tcW w:w="706" w:type="dxa"/>
          </w:tcPr>
          <w:p w:rsidR="000F1F05" w:rsidRDefault="00B44DD8">
            <w:pPr>
              <w:pStyle w:val="TableParagraph"/>
              <w:rPr>
                <w:sz w:val="20"/>
              </w:rPr>
            </w:pPr>
            <w:r>
              <w:rPr>
                <w:sz w:val="20"/>
              </w:rPr>
              <w:t>82</w:t>
            </w:r>
          </w:p>
        </w:tc>
        <w:tc>
          <w:tcPr>
            <w:tcW w:w="8649" w:type="dxa"/>
          </w:tcPr>
          <w:p w:rsidR="000F1F05" w:rsidRDefault="00B44DD8">
            <w:pPr>
              <w:pStyle w:val="TableParagraph"/>
              <w:spacing w:line="249" w:lineRule="auto"/>
              <w:ind w:left="107" w:right="879"/>
              <w:rPr>
                <w:sz w:val="20"/>
              </w:rPr>
            </w:pPr>
            <w:r>
              <w:rPr>
                <w:sz w:val="20"/>
              </w:rPr>
              <w:t>Consider whether New Zealand should apply a distinction between privately-controlled foundations and other charitable organisations</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(DIA)</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839"/>
        </w:trPr>
        <w:tc>
          <w:tcPr>
            <w:tcW w:w="706" w:type="dxa"/>
          </w:tcPr>
          <w:p w:rsidR="000F1F05" w:rsidRDefault="00B44DD8">
            <w:pPr>
              <w:pStyle w:val="TableParagraph"/>
              <w:spacing w:before="129"/>
              <w:rPr>
                <w:sz w:val="20"/>
              </w:rPr>
            </w:pPr>
            <w:r>
              <w:rPr>
                <w:sz w:val="20"/>
              </w:rPr>
              <w:t>83</w:t>
            </w:r>
          </w:p>
        </w:tc>
        <w:tc>
          <w:tcPr>
            <w:tcW w:w="8649" w:type="dxa"/>
          </w:tcPr>
          <w:p w:rsidR="000F1F05" w:rsidRDefault="00B44DD8">
            <w:pPr>
              <w:pStyle w:val="TableParagraph"/>
              <w:spacing w:line="249" w:lineRule="auto"/>
              <w:ind w:left="107" w:right="175"/>
              <w:rPr>
                <w:sz w:val="20"/>
              </w:rPr>
            </w:pPr>
            <w:r>
              <w:rPr>
                <w:sz w:val="20"/>
              </w:rPr>
              <w:t xml:space="preserve">Consider whether the deregistration tax rules could be amended to more effectively keep assets in the </w:t>
            </w:r>
            <w:proofErr w:type="gramStart"/>
            <w:r>
              <w:rPr>
                <w:sz w:val="20"/>
              </w:rPr>
              <w:t>sector, or</w:t>
            </w:r>
            <w:proofErr w:type="gramEnd"/>
            <w:r>
              <w:rPr>
                <w:sz w:val="20"/>
              </w:rPr>
              <w:t xml:space="preserve"> ensure that there is no deferral benefit through the application of these rules.</w:t>
            </w:r>
          </w:p>
        </w:tc>
        <w:tc>
          <w:tcPr>
            <w:tcW w:w="5814" w:type="dxa"/>
            <w:shd w:val="clear" w:color="auto" w:fill="BCD5ED"/>
          </w:tcPr>
          <w:p w:rsidR="000F1F05" w:rsidRDefault="00B44DD8">
            <w:pPr>
              <w:pStyle w:val="TableParagraph"/>
              <w:spacing w:before="66"/>
              <w:ind w:left="104"/>
              <w:rPr>
                <w:sz w:val="20"/>
              </w:rPr>
            </w:pPr>
            <w:r>
              <w:rPr>
                <w:b/>
                <w:sz w:val="20"/>
              </w:rPr>
              <w:t xml:space="preserve">Note work already underway </w:t>
            </w:r>
            <w:r>
              <w:rPr>
                <w:sz w:val="20"/>
              </w:rPr>
              <w:t>– on the TPWP</w:t>
            </w:r>
          </w:p>
        </w:tc>
      </w:tr>
      <w:tr w:rsidR="000F1F05">
        <w:trPr>
          <w:trHeight w:val="839"/>
        </w:trPr>
        <w:tc>
          <w:tcPr>
            <w:tcW w:w="706" w:type="dxa"/>
          </w:tcPr>
          <w:p w:rsidR="000F1F05" w:rsidRDefault="00B44DD8">
            <w:pPr>
              <w:pStyle w:val="TableParagraph"/>
              <w:rPr>
                <w:sz w:val="20"/>
              </w:rPr>
            </w:pPr>
            <w:r>
              <w:rPr>
                <w:sz w:val="20"/>
              </w:rPr>
              <w:t>84</w:t>
            </w:r>
          </w:p>
        </w:tc>
        <w:tc>
          <w:tcPr>
            <w:tcW w:w="8649" w:type="dxa"/>
          </w:tcPr>
          <w:p w:rsidR="000F1F05" w:rsidRDefault="00B44DD8">
            <w:pPr>
              <w:pStyle w:val="TableParagraph"/>
              <w:spacing w:line="249" w:lineRule="auto"/>
              <w:ind w:left="107" w:right="175"/>
              <w:rPr>
                <w:sz w:val="20"/>
              </w:rPr>
            </w:pPr>
            <w:r>
              <w:rPr>
                <w:sz w:val="20"/>
              </w:rPr>
              <w:t>Review whether it is appropriate to treat some not-for-profit organisations as if they were final consumers, or, alternatively, whether it is appropriate to limit GST concessions to a smaller group of non-profit bodies such as registered charities.</w:t>
            </w:r>
          </w:p>
        </w:tc>
        <w:tc>
          <w:tcPr>
            <w:tcW w:w="5814" w:type="dxa"/>
            <w:shd w:val="clear" w:color="auto" w:fill="FFE499"/>
          </w:tcPr>
          <w:p w:rsidR="000F1F05" w:rsidRDefault="00B44DD8">
            <w:pPr>
              <w:pStyle w:val="TableParagraph"/>
              <w:spacing w:before="66"/>
              <w:ind w:left="104"/>
              <w:rPr>
                <w:sz w:val="20"/>
              </w:rPr>
            </w:pPr>
            <w:r>
              <w:rPr>
                <w:b/>
                <w:sz w:val="20"/>
              </w:rPr>
              <w:t>Conside</w:t>
            </w:r>
            <w:r>
              <w:rPr>
                <w:b/>
                <w:sz w:val="20"/>
              </w:rPr>
              <w:t xml:space="preserve">r for inclusion on work programme </w:t>
            </w:r>
            <w:r>
              <w:rPr>
                <w:sz w:val="20"/>
              </w:rPr>
              <w:t>(TPWP)</w:t>
            </w:r>
          </w:p>
        </w:tc>
      </w:tr>
      <w:tr w:rsidR="000F1F05">
        <w:trPr>
          <w:trHeight w:val="839"/>
        </w:trPr>
        <w:tc>
          <w:tcPr>
            <w:tcW w:w="706" w:type="dxa"/>
          </w:tcPr>
          <w:p w:rsidR="000F1F05" w:rsidRDefault="00B44DD8">
            <w:pPr>
              <w:pStyle w:val="TableParagraph"/>
              <w:rPr>
                <w:sz w:val="20"/>
              </w:rPr>
            </w:pPr>
            <w:r>
              <w:rPr>
                <w:sz w:val="20"/>
              </w:rPr>
              <w:t>85</w:t>
            </w:r>
          </w:p>
        </w:tc>
        <w:tc>
          <w:tcPr>
            <w:tcW w:w="8649" w:type="dxa"/>
          </w:tcPr>
          <w:p w:rsidR="000F1F05" w:rsidRDefault="00B44DD8">
            <w:pPr>
              <w:pStyle w:val="TableParagraph"/>
              <w:spacing w:line="249" w:lineRule="auto"/>
              <w:ind w:left="107"/>
              <w:rPr>
                <w:sz w:val="20"/>
              </w:rPr>
            </w:pPr>
            <w:r>
              <w:rPr>
                <w:sz w:val="20"/>
              </w:rPr>
              <w:t>Consider whether the issues identified by the TWG in relation to charities have been fully addressed or whether further action is required, following the conclusion of the review of the Charities Act 2005.</w:t>
            </w:r>
          </w:p>
        </w:tc>
        <w:tc>
          <w:tcPr>
            <w:tcW w:w="5814" w:type="dxa"/>
            <w:shd w:val="clear" w:color="auto" w:fill="FFE499"/>
          </w:tcPr>
          <w:p w:rsidR="000F1F05" w:rsidRDefault="00B44DD8">
            <w:pPr>
              <w:pStyle w:val="TableParagraph"/>
              <w:spacing w:before="66"/>
              <w:ind w:left="104"/>
              <w:rPr>
                <w:sz w:val="20"/>
              </w:rPr>
            </w:pPr>
            <w:r>
              <w:rPr>
                <w:b/>
                <w:sz w:val="20"/>
              </w:rPr>
              <w:t xml:space="preserve">Consider for inclusion on work programme </w:t>
            </w:r>
            <w:r>
              <w:rPr>
                <w:sz w:val="20"/>
              </w:rPr>
              <w:t>(TPWP)</w:t>
            </w:r>
          </w:p>
        </w:tc>
      </w:tr>
      <w:tr w:rsidR="000F1F05">
        <w:trPr>
          <w:trHeight w:val="492"/>
        </w:trPr>
        <w:tc>
          <w:tcPr>
            <w:tcW w:w="15169" w:type="dxa"/>
            <w:gridSpan w:val="3"/>
          </w:tcPr>
          <w:p w:rsidR="000F1F05" w:rsidRDefault="00B44DD8">
            <w:pPr>
              <w:pStyle w:val="TableParagraph"/>
              <w:spacing w:before="115"/>
              <w:rPr>
                <w:b/>
              </w:rPr>
            </w:pPr>
            <w:r>
              <w:rPr>
                <w:b/>
              </w:rPr>
              <w:t>GST and financial transactions tax</w:t>
            </w:r>
          </w:p>
        </w:tc>
      </w:tr>
      <w:tr w:rsidR="000F1F05">
        <w:trPr>
          <w:trHeight w:val="359"/>
        </w:trPr>
        <w:tc>
          <w:tcPr>
            <w:tcW w:w="706" w:type="dxa"/>
          </w:tcPr>
          <w:p w:rsidR="000F1F05" w:rsidRDefault="00B44DD8">
            <w:pPr>
              <w:pStyle w:val="TableParagraph"/>
              <w:rPr>
                <w:sz w:val="20"/>
              </w:rPr>
            </w:pPr>
            <w:r>
              <w:rPr>
                <w:sz w:val="20"/>
              </w:rPr>
              <w:t>86</w:t>
            </w:r>
          </w:p>
        </w:tc>
        <w:tc>
          <w:tcPr>
            <w:tcW w:w="8649" w:type="dxa"/>
          </w:tcPr>
          <w:p w:rsidR="000F1F05" w:rsidRDefault="00B44DD8">
            <w:pPr>
              <w:pStyle w:val="TableParagraph"/>
              <w:ind w:left="107"/>
              <w:rPr>
                <w:sz w:val="20"/>
              </w:rPr>
            </w:pPr>
            <w:r>
              <w:rPr>
                <w:sz w:val="20"/>
              </w:rPr>
              <w:t>No reduction in the GST rate.</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362"/>
        </w:trPr>
        <w:tc>
          <w:tcPr>
            <w:tcW w:w="706" w:type="dxa"/>
          </w:tcPr>
          <w:p w:rsidR="000F1F05" w:rsidRDefault="00B44DD8">
            <w:pPr>
              <w:pStyle w:val="TableParagraph"/>
              <w:spacing w:before="71"/>
              <w:rPr>
                <w:sz w:val="20"/>
              </w:rPr>
            </w:pPr>
            <w:r>
              <w:rPr>
                <w:sz w:val="20"/>
              </w:rPr>
              <w:t>87</w:t>
            </w:r>
          </w:p>
        </w:tc>
        <w:tc>
          <w:tcPr>
            <w:tcW w:w="8649" w:type="dxa"/>
          </w:tcPr>
          <w:p w:rsidR="000F1F05" w:rsidRDefault="00B44DD8">
            <w:pPr>
              <w:pStyle w:val="TableParagraph"/>
              <w:spacing w:before="71"/>
              <w:ind w:left="107"/>
              <w:rPr>
                <w:sz w:val="20"/>
              </w:rPr>
            </w:pPr>
            <w:r>
              <w:rPr>
                <w:sz w:val="20"/>
              </w:rPr>
              <w:t>No introduction of exemptions to GST.</w:t>
            </w:r>
          </w:p>
        </w:tc>
        <w:tc>
          <w:tcPr>
            <w:tcW w:w="5814" w:type="dxa"/>
            <w:shd w:val="clear" w:color="auto" w:fill="C5DFB3"/>
          </w:tcPr>
          <w:p w:rsidR="000F1F05" w:rsidRDefault="00B44DD8">
            <w:pPr>
              <w:pStyle w:val="TableParagraph"/>
              <w:ind w:left="104"/>
              <w:rPr>
                <w:b/>
                <w:sz w:val="20"/>
              </w:rPr>
            </w:pPr>
            <w:r>
              <w:rPr>
                <w:b/>
                <w:sz w:val="20"/>
              </w:rPr>
              <w:t>Endorse the TWG recommendation</w:t>
            </w:r>
          </w:p>
        </w:tc>
      </w:tr>
      <w:tr w:rsidR="000F1F05">
        <w:trPr>
          <w:trHeight w:val="599"/>
        </w:trPr>
        <w:tc>
          <w:tcPr>
            <w:tcW w:w="706" w:type="dxa"/>
          </w:tcPr>
          <w:p w:rsidR="000F1F05" w:rsidRDefault="00B44DD8">
            <w:pPr>
              <w:pStyle w:val="TableParagraph"/>
              <w:rPr>
                <w:sz w:val="20"/>
              </w:rPr>
            </w:pPr>
            <w:r>
              <w:rPr>
                <w:sz w:val="20"/>
              </w:rPr>
              <w:t>88</w:t>
            </w:r>
          </w:p>
        </w:tc>
        <w:tc>
          <w:tcPr>
            <w:tcW w:w="8649" w:type="dxa"/>
          </w:tcPr>
          <w:p w:rsidR="000F1F05" w:rsidRDefault="00B44DD8">
            <w:pPr>
              <w:pStyle w:val="TableParagraph"/>
              <w:spacing w:line="249" w:lineRule="auto"/>
              <w:ind w:left="107"/>
              <w:rPr>
                <w:sz w:val="20"/>
              </w:rPr>
            </w:pPr>
            <w:r>
              <w:rPr>
                <w:sz w:val="20"/>
              </w:rPr>
              <w:t>The Government should monitor international developments in the area of applying GST to financial services.</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359"/>
        </w:trPr>
        <w:tc>
          <w:tcPr>
            <w:tcW w:w="706" w:type="dxa"/>
          </w:tcPr>
          <w:p w:rsidR="000F1F05" w:rsidRDefault="00B44DD8">
            <w:pPr>
              <w:pStyle w:val="TableParagraph"/>
              <w:rPr>
                <w:sz w:val="20"/>
              </w:rPr>
            </w:pPr>
            <w:r>
              <w:rPr>
                <w:sz w:val="20"/>
              </w:rPr>
              <w:t>89</w:t>
            </w:r>
          </w:p>
        </w:tc>
        <w:tc>
          <w:tcPr>
            <w:tcW w:w="8649" w:type="dxa"/>
          </w:tcPr>
          <w:p w:rsidR="000F1F05" w:rsidRDefault="00B44DD8">
            <w:pPr>
              <w:pStyle w:val="TableParagraph"/>
              <w:ind w:left="107"/>
              <w:rPr>
                <w:sz w:val="20"/>
              </w:rPr>
            </w:pPr>
            <w:r>
              <w:rPr>
                <w:sz w:val="20"/>
              </w:rPr>
              <w:t>No application of GST to explicit fees charged for financial services.</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359"/>
        </w:trPr>
        <w:tc>
          <w:tcPr>
            <w:tcW w:w="706" w:type="dxa"/>
          </w:tcPr>
          <w:p w:rsidR="000F1F05" w:rsidRDefault="00B44DD8">
            <w:pPr>
              <w:pStyle w:val="TableParagraph"/>
              <w:rPr>
                <w:sz w:val="20"/>
              </w:rPr>
            </w:pPr>
            <w:r>
              <w:rPr>
                <w:sz w:val="20"/>
              </w:rPr>
              <w:t>90</w:t>
            </w:r>
          </w:p>
        </w:tc>
        <w:tc>
          <w:tcPr>
            <w:tcW w:w="8649" w:type="dxa"/>
          </w:tcPr>
          <w:p w:rsidR="000F1F05" w:rsidRDefault="00B44DD8">
            <w:pPr>
              <w:pStyle w:val="TableParagraph"/>
              <w:ind w:left="107"/>
              <w:rPr>
                <w:sz w:val="20"/>
              </w:rPr>
            </w:pPr>
            <w:r>
              <w:rPr>
                <w:sz w:val="20"/>
              </w:rPr>
              <w:t>No financial transactions tax at this point in time.</w:t>
            </w:r>
          </w:p>
        </w:tc>
        <w:tc>
          <w:tcPr>
            <w:tcW w:w="5814" w:type="dxa"/>
            <w:shd w:val="clear" w:color="auto" w:fill="C5DFB3"/>
          </w:tcPr>
          <w:p w:rsidR="000F1F05" w:rsidRDefault="00B44DD8">
            <w:pPr>
              <w:pStyle w:val="TableParagraph"/>
              <w:spacing w:before="66"/>
              <w:ind w:left="104"/>
              <w:rPr>
                <w:b/>
                <w:sz w:val="20"/>
              </w:rPr>
            </w:pPr>
            <w:r>
              <w:rPr>
                <w:b/>
                <w:sz w:val="20"/>
              </w:rPr>
              <w:t>Endorse the TWG recommendation</w:t>
            </w:r>
          </w:p>
        </w:tc>
      </w:tr>
      <w:tr w:rsidR="000F1F05">
        <w:trPr>
          <w:trHeight w:val="974"/>
        </w:trPr>
        <w:tc>
          <w:tcPr>
            <w:tcW w:w="706" w:type="dxa"/>
          </w:tcPr>
          <w:p w:rsidR="000F1F05" w:rsidRDefault="00B44DD8">
            <w:pPr>
              <w:pStyle w:val="TableParagraph"/>
              <w:rPr>
                <w:sz w:val="20"/>
              </w:rPr>
            </w:pPr>
            <w:r>
              <w:rPr>
                <w:sz w:val="20"/>
              </w:rPr>
              <w:t>91</w:t>
            </w:r>
          </w:p>
        </w:tc>
        <w:tc>
          <w:tcPr>
            <w:tcW w:w="8649" w:type="dxa"/>
          </w:tcPr>
          <w:p w:rsidR="000F1F05" w:rsidRDefault="00B44DD8">
            <w:pPr>
              <w:pStyle w:val="TableParagraph"/>
              <w:spacing w:line="249" w:lineRule="auto"/>
              <w:ind w:left="107" w:right="209"/>
              <w:jc w:val="both"/>
              <w:rPr>
                <w:sz w:val="20"/>
              </w:rPr>
            </w:pPr>
            <w:r>
              <w:rPr>
                <w:sz w:val="20"/>
              </w:rPr>
              <w:t>The TWG has already reported to Ministers on the issue of GST on low-value imported goods, and the Government recently introduced legislation in December 2018 advancing</w:t>
            </w:r>
            <w:r>
              <w:rPr>
                <w:sz w:val="20"/>
              </w:rPr>
              <w:t xml:space="preserve"> proposals to address the issue.</w:t>
            </w:r>
          </w:p>
        </w:tc>
        <w:tc>
          <w:tcPr>
            <w:tcW w:w="5814" w:type="dxa"/>
            <w:shd w:val="clear" w:color="auto" w:fill="BCD5ED"/>
          </w:tcPr>
          <w:p w:rsidR="000F1F05" w:rsidRDefault="00B44DD8">
            <w:pPr>
              <w:pStyle w:val="TableParagraph"/>
              <w:spacing w:before="67" w:line="252" w:lineRule="auto"/>
              <w:ind w:left="104" w:right="347"/>
              <w:rPr>
                <w:sz w:val="20"/>
              </w:rPr>
            </w:pPr>
            <w:r>
              <w:rPr>
                <w:b/>
                <w:sz w:val="20"/>
              </w:rPr>
              <w:t xml:space="preserve">Note work already underway </w:t>
            </w:r>
            <w:r>
              <w:rPr>
                <w:sz w:val="20"/>
              </w:rPr>
              <w:t>– the Taxation (Annual Rates for 2019-20, GST Offshore Supplier Registration, and Remedial Matters) Bill was introduced in December 2018.</w:t>
            </w:r>
          </w:p>
        </w:tc>
      </w:tr>
      <w:tr w:rsidR="000F1F05">
        <w:trPr>
          <w:trHeight w:val="494"/>
        </w:trPr>
        <w:tc>
          <w:tcPr>
            <w:tcW w:w="15169" w:type="dxa"/>
            <w:gridSpan w:val="3"/>
          </w:tcPr>
          <w:p w:rsidR="000F1F05" w:rsidRDefault="00B44DD8">
            <w:pPr>
              <w:pStyle w:val="TableParagraph"/>
              <w:spacing w:before="115"/>
              <w:rPr>
                <w:b/>
              </w:rPr>
            </w:pPr>
            <w:r>
              <w:rPr>
                <w:b/>
              </w:rPr>
              <w:t>Corrective taxes</w:t>
            </w:r>
          </w:p>
        </w:tc>
      </w:tr>
      <w:tr w:rsidR="000F1F05">
        <w:trPr>
          <w:trHeight w:val="359"/>
        </w:trPr>
        <w:tc>
          <w:tcPr>
            <w:tcW w:w="706" w:type="dxa"/>
          </w:tcPr>
          <w:p w:rsidR="000F1F05" w:rsidRDefault="00B44DD8">
            <w:pPr>
              <w:pStyle w:val="TableParagraph"/>
              <w:rPr>
                <w:sz w:val="20"/>
              </w:rPr>
            </w:pPr>
            <w:r>
              <w:rPr>
                <w:sz w:val="20"/>
              </w:rPr>
              <w:t>92</w:t>
            </w:r>
          </w:p>
        </w:tc>
        <w:tc>
          <w:tcPr>
            <w:tcW w:w="8649" w:type="dxa"/>
          </w:tcPr>
          <w:p w:rsidR="000F1F05" w:rsidRDefault="00B44DD8">
            <w:pPr>
              <w:pStyle w:val="TableParagraph"/>
              <w:ind w:left="107"/>
              <w:rPr>
                <w:sz w:val="20"/>
              </w:rPr>
            </w:pPr>
            <w:r>
              <w:rPr>
                <w:sz w:val="20"/>
              </w:rPr>
              <w:t>The TWG supports developing a framework for deciding when to apply corrective taxes.</w:t>
            </w:r>
          </w:p>
        </w:tc>
        <w:tc>
          <w:tcPr>
            <w:tcW w:w="5814" w:type="dxa"/>
            <w:shd w:val="clear" w:color="auto" w:fill="D9D9D9"/>
          </w:tcPr>
          <w:p w:rsidR="000F1F05" w:rsidRDefault="00B44DD8">
            <w:pPr>
              <w:pStyle w:val="TableParagraph"/>
              <w:spacing w:before="66"/>
              <w:ind w:left="104"/>
              <w:rPr>
                <w:b/>
                <w:sz w:val="20"/>
              </w:rPr>
            </w:pPr>
            <w:r>
              <w:rPr>
                <w:b/>
                <w:sz w:val="20"/>
              </w:rPr>
              <w:t>Agree no further work required</w:t>
            </w:r>
          </w:p>
        </w:tc>
      </w:tr>
      <w:tr w:rsidR="000F1F05">
        <w:trPr>
          <w:trHeight w:val="599"/>
        </w:trPr>
        <w:tc>
          <w:tcPr>
            <w:tcW w:w="706" w:type="dxa"/>
          </w:tcPr>
          <w:p w:rsidR="000F1F05" w:rsidRDefault="00B44DD8">
            <w:pPr>
              <w:pStyle w:val="TableParagraph"/>
              <w:rPr>
                <w:sz w:val="20"/>
              </w:rPr>
            </w:pPr>
            <w:r>
              <w:rPr>
                <w:sz w:val="20"/>
              </w:rPr>
              <w:t>93</w:t>
            </w:r>
          </w:p>
        </w:tc>
        <w:tc>
          <w:tcPr>
            <w:tcW w:w="8649" w:type="dxa"/>
          </w:tcPr>
          <w:p w:rsidR="000F1F05" w:rsidRDefault="00B44DD8">
            <w:pPr>
              <w:pStyle w:val="TableParagraph"/>
              <w:spacing w:line="249" w:lineRule="auto"/>
              <w:ind w:left="107" w:right="90"/>
              <w:rPr>
                <w:sz w:val="20"/>
              </w:rPr>
            </w:pPr>
            <w:r>
              <w:rPr>
                <w:sz w:val="20"/>
              </w:rPr>
              <w:t>Review the rate structure of the alcohol excise with the intention of rationalising and simplifying it.</w:t>
            </w:r>
          </w:p>
        </w:tc>
        <w:tc>
          <w:tcPr>
            <w:tcW w:w="5814" w:type="dxa"/>
            <w:shd w:val="clear" w:color="auto" w:fill="D9D9D9"/>
          </w:tcPr>
          <w:p w:rsidR="000F1F05" w:rsidRDefault="00B44DD8">
            <w:pPr>
              <w:pStyle w:val="TableParagraph"/>
              <w:spacing w:before="66"/>
              <w:ind w:left="104"/>
              <w:rPr>
                <w:b/>
                <w:sz w:val="20"/>
              </w:rPr>
            </w:pPr>
            <w:r>
              <w:rPr>
                <w:b/>
                <w:sz w:val="20"/>
              </w:rPr>
              <w:t>Agree no further work required</w:t>
            </w:r>
          </w:p>
        </w:tc>
      </w:tr>
      <w:tr w:rsidR="000F1F05">
        <w:trPr>
          <w:trHeight w:val="1080"/>
        </w:trPr>
        <w:tc>
          <w:tcPr>
            <w:tcW w:w="706" w:type="dxa"/>
          </w:tcPr>
          <w:p w:rsidR="000F1F05" w:rsidRDefault="00B44DD8">
            <w:pPr>
              <w:pStyle w:val="TableParagraph"/>
              <w:rPr>
                <w:sz w:val="20"/>
              </w:rPr>
            </w:pPr>
            <w:r>
              <w:rPr>
                <w:sz w:val="20"/>
              </w:rPr>
              <w:t>94</w:t>
            </w:r>
          </w:p>
        </w:tc>
        <w:tc>
          <w:tcPr>
            <w:tcW w:w="8649" w:type="dxa"/>
          </w:tcPr>
          <w:p w:rsidR="000F1F05" w:rsidRDefault="00B44DD8">
            <w:pPr>
              <w:pStyle w:val="TableParagraph"/>
              <w:spacing w:line="252" w:lineRule="auto"/>
              <w:ind w:left="107" w:right="175"/>
              <w:rPr>
                <w:sz w:val="20"/>
              </w:rPr>
            </w:pPr>
            <w:r>
              <w:rPr>
                <w:sz w:val="20"/>
              </w:rPr>
              <w:t>Prioritise other measures to help people stop smoking before considering further large increases in the tobacco excise rate beyond the increases currently scheduled.</w:t>
            </w:r>
          </w:p>
        </w:tc>
        <w:tc>
          <w:tcPr>
            <w:tcW w:w="5814" w:type="dxa"/>
            <w:shd w:val="clear" w:color="auto" w:fill="BCD5ED"/>
          </w:tcPr>
          <w:p w:rsidR="000F1F05" w:rsidRDefault="00B44DD8">
            <w:pPr>
              <w:pStyle w:val="TableParagraph"/>
              <w:spacing w:before="66" w:line="252" w:lineRule="auto"/>
              <w:ind w:left="104" w:right="304"/>
              <w:rPr>
                <w:sz w:val="20"/>
              </w:rPr>
            </w:pPr>
            <w:r>
              <w:rPr>
                <w:b/>
                <w:sz w:val="20"/>
              </w:rPr>
              <w:t xml:space="preserve">Note work already underway </w:t>
            </w:r>
            <w:r>
              <w:rPr>
                <w:sz w:val="20"/>
              </w:rPr>
              <w:t>– The Ministry of Health is leading cross-agency work on tob</w:t>
            </w:r>
            <w:r>
              <w:rPr>
                <w:sz w:val="20"/>
              </w:rPr>
              <w:t xml:space="preserve">acco policy, looking at both tax and non-tax measures to support </w:t>
            </w:r>
            <w:proofErr w:type="spellStart"/>
            <w:r>
              <w:rPr>
                <w:sz w:val="20"/>
              </w:rPr>
              <w:t>Smokefree</w:t>
            </w:r>
            <w:proofErr w:type="spellEnd"/>
            <w:r>
              <w:rPr>
                <w:sz w:val="20"/>
              </w:rPr>
              <w:t xml:space="preserve"> Aotearoa 2025.</w:t>
            </w:r>
          </w:p>
        </w:tc>
      </w:tr>
      <w:tr w:rsidR="000F1F05">
        <w:trPr>
          <w:trHeight w:val="599"/>
        </w:trPr>
        <w:tc>
          <w:tcPr>
            <w:tcW w:w="706" w:type="dxa"/>
          </w:tcPr>
          <w:p w:rsidR="000F1F05" w:rsidRDefault="00B44DD8">
            <w:pPr>
              <w:pStyle w:val="TableParagraph"/>
              <w:rPr>
                <w:sz w:val="20"/>
              </w:rPr>
            </w:pPr>
            <w:r>
              <w:rPr>
                <w:sz w:val="20"/>
              </w:rPr>
              <w:t>95</w:t>
            </w:r>
          </w:p>
        </w:tc>
        <w:tc>
          <w:tcPr>
            <w:tcW w:w="8649" w:type="dxa"/>
          </w:tcPr>
          <w:p w:rsidR="000F1F05" w:rsidRDefault="00B44DD8">
            <w:pPr>
              <w:pStyle w:val="TableParagraph"/>
              <w:spacing w:line="249" w:lineRule="auto"/>
              <w:ind w:left="107"/>
              <w:rPr>
                <w:sz w:val="20"/>
              </w:rPr>
            </w:pPr>
            <w:r>
              <w:rPr>
                <w:sz w:val="20"/>
              </w:rPr>
              <w:t>Develop a clearer articulation of the Government’s goals regarding sugar consumption and gambling activity.</w:t>
            </w:r>
          </w:p>
        </w:tc>
        <w:tc>
          <w:tcPr>
            <w:tcW w:w="5814" w:type="dxa"/>
            <w:shd w:val="clear" w:color="auto" w:fill="D9D9D9"/>
          </w:tcPr>
          <w:p w:rsidR="000F1F05" w:rsidRDefault="00B44DD8">
            <w:pPr>
              <w:pStyle w:val="TableParagraph"/>
              <w:spacing w:before="66"/>
              <w:ind w:left="104"/>
              <w:rPr>
                <w:b/>
                <w:sz w:val="20"/>
              </w:rPr>
            </w:pPr>
            <w:r>
              <w:rPr>
                <w:b/>
                <w:sz w:val="20"/>
              </w:rPr>
              <w:t>Agree no further work required</w:t>
            </w:r>
          </w:p>
        </w:tc>
      </w:tr>
    </w:tbl>
    <w:p w:rsidR="000F1F05" w:rsidRDefault="000F1F05">
      <w:pPr>
        <w:rPr>
          <w:sz w:val="20"/>
        </w:rPr>
        <w:sectPr w:rsidR="000F1F05">
          <w:pgSz w:w="16840" w:h="11910" w:orient="landscape"/>
          <w:pgMar w:top="840" w:right="700" w:bottom="580" w:left="740" w:header="0" w:footer="380" w:gutter="0"/>
          <w:cols w:space="720"/>
        </w:sectPr>
      </w:pPr>
    </w:p>
    <w:tbl>
      <w:tblPr>
        <w:tblW w:w="0" w:type="auto"/>
        <w:tblInd w:w="1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6"/>
        <w:gridCol w:w="8649"/>
        <w:gridCol w:w="5814"/>
      </w:tblGrid>
      <w:tr w:rsidR="000F1F05">
        <w:trPr>
          <w:trHeight w:val="480"/>
        </w:trPr>
        <w:tc>
          <w:tcPr>
            <w:tcW w:w="706" w:type="dxa"/>
            <w:shd w:val="clear" w:color="auto" w:fill="F1F1F1"/>
          </w:tcPr>
          <w:p w:rsidR="000F1F05" w:rsidRDefault="00B44DD8">
            <w:pPr>
              <w:pStyle w:val="TableParagraph"/>
              <w:spacing w:before="126"/>
              <w:rPr>
                <w:b/>
                <w:sz w:val="20"/>
              </w:rPr>
            </w:pPr>
            <w:r>
              <w:rPr>
                <w:b/>
                <w:sz w:val="20"/>
              </w:rPr>
              <w:t>Rec #</w:t>
            </w:r>
          </w:p>
        </w:tc>
        <w:tc>
          <w:tcPr>
            <w:tcW w:w="8649" w:type="dxa"/>
            <w:shd w:val="clear" w:color="auto" w:fill="F1F1F1"/>
          </w:tcPr>
          <w:p w:rsidR="000F1F05" w:rsidRDefault="00B44DD8">
            <w:pPr>
              <w:pStyle w:val="TableParagraph"/>
              <w:spacing w:before="126"/>
              <w:ind w:left="107"/>
              <w:rPr>
                <w:b/>
                <w:sz w:val="20"/>
              </w:rPr>
            </w:pPr>
            <w:r>
              <w:rPr>
                <w:b/>
                <w:sz w:val="20"/>
              </w:rPr>
              <w:t>Tax Working Group Final Report recommendation</w:t>
            </w:r>
          </w:p>
        </w:tc>
        <w:tc>
          <w:tcPr>
            <w:tcW w:w="5814" w:type="dxa"/>
            <w:shd w:val="clear" w:color="auto" w:fill="F1F1F1"/>
          </w:tcPr>
          <w:p w:rsidR="000F1F05" w:rsidRDefault="00B44DD8">
            <w:pPr>
              <w:pStyle w:val="TableParagraph"/>
              <w:spacing w:before="126"/>
              <w:ind w:left="104"/>
              <w:rPr>
                <w:b/>
                <w:sz w:val="20"/>
              </w:rPr>
            </w:pPr>
            <w:r>
              <w:rPr>
                <w:b/>
                <w:sz w:val="20"/>
              </w:rPr>
              <w:t>Government’s response</w:t>
            </w:r>
          </w:p>
        </w:tc>
      </w:tr>
      <w:tr w:rsidR="000F1F05">
        <w:trPr>
          <w:trHeight w:val="535"/>
        </w:trPr>
        <w:tc>
          <w:tcPr>
            <w:tcW w:w="15169" w:type="dxa"/>
            <w:gridSpan w:val="3"/>
          </w:tcPr>
          <w:p w:rsidR="000F1F05" w:rsidRDefault="00B44DD8">
            <w:pPr>
              <w:pStyle w:val="TableParagraph"/>
              <w:spacing w:before="136"/>
              <w:rPr>
                <w:b/>
              </w:rPr>
            </w:pPr>
            <w:r>
              <w:rPr>
                <w:b/>
              </w:rPr>
              <w:t>Housing</w:t>
            </w:r>
          </w:p>
        </w:tc>
      </w:tr>
      <w:tr w:rsidR="000F1F05">
        <w:trPr>
          <w:trHeight w:val="599"/>
        </w:trPr>
        <w:tc>
          <w:tcPr>
            <w:tcW w:w="706" w:type="dxa"/>
          </w:tcPr>
          <w:p w:rsidR="000F1F05" w:rsidRDefault="00B44DD8">
            <w:pPr>
              <w:pStyle w:val="TableParagraph"/>
              <w:rPr>
                <w:sz w:val="20"/>
              </w:rPr>
            </w:pPr>
            <w:r>
              <w:rPr>
                <w:sz w:val="20"/>
              </w:rPr>
              <w:t>96</w:t>
            </w:r>
          </w:p>
        </w:tc>
        <w:tc>
          <w:tcPr>
            <w:tcW w:w="8649" w:type="dxa"/>
          </w:tcPr>
          <w:p w:rsidR="000F1F05" w:rsidRDefault="00B44DD8">
            <w:pPr>
              <w:pStyle w:val="TableParagraph"/>
              <w:spacing w:line="249" w:lineRule="auto"/>
              <w:ind w:left="107"/>
              <w:rPr>
                <w:sz w:val="20"/>
              </w:rPr>
            </w:pPr>
            <w:r>
              <w:rPr>
                <w:sz w:val="20"/>
              </w:rPr>
              <w:t>The Productivity Commission should include vacant land taxes within its review of local government body financing.</w:t>
            </w:r>
          </w:p>
        </w:tc>
        <w:tc>
          <w:tcPr>
            <w:tcW w:w="5814" w:type="dxa"/>
            <w:vMerge w:val="restart"/>
            <w:shd w:val="clear" w:color="auto" w:fill="F4AF83"/>
          </w:tcPr>
          <w:p w:rsidR="000F1F05" w:rsidRDefault="00B44DD8">
            <w:pPr>
              <w:pStyle w:val="TableParagraph"/>
              <w:spacing w:before="66" w:line="249" w:lineRule="auto"/>
              <w:ind w:left="104" w:right="462"/>
              <w:rPr>
                <w:sz w:val="20"/>
              </w:rPr>
            </w:pPr>
            <w:r>
              <w:rPr>
                <w:b/>
                <w:sz w:val="20"/>
              </w:rPr>
              <w:t xml:space="preserve">Consider taxing vacant land held by land-bankers as a high priority for inclusion on work programme </w:t>
            </w:r>
            <w:r>
              <w:rPr>
                <w:sz w:val="20"/>
              </w:rPr>
              <w:t>(TPWP).</w:t>
            </w:r>
          </w:p>
          <w:p w:rsidR="000F1F05" w:rsidRDefault="00B44DD8">
            <w:pPr>
              <w:pStyle w:val="TableParagraph"/>
              <w:spacing w:before="64" w:line="249" w:lineRule="auto"/>
              <w:ind w:left="104" w:right="157"/>
              <w:jc w:val="both"/>
              <w:rPr>
                <w:sz w:val="20"/>
              </w:rPr>
            </w:pPr>
            <w:r>
              <w:rPr>
                <w:sz w:val="20"/>
              </w:rPr>
              <w:t>The Government intends to direct the Productivity Commission to include vacant land taxes in its inquiry into local government funding and financing</w:t>
            </w:r>
            <w:r>
              <w:rPr>
                <w:sz w:val="20"/>
              </w:rPr>
              <w:t>.</w:t>
            </w:r>
          </w:p>
        </w:tc>
      </w:tr>
      <w:tr w:rsidR="000F1F05">
        <w:trPr>
          <w:trHeight w:val="775"/>
        </w:trPr>
        <w:tc>
          <w:tcPr>
            <w:tcW w:w="706" w:type="dxa"/>
          </w:tcPr>
          <w:p w:rsidR="000F1F05" w:rsidRDefault="00B44DD8">
            <w:pPr>
              <w:pStyle w:val="TableParagraph"/>
              <w:rPr>
                <w:sz w:val="20"/>
              </w:rPr>
            </w:pPr>
            <w:r>
              <w:rPr>
                <w:sz w:val="20"/>
              </w:rPr>
              <w:t>97</w:t>
            </w:r>
          </w:p>
        </w:tc>
        <w:tc>
          <w:tcPr>
            <w:tcW w:w="8649" w:type="dxa"/>
          </w:tcPr>
          <w:p w:rsidR="000F1F05" w:rsidRDefault="00B44DD8">
            <w:pPr>
              <w:pStyle w:val="TableParagraph"/>
              <w:ind w:left="107"/>
              <w:rPr>
                <w:sz w:val="20"/>
              </w:rPr>
            </w:pPr>
            <w:r>
              <w:rPr>
                <w:sz w:val="20"/>
              </w:rPr>
              <w:t>Consider that vacant land taxes are best levied at the local rather than the national level.</w:t>
            </w:r>
          </w:p>
        </w:tc>
        <w:tc>
          <w:tcPr>
            <w:tcW w:w="5814" w:type="dxa"/>
            <w:vMerge/>
            <w:tcBorders>
              <w:top w:val="nil"/>
            </w:tcBorders>
            <w:shd w:val="clear" w:color="auto" w:fill="F4AF83"/>
          </w:tcPr>
          <w:p w:rsidR="000F1F05" w:rsidRDefault="000F1F05">
            <w:pPr>
              <w:rPr>
                <w:sz w:val="2"/>
                <w:szCs w:val="2"/>
              </w:rPr>
            </w:pPr>
          </w:p>
        </w:tc>
      </w:tr>
      <w:tr w:rsidR="000F1F05">
        <w:trPr>
          <w:trHeight w:val="599"/>
        </w:trPr>
        <w:tc>
          <w:tcPr>
            <w:tcW w:w="706" w:type="dxa"/>
          </w:tcPr>
          <w:p w:rsidR="000F1F05" w:rsidRDefault="00B44DD8">
            <w:pPr>
              <w:pStyle w:val="TableParagraph"/>
              <w:rPr>
                <w:sz w:val="20"/>
              </w:rPr>
            </w:pPr>
            <w:r>
              <w:rPr>
                <w:sz w:val="20"/>
              </w:rPr>
              <w:t>98</w:t>
            </w:r>
          </w:p>
        </w:tc>
        <w:tc>
          <w:tcPr>
            <w:tcW w:w="8649" w:type="dxa"/>
          </w:tcPr>
          <w:p w:rsidR="000F1F05" w:rsidRDefault="00B44DD8">
            <w:pPr>
              <w:pStyle w:val="TableParagraph"/>
              <w:spacing w:line="249" w:lineRule="auto"/>
              <w:ind w:left="107"/>
              <w:rPr>
                <w:sz w:val="20"/>
              </w:rPr>
            </w:pPr>
            <w:r>
              <w:rPr>
                <w:sz w:val="20"/>
              </w:rPr>
              <w:t>Repeal the ten-year rule regarding selling property for a gain caused by changes in land use regulation.</w:t>
            </w:r>
          </w:p>
        </w:tc>
        <w:tc>
          <w:tcPr>
            <w:tcW w:w="5814" w:type="dxa"/>
            <w:shd w:val="clear" w:color="auto" w:fill="F4AF83"/>
          </w:tcPr>
          <w:p w:rsidR="000F1F05" w:rsidRDefault="00B44DD8">
            <w:pPr>
              <w:pStyle w:val="TableParagraph"/>
              <w:spacing w:before="66" w:line="249" w:lineRule="auto"/>
              <w:ind w:left="104" w:right="1073"/>
              <w:rPr>
                <w:sz w:val="20"/>
              </w:rPr>
            </w:pPr>
            <w:r>
              <w:rPr>
                <w:b/>
                <w:sz w:val="20"/>
              </w:rPr>
              <w:t xml:space="preserve">Consider as a high priority for inclusion on work programme </w:t>
            </w:r>
            <w:r>
              <w:rPr>
                <w:sz w:val="20"/>
              </w:rPr>
              <w:t>(TPWP)</w:t>
            </w:r>
          </w:p>
        </w:tc>
      </w:tr>
      <w:tr w:rsidR="000F1F05">
        <w:trPr>
          <w:trHeight w:val="600"/>
        </w:trPr>
        <w:tc>
          <w:tcPr>
            <w:tcW w:w="706" w:type="dxa"/>
          </w:tcPr>
          <w:p w:rsidR="000F1F05" w:rsidRDefault="00B44DD8">
            <w:pPr>
              <w:pStyle w:val="TableParagraph"/>
              <w:rPr>
                <w:sz w:val="20"/>
              </w:rPr>
            </w:pPr>
            <w:r>
              <w:rPr>
                <w:sz w:val="20"/>
              </w:rPr>
              <w:t>99</w:t>
            </w:r>
          </w:p>
        </w:tc>
        <w:tc>
          <w:tcPr>
            <w:tcW w:w="8649" w:type="dxa"/>
          </w:tcPr>
          <w:p w:rsidR="000F1F05" w:rsidRDefault="00B44DD8">
            <w:pPr>
              <w:pStyle w:val="TableParagraph"/>
              <w:spacing w:line="249" w:lineRule="auto"/>
              <w:ind w:left="107" w:right="368"/>
              <w:rPr>
                <w:sz w:val="20"/>
              </w:rPr>
            </w:pPr>
            <w:r>
              <w:rPr>
                <w:sz w:val="20"/>
              </w:rPr>
              <w:t>Require disclosure of IRD numbers on the Land Transfer Tax Statement when transferring a main home.</w:t>
            </w:r>
          </w:p>
        </w:tc>
        <w:tc>
          <w:tcPr>
            <w:tcW w:w="5814" w:type="dxa"/>
            <w:shd w:val="clear" w:color="auto" w:fill="F4AF83"/>
          </w:tcPr>
          <w:p w:rsidR="000F1F05" w:rsidRDefault="00B44DD8">
            <w:pPr>
              <w:pStyle w:val="TableParagraph"/>
              <w:spacing w:before="67" w:line="249" w:lineRule="auto"/>
              <w:ind w:left="104" w:right="1073"/>
              <w:rPr>
                <w:sz w:val="20"/>
              </w:rPr>
            </w:pPr>
            <w:r>
              <w:rPr>
                <w:b/>
                <w:sz w:val="20"/>
              </w:rPr>
              <w:t xml:space="preserve">Consider as a high priority for inclusion on work programme </w:t>
            </w:r>
            <w:r>
              <w:rPr>
                <w:sz w:val="20"/>
              </w:rPr>
              <w:t>(TPWP)</w:t>
            </w:r>
          </w:p>
        </w:tc>
      </w:tr>
    </w:tbl>
    <w:p w:rsidR="00B44DD8" w:rsidRDefault="00B44DD8"/>
    <w:sectPr w:rsidR="00B44DD8">
      <w:pgSz w:w="16840" w:h="11910" w:orient="landscape"/>
      <w:pgMar w:top="840" w:right="700" w:bottom="580" w:left="74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D8" w:rsidRDefault="00B44DD8">
      <w:r>
        <w:separator/>
      </w:r>
    </w:p>
  </w:endnote>
  <w:endnote w:type="continuationSeparator" w:id="0">
    <w:p w:rsidR="00B44DD8" w:rsidRDefault="00B4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F05" w:rsidRDefault="00B44DD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62.85pt;margin-top:561.3pt;width:338.85pt;height:12.1pt;z-index:-251658752;mso-position-horizontal-relative:page;mso-position-vertical-relative:page" filled="f" stroked="f">
          <v:textbox inset="0,0,0,0">
            <w:txbxContent>
              <w:p w:rsidR="000F1F05" w:rsidRDefault="00B44DD8">
                <w:pPr>
                  <w:spacing w:before="14"/>
                  <w:ind w:left="20"/>
                  <w:rPr>
                    <w:b/>
                    <w:sz w:val="18"/>
                  </w:rPr>
                </w:pPr>
                <w:r>
                  <w:rPr>
                    <w:color w:val="585858"/>
                    <w:sz w:val="18"/>
                  </w:rPr>
                  <w:t xml:space="preserve">The Government’s response to the recommendations of the Tax Working Group </w:t>
                </w:r>
                <w:r>
                  <w:fldChar w:fldCharType="begin"/>
                </w:r>
                <w:r>
                  <w:rPr>
                    <w:b/>
                    <w:sz w:val="1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D8" w:rsidRDefault="00B44DD8">
      <w:r>
        <w:separator/>
      </w:r>
    </w:p>
  </w:footnote>
  <w:footnote w:type="continuationSeparator" w:id="0">
    <w:p w:rsidR="00B44DD8" w:rsidRDefault="00B4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9F"/>
    <w:multiLevelType w:val="hybridMultilevel"/>
    <w:tmpl w:val="42E48008"/>
    <w:lvl w:ilvl="0" w:tplc="2B4A0860">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94888DD4">
      <w:numFmt w:val="bullet"/>
      <w:lvlText w:val="•"/>
      <w:lvlJc w:val="left"/>
      <w:pPr>
        <w:ind w:left="1278" w:hanging="358"/>
      </w:pPr>
      <w:rPr>
        <w:rFonts w:hint="default"/>
        <w:lang w:val="en-NZ" w:eastAsia="en-NZ" w:bidi="en-NZ"/>
      </w:rPr>
    </w:lvl>
    <w:lvl w:ilvl="2" w:tplc="690430EE">
      <w:numFmt w:val="bullet"/>
      <w:lvlText w:val="•"/>
      <w:lvlJc w:val="left"/>
      <w:pPr>
        <w:ind w:left="2096" w:hanging="358"/>
      </w:pPr>
      <w:rPr>
        <w:rFonts w:hint="default"/>
        <w:lang w:val="en-NZ" w:eastAsia="en-NZ" w:bidi="en-NZ"/>
      </w:rPr>
    </w:lvl>
    <w:lvl w:ilvl="3" w:tplc="839A3EDC">
      <w:numFmt w:val="bullet"/>
      <w:lvlText w:val="•"/>
      <w:lvlJc w:val="left"/>
      <w:pPr>
        <w:ind w:left="2915" w:hanging="358"/>
      </w:pPr>
      <w:rPr>
        <w:rFonts w:hint="default"/>
        <w:lang w:val="en-NZ" w:eastAsia="en-NZ" w:bidi="en-NZ"/>
      </w:rPr>
    </w:lvl>
    <w:lvl w:ilvl="4" w:tplc="D68C4226">
      <w:numFmt w:val="bullet"/>
      <w:lvlText w:val="•"/>
      <w:lvlJc w:val="left"/>
      <w:pPr>
        <w:ind w:left="3733" w:hanging="358"/>
      </w:pPr>
      <w:rPr>
        <w:rFonts w:hint="default"/>
        <w:lang w:val="en-NZ" w:eastAsia="en-NZ" w:bidi="en-NZ"/>
      </w:rPr>
    </w:lvl>
    <w:lvl w:ilvl="5" w:tplc="3D706D4A">
      <w:numFmt w:val="bullet"/>
      <w:lvlText w:val="•"/>
      <w:lvlJc w:val="left"/>
      <w:pPr>
        <w:ind w:left="4552" w:hanging="358"/>
      </w:pPr>
      <w:rPr>
        <w:rFonts w:hint="default"/>
        <w:lang w:val="en-NZ" w:eastAsia="en-NZ" w:bidi="en-NZ"/>
      </w:rPr>
    </w:lvl>
    <w:lvl w:ilvl="6" w:tplc="0F487B46">
      <w:numFmt w:val="bullet"/>
      <w:lvlText w:val="•"/>
      <w:lvlJc w:val="left"/>
      <w:pPr>
        <w:ind w:left="5370" w:hanging="358"/>
      </w:pPr>
      <w:rPr>
        <w:rFonts w:hint="default"/>
        <w:lang w:val="en-NZ" w:eastAsia="en-NZ" w:bidi="en-NZ"/>
      </w:rPr>
    </w:lvl>
    <w:lvl w:ilvl="7" w:tplc="A1885D56">
      <w:numFmt w:val="bullet"/>
      <w:lvlText w:val="•"/>
      <w:lvlJc w:val="left"/>
      <w:pPr>
        <w:ind w:left="6188" w:hanging="358"/>
      </w:pPr>
      <w:rPr>
        <w:rFonts w:hint="default"/>
        <w:lang w:val="en-NZ" w:eastAsia="en-NZ" w:bidi="en-NZ"/>
      </w:rPr>
    </w:lvl>
    <w:lvl w:ilvl="8" w:tplc="45F08C76">
      <w:numFmt w:val="bullet"/>
      <w:lvlText w:val="•"/>
      <w:lvlJc w:val="left"/>
      <w:pPr>
        <w:ind w:left="7007" w:hanging="358"/>
      </w:pPr>
      <w:rPr>
        <w:rFonts w:hint="default"/>
        <w:lang w:val="en-NZ" w:eastAsia="en-NZ" w:bidi="en-NZ"/>
      </w:rPr>
    </w:lvl>
  </w:abstractNum>
  <w:abstractNum w:abstractNumId="1" w15:restartNumberingAfterBreak="0">
    <w:nsid w:val="08EC6572"/>
    <w:multiLevelType w:val="hybridMultilevel"/>
    <w:tmpl w:val="2888432A"/>
    <w:lvl w:ilvl="0" w:tplc="2E06E4EE">
      <w:start w:val="1"/>
      <w:numFmt w:val="lowerLetter"/>
      <w:lvlText w:val="%1)"/>
      <w:lvlJc w:val="left"/>
      <w:pPr>
        <w:ind w:left="431" w:hanging="359"/>
        <w:jc w:val="left"/>
      </w:pPr>
      <w:rPr>
        <w:rFonts w:ascii="Arial" w:eastAsia="Arial" w:hAnsi="Arial" w:cs="Arial" w:hint="default"/>
        <w:spacing w:val="-1"/>
        <w:w w:val="99"/>
        <w:sz w:val="20"/>
        <w:szCs w:val="20"/>
        <w:lang w:val="en-NZ" w:eastAsia="en-NZ" w:bidi="en-NZ"/>
      </w:rPr>
    </w:lvl>
    <w:lvl w:ilvl="1" w:tplc="16BC7004">
      <w:numFmt w:val="bullet"/>
      <w:lvlText w:val="•"/>
      <w:lvlJc w:val="left"/>
      <w:pPr>
        <w:ind w:left="1260" w:hanging="359"/>
      </w:pPr>
      <w:rPr>
        <w:rFonts w:hint="default"/>
        <w:lang w:val="en-NZ" w:eastAsia="en-NZ" w:bidi="en-NZ"/>
      </w:rPr>
    </w:lvl>
    <w:lvl w:ilvl="2" w:tplc="BB567BAC">
      <w:numFmt w:val="bullet"/>
      <w:lvlText w:val="•"/>
      <w:lvlJc w:val="left"/>
      <w:pPr>
        <w:ind w:left="2080" w:hanging="359"/>
      </w:pPr>
      <w:rPr>
        <w:rFonts w:hint="default"/>
        <w:lang w:val="en-NZ" w:eastAsia="en-NZ" w:bidi="en-NZ"/>
      </w:rPr>
    </w:lvl>
    <w:lvl w:ilvl="3" w:tplc="EB0CC49A">
      <w:numFmt w:val="bullet"/>
      <w:lvlText w:val="•"/>
      <w:lvlJc w:val="left"/>
      <w:pPr>
        <w:ind w:left="2901" w:hanging="359"/>
      </w:pPr>
      <w:rPr>
        <w:rFonts w:hint="default"/>
        <w:lang w:val="en-NZ" w:eastAsia="en-NZ" w:bidi="en-NZ"/>
      </w:rPr>
    </w:lvl>
    <w:lvl w:ilvl="4" w:tplc="CA94136C">
      <w:numFmt w:val="bullet"/>
      <w:lvlText w:val="•"/>
      <w:lvlJc w:val="left"/>
      <w:pPr>
        <w:ind w:left="3721" w:hanging="359"/>
      </w:pPr>
      <w:rPr>
        <w:rFonts w:hint="default"/>
        <w:lang w:val="en-NZ" w:eastAsia="en-NZ" w:bidi="en-NZ"/>
      </w:rPr>
    </w:lvl>
    <w:lvl w:ilvl="5" w:tplc="74149D82">
      <w:numFmt w:val="bullet"/>
      <w:lvlText w:val="•"/>
      <w:lvlJc w:val="left"/>
      <w:pPr>
        <w:ind w:left="4542" w:hanging="359"/>
      </w:pPr>
      <w:rPr>
        <w:rFonts w:hint="default"/>
        <w:lang w:val="en-NZ" w:eastAsia="en-NZ" w:bidi="en-NZ"/>
      </w:rPr>
    </w:lvl>
    <w:lvl w:ilvl="6" w:tplc="15C20096">
      <w:numFmt w:val="bullet"/>
      <w:lvlText w:val="•"/>
      <w:lvlJc w:val="left"/>
      <w:pPr>
        <w:ind w:left="5362" w:hanging="359"/>
      </w:pPr>
      <w:rPr>
        <w:rFonts w:hint="default"/>
        <w:lang w:val="en-NZ" w:eastAsia="en-NZ" w:bidi="en-NZ"/>
      </w:rPr>
    </w:lvl>
    <w:lvl w:ilvl="7" w:tplc="EBD04E8A">
      <w:numFmt w:val="bullet"/>
      <w:lvlText w:val="•"/>
      <w:lvlJc w:val="left"/>
      <w:pPr>
        <w:ind w:left="6182" w:hanging="359"/>
      </w:pPr>
      <w:rPr>
        <w:rFonts w:hint="default"/>
        <w:lang w:val="en-NZ" w:eastAsia="en-NZ" w:bidi="en-NZ"/>
      </w:rPr>
    </w:lvl>
    <w:lvl w:ilvl="8" w:tplc="90AC9B30">
      <w:numFmt w:val="bullet"/>
      <w:lvlText w:val="•"/>
      <w:lvlJc w:val="left"/>
      <w:pPr>
        <w:ind w:left="7003" w:hanging="359"/>
      </w:pPr>
      <w:rPr>
        <w:rFonts w:hint="default"/>
        <w:lang w:val="en-NZ" w:eastAsia="en-NZ" w:bidi="en-NZ"/>
      </w:rPr>
    </w:lvl>
  </w:abstractNum>
  <w:abstractNum w:abstractNumId="2" w15:restartNumberingAfterBreak="0">
    <w:nsid w:val="0B0C6A84"/>
    <w:multiLevelType w:val="hybridMultilevel"/>
    <w:tmpl w:val="32AA2F34"/>
    <w:lvl w:ilvl="0" w:tplc="27EAC01C">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8D8A8686">
      <w:numFmt w:val="bullet"/>
      <w:lvlText w:val="•"/>
      <w:lvlJc w:val="left"/>
      <w:pPr>
        <w:ind w:left="1278" w:hanging="358"/>
      </w:pPr>
      <w:rPr>
        <w:rFonts w:hint="default"/>
        <w:lang w:val="en-NZ" w:eastAsia="en-NZ" w:bidi="en-NZ"/>
      </w:rPr>
    </w:lvl>
    <w:lvl w:ilvl="2" w:tplc="63A414B0">
      <w:numFmt w:val="bullet"/>
      <w:lvlText w:val="•"/>
      <w:lvlJc w:val="left"/>
      <w:pPr>
        <w:ind w:left="2096" w:hanging="358"/>
      </w:pPr>
      <w:rPr>
        <w:rFonts w:hint="default"/>
        <w:lang w:val="en-NZ" w:eastAsia="en-NZ" w:bidi="en-NZ"/>
      </w:rPr>
    </w:lvl>
    <w:lvl w:ilvl="3" w:tplc="181C43DC">
      <w:numFmt w:val="bullet"/>
      <w:lvlText w:val="•"/>
      <w:lvlJc w:val="left"/>
      <w:pPr>
        <w:ind w:left="2915" w:hanging="358"/>
      </w:pPr>
      <w:rPr>
        <w:rFonts w:hint="default"/>
        <w:lang w:val="en-NZ" w:eastAsia="en-NZ" w:bidi="en-NZ"/>
      </w:rPr>
    </w:lvl>
    <w:lvl w:ilvl="4" w:tplc="C0D2B9E0">
      <w:numFmt w:val="bullet"/>
      <w:lvlText w:val="•"/>
      <w:lvlJc w:val="left"/>
      <w:pPr>
        <w:ind w:left="3733" w:hanging="358"/>
      </w:pPr>
      <w:rPr>
        <w:rFonts w:hint="default"/>
        <w:lang w:val="en-NZ" w:eastAsia="en-NZ" w:bidi="en-NZ"/>
      </w:rPr>
    </w:lvl>
    <w:lvl w:ilvl="5" w:tplc="4142FA1A">
      <w:numFmt w:val="bullet"/>
      <w:lvlText w:val="•"/>
      <w:lvlJc w:val="left"/>
      <w:pPr>
        <w:ind w:left="4552" w:hanging="358"/>
      </w:pPr>
      <w:rPr>
        <w:rFonts w:hint="default"/>
        <w:lang w:val="en-NZ" w:eastAsia="en-NZ" w:bidi="en-NZ"/>
      </w:rPr>
    </w:lvl>
    <w:lvl w:ilvl="6" w:tplc="828CBD36">
      <w:numFmt w:val="bullet"/>
      <w:lvlText w:val="•"/>
      <w:lvlJc w:val="left"/>
      <w:pPr>
        <w:ind w:left="5370" w:hanging="358"/>
      </w:pPr>
      <w:rPr>
        <w:rFonts w:hint="default"/>
        <w:lang w:val="en-NZ" w:eastAsia="en-NZ" w:bidi="en-NZ"/>
      </w:rPr>
    </w:lvl>
    <w:lvl w:ilvl="7" w:tplc="36689BDA">
      <w:numFmt w:val="bullet"/>
      <w:lvlText w:val="•"/>
      <w:lvlJc w:val="left"/>
      <w:pPr>
        <w:ind w:left="6188" w:hanging="358"/>
      </w:pPr>
      <w:rPr>
        <w:rFonts w:hint="default"/>
        <w:lang w:val="en-NZ" w:eastAsia="en-NZ" w:bidi="en-NZ"/>
      </w:rPr>
    </w:lvl>
    <w:lvl w:ilvl="8" w:tplc="A732A9D6">
      <w:numFmt w:val="bullet"/>
      <w:lvlText w:val="•"/>
      <w:lvlJc w:val="left"/>
      <w:pPr>
        <w:ind w:left="7007" w:hanging="358"/>
      </w:pPr>
      <w:rPr>
        <w:rFonts w:hint="default"/>
        <w:lang w:val="en-NZ" w:eastAsia="en-NZ" w:bidi="en-NZ"/>
      </w:rPr>
    </w:lvl>
  </w:abstractNum>
  <w:abstractNum w:abstractNumId="3" w15:restartNumberingAfterBreak="0">
    <w:nsid w:val="0DFB0C63"/>
    <w:multiLevelType w:val="hybridMultilevel"/>
    <w:tmpl w:val="D98C4C32"/>
    <w:lvl w:ilvl="0" w:tplc="9872DCFA">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EF927D24">
      <w:numFmt w:val="bullet"/>
      <w:lvlText w:val="•"/>
      <w:lvlJc w:val="left"/>
      <w:pPr>
        <w:ind w:left="1278" w:hanging="358"/>
      </w:pPr>
      <w:rPr>
        <w:rFonts w:hint="default"/>
        <w:lang w:val="en-NZ" w:eastAsia="en-NZ" w:bidi="en-NZ"/>
      </w:rPr>
    </w:lvl>
    <w:lvl w:ilvl="2" w:tplc="54220AF8">
      <w:numFmt w:val="bullet"/>
      <w:lvlText w:val="•"/>
      <w:lvlJc w:val="left"/>
      <w:pPr>
        <w:ind w:left="2096" w:hanging="358"/>
      </w:pPr>
      <w:rPr>
        <w:rFonts w:hint="default"/>
        <w:lang w:val="en-NZ" w:eastAsia="en-NZ" w:bidi="en-NZ"/>
      </w:rPr>
    </w:lvl>
    <w:lvl w:ilvl="3" w:tplc="15CA51F2">
      <w:numFmt w:val="bullet"/>
      <w:lvlText w:val="•"/>
      <w:lvlJc w:val="left"/>
      <w:pPr>
        <w:ind w:left="2915" w:hanging="358"/>
      </w:pPr>
      <w:rPr>
        <w:rFonts w:hint="default"/>
        <w:lang w:val="en-NZ" w:eastAsia="en-NZ" w:bidi="en-NZ"/>
      </w:rPr>
    </w:lvl>
    <w:lvl w:ilvl="4" w:tplc="3C783D56">
      <w:numFmt w:val="bullet"/>
      <w:lvlText w:val="•"/>
      <w:lvlJc w:val="left"/>
      <w:pPr>
        <w:ind w:left="3733" w:hanging="358"/>
      </w:pPr>
      <w:rPr>
        <w:rFonts w:hint="default"/>
        <w:lang w:val="en-NZ" w:eastAsia="en-NZ" w:bidi="en-NZ"/>
      </w:rPr>
    </w:lvl>
    <w:lvl w:ilvl="5" w:tplc="6846AF72">
      <w:numFmt w:val="bullet"/>
      <w:lvlText w:val="•"/>
      <w:lvlJc w:val="left"/>
      <w:pPr>
        <w:ind w:left="4552" w:hanging="358"/>
      </w:pPr>
      <w:rPr>
        <w:rFonts w:hint="default"/>
        <w:lang w:val="en-NZ" w:eastAsia="en-NZ" w:bidi="en-NZ"/>
      </w:rPr>
    </w:lvl>
    <w:lvl w:ilvl="6" w:tplc="171CFAF4">
      <w:numFmt w:val="bullet"/>
      <w:lvlText w:val="•"/>
      <w:lvlJc w:val="left"/>
      <w:pPr>
        <w:ind w:left="5370" w:hanging="358"/>
      </w:pPr>
      <w:rPr>
        <w:rFonts w:hint="default"/>
        <w:lang w:val="en-NZ" w:eastAsia="en-NZ" w:bidi="en-NZ"/>
      </w:rPr>
    </w:lvl>
    <w:lvl w:ilvl="7" w:tplc="E578B68E">
      <w:numFmt w:val="bullet"/>
      <w:lvlText w:val="•"/>
      <w:lvlJc w:val="left"/>
      <w:pPr>
        <w:ind w:left="6188" w:hanging="358"/>
      </w:pPr>
      <w:rPr>
        <w:rFonts w:hint="default"/>
        <w:lang w:val="en-NZ" w:eastAsia="en-NZ" w:bidi="en-NZ"/>
      </w:rPr>
    </w:lvl>
    <w:lvl w:ilvl="8" w:tplc="F9C82350">
      <w:numFmt w:val="bullet"/>
      <w:lvlText w:val="•"/>
      <w:lvlJc w:val="left"/>
      <w:pPr>
        <w:ind w:left="7007" w:hanging="358"/>
      </w:pPr>
      <w:rPr>
        <w:rFonts w:hint="default"/>
        <w:lang w:val="en-NZ" w:eastAsia="en-NZ" w:bidi="en-NZ"/>
      </w:rPr>
    </w:lvl>
  </w:abstractNum>
  <w:abstractNum w:abstractNumId="4" w15:restartNumberingAfterBreak="0">
    <w:nsid w:val="14E13FE2"/>
    <w:multiLevelType w:val="hybridMultilevel"/>
    <w:tmpl w:val="1756B7CC"/>
    <w:lvl w:ilvl="0" w:tplc="96B4031C">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B6E05CB8">
      <w:numFmt w:val="bullet"/>
      <w:lvlText w:val="•"/>
      <w:lvlJc w:val="left"/>
      <w:pPr>
        <w:ind w:left="1278" w:hanging="358"/>
      </w:pPr>
      <w:rPr>
        <w:rFonts w:hint="default"/>
        <w:lang w:val="en-NZ" w:eastAsia="en-NZ" w:bidi="en-NZ"/>
      </w:rPr>
    </w:lvl>
    <w:lvl w:ilvl="2" w:tplc="5CF81A1E">
      <w:numFmt w:val="bullet"/>
      <w:lvlText w:val="•"/>
      <w:lvlJc w:val="left"/>
      <w:pPr>
        <w:ind w:left="2096" w:hanging="358"/>
      </w:pPr>
      <w:rPr>
        <w:rFonts w:hint="default"/>
        <w:lang w:val="en-NZ" w:eastAsia="en-NZ" w:bidi="en-NZ"/>
      </w:rPr>
    </w:lvl>
    <w:lvl w:ilvl="3" w:tplc="5D8AD816">
      <w:numFmt w:val="bullet"/>
      <w:lvlText w:val="•"/>
      <w:lvlJc w:val="left"/>
      <w:pPr>
        <w:ind w:left="2915" w:hanging="358"/>
      </w:pPr>
      <w:rPr>
        <w:rFonts w:hint="default"/>
        <w:lang w:val="en-NZ" w:eastAsia="en-NZ" w:bidi="en-NZ"/>
      </w:rPr>
    </w:lvl>
    <w:lvl w:ilvl="4" w:tplc="61B27BAA">
      <w:numFmt w:val="bullet"/>
      <w:lvlText w:val="•"/>
      <w:lvlJc w:val="left"/>
      <w:pPr>
        <w:ind w:left="3733" w:hanging="358"/>
      </w:pPr>
      <w:rPr>
        <w:rFonts w:hint="default"/>
        <w:lang w:val="en-NZ" w:eastAsia="en-NZ" w:bidi="en-NZ"/>
      </w:rPr>
    </w:lvl>
    <w:lvl w:ilvl="5" w:tplc="982E9AF4">
      <w:numFmt w:val="bullet"/>
      <w:lvlText w:val="•"/>
      <w:lvlJc w:val="left"/>
      <w:pPr>
        <w:ind w:left="4552" w:hanging="358"/>
      </w:pPr>
      <w:rPr>
        <w:rFonts w:hint="default"/>
        <w:lang w:val="en-NZ" w:eastAsia="en-NZ" w:bidi="en-NZ"/>
      </w:rPr>
    </w:lvl>
    <w:lvl w:ilvl="6" w:tplc="2AD8F97E">
      <w:numFmt w:val="bullet"/>
      <w:lvlText w:val="•"/>
      <w:lvlJc w:val="left"/>
      <w:pPr>
        <w:ind w:left="5370" w:hanging="358"/>
      </w:pPr>
      <w:rPr>
        <w:rFonts w:hint="default"/>
        <w:lang w:val="en-NZ" w:eastAsia="en-NZ" w:bidi="en-NZ"/>
      </w:rPr>
    </w:lvl>
    <w:lvl w:ilvl="7" w:tplc="0310ECD6">
      <w:numFmt w:val="bullet"/>
      <w:lvlText w:val="•"/>
      <w:lvlJc w:val="left"/>
      <w:pPr>
        <w:ind w:left="6188" w:hanging="358"/>
      </w:pPr>
      <w:rPr>
        <w:rFonts w:hint="default"/>
        <w:lang w:val="en-NZ" w:eastAsia="en-NZ" w:bidi="en-NZ"/>
      </w:rPr>
    </w:lvl>
    <w:lvl w:ilvl="8" w:tplc="56903FDC">
      <w:numFmt w:val="bullet"/>
      <w:lvlText w:val="•"/>
      <w:lvlJc w:val="left"/>
      <w:pPr>
        <w:ind w:left="7007" w:hanging="358"/>
      </w:pPr>
      <w:rPr>
        <w:rFonts w:hint="default"/>
        <w:lang w:val="en-NZ" w:eastAsia="en-NZ" w:bidi="en-NZ"/>
      </w:rPr>
    </w:lvl>
  </w:abstractNum>
  <w:abstractNum w:abstractNumId="5" w15:restartNumberingAfterBreak="0">
    <w:nsid w:val="1CD3752B"/>
    <w:multiLevelType w:val="hybridMultilevel"/>
    <w:tmpl w:val="8738E10A"/>
    <w:lvl w:ilvl="0" w:tplc="C76AC888">
      <w:start w:val="1"/>
      <w:numFmt w:val="lowerLetter"/>
      <w:lvlText w:val="%1)"/>
      <w:lvlJc w:val="left"/>
      <w:pPr>
        <w:ind w:left="467" w:hanging="361"/>
        <w:jc w:val="left"/>
      </w:pPr>
      <w:rPr>
        <w:rFonts w:ascii="Arial" w:eastAsia="Arial" w:hAnsi="Arial" w:cs="Arial" w:hint="default"/>
        <w:spacing w:val="-1"/>
        <w:w w:val="99"/>
        <w:sz w:val="20"/>
        <w:szCs w:val="20"/>
        <w:lang w:val="en-NZ" w:eastAsia="en-NZ" w:bidi="en-NZ"/>
      </w:rPr>
    </w:lvl>
    <w:lvl w:ilvl="1" w:tplc="AB485B2A">
      <w:numFmt w:val="bullet"/>
      <w:lvlText w:val="•"/>
      <w:lvlJc w:val="left"/>
      <w:pPr>
        <w:ind w:left="1278" w:hanging="361"/>
      </w:pPr>
      <w:rPr>
        <w:rFonts w:hint="default"/>
        <w:lang w:val="en-NZ" w:eastAsia="en-NZ" w:bidi="en-NZ"/>
      </w:rPr>
    </w:lvl>
    <w:lvl w:ilvl="2" w:tplc="CC9038FE">
      <w:numFmt w:val="bullet"/>
      <w:lvlText w:val="•"/>
      <w:lvlJc w:val="left"/>
      <w:pPr>
        <w:ind w:left="2096" w:hanging="361"/>
      </w:pPr>
      <w:rPr>
        <w:rFonts w:hint="default"/>
        <w:lang w:val="en-NZ" w:eastAsia="en-NZ" w:bidi="en-NZ"/>
      </w:rPr>
    </w:lvl>
    <w:lvl w:ilvl="3" w:tplc="CD304372">
      <w:numFmt w:val="bullet"/>
      <w:lvlText w:val="•"/>
      <w:lvlJc w:val="left"/>
      <w:pPr>
        <w:ind w:left="2915" w:hanging="361"/>
      </w:pPr>
      <w:rPr>
        <w:rFonts w:hint="default"/>
        <w:lang w:val="en-NZ" w:eastAsia="en-NZ" w:bidi="en-NZ"/>
      </w:rPr>
    </w:lvl>
    <w:lvl w:ilvl="4" w:tplc="BD480240">
      <w:numFmt w:val="bullet"/>
      <w:lvlText w:val="•"/>
      <w:lvlJc w:val="left"/>
      <w:pPr>
        <w:ind w:left="3733" w:hanging="361"/>
      </w:pPr>
      <w:rPr>
        <w:rFonts w:hint="default"/>
        <w:lang w:val="en-NZ" w:eastAsia="en-NZ" w:bidi="en-NZ"/>
      </w:rPr>
    </w:lvl>
    <w:lvl w:ilvl="5" w:tplc="98AEED80">
      <w:numFmt w:val="bullet"/>
      <w:lvlText w:val="•"/>
      <w:lvlJc w:val="left"/>
      <w:pPr>
        <w:ind w:left="4552" w:hanging="361"/>
      </w:pPr>
      <w:rPr>
        <w:rFonts w:hint="default"/>
        <w:lang w:val="en-NZ" w:eastAsia="en-NZ" w:bidi="en-NZ"/>
      </w:rPr>
    </w:lvl>
    <w:lvl w:ilvl="6" w:tplc="F43C3090">
      <w:numFmt w:val="bullet"/>
      <w:lvlText w:val="•"/>
      <w:lvlJc w:val="left"/>
      <w:pPr>
        <w:ind w:left="5370" w:hanging="361"/>
      </w:pPr>
      <w:rPr>
        <w:rFonts w:hint="default"/>
        <w:lang w:val="en-NZ" w:eastAsia="en-NZ" w:bidi="en-NZ"/>
      </w:rPr>
    </w:lvl>
    <w:lvl w:ilvl="7" w:tplc="6AB89440">
      <w:numFmt w:val="bullet"/>
      <w:lvlText w:val="•"/>
      <w:lvlJc w:val="left"/>
      <w:pPr>
        <w:ind w:left="6188" w:hanging="361"/>
      </w:pPr>
      <w:rPr>
        <w:rFonts w:hint="default"/>
        <w:lang w:val="en-NZ" w:eastAsia="en-NZ" w:bidi="en-NZ"/>
      </w:rPr>
    </w:lvl>
    <w:lvl w:ilvl="8" w:tplc="FB94E608">
      <w:numFmt w:val="bullet"/>
      <w:lvlText w:val="•"/>
      <w:lvlJc w:val="left"/>
      <w:pPr>
        <w:ind w:left="7007" w:hanging="361"/>
      </w:pPr>
      <w:rPr>
        <w:rFonts w:hint="default"/>
        <w:lang w:val="en-NZ" w:eastAsia="en-NZ" w:bidi="en-NZ"/>
      </w:rPr>
    </w:lvl>
  </w:abstractNum>
  <w:abstractNum w:abstractNumId="6" w15:restartNumberingAfterBreak="0">
    <w:nsid w:val="234136D2"/>
    <w:multiLevelType w:val="hybridMultilevel"/>
    <w:tmpl w:val="C756E866"/>
    <w:lvl w:ilvl="0" w:tplc="2A6491B4">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4E988C36">
      <w:numFmt w:val="bullet"/>
      <w:lvlText w:val="•"/>
      <w:lvlJc w:val="left"/>
      <w:pPr>
        <w:ind w:left="1278" w:hanging="358"/>
      </w:pPr>
      <w:rPr>
        <w:rFonts w:hint="default"/>
        <w:lang w:val="en-NZ" w:eastAsia="en-NZ" w:bidi="en-NZ"/>
      </w:rPr>
    </w:lvl>
    <w:lvl w:ilvl="2" w:tplc="66D0D2AA">
      <w:numFmt w:val="bullet"/>
      <w:lvlText w:val="•"/>
      <w:lvlJc w:val="left"/>
      <w:pPr>
        <w:ind w:left="2096" w:hanging="358"/>
      </w:pPr>
      <w:rPr>
        <w:rFonts w:hint="default"/>
        <w:lang w:val="en-NZ" w:eastAsia="en-NZ" w:bidi="en-NZ"/>
      </w:rPr>
    </w:lvl>
    <w:lvl w:ilvl="3" w:tplc="6B32CCD8">
      <w:numFmt w:val="bullet"/>
      <w:lvlText w:val="•"/>
      <w:lvlJc w:val="left"/>
      <w:pPr>
        <w:ind w:left="2915" w:hanging="358"/>
      </w:pPr>
      <w:rPr>
        <w:rFonts w:hint="default"/>
        <w:lang w:val="en-NZ" w:eastAsia="en-NZ" w:bidi="en-NZ"/>
      </w:rPr>
    </w:lvl>
    <w:lvl w:ilvl="4" w:tplc="1E2858F0">
      <w:numFmt w:val="bullet"/>
      <w:lvlText w:val="•"/>
      <w:lvlJc w:val="left"/>
      <w:pPr>
        <w:ind w:left="3733" w:hanging="358"/>
      </w:pPr>
      <w:rPr>
        <w:rFonts w:hint="default"/>
        <w:lang w:val="en-NZ" w:eastAsia="en-NZ" w:bidi="en-NZ"/>
      </w:rPr>
    </w:lvl>
    <w:lvl w:ilvl="5" w:tplc="4F7A72B6">
      <w:numFmt w:val="bullet"/>
      <w:lvlText w:val="•"/>
      <w:lvlJc w:val="left"/>
      <w:pPr>
        <w:ind w:left="4552" w:hanging="358"/>
      </w:pPr>
      <w:rPr>
        <w:rFonts w:hint="default"/>
        <w:lang w:val="en-NZ" w:eastAsia="en-NZ" w:bidi="en-NZ"/>
      </w:rPr>
    </w:lvl>
    <w:lvl w:ilvl="6" w:tplc="513012F6">
      <w:numFmt w:val="bullet"/>
      <w:lvlText w:val="•"/>
      <w:lvlJc w:val="left"/>
      <w:pPr>
        <w:ind w:left="5370" w:hanging="358"/>
      </w:pPr>
      <w:rPr>
        <w:rFonts w:hint="default"/>
        <w:lang w:val="en-NZ" w:eastAsia="en-NZ" w:bidi="en-NZ"/>
      </w:rPr>
    </w:lvl>
    <w:lvl w:ilvl="7" w:tplc="B116196C">
      <w:numFmt w:val="bullet"/>
      <w:lvlText w:val="•"/>
      <w:lvlJc w:val="left"/>
      <w:pPr>
        <w:ind w:left="6188" w:hanging="358"/>
      </w:pPr>
      <w:rPr>
        <w:rFonts w:hint="default"/>
        <w:lang w:val="en-NZ" w:eastAsia="en-NZ" w:bidi="en-NZ"/>
      </w:rPr>
    </w:lvl>
    <w:lvl w:ilvl="8" w:tplc="CE120098">
      <w:numFmt w:val="bullet"/>
      <w:lvlText w:val="•"/>
      <w:lvlJc w:val="left"/>
      <w:pPr>
        <w:ind w:left="7007" w:hanging="358"/>
      </w:pPr>
      <w:rPr>
        <w:rFonts w:hint="default"/>
        <w:lang w:val="en-NZ" w:eastAsia="en-NZ" w:bidi="en-NZ"/>
      </w:rPr>
    </w:lvl>
  </w:abstractNum>
  <w:abstractNum w:abstractNumId="7" w15:restartNumberingAfterBreak="0">
    <w:nsid w:val="24D70049"/>
    <w:multiLevelType w:val="hybridMultilevel"/>
    <w:tmpl w:val="25929846"/>
    <w:lvl w:ilvl="0" w:tplc="487AC4EE">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9468F774">
      <w:numFmt w:val="bullet"/>
      <w:lvlText w:val="•"/>
      <w:lvlJc w:val="left"/>
      <w:pPr>
        <w:ind w:left="1278" w:hanging="358"/>
      </w:pPr>
      <w:rPr>
        <w:rFonts w:hint="default"/>
        <w:lang w:val="en-NZ" w:eastAsia="en-NZ" w:bidi="en-NZ"/>
      </w:rPr>
    </w:lvl>
    <w:lvl w:ilvl="2" w:tplc="E0D270D0">
      <w:numFmt w:val="bullet"/>
      <w:lvlText w:val="•"/>
      <w:lvlJc w:val="left"/>
      <w:pPr>
        <w:ind w:left="2096" w:hanging="358"/>
      </w:pPr>
      <w:rPr>
        <w:rFonts w:hint="default"/>
        <w:lang w:val="en-NZ" w:eastAsia="en-NZ" w:bidi="en-NZ"/>
      </w:rPr>
    </w:lvl>
    <w:lvl w:ilvl="3" w:tplc="7DFA695A">
      <w:numFmt w:val="bullet"/>
      <w:lvlText w:val="•"/>
      <w:lvlJc w:val="left"/>
      <w:pPr>
        <w:ind w:left="2915" w:hanging="358"/>
      </w:pPr>
      <w:rPr>
        <w:rFonts w:hint="default"/>
        <w:lang w:val="en-NZ" w:eastAsia="en-NZ" w:bidi="en-NZ"/>
      </w:rPr>
    </w:lvl>
    <w:lvl w:ilvl="4" w:tplc="2758E130">
      <w:numFmt w:val="bullet"/>
      <w:lvlText w:val="•"/>
      <w:lvlJc w:val="left"/>
      <w:pPr>
        <w:ind w:left="3733" w:hanging="358"/>
      </w:pPr>
      <w:rPr>
        <w:rFonts w:hint="default"/>
        <w:lang w:val="en-NZ" w:eastAsia="en-NZ" w:bidi="en-NZ"/>
      </w:rPr>
    </w:lvl>
    <w:lvl w:ilvl="5" w:tplc="6F6E3C62">
      <w:numFmt w:val="bullet"/>
      <w:lvlText w:val="•"/>
      <w:lvlJc w:val="left"/>
      <w:pPr>
        <w:ind w:left="4552" w:hanging="358"/>
      </w:pPr>
      <w:rPr>
        <w:rFonts w:hint="default"/>
        <w:lang w:val="en-NZ" w:eastAsia="en-NZ" w:bidi="en-NZ"/>
      </w:rPr>
    </w:lvl>
    <w:lvl w:ilvl="6" w:tplc="FCB0A0DC">
      <w:numFmt w:val="bullet"/>
      <w:lvlText w:val="•"/>
      <w:lvlJc w:val="left"/>
      <w:pPr>
        <w:ind w:left="5370" w:hanging="358"/>
      </w:pPr>
      <w:rPr>
        <w:rFonts w:hint="default"/>
        <w:lang w:val="en-NZ" w:eastAsia="en-NZ" w:bidi="en-NZ"/>
      </w:rPr>
    </w:lvl>
    <w:lvl w:ilvl="7" w:tplc="8A00C5F2">
      <w:numFmt w:val="bullet"/>
      <w:lvlText w:val="•"/>
      <w:lvlJc w:val="left"/>
      <w:pPr>
        <w:ind w:left="6188" w:hanging="358"/>
      </w:pPr>
      <w:rPr>
        <w:rFonts w:hint="default"/>
        <w:lang w:val="en-NZ" w:eastAsia="en-NZ" w:bidi="en-NZ"/>
      </w:rPr>
    </w:lvl>
    <w:lvl w:ilvl="8" w:tplc="786419B2">
      <w:numFmt w:val="bullet"/>
      <w:lvlText w:val="•"/>
      <w:lvlJc w:val="left"/>
      <w:pPr>
        <w:ind w:left="7007" w:hanging="358"/>
      </w:pPr>
      <w:rPr>
        <w:rFonts w:hint="default"/>
        <w:lang w:val="en-NZ" w:eastAsia="en-NZ" w:bidi="en-NZ"/>
      </w:rPr>
    </w:lvl>
  </w:abstractNum>
  <w:abstractNum w:abstractNumId="8" w15:restartNumberingAfterBreak="0">
    <w:nsid w:val="309450FF"/>
    <w:multiLevelType w:val="hybridMultilevel"/>
    <w:tmpl w:val="0A7C74FC"/>
    <w:lvl w:ilvl="0" w:tplc="6E5C5EEA">
      <w:start w:val="14"/>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D564E70E">
      <w:numFmt w:val="bullet"/>
      <w:lvlText w:val="•"/>
      <w:lvlJc w:val="left"/>
      <w:pPr>
        <w:ind w:left="1278" w:hanging="358"/>
      </w:pPr>
      <w:rPr>
        <w:rFonts w:hint="default"/>
        <w:lang w:val="en-NZ" w:eastAsia="en-NZ" w:bidi="en-NZ"/>
      </w:rPr>
    </w:lvl>
    <w:lvl w:ilvl="2" w:tplc="9BB4ADB0">
      <w:numFmt w:val="bullet"/>
      <w:lvlText w:val="•"/>
      <w:lvlJc w:val="left"/>
      <w:pPr>
        <w:ind w:left="2096" w:hanging="358"/>
      </w:pPr>
      <w:rPr>
        <w:rFonts w:hint="default"/>
        <w:lang w:val="en-NZ" w:eastAsia="en-NZ" w:bidi="en-NZ"/>
      </w:rPr>
    </w:lvl>
    <w:lvl w:ilvl="3" w:tplc="E62484EA">
      <w:numFmt w:val="bullet"/>
      <w:lvlText w:val="•"/>
      <w:lvlJc w:val="left"/>
      <w:pPr>
        <w:ind w:left="2915" w:hanging="358"/>
      </w:pPr>
      <w:rPr>
        <w:rFonts w:hint="default"/>
        <w:lang w:val="en-NZ" w:eastAsia="en-NZ" w:bidi="en-NZ"/>
      </w:rPr>
    </w:lvl>
    <w:lvl w:ilvl="4" w:tplc="A4A278B2">
      <w:numFmt w:val="bullet"/>
      <w:lvlText w:val="•"/>
      <w:lvlJc w:val="left"/>
      <w:pPr>
        <w:ind w:left="3733" w:hanging="358"/>
      </w:pPr>
      <w:rPr>
        <w:rFonts w:hint="default"/>
        <w:lang w:val="en-NZ" w:eastAsia="en-NZ" w:bidi="en-NZ"/>
      </w:rPr>
    </w:lvl>
    <w:lvl w:ilvl="5" w:tplc="A1EA19AC">
      <w:numFmt w:val="bullet"/>
      <w:lvlText w:val="•"/>
      <w:lvlJc w:val="left"/>
      <w:pPr>
        <w:ind w:left="4552" w:hanging="358"/>
      </w:pPr>
      <w:rPr>
        <w:rFonts w:hint="default"/>
        <w:lang w:val="en-NZ" w:eastAsia="en-NZ" w:bidi="en-NZ"/>
      </w:rPr>
    </w:lvl>
    <w:lvl w:ilvl="6" w:tplc="493E4986">
      <w:numFmt w:val="bullet"/>
      <w:lvlText w:val="•"/>
      <w:lvlJc w:val="left"/>
      <w:pPr>
        <w:ind w:left="5370" w:hanging="358"/>
      </w:pPr>
      <w:rPr>
        <w:rFonts w:hint="default"/>
        <w:lang w:val="en-NZ" w:eastAsia="en-NZ" w:bidi="en-NZ"/>
      </w:rPr>
    </w:lvl>
    <w:lvl w:ilvl="7" w:tplc="1096C5FE">
      <w:numFmt w:val="bullet"/>
      <w:lvlText w:val="•"/>
      <w:lvlJc w:val="left"/>
      <w:pPr>
        <w:ind w:left="6188" w:hanging="358"/>
      </w:pPr>
      <w:rPr>
        <w:rFonts w:hint="default"/>
        <w:lang w:val="en-NZ" w:eastAsia="en-NZ" w:bidi="en-NZ"/>
      </w:rPr>
    </w:lvl>
    <w:lvl w:ilvl="8" w:tplc="445A7B82">
      <w:numFmt w:val="bullet"/>
      <w:lvlText w:val="•"/>
      <w:lvlJc w:val="left"/>
      <w:pPr>
        <w:ind w:left="7007" w:hanging="358"/>
      </w:pPr>
      <w:rPr>
        <w:rFonts w:hint="default"/>
        <w:lang w:val="en-NZ" w:eastAsia="en-NZ" w:bidi="en-NZ"/>
      </w:rPr>
    </w:lvl>
  </w:abstractNum>
  <w:abstractNum w:abstractNumId="9" w15:restartNumberingAfterBreak="0">
    <w:nsid w:val="42E46773"/>
    <w:multiLevelType w:val="hybridMultilevel"/>
    <w:tmpl w:val="EFE4A4BC"/>
    <w:lvl w:ilvl="0" w:tplc="3A60E948">
      <w:start w:val="1"/>
      <w:numFmt w:val="lowerLetter"/>
      <w:lvlText w:val="%1)"/>
      <w:lvlJc w:val="left"/>
      <w:pPr>
        <w:ind w:left="431" w:hanging="359"/>
        <w:jc w:val="left"/>
      </w:pPr>
      <w:rPr>
        <w:rFonts w:ascii="Arial" w:eastAsia="Arial" w:hAnsi="Arial" w:cs="Arial" w:hint="default"/>
        <w:spacing w:val="-1"/>
        <w:w w:val="99"/>
        <w:sz w:val="20"/>
        <w:szCs w:val="20"/>
        <w:lang w:val="en-NZ" w:eastAsia="en-NZ" w:bidi="en-NZ"/>
      </w:rPr>
    </w:lvl>
    <w:lvl w:ilvl="1" w:tplc="315621BA">
      <w:numFmt w:val="bullet"/>
      <w:lvlText w:val="•"/>
      <w:lvlJc w:val="left"/>
      <w:pPr>
        <w:ind w:left="1260" w:hanging="359"/>
      </w:pPr>
      <w:rPr>
        <w:rFonts w:hint="default"/>
        <w:lang w:val="en-NZ" w:eastAsia="en-NZ" w:bidi="en-NZ"/>
      </w:rPr>
    </w:lvl>
    <w:lvl w:ilvl="2" w:tplc="33C2E8BE">
      <w:numFmt w:val="bullet"/>
      <w:lvlText w:val="•"/>
      <w:lvlJc w:val="left"/>
      <w:pPr>
        <w:ind w:left="2080" w:hanging="359"/>
      </w:pPr>
      <w:rPr>
        <w:rFonts w:hint="default"/>
        <w:lang w:val="en-NZ" w:eastAsia="en-NZ" w:bidi="en-NZ"/>
      </w:rPr>
    </w:lvl>
    <w:lvl w:ilvl="3" w:tplc="83A23BEE">
      <w:numFmt w:val="bullet"/>
      <w:lvlText w:val="•"/>
      <w:lvlJc w:val="left"/>
      <w:pPr>
        <w:ind w:left="2901" w:hanging="359"/>
      </w:pPr>
      <w:rPr>
        <w:rFonts w:hint="default"/>
        <w:lang w:val="en-NZ" w:eastAsia="en-NZ" w:bidi="en-NZ"/>
      </w:rPr>
    </w:lvl>
    <w:lvl w:ilvl="4" w:tplc="8DF462CC">
      <w:numFmt w:val="bullet"/>
      <w:lvlText w:val="•"/>
      <w:lvlJc w:val="left"/>
      <w:pPr>
        <w:ind w:left="3721" w:hanging="359"/>
      </w:pPr>
      <w:rPr>
        <w:rFonts w:hint="default"/>
        <w:lang w:val="en-NZ" w:eastAsia="en-NZ" w:bidi="en-NZ"/>
      </w:rPr>
    </w:lvl>
    <w:lvl w:ilvl="5" w:tplc="BF1AE84C">
      <w:numFmt w:val="bullet"/>
      <w:lvlText w:val="•"/>
      <w:lvlJc w:val="left"/>
      <w:pPr>
        <w:ind w:left="4542" w:hanging="359"/>
      </w:pPr>
      <w:rPr>
        <w:rFonts w:hint="default"/>
        <w:lang w:val="en-NZ" w:eastAsia="en-NZ" w:bidi="en-NZ"/>
      </w:rPr>
    </w:lvl>
    <w:lvl w:ilvl="6" w:tplc="56AC59F8">
      <w:numFmt w:val="bullet"/>
      <w:lvlText w:val="•"/>
      <w:lvlJc w:val="left"/>
      <w:pPr>
        <w:ind w:left="5362" w:hanging="359"/>
      </w:pPr>
      <w:rPr>
        <w:rFonts w:hint="default"/>
        <w:lang w:val="en-NZ" w:eastAsia="en-NZ" w:bidi="en-NZ"/>
      </w:rPr>
    </w:lvl>
    <w:lvl w:ilvl="7" w:tplc="0DEC635E">
      <w:numFmt w:val="bullet"/>
      <w:lvlText w:val="•"/>
      <w:lvlJc w:val="left"/>
      <w:pPr>
        <w:ind w:left="6182" w:hanging="359"/>
      </w:pPr>
      <w:rPr>
        <w:rFonts w:hint="default"/>
        <w:lang w:val="en-NZ" w:eastAsia="en-NZ" w:bidi="en-NZ"/>
      </w:rPr>
    </w:lvl>
    <w:lvl w:ilvl="8" w:tplc="717282F2">
      <w:numFmt w:val="bullet"/>
      <w:lvlText w:val="•"/>
      <w:lvlJc w:val="left"/>
      <w:pPr>
        <w:ind w:left="7003" w:hanging="359"/>
      </w:pPr>
      <w:rPr>
        <w:rFonts w:hint="default"/>
        <w:lang w:val="en-NZ" w:eastAsia="en-NZ" w:bidi="en-NZ"/>
      </w:rPr>
    </w:lvl>
  </w:abstractNum>
  <w:abstractNum w:abstractNumId="10" w15:restartNumberingAfterBreak="0">
    <w:nsid w:val="55EA29F4"/>
    <w:multiLevelType w:val="hybridMultilevel"/>
    <w:tmpl w:val="5D60C7B0"/>
    <w:lvl w:ilvl="0" w:tplc="435ED67A">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BF7A3300">
      <w:numFmt w:val="bullet"/>
      <w:lvlText w:val="•"/>
      <w:lvlJc w:val="left"/>
      <w:pPr>
        <w:ind w:left="1278" w:hanging="358"/>
      </w:pPr>
      <w:rPr>
        <w:rFonts w:hint="default"/>
        <w:lang w:val="en-NZ" w:eastAsia="en-NZ" w:bidi="en-NZ"/>
      </w:rPr>
    </w:lvl>
    <w:lvl w:ilvl="2" w:tplc="E9B09C36">
      <w:numFmt w:val="bullet"/>
      <w:lvlText w:val="•"/>
      <w:lvlJc w:val="left"/>
      <w:pPr>
        <w:ind w:left="2096" w:hanging="358"/>
      </w:pPr>
      <w:rPr>
        <w:rFonts w:hint="default"/>
        <w:lang w:val="en-NZ" w:eastAsia="en-NZ" w:bidi="en-NZ"/>
      </w:rPr>
    </w:lvl>
    <w:lvl w:ilvl="3" w:tplc="5D3065EA">
      <w:numFmt w:val="bullet"/>
      <w:lvlText w:val="•"/>
      <w:lvlJc w:val="left"/>
      <w:pPr>
        <w:ind w:left="2915" w:hanging="358"/>
      </w:pPr>
      <w:rPr>
        <w:rFonts w:hint="default"/>
        <w:lang w:val="en-NZ" w:eastAsia="en-NZ" w:bidi="en-NZ"/>
      </w:rPr>
    </w:lvl>
    <w:lvl w:ilvl="4" w:tplc="34B2F6B2">
      <w:numFmt w:val="bullet"/>
      <w:lvlText w:val="•"/>
      <w:lvlJc w:val="left"/>
      <w:pPr>
        <w:ind w:left="3733" w:hanging="358"/>
      </w:pPr>
      <w:rPr>
        <w:rFonts w:hint="default"/>
        <w:lang w:val="en-NZ" w:eastAsia="en-NZ" w:bidi="en-NZ"/>
      </w:rPr>
    </w:lvl>
    <w:lvl w:ilvl="5" w:tplc="D5A83016">
      <w:numFmt w:val="bullet"/>
      <w:lvlText w:val="•"/>
      <w:lvlJc w:val="left"/>
      <w:pPr>
        <w:ind w:left="4552" w:hanging="358"/>
      </w:pPr>
      <w:rPr>
        <w:rFonts w:hint="default"/>
        <w:lang w:val="en-NZ" w:eastAsia="en-NZ" w:bidi="en-NZ"/>
      </w:rPr>
    </w:lvl>
    <w:lvl w:ilvl="6" w:tplc="120000B4">
      <w:numFmt w:val="bullet"/>
      <w:lvlText w:val="•"/>
      <w:lvlJc w:val="left"/>
      <w:pPr>
        <w:ind w:left="5370" w:hanging="358"/>
      </w:pPr>
      <w:rPr>
        <w:rFonts w:hint="default"/>
        <w:lang w:val="en-NZ" w:eastAsia="en-NZ" w:bidi="en-NZ"/>
      </w:rPr>
    </w:lvl>
    <w:lvl w:ilvl="7" w:tplc="519C2774">
      <w:numFmt w:val="bullet"/>
      <w:lvlText w:val="•"/>
      <w:lvlJc w:val="left"/>
      <w:pPr>
        <w:ind w:left="6188" w:hanging="358"/>
      </w:pPr>
      <w:rPr>
        <w:rFonts w:hint="default"/>
        <w:lang w:val="en-NZ" w:eastAsia="en-NZ" w:bidi="en-NZ"/>
      </w:rPr>
    </w:lvl>
    <w:lvl w:ilvl="8" w:tplc="E10E591C">
      <w:numFmt w:val="bullet"/>
      <w:lvlText w:val="•"/>
      <w:lvlJc w:val="left"/>
      <w:pPr>
        <w:ind w:left="7007" w:hanging="358"/>
      </w:pPr>
      <w:rPr>
        <w:rFonts w:hint="default"/>
        <w:lang w:val="en-NZ" w:eastAsia="en-NZ" w:bidi="en-NZ"/>
      </w:rPr>
    </w:lvl>
  </w:abstractNum>
  <w:abstractNum w:abstractNumId="11" w15:restartNumberingAfterBreak="0">
    <w:nsid w:val="6AB16348"/>
    <w:multiLevelType w:val="hybridMultilevel"/>
    <w:tmpl w:val="0DDE5E08"/>
    <w:lvl w:ilvl="0" w:tplc="D034F572">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D660D69C">
      <w:numFmt w:val="bullet"/>
      <w:lvlText w:val="•"/>
      <w:lvlJc w:val="left"/>
      <w:pPr>
        <w:ind w:left="1278" w:hanging="358"/>
      </w:pPr>
      <w:rPr>
        <w:rFonts w:hint="default"/>
        <w:lang w:val="en-NZ" w:eastAsia="en-NZ" w:bidi="en-NZ"/>
      </w:rPr>
    </w:lvl>
    <w:lvl w:ilvl="2" w:tplc="C44E6896">
      <w:numFmt w:val="bullet"/>
      <w:lvlText w:val="•"/>
      <w:lvlJc w:val="left"/>
      <w:pPr>
        <w:ind w:left="2096" w:hanging="358"/>
      </w:pPr>
      <w:rPr>
        <w:rFonts w:hint="default"/>
        <w:lang w:val="en-NZ" w:eastAsia="en-NZ" w:bidi="en-NZ"/>
      </w:rPr>
    </w:lvl>
    <w:lvl w:ilvl="3" w:tplc="A27AA82A">
      <w:numFmt w:val="bullet"/>
      <w:lvlText w:val="•"/>
      <w:lvlJc w:val="left"/>
      <w:pPr>
        <w:ind w:left="2915" w:hanging="358"/>
      </w:pPr>
      <w:rPr>
        <w:rFonts w:hint="default"/>
        <w:lang w:val="en-NZ" w:eastAsia="en-NZ" w:bidi="en-NZ"/>
      </w:rPr>
    </w:lvl>
    <w:lvl w:ilvl="4" w:tplc="CD1AE94A">
      <w:numFmt w:val="bullet"/>
      <w:lvlText w:val="•"/>
      <w:lvlJc w:val="left"/>
      <w:pPr>
        <w:ind w:left="3733" w:hanging="358"/>
      </w:pPr>
      <w:rPr>
        <w:rFonts w:hint="default"/>
        <w:lang w:val="en-NZ" w:eastAsia="en-NZ" w:bidi="en-NZ"/>
      </w:rPr>
    </w:lvl>
    <w:lvl w:ilvl="5" w:tplc="6338ED10">
      <w:numFmt w:val="bullet"/>
      <w:lvlText w:val="•"/>
      <w:lvlJc w:val="left"/>
      <w:pPr>
        <w:ind w:left="4552" w:hanging="358"/>
      </w:pPr>
      <w:rPr>
        <w:rFonts w:hint="default"/>
        <w:lang w:val="en-NZ" w:eastAsia="en-NZ" w:bidi="en-NZ"/>
      </w:rPr>
    </w:lvl>
    <w:lvl w:ilvl="6" w:tplc="2FC289C8">
      <w:numFmt w:val="bullet"/>
      <w:lvlText w:val="•"/>
      <w:lvlJc w:val="left"/>
      <w:pPr>
        <w:ind w:left="5370" w:hanging="358"/>
      </w:pPr>
      <w:rPr>
        <w:rFonts w:hint="default"/>
        <w:lang w:val="en-NZ" w:eastAsia="en-NZ" w:bidi="en-NZ"/>
      </w:rPr>
    </w:lvl>
    <w:lvl w:ilvl="7" w:tplc="4BE05A6C">
      <w:numFmt w:val="bullet"/>
      <w:lvlText w:val="•"/>
      <w:lvlJc w:val="left"/>
      <w:pPr>
        <w:ind w:left="6188" w:hanging="358"/>
      </w:pPr>
      <w:rPr>
        <w:rFonts w:hint="default"/>
        <w:lang w:val="en-NZ" w:eastAsia="en-NZ" w:bidi="en-NZ"/>
      </w:rPr>
    </w:lvl>
    <w:lvl w:ilvl="8" w:tplc="586816B0">
      <w:numFmt w:val="bullet"/>
      <w:lvlText w:val="•"/>
      <w:lvlJc w:val="left"/>
      <w:pPr>
        <w:ind w:left="7007" w:hanging="358"/>
      </w:pPr>
      <w:rPr>
        <w:rFonts w:hint="default"/>
        <w:lang w:val="en-NZ" w:eastAsia="en-NZ" w:bidi="en-NZ"/>
      </w:rPr>
    </w:lvl>
  </w:abstractNum>
  <w:abstractNum w:abstractNumId="12" w15:restartNumberingAfterBreak="0">
    <w:nsid w:val="7F083973"/>
    <w:multiLevelType w:val="hybridMultilevel"/>
    <w:tmpl w:val="6D22112E"/>
    <w:lvl w:ilvl="0" w:tplc="72BAB7C8">
      <w:start w:val="1"/>
      <w:numFmt w:val="lowerLetter"/>
      <w:lvlText w:val="%1)"/>
      <w:lvlJc w:val="left"/>
      <w:pPr>
        <w:ind w:left="465" w:hanging="358"/>
        <w:jc w:val="left"/>
      </w:pPr>
      <w:rPr>
        <w:rFonts w:ascii="Arial" w:eastAsia="Arial" w:hAnsi="Arial" w:cs="Arial" w:hint="default"/>
        <w:spacing w:val="-1"/>
        <w:w w:val="99"/>
        <w:sz w:val="20"/>
        <w:szCs w:val="20"/>
        <w:lang w:val="en-NZ" w:eastAsia="en-NZ" w:bidi="en-NZ"/>
      </w:rPr>
    </w:lvl>
    <w:lvl w:ilvl="1" w:tplc="067403F0">
      <w:numFmt w:val="bullet"/>
      <w:lvlText w:val="•"/>
      <w:lvlJc w:val="left"/>
      <w:pPr>
        <w:ind w:left="1278" w:hanging="358"/>
      </w:pPr>
      <w:rPr>
        <w:rFonts w:hint="default"/>
        <w:lang w:val="en-NZ" w:eastAsia="en-NZ" w:bidi="en-NZ"/>
      </w:rPr>
    </w:lvl>
    <w:lvl w:ilvl="2" w:tplc="80EEBBBE">
      <w:numFmt w:val="bullet"/>
      <w:lvlText w:val="•"/>
      <w:lvlJc w:val="left"/>
      <w:pPr>
        <w:ind w:left="2096" w:hanging="358"/>
      </w:pPr>
      <w:rPr>
        <w:rFonts w:hint="default"/>
        <w:lang w:val="en-NZ" w:eastAsia="en-NZ" w:bidi="en-NZ"/>
      </w:rPr>
    </w:lvl>
    <w:lvl w:ilvl="3" w:tplc="2286E702">
      <w:numFmt w:val="bullet"/>
      <w:lvlText w:val="•"/>
      <w:lvlJc w:val="left"/>
      <w:pPr>
        <w:ind w:left="2915" w:hanging="358"/>
      </w:pPr>
      <w:rPr>
        <w:rFonts w:hint="default"/>
        <w:lang w:val="en-NZ" w:eastAsia="en-NZ" w:bidi="en-NZ"/>
      </w:rPr>
    </w:lvl>
    <w:lvl w:ilvl="4" w:tplc="E5244C06">
      <w:numFmt w:val="bullet"/>
      <w:lvlText w:val="•"/>
      <w:lvlJc w:val="left"/>
      <w:pPr>
        <w:ind w:left="3733" w:hanging="358"/>
      </w:pPr>
      <w:rPr>
        <w:rFonts w:hint="default"/>
        <w:lang w:val="en-NZ" w:eastAsia="en-NZ" w:bidi="en-NZ"/>
      </w:rPr>
    </w:lvl>
    <w:lvl w:ilvl="5" w:tplc="02165076">
      <w:numFmt w:val="bullet"/>
      <w:lvlText w:val="•"/>
      <w:lvlJc w:val="left"/>
      <w:pPr>
        <w:ind w:left="4552" w:hanging="358"/>
      </w:pPr>
      <w:rPr>
        <w:rFonts w:hint="default"/>
        <w:lang w:val="en-NZ" w:eastAsia="en-NZ" w:bidi="en-NZ"/>
      </w:rPr>
    </w:lvl>
    <w:lvl w:ilvl="6" w:tplc="28E65454">
      <w:numFmt w:val="bullet"/>
      <w:lvlText w:val="•"/>
      <w:lvlJc w:val="left"/>
      <w:pPr>
        <w:ind w:left="5370" w:hanging="358"/>
      </w:pPr>
      <w:rPr>
        <w:rFonts w:hint="default"/>
        <w:lang w:val="en-NZ" w:eastAsia="en-NZ" w:bidi="en-NZ"/>
      </w:rPr>
    </w:lvl>
    <w:lvl w:ilvl="7" w:tplc="9F6456E8">
      <w:numFmt w:val="bullet"/>
      <w:lvlText w:val="•"/>
      <w:lvlJc w:val="left"/>
      <w:pPr>
        <w:ind w:left="6188" w:hanging="358"/>
      </w:pPr>
      <w:rPr>
        <w:rFonts w:hint="default"/>
        <w:lang w:val="en-NZ" w:eastAsia="en-NZ" w:bidi="en-NZ"/>
      </w:rPr>
    </w:lvl>
    <w:lvl w:ilvl="8" w:tplc="7396C25E">
      <w:numFmt w:val="bullet"/>
      <w:lvlText w:val="•"/>
      <w:lvlJc w:val="left"/>
      <w:pPr>
        <w:ind w:left="7007" w:hanging="358"/>
      </w:pPr>
      <w:rPr>
        <w:rFonts w:hint="default"/>
        <w:lang w:val="en-NZ" w:eastAsia="en-NZ" w:bidi="en-NZ"/>
      </w:rPr>
    </w:lvl>
  </w:abstractNum>
  <w:num w:numId="1">
    <w:abstractNumId w:val="11"/>
  </w:num>
  <w:num w:numId="2">
    <w:abstractNumId w:val="10"/>
  </w:num>
  <w:num w:numId="3">
    <w:abstractNumId w:val="3"/>
  </w:num>
  <w:num w:numId="4">
    <w:abstractNumId w:val="0"/>
  </w:num>
  <w:num w:numId="5">
    <w:abstractNumId w:val="4"/>
  </w:num>
  <w:num w:numId="6">
    <w:abstractNumId w:val="6"/>
  </w:num>
  <w:num w:numId="7">
    <w:abstractNumId w:val="5"/>
  </w:num>
  <w:num w:numId="8">
    <w:abstractNumId w:val="8"/>
  </w:num>
  <w:num w:numId="9">
    <w:abstractNumId w:val="9"/>
  </w:num>
  <w:num w:numId="10">
    <w:abstractNumId w:val="1"/>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F1F05"/>
    <w:rsid w:val="000F1F05"/>
    <w:rsid w:val="00551728"/>
    <w:rsid w:val="00B44D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NZ"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57"/>
    </w:pPr>
  </w:style>
  <w:style w:type="paragraph" w:styleId="BalloonText">
    <w:name w:val="Balloon Text"/>
    <w:basedOn w:val="Normal"/>
    <w:link w:val="BalloonTextChar"/>
    <w:uiPriority w:val="99"/>
    <w:semiHidden/>
    <w:unhideWhenUsed/>
    <w:rsid w:val="00551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28"/>
    <w:rPr>
      <w:rFonts w:ascii="Segoe UI" w:eastAsia="Arial" w:hAnsi="Segoe UI" w:cs="Segoe UI"/>
      <w:sz w:val="18"/>
      <w:szCs w:val="18"/>
      <w:lang w:val="en-NZ"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4030</Words>
  <Characters>22974</Characters>
  <Application>Microsoft Office Word</Application>
  <DocSecurity>0</DocSecurity>
  <Lines>191</Lines>
  <Paragraphs>53</Paragraphs>
  <ScaleCrop>false</ScaleCrop>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2019-04-17T02:52:00Z</dcterms:created>
  <dcterms:modified xsi:type="dcterms:W3CDTF">2019-04-17T02:52:00Z</dcterms:modified>
</cp:coreProperties>
</file>