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5B7" w:rsidRPr="00F7663E" w:rsidRDefault="001005B7" w:rsidP="001005B7">
      <w:pPr>
        <w:jc w:val="center"/>
        <w:rPr>
          <w:b/>
          <w:lang w:val="en-NZ"/>
        </w:rPr>
      </w:pPr>
      <w:bookmarkStart w:id="0" w:name="_GoBack"/>
      <w:bookmarkEnd w:id="0"/>
    </w:p>
    <w:p w:rsidR="001005B7" w:rsidRPr="00F7663E" w:rsidRDefault="001005B7" w:rsidP="001005B7">
      <w:pPr>
        <w:jc w:val="center"/>
        <w:rPr>
          <w:b/>
          <w:lang w:val="en-NZ"/>
        </w:rPr>
      </w:pPr>
    </w:p>
    <w:p w:rsidR="001005B7" w:rsidRPr="00F7663E" w:rsidRDefault="001005B7" w:rsidP="001005B7">
      <w:pPr>
        <w:jc w:val="center"/>
        <w:rPr>
          <w:b/>
          <w:lang w:val="en-NZ"/>
        </w:rPr>
      </w:pPr>
    </w:p>
    <w:p w:rsidR="001005B7" w:rsidRDefault="006A397B" w:rsidP="002048AD">
      <w:pPr>
        <w:jc w:val="center"/>
        <w:rPr>
          <w:sz w:val="68"/>
          <w:szCs w:val="68"/>
          <w:lang w:val="en-NZ"/>
        </w:rPr>
      </w:pPr>
      <w:r>
        <w:rPr>
          <w:sz w:val="68"/>
          <w:szCs w:val="68"/>
          <w:lang w:val="en-NZ"/>
        </w:rPr>
        <w:t>The Government’s tax policy work programme</w:t>
      </w:r>
    </w:p>
    <w:p w:rsidR="006A397B" w:rsidRDefault="006A397B" w:rsidP="002048AD">
      <w:pPr>
        <w:jc w:val="center"/>
        <w:rPr>
          <w:sz w:val="68"/>
          <w:szCs w:val="68"/>
          <w:lang w:val="en-NZ"/>
        </w:rPr>
      </w:pPr>
    </w:p>
    <w:p w:rsidR="006A397B" w:rsidRPr="00F7663E" w:rsidRDefault="006A397B" w:rsidP="002048AD">
      <w:pPr>
        <w:jc w:val="center"/>
        <w:rPr>
          <w:sz w:val="68"/>
          <w:szCs w:val="68"/>
          <w:lang w:val="en-NZ"/>
        </w:rPr>
      </w:pPr>
      <w:r>
        <w:rPr>
          <w:sz w:val="68"/>
          <w:szCs w:val="68"/>
          <w:lang w:val="en-NZ"/>
        </w:rPr>
        <w:t>2016–17</w:t>
      </w:r>
    </w:p>
    <w:p w:rsidR="001005B7" w:rsidRPr="00F7663E" w:rsidRDefault="001005B7" w:rsidP="002048AD">
      <w:pPr>
        <w:pBdr>
          <w:bottom w:val="single" w:sz="4" w:space="1" w:color="auto"/>
        </w:pBdr>
        <w:jc w:val="center"/>
        <w:rPr>
          <w:b/>
          <w:sz w:val="40"/>
          <w:szCs w:val="40"/>
          <w:lang w:val="en-NZ"/>
        </w:rPr>
      </w:pPr>
    </w:p>
    <w:p w:rsidR="001005B7" w:rsidRPr="00F7663E" w:rsidRDefault="001005B7" w:rsidP="000936CF">
      <w:pPr>
        <w:jc w:val="left"/>
        <w:rPr>
          <w:szCs w:val="24"/>
          <w:lang w:val="en-NZ"/>
        </w:rPr>
      </w:pPr>
    </w:p>
    <w:p w:rsidR="000936CF" w:rsidRPr="00F7663E" w:rsidRDefault="000936CF" w:rsidP="000936CF">
      <w:pPr>
        <w:jc w:val="left"/>
        <w:rPr>
          <w:szCs w:val="24"/>
          <w:lang w:val="en-NZ"/>
        </w:rPr>
      </w:pPr>
    </w:p>
    <w:p w:rsidR="001005B7" w:rsidRPr="00F7663E" w:rsidRDefault="001005B7" w:rsidP="000936CF">
      <w:pPr>
        <w:jc w:val="left"/>
        <w:rPr>
          <w:lang w:val="en-NZ"/>
        </w:rPr>
      </w:pPr>
    </w:p>
    <w:p w:rsidR="001005B7" w:rsidRPr="00F7663E" w:rsidRDefault="001005B7" w:rsidP="000936CF">
      <w:pPr>
        <w:jc w:val="left"/>
        <w:rPr>
          <w:lang w:val="en-NZ"/>
        </w:rPr>
      </w:pPr>
    </w:p>
    <w:p w:rsidR="001005B7" w:rsidRPr="00F7663E" w:rsidRDefault="001005B7" w:rsidP="001005B7">
      <w:pPr>
        <w:rPr>
          <w:lang w:val="en-NZ"/>
        </w:rPr>
      </w:pPr>
    </w:p>
    <w:p w:rsidR="001005B7" w:rsidRPr="00F7663E" w:rsidRDefault="001005B7" w:rsidP="001005B7">
      <w:pPr>
        <w:rPr>
          <w:lang w:val="en-NZ"/>
        </w:rPr>
      </w:pPr>
    </w:p>
    <w:p w:rsidR="001005B7" w:rsidRPr="00F7663E" w:rsidRDefault="001005B7" w:rsidP="001005B7">
      <w:pPr>
        <w:rPr>
          <w:lang w:val="en-NZ"/>
        </w:rPr>
      </w:pPr>
    </w:p>
    <w:p w:rsidR="001005B7" w:rsidRPr="00F7663E" w:rsidRDefault="001005B7" w:rsidP="001005B7">
      <w:pPr>
        <w:rPr>
          <w:lang w:val="en-NZ"/>
        </w:rPr>
      </w:pPr>
    </w:p>
    <w:p w:rsidR="001005B7" w:rsidRPr="00F7663E" w:rsidRDefault="001005B7" w:rsidP="001005B7">
      <w:pPr>
        <w:rPr>
          <w:lang w:val="en-NZ"/>
        </w:rPr>
      </w:pPr>
    </w:p>
    <w:p w:rsidR="001005B7" w:rsidRPr="00F7663E" w:rsidRDefault="001005B7" w:rsidP="001005B7">
      <w:pPr>
        <w:rPr>
          <w:lang w:val="en-NZ"/>
        </w:rPr>
      </w:pPr>
    </w:p>
    <w:p w:rsidR="001005B7" w:rsidRPr="00F7663E" w:rsidRDefault="001005B7" w:rsidP="001005B7">
      <w:pPr>
        <w:rPr>
          <w:lang w:val="en-NZ"/>
        </w:rPr>
      </w:pPr>
    </w:p>
    <w:p w:rsidR="001005B7" w:rsidRPr="00F7663E" w:rsidRDefault="001005B7" w:rsidP="001005B7">
      <w:pPr>
        <w:rPr>
          <w:lang w:val="en-NZ"/>
        </w:rPr>
      </w:pPr>
    </w:p>
    <w:p w:rsidR="001005B7" w:rsidRPr="00F7663E" w:rsidRDefault="001005B7" w:rsidP="001005B7">
      <w:pPr>
        <w:rPr>
          <w:lang w:val="en-NZ"/>
        </w:rPr>
      </w:pPr>
    </w:p>
    <w:p w:rsidR="001005B7" w:rsidRPr="00F7663E" w:rsidRDefault="001005B7" w:rsidP="001005B7">
      <w:pPr>
        <w:rPr>
          <w:lang w:val="en-NZ"/>
        </w:rPr>
      </w:pPr>
    </w:p>
    <w:p w:rsidR="001005B7" w:rsidRPr="00F7663E" w:rsidRDefault="001005B7" w:rsidP="001005B7">
      <w:pPr>
        <w:rPr>
          <w:lang w:val="en-NZ"/>
        </w:rPr>
      </w:pPr>
    </w:p>
    <w:p w:rsidR="001005B7" w:rsidRPr="00F7663E" w:rsidRDefault="001005B7" w:rsidP="001005B7">
      <w:pPr>
        <w:rPr>
          <w:lang w:val="en-NZ"/>
        </w:rPr>
      </w:pPr>
    </w:p>
    <w:p w:rsidR="001005B7" w:rsidRPr="00F7663E" w:rsidRDefault="001005B7" w:rsidP="001005B7">
      <w:pPr>
        <w:rPr>
          <w:lang w:val="en-NZ"/>
        </w:rPr>
      </w:pPr>
    </w:p>
    <w:p w:rsidR="001005B7" w:rsidRPr="00F7663E" w:rsidRDefault="001005B7" w:rsidP="001005B7">
      <w:pPr>
        <w:rPr>
          <w:lang w:val="en-NZ"/>
        </w:rPr>
      </w:pPr>
    </w:p>
    <w:p w:rsidR="001005B7" w:rsidRPr="00F7663E" w:rsidRDefault="001005B7" w:rsidP="001005B7">
      <w:pPr>
        <w:rPr>
          <w:lang w:val="en-NZ"/>
        </w:rPr>
      </w:pPr>
    </w:p>
    <w:p w:rsidR="001005B7" w:rsidRPr="00F7663E" w:rsidRDefault="001005B7" w:rsidP="001005B7">
      <w:pPr>
        <w:rPr>
          <w:lang w:val="en-NZ"/>
        </w:rPr>
      </w:pPr>
    </w:p>
    <w:p w:rsidR="001005B7" w:rsidRPr="00F7663E" w:rsidRDefault="001005B7" w:rsidP="001005B7">
      <w:pPr>
        <w:rPr>
          <w:lang w:val="en-NZ"/>
        </w:rPr>
      </w:pPr>
    </w:p>
    <w:p w:rsidR="001005B7" w:rsidRPr="00F7663E" w:rsidRDefault="001005B7" w:rsidP="001005B7">
      <w:pPr>
        <w:rPr>
          <w:lang w:val="en-NZ"/>
        </w:rPr>
      </w:pPr>
    </w:p>
    <w:p w:rsidR="008F12F0" w:rsidRPr="00F7663E" w:rsidRDefault="008F12F0" w:rsidP="001005B7">
      <w:pPr>
        <w:rPr>
          <w:lang w:val="en-NZ"/>
        </w:rPr>
      </w:pPr>
    </w:p>
    <w:p w:rsidR="008F12F0" w:rsidRPr="00F7663E" w:rsidRDefault="008F12F0" w:rsidP="001005B7">
      <w:pPr>
        <w:rPr>
          <w:lang w:val="en-NZ"/>
        </w:rPr>
      </w:pPr>
    </w:p>
    <w:p w:rsidR="008F12F0" w:rsidRPr="00F7663E" w:rsidRDefault="008F12F0" w:rsidP="001005B7">
      <w:pPr>
        <w:rPr>
          <w:lang w:val="en-NZ"/>
        </w:rPr>
      </w:pPr>
    </w:p>
    <w:p w:rsidR="004D6900" w:rsidRPr="00F7663E" w:rsidRDefault="004D6900" w:rsidP="001005B7">
      <w:pPr>
        <w:rPr>
          <w:lang w:val="en-NZ"/>
        </w:rPr>
      </w:pPr>
    </w:p>
    <w:p w:rsidR="002048AD" w:rsidRPr="00F7663E" w:rsidRDefault="002048AD" w:rsidP="001005B7">
      <w:pPr>
        <w:rPr>
          <w:lang w:val="en-NZ"/>
        </w:rPr>
      </w:pPr>
    </w:p>
    <w:p w:rsidR="004D6900" w:rsidRPr="00F7663E" w:rsidRDefault="004D6900" w:rsidP="001005B7">
      <w:pPr>
        <w:rPr>
          <w:lang w:val="en-NZ"/>
        </w:rPr>
      </w:pPr>
    </w:p>
    <w:p w:rsidR="004D6900" w:rsidRPr="00F7663E" w:rsidRDefault="004D6900" w:rsidP="001005B7">
      <w:pPr>
        <w:rPr>
          <w:lang w:val="en-NZ"/>
        </w:rPr>
      </w:pPr>
    </w:p>
    <w:p w:rsidR="004D6900" w:rsidRPr="00F7663E" w:rsidRDefault="004D6900" w:rsidP="001005B7">
      <w:pPr>
        <w:rPr>
          <w:lang w:val="en-NZ"/>
        </w:rPr>
      </w:pPr>
    </w:p>
    <w:p w:rsidR="001005B7" w:rsidRPr="00F7663E" w:rsidRDefault="001005B7" w:rsidP="001005B7">
      <w:pPr>
        <w:rPr>
          <w:lang w:val="en-NZ"/>
        </w:rPr>
      </w:pPr>
    </w:p>
    <w:p w:rsidR="001005B7" w:rsidRPr="00F7663E" w:rsidRDefault="006A397B" w:rsidP="001005B7">
      <w:pPr>
        <w:tabs>
          <w:tab w:val="left" w:pos="6237"/>
        </w:tabs>
        <w:rPr>
          <w:sz w:val="28"/>
          <w:szCs w:val="28"/>
          <w:lang w:val="en-NZ"/>
        </w:rPr>
      </w:pPr>
      <w:r>
        <w:rPr>
          <w:sz w:val="28"/>
          <w:szCs w:val="28"/>
          <w:lang w:val="en-NZ"/>
        </w:rPr>
        <w:t xml:space="preserve">Update released on 8 </w:t>
      </w:r>
      <w:r w:rsidR="004D6900" w:rsidRPr="00F7663E">
        <w:rPr>
          <w:sz w:val="28"/>
          <w:szCs w:val="28"/>
          <w:lang w:val="en-NZ"/>
        </w:rPr>
        <w:t>November 2016</w:t>
      </w:r>
    </w:p>
    <w:p w:rsidR="001005B7" w:rsidRPr="00F7663E" w:rsidRDefault="001005B7" w:rsidP="008F12F0">
      <w:pPr>
        <w:rPr>
          <w:lang w:val="en-NZ"/>
        </w:rPr>
      </w:pPr>
    </w:p>
    <w:p w:rsidR="001005B7" w:rsidRPr="00F7663E" w:rsidRDefault="001005B7" w:rsidP="008F12F0">
      <w:pPr>
        <w:rPr>
          <w:lang w:val="en-NZ"/>
        </w:rPr>
      </w:pPr>
    </w:p>
    <w:p w:rsidR="0033150F" w:rsidRPr="00F7663E" w:rsidRDefault="0033150F" w:rsidP="001005B7">
      <w:pPr>
        <w:tabs>
          <w:tab w:val="left" w:pos="6237"/>
        </w:tabs>
        <w:rPr>
          <w:i/>
          <w:lang w:val="en-NZ"/>
        </w:rPr>
      </w:pPr>
      <w:r w:rsidRPr="00F7663E">
        <w:rPr>
          <w:i/>
          <w:lang w:val="en-NZ"/>
        </w:rPr>
        <w:t>Prepared by Policy and Strategy, Inland Revenue</w:t>
      </w:r>
    </w:p>
    <w:p w:rsidR="006A397B" w:rsidRDefault="006A397B">
      <w:pPr>
        <w:jc w:val="left"/>
        <w:rPr>
          <w:lang w:val="en-NZ"/>
        </w:rPr>
        <w:sectPr w:rsidR="006A397B" w:rsidSect="003457C0">
          <w:footerReference w:type="even" r:id="rId9"/>
          <w:footerReference w:type="default" r:id="rId10"/>
          <w:type w:val="oddPage"/>
          <w:pgSz w:w="11906" w:h="16838" w:code="9"/>
          <w:pgMar w:top="1134" w:right="1797" w:bottom="1134" w:left="1797" w:header="709" w:footer="425" w:gutter="0"/>
          <w:pgNumType w:start="1"/>
          <w:cols w:space="708"/>
          <w:titlePg/>
          <w:docGrid w:linePitch="360"/>
        </w:sectPr>
      </w:pPr>
    </w:p>
    <w:p w:rsidR="00F7663E" w:rsidRDefault="00EE0FEF" w:rsidP="00F7663E">
      <w:pPr>
        <w:pStyle w:val="Heading1"/>
      </w:pPr>
      <w:bookmarkStart w:id="1" w:name="_Toc466290887"/>
      <w:r>
        <w:lastRenderedPageBreak/>
        <w:t>Tax p</w:t>
      </w:r>
      <w:r w:rsidR="00F7663E" w:rsidRPr="00F7663E">
        <w:t xml:space="preserve">olicy </w:t>
      </w:r>
      <w:r>
        <w:t>w</w:t>
      </w:r>
      <w:r w:rsidR="00F7663E" w:rsidRPr="00F7663E">
        <w:t xml:space="preserve">ork </w:t>
      </w:r>
      <w:r>
        <w:t>p</w:t>
      </w:r>
      <w:r w:rsidR="00F7663E" w:rsidRPr="00F7663E">
        <w:t xml:space="preserve">rogramme </w:t>
      </w:r>
      <w:r>
        <w:t xml:space="preserve">projects for </w:t>
      </w:r>
      <w:r w:rsidR="00F7663E" w:rsidRPr="00F7663E">
        <w:t>2016–17</w:t>
      </w:r>
      <w:bookmarkEnd w:id="1"/>
    </w:p>
    <w:p w:rsidR="00F7663E" w:rsidRDefault="00F7663E" w:rsidP="00F7663E">
      <w:pPr>
        <w:rPr>
          <w:lang w:val="en-NZ"/>
        </w:rPr>
      </w:pPr>
    </w:p>
    <w:p w:rsidR="00F7663E" w:rsidRPr="00F7663E" w:rsidRDefault="00F7663E" w:rsidP="00F7663E">
      <w:pPr>
        <w:rPr>
          <w:lang w:val="en-NZ"/>
        </w:rPr>
      </w:pPr>
    </w:p>
    <w:p w:rsidR="00F7663E" w:rsidRDefault="00F7663E" w:rsidP="009E6D86">
      <w:pPr>
        <w:pStyle w:val="Heading2"/>
        <w:rPr>
          <w:lang w:val="en-NZ"/>
        </w:rPr>
      </w:pPr>
      <w:bookmarkStart w:id="2" w:name="_Toc466284800"/>
      <w:bookmarkStart w:id="3" w:name="_Toc466285539"/>
      <w:bookmarkStart w:id="4" w:name="_Toc466288954"/>
      <w:bookmarkStart w:id="5" w:name="_Toc466289427"/>
      <w:bookmarkStart w:id="6" w:name="_Toc466290175"/>
      <w:bookmarkStart w:id="7" w:name="_Toc466290888"/>
      <w:r w:rsidRPr="00F7663E">
        <w:rPr>
          <w:lang w:val="en-NZ"/>
        </w:rPr>
        <w:t>Enhanc</w:t>
      </w:r>
      <w:r w:rsidR="00D4685C">
        <w:rPr>
          <w:lang w:val="en-NZ"/>
        </w:rPr>
        <w:t>ements to</w:t>
      </w:r>
      <w:r w:rsidRPr="00F7663E">
        <w:rPr>
          <w:lang w:val="en-NZ"/>
        </w:rPr>
        <w:t xml:space="preserve"> tax policy within broad-base, low-rate (BBLR) tax settings</w:t>
      </w:r>
      <w:bookmarkEnd w:id="2"/>
      <w:bookmarkEnd w:id="3"/>
      <w:bookmarkEnd w:id="4"/>
      <w:bookmarkEnd w:id="5"/>
      <w:bookmarkEnd w:id="6"/>
      <w:bookmarkEnd w:id="7"/>
    </w:p>
    <w:p w:rsidR="009E6D86" w:rsidRPr="00F7663E" w:rsidRDefault="009E6D86" w:rsidP="00F7663E">
      <w:pPr>
        <w:rPr>
          <w:lang w:val="en-NZ"/>
        </w:rPr>
      </w:pPr>
    </w:p>
    <w:tbl>
      <w:tblPr>
        <w:tblStyle w:val="TableGrid"/>
        <w:tblW w:w="0" w:type="auto"/>
        <w:tblLook w:val="04A0" w:firstRow="1" w:lastRow="0" w:firstColumn="1" w:lastColumn="0" w:noHBand="0" w:noVBand="1"/>
      </w:tblPr>
      <w:tblGrid>
        <w:gridCol w:w="2660"/>
        <w:gridCol w:w="5868"/>
      </w:tblGrid>
      <w:tr w:rsidR="009E6D86" w:rsidRPr="003457C0" w:rsidTr="009E6D86">
        <w:trPr>
          <w:tblHeader/>
        </w:trPr>
        <w:tc>
          <w:tcPr>
            <w:tcW w:w="2660" w:type="dxa"/>
            <w:shd w:val="clear" w:color="auto" w:fill="F2F2F2" w:themeFill="background1" w:themeFillShade="F2"/>
          </w:tcPr>
          <w:p w:rsidR="009E6D86" w:rsidRPr="003457C0" w:rsidRDefault="009E6D86" w:rsidP="009E6D86">
            <w:pPr>
              <w:spacing w:before="120" w:after="120"/>
              <w:jc w:val="left"/>
              <w:rPr>
                <w:b/>
                <w:sz w:val="22"/>
                <w:szCs w:val="22"/>
                <w:lang w:val="en-NZ"/>
              </w:rPr>
            </w:pPr>
            <w:r w:rsidRPr="003457C0">
              <w:rPr>
                <w:b/>
                <w:sz w:val="22"/>
                <w:szCs w:val="22"/>
                <w:lang w:val="en-NZ"/>
              </w:rPr>
              <w:t>Project</w:t>
            </w:r>
          </w:p>
        </w:tc>
        <w:tc>
          <w:tcPr>
            <w:tcW w:w="5868" w:type="dxa"/>
            <w:shd w:val="clear" w:color="auto" w:fill="F2F2F2" w:themeFill="background1" w:themeFillShade="F2"/>
          </w:tcPr>
          <w:p w:rsidR="009E6D86" w:rsidRPr="003457C0" w:rsidRDefault="009E6D86" w:rsidP="009E6D86">
            <w:pPr>
              <w:spacing w:before="120" w:after="120"/>
              <w:jc w:val="left"/>
              <w:rPr>
                <w:b/>
                <w:sz w:val="22"/>
                <w:szCs w:val="22"/>
                <w:lang w:val="en-NZ"/>
              </w:rPr>
            </w:pPr>
            <w:r w:rsidRPr="003457C0">
              <w:rPr>
                <w:b/>
                <w:sz w:val="22"/>
                <w:szCs w:val="22"/>
                <w:lang w:val="en-NZ"/>
              </w:rPr>
              <w:t>Description</w:t>
            </w:r>
          </w:p>
        </w:tc>
      </w:tr>
      <w:tr w:rsidR="009E6D86" w:rsidRPr="003457C0" w:rsidTr="009E6D86">
        <w:tc>
          <w:tcPr>
            <w:tcW w:w="2660" w:type="dxa"/>
          </w:tcPr>
          <w:p w:rsidR="009E6D86" w:rsidRPr="003457C0" w:rsidRDefault="009E6D86" w:rsidP="009E6D86">
            <w:pPr>
              <w:spacing w:before="40" w:after="40"/>
              <w:jc w:val="left"/>
              <w:rPr>
                <w:sz w:val="22"/>
                <w:szCs w:val="22"/>
                <w:lang w:val="en-NZ"/>
              </w:rPr>
            </w:pPr>
            <w:r w:rsidRPr="003457C0">
              <w:rPr>
                <w:sz w:val="22"/>
                <w:szCs w:val="22"/>
                <w:lang w:val="en-NZ"/>
              </w:rPr>
              <w:t>Review of the tax framework for employee share schemes</w:t>
            </w:r>
          </w:p>
        </w:tc>
        <w:tc>
          <w:tcPr>
            <w:tcW w:w="5868" w:type="dxa"/>
          </w:tcPr>
          <w:p w:rsidR="009E6D86" w:rsidRPr="003457C0" w:rsidRDefault="009E6D86" w:rsidP="009E6D86">
            <w:pPr>
              <w:spacing w:before="40" w:after="40"/>
              <w:jc w:val="left"/>
              <w:rPr>
                <w:sz w:val="22"/>
                <w:szCs w:val="22"/>
                <w:lang w:val="en-NZ"/>
              </w:rPr>
            </w:pPr>
            <w:r w:rsidRPr="003457C0">
              <w:rPr>
                <w:sz w:val="22"/>
                <w:szCs w:val="22"/>
                <w:lang w:val="en-NZ"/>
              </w:rPr>
              <w:t>Reforming the tax treatment of employee share schemes to ensure appropriate and balanced outcomes.</w:t>
            </w:r>
          </w:p>
        </w:tc>
      </w:tr>
      <w:tr w:rsidR="009E6D86" w:rsidRPr="003457C0" w:rsidTr="009E6D86">
        <w:tc>
          <w:tcPr>
            <w:tcW w:w="2660" w:type="dxa"/>
          </w:tcPr>
          <w:p w:rsidR="009E6D86" w:rsidRPr="003457C0" w:rsidRDefault="009E6D86" w:rsidP="009E6D86">
            <w:pPr>
              <w:spacing w:before="40" w:after="40"/>
              <w:jc w:val="left"/>
              <w:rPr>
                <w:sz w:val="22"/>
                <w:szCs w:val="22"/>
                <w:lang w:val="en-NZ"/>
              </w:rPr>
            </w:pPr>
            <w:r w:rsidRPr="003457C0">
              <w:rPr>
                <w:sz w:val="22"/>
                <w:szCs w:val="22"/>
                <w:lang w:val="en-NZ"/>
              </w:rPr>
              <w:t>Income protection insurance: a review</w:t>
            </w:r>
          </w:p>
        </w:tc>
        <w:tc>
          <w:tcPr>
            <w:tcW w:w="5868" w:type="dxa"/>
          </w:tcPr>
          <w:p w:rsidR="009E6D86" w:rsidRPr="003457C0" w:rsidRDefault="009E6D86" w:rsidP="009E6D86">
            <w:pPr>
              <w:spacing w:before="40" w:after="40"/>
              <w:jc w:val="left"/>
              <w:rPr>
                <w:sz w:val="22"/>
                <w:szCs w:val="22"/>
                <w:lang w:val="en-NZ"/>
              </w:rPr>
            </w:pPr>
            <w:r w:rsidRPr="003457C0">
              <w:rPr>
                <w:sz w:val="22"/>
                <w:szCs w:val="22"/>
                <w:lang w:val="en-NZ"/>
              </w:rPr>
              <w:t>The Financial Services Council is seeking a review of the income tax treatment of income protection insurance.  There is a lack of clarity about the tax treatment of this form of insurance and inconsistencies across products offering similar benefits.</w:t>
            </w:r>
          </w:p>
        </w:tc>
      </w:tr>
      <w:tr w:rsidR="009E6D86" w:rsidRPr="003457C0" w:rsidTr="009E6D86">
        <w:tc>
          <w:tcPr>
            <w:tcW w:w="2660" w:type="dxa"/>
          </w:tcPr>
          <w:p w:rsidR="009E6D86" w:rsidRPr="003457C0" w:rsidRDefault="009E6D86" w:rsidP="009E6D86">
            <w:pPr>
              <w:spacing w:before="40" w:after="40"/>
              <w:jc w:val="left"/>
              <w:rPr>
                <w:sz w:val="22"/>
                <w:szCs w:val="22"/>
                <w:lang w:val="en-NZ"/>
              </w:rPr>
            </w:pPr>
            <w:r w:rsidRPr="003457C0">
              <w:rPr>
                <w:sz w:val="22"/>
                <w:szCs w:val="22"/>
                <w:lang w:val="en-NZ"/>
              </w:rPr>
              <w:t>Deductibility of holding costs for revenue account property</w:t>
            </w:r>
          </w:p>
        </w:tc>
        <w:tc>
          <w:tcPr>
            <w:tcW w:w="5868" w:type="dxa"/>
          </w:tcPr>
          <w:p w:rsidR="009E6D86" w:rsidRPr="003457C0" w:rsidRDefault="009E6D86" w:rsidP="009E6D86">
            <w:pPr>
              <w:spacing w:before="40" w:after="40"/>
              <w:jc w:val="left"/>
              <w:rPr>
                <w:sz w:val="22"/>
                <w:szCs w:val="22"/>
                <w:lang w:val="en-NZ"/>
              </w:rPr>
            </w:pPr>
            <w:r w:rsidRPr="003457C0">
              <w:rPr>
                <w:sz w:val="22"/>
                <w:szCs w:val="22"/>
                <w:lang w:val="en-NZ"/>
              </w:rPr>
              <w:t>Considering the deductibility of holding costs for property.</w:t>
            </w:r>
          </w:p>
        </w:tc>
      </w:tr>
      <w:tr w:rsidR="009E6D86" w:rsidRPr="003457C0" w:rsidTr="009E6D86">
        <w:tc>
          <w:tcPr>
            <w:tcW w:w="2660" w:type="dxa"/>
          </w:tcPr>
          <w:p w:rsidR="009E6D86" w:rsidRPr="003457C0" w:rsidRDefault="009E6D86" w:rsidP="009E6D86">
            <w:pPr>
              <w:spacing w:before="40" w:after="40"/>
              <w:jc w:val="left"/>
              <w:rPr>
                <w:sz w:val="22"/>
                <w:szCs w:val="22"/>
                <w:lang w:val="en-NZ"/>
              </w:rPr>
            </w:pPr>
            <w:r w:rsidRPr="003457C0">
              <w:rPr>
                <w:sz w:val="22"/>
                <w:szCs w:val="22"/>
                <w:lang w:val="en-NZ"/>
              </w:rPr>
              <w:t>Abusive tax position penalty</w:t>
            </w:r>
          </w:p>
        </w:tc>
        <w:tc>
          <w:tcPr>
            <w:tcW w:w="5868" w:type="dxa"/>
          </w:tcPr>
          <w:p w:rsidR="009E6D86" w:rsidRPr="003457C0" w:rsidRDefault="009E6D86" w:rsidP="009E6D86">
            <w:pPr>
              <w:spacing w:before="40" w:after="40"/>
              <w:jc w:val="left"/>
              <w:rPr>
                <w:sz w:val="22"/>
                <w:szCs w:val="22"/>
                <w:lang w:val="en-NZ"/>
              </w:rPr>
            </w:pPr>
            <w:r w:rsidRPr="003457C0">
              <w:rPr>
                <w:sz w:val="22"/>
                <w:szCs w:val="22"/>
                <w:lang w:val="en-NZ"/>
              </w:rPr>
              <w:t>Examining the application of the abusive tax position penalty in cases of tax avoidance, and whether any changes are needed to the penalty.</w:t>
            </w:r>
          </w:p>
        </w:tc>
      </w:tr>
      <w:tr w:rsidR="009E6D86" w:rsidRPr="003457C0" w:rsidTr="009E6D86">
        <w:tc>
          <w:tcPr>
            <w:tcW w:w="2660" w:type="dxa"/>
          </w:tcPr>
          <w:p w:rsidR="009E6D86" w:rsidRPr="003457C0" w:rsidRDefault="009E6D86" w:rsidP="009E6D86">
            <w:pPr>
              <w:spacing w:before="40" w:after="40"/>
              <w:jc w:val="left"/>
              <w:rPr>
                <w:sz w:val="22"/>
                <w:szCs w:val="22"/>
                <w:lang w:val="en-NZ"/>
              </w:rPr>
            </w:pPr>
            <w:r w:rsidRPr="003457C0">
              <w:rPr>
                <w:sz w:val="22"/>
                <w:szCs w:val="22"/>
                <w:lang w:val="en-NZ"/>
              </w:rPr>
              <w:t>Demergers</w:t>
            </w:r>
            <w:r w:rsidR="00277FFB">
              <w:rPr>
                <w:sz w:val="22"/>
                <w:szCs w:val="22"/>
                <w:lang w:val="en-NZ"/>
              </w:rPr>
              <w:t xml:space="preserve"> (</w:t>
            </w:r>
            <w:r w:rsidR="00277FFB" w:rsidRPr="00277FFB">
              <w:rPr>
                <w:b/>
                <w:sz w:val="22"/>
                <w:szCs w:val="22"/>
                <w:lang w:val="en-NZ"/>
              </w:rPr>
              <w:t>new</w:t>
            </w:r>
            <w:r w:rsidR="00277FFB">
              <w:rPr>
                <w:sz w:val="22"/>
                <w:szCs w:val="22"/>
                <w:lang w:val="en-NZ"/>
              </w:rPr>
              <w:t>)</w:t>
            </w:r>
          </w:p>
        </w:tc>
        <w:tc>
          <w:tcPr>
            <w:tcW w:w="5868" w:type="dxa"/>
          </w:tcPr>
          <w:p w:rsidR="009E6D86" w:rsidRPr="003457C0" w:rsidRDefault="009E6D86" w:rsidP="009E6D86">
            <w:pPr>
              <w:spacing w:before="40" w:after="40"/>
              <w:jc w:val="left"/>
              <w:rPr>
                <w:sz w:val="22"/>
                <w:szCs w:val="22"/>
                <w:lang w:val="en-NZ"/>
              </w:rPr>
            </w:pPr>
            <w:r w:rsidRPr="003457C0">
              <w:rPr>
                <w:sz w:val="22"/>
                <w:szCs w:val="22"/>
                <w:lang w:val="en-NZ"/>
              </w:rPr>
              <w:t>Considering an exclusion from dividend taxation for corporate demergers.</w:t>
            </w:r>
          </w:p>
        </w:tc>
      </w:tr>
      <w:tr w:rsidR="009E6D86" w:rsidRPr="003457C0" w:rsidTr="009E6D86">
        <w:tc>
          <w:tcPr>
            <w:tcW w:w="2660" w:type="dxa"/>
          </w:tcPr>
          <w:p w:rsidR="009E6D86" w:rsidRPr="003457C0" w:rsidRDefault="009E6D86" w:rsidP="009E6D86">
            <w:pPr>
              <w:spacing w:before="40" w:after="40"/>
              <w:jc w:val="left"/>
              <w:rPr>
                <w:sz w:val="22"/>
                <w:szCs w:val="22"/>
                <w:lang w:val="en-NZ"/>
              </w:rPr>
            </w:pPr>
            <w:r w:rsidRPr="003457C0">
              <w:rPr>
                <w:sz w:val="22"/>
                <w:szCs w:val="22"/>
                <w:lang w:val="en-NZ"/>
              </w:rPr>
              <w:t>Petroleum mining decommissioning expenditure</w:t>
            </w:r>
            <w:r w:rsidR="00D863D2">
              <w:rPr>
                <w:sz w:val="22"/>
                <w:szCs w:val="22"/>
                <w:lang w:val="en-NZ"/>
              </w:rPr>
              <w:t xml:space="preserve"> (</w:t>
            </w:r>
            <w:r w:rsidR="00D863D2" w:rsidRPr="00277FFB">
              <w:rPr>
                <w:b/>
                <w:sz w:val="22"/>
                <w:szCs w:val="22"/>
                <w:lang w:val="en-NZ"/>
              </w:rPr>
              <w:t>new</w:t>
            </w:r>
            <w:r w:rsidR="00D863D2">
              <w:rPr>
                <w:sz w:val="22"/>
                <w:szCs w:val="22"/>
                <w:lang w:val="en-NZ"/>
              </w:rPr>
              <w:t>)</w:t>
            </w:r>
          </w:p>
        </w:tc>
        <w:tc>
          <w:tcPr>
            <w:tcW w:w="5868" w:type="dxa"/>
          </w:tcPr>
          <w:p w:rsidR="009E6D86" w:rsidRPr="003457C0" w:rsidRDefault="009E6D86" w:rsidP="009E6D86">
            <w:pPr>
              <w:spacing w:before="40" w:after="40"/>
              <w:jc w:val="left"/>
              <w:rPr>
                <w:sz w:val="22"/>
                <w:szCs w:val="22"/>
                <w:lang w:val="en-NZ"/>
              </w:rPr>
            </w:pPr>
            <w:r w:rsidRPr="003457C0">
              <w:rPr>
                <w:sz w:val="22"/>
                <w:szCs w:val="22"/>
                <w:lang w:val="en-NZ"/>
              </w:rPr>
              <w:t>Replacing the existing ability to spread back petroleum mining decommissioning expenditure to earlier tax years with a refundable tax credit in the current year.</w:t>
            </w:r>
          </w:p>
        </w:tc>
      </w:tr>
      <w:tr w:rsidR="009E6D86" w:rsidRPr="003457C0" w:rsidTr="009E6D86">
        <w:tc>
          <w:tcPr>
            <w:tcW w:w="2660" w:type="dxa"/>
          </w:tcPr>
          <w:p w:rsidR="009E6D86" w:rsidRPr="003457C0" w:rsidRDefault="009E6D86" w:rsidP="009E6D86">
            <w:pPr>
              <w:spacing w:before="40" w:after="40"/>
              <w:jc w:val="left"/>
              <w:rPr>
                <w:sz w:val="22"/>
                <w:szCs w:val="22"/>
                <w:lang w:val="en-NZ"/>
              </w:rPr>
            </w:pPr>
            <w:r w:rsidRPr="003457C0">
              <w:rPr>
                <w:sz w:val="22"/>
                <w:szCs w:val="22"/>
                <w:lang w:val="en-NZ"/>
              </w:rPr>
              <w:t>Review of bank account requirement for offshore persons’ IRD numbers</w:t>
            </w:r>
            <w:r w:rsidR="00D863D2">
              <w:rPr>
                <w:sz w:val="22"/>
                <w:szCs w:val="22"/>
                <w:lang w:val="en-NZ"/>
              </w:rPr>
              <w:t xml:space="preserve"> (</w:t>
            </w:r>
            <w:r w:rsidR="00D863D2" w:rsidRPr="00277FFB">
              <w:rPr>
                <w:b/>
                <w:sz w:val="22"/>
                <w:szCs w:val="22"/>
                <w:lang w:val="en-NZ"/>
              </w:rPr>
              <w:t>new</w:t>
            </w:r>
            <w:r w:rsidR="00D863D2">
              <w:rPr>
                <w:sz w:val="22"/>
                <w:szCs w:val="22"/>
                <w:lang w:val="en-NZ"/>
              </w:rPr>
              <w:t>)</w:t>
            </w:r>
          </w:p>
        </w:tc>
        <w:tc>
          <w:tcPr>
            <w:tcW w:w="5868" w:type="dxa"/>
          </w:tcPr>
          <w:p w:rsidR="009E6D86" w:rsidRPr="003457C0" w:rsidRDefault="009E6D86" w:rsidP="009E6D86">
            <w:pPr>
              <w:spacing w:before="40" w:after="40"/>
              <w:jc w:val="left"/>
              <w:rPr>
                <w:sz w:val="22"/>
                <w:szCs w:val="22"/>
                <w:lang w:val="en-NZ"/>
              </w:rPr>
            </w:pPr>
            <w:r w:rsidRPr="003457C0">
              <w:rPr>
                <w:sz w:val="22"/>
                <w:szCs w:val="22"/>
                <w:lang w:val="en-NZ"/>
              </w:rPr>
              <w:t>The bank account requirement for an offshore person to obtain an IRD number continues to cause issues in practice.  In particular, it is an obstacle in a number of cases to people being able to comply with their tax obligations.</w:t>
            </w:r>
          </w:p>
        </w:tc>
      </w:tr>
      <w:tr w:rsidR="009E6D86" w:rsidRPr="003457C0" w:rsidTr="009E6D86">
        <w:tc>
          <w:tcPr>
            <w:tcW w:w="2660" w:type="dxa"/>
          </w:tcPr>
          <w:p w:rsidR="009E6D86" w:rsidRPr="003457C0" w:rsidRDefault="009E6D86" w:rsidP="009E6D86">
            <w:pPr>
              <w:spacing w:before="40" w:after="40"/>
              <w:jc w:val="left"/>
              <w:rPr>
                <w:sz w:val="22"/>
                <w:szCs w:val="22"/>
                <w:lang w:val="en-NZ"/>
              </w:rPr>
            </w:pPr>
            <w:r w:rsidRPr="003457C0">
              <w:rPr>
                <w:sz w:val="22"/>
                <w:szCs w:val="22"/>
                <w:lang w:val="en-NZ"/>
              </w:rPr>
              <w:t>Trust beneficiaries as settlors</w:t>
            </w:r>
            <w:r w:rsidR="00D863D2">
              <w:rPr>
                <w:sz w:val="22"/>
                <w:szCs w:val="22"/>
                <w:lang w:val="en-NZ"/>
              </w:rPr>
              <w:t xml:space="preserve"> (</w:t>
            </w:r>
            <w:r w:rsidR="00D863D2" w:rsidRPr="00277FFB">
              <w:rPr>
                <w:b/>
                <w:sz w:val="22"/>
                <w:szCs w:val="22"/>
                <w:lang w:val="en-NZ"/>
              </w:rPr>
              <w:t>new</w:t>
            </w:r>
            <w:r w:rsidR="00D863D2">
              <w:rPr>
                <w:sz w:val="22"/>
                <w:szCs w:val="22"/>
                <w:lang w:val="en-NZ"/>
              </w:rPr>
              <w:t>)</w:t>
            </w:r>
          </w:p>
        </w:tc>
        <w:tc>
          <w:tcPr>
            <w:tcW w:w="5868" w:type="dxa"/>
          </w:tcPr>
          <w:p w:rsidR="009E6D86" w:rsidRPr="003457C0" w:rsidRDefault="009E6D86" w:rsidP="009E6D86">
            <w:pPr>
              <w:spacing w:before="40" w:after="40"/>
              <w:jc w:val="left"/>
              <w:rPr>
                <w:sz w:val="22"/>
                <w:szCs w:val="22"/>
                <w:lang w:val="en-NZ"/>
              </w:rPr>
            </w:pPr>
            <w:r w:rsidRPr="003457C0">
              <w:rPr>
                <w:sz w:val="22"/>
                <w:szCs w:val="22"/>
                <w:lang w:val="en-NZ"/>
              </w:rPr>
              <w:t>There are instances when beneficiaries of trusts who leave their beneficiary income in the current accounts with the trust become inadvertent settlors.  This is not in accordance with the policy intent.</w:t>
            </w:r>
          </w:p>
        </w:tc>
      </w:tr>
      <w:tr w:rsidR="009E6D86" w:rsidRPr="003457C0" w:rsidTr="009E6D86">
        <w:tc>
          <w:tcPr>
            <w:tcW w:w="2660" w:type="dxa"/>
          </w:tcPr>
          <w:p w:rsidR="009E6D86" w:rsidRPr="003457C0" w:rsidRDefault="009E6D86" w:rsidP="009E6D86">
            <w:pPr>
              <w:spacing w:before="40" w:after="40"/>
              <w:jc w:val="left"/>
              <w:rPr>
                <w:sz w:val="22"/>
                <w:szCs w:val="22"/>
                <w:lang w:val="en-NZ"/>
              </w:rPr>
            </w:pPr>
            <w:r w:rsidRPr="003457C0">
              <w:rPr>
                <w:sz w:val="22"/>
                <w:szCs w:val="22"/>
                <w:lang w:val="en-NZ"/>
              </w:rPr>
              <w:t>Financial arrangement issues</w:t>
            </w:r>
            <w:r w:rsidR="00D863D2">
              <w:rPr>
                <w:sz w:val="22"/>
                <w:szCs w:val="22"/>
                <w:lang w:val="en-NZ"/>
              </w:rPr>
              <w:t xml:space="preserve"> (</w:t>
            </w:r>
            <w:r w:rsidR="00D863D2" w:rsidRPr="00277FFB">
              <w:rPr>
                <w:b/>
                <w:sz w:val="22"/>
                <w:szCs w:val="22"/>
                <w:lang w:val="en-NZ"/>
              </w:rPr>
              <w:t>new</w:t>
            </w:r>
            <w:r w:rsidR="00D863D2">
              <w:rPr>
                <w:sz w:val="22"/>
                <w:szCs w:val="22"/>
                <w:lang w:val="en-NZ"/>
              </w:rPr>
              <w:t>)</w:t>
            </w:r>
          </w:p>
        </w:tc>
        <w:tc>
          <w:tcPr>
            <w:tcW w:w="5868" w:type="dxa"/>
          </w:tcPr>
          <w:p w:rsidR="009E6D86" w:rsidRPr="003457C0" w:rsidRDefault="009E6D86" w:rsidP="009E6D86">
            <w:pPr>
              <w:spacing w:before="40" w:after="40"/>
              <w:jc w:val="left"/>
              <w:rPr>
                <w:sz w:val="22"/>
                <w:szCs w:val="22"/>
                <w:lang w:val="en-NZ"/>
              </w:rPr>
            </w:pPr>
            <w:r w:rsidRPr="003457C0">
              <w:rPr>
                <w:sz w:val="22"/>
                <w:szCs w:val="22"/>
                <w:lang w:val="en-NZ"/>
              </w:rPr>
              <w:t>There are a variety of financial arrangement taxation issues ranging from remedial to policy enhancements to ensure these rules work as intended.</w:t>
            </w:r>
          </w:p>
        </w:tc>
      </w:tr>
      <w:tr w:rsidR="009E6D86" w:rsidRPr="003457C0" w:rsidTr="009E6D86">
        <w:tc>
          <w:tcPr>
            <w:tcW w:w="2660" w:type="dxa"/>
          </w:tcPr>
          <w:p w:rsidR="009E6D86" w:rsidRPr="003457C0" w:rsidRDefault="009E6D86" w:rsidP="009E6D86">
            <w:pPr>
              <w:spacing w:before="40" w:after="40"/>
              <w:jc w:val="left"/>
              <w:rPr>
                <w:sz w:val="22"/>
                <w:szCs w:val="22"/>
                <w:lang w:val="en-NZ"/>
              </w:rPr>
            </w:pPr>
            <w:r w:rsidRPr="003457C0">
              <w:rPr>
                <w:sz w:val="22"/>
                <w:szCs w:val="22"/>
                <w:lang w:val="en-NZ"/>
              </w:rPr>
              <w:t>Taxation of non-bank securitisation vehicles</w:t>
            </w:r>
            <w:r w:rsidR="00D863D2">
              <w:rPr>
                <w:sz w:val="22"/>
                <w:szCs w:val="22"/>
                <w:lang w:val="en-NZ"/>
              </w:rPr>
              <w:t xml:space="preserve"> (</w:t>
            </w:r>
            <w:r w:rsidR="00D863D2" w:rsidRPr="00277FFB">
              <w:rPr>
                <w:b/>
                <w:sz w:val="22"/>
                <w:szCs w:val="22"/>
                <w:lang w:val="en-NZ"/>
              </w:rPr>
              <w:t>new</w:t>
            </w:r>
            <w:r w:rsidR="00D863D2">
              <w:rPr>
                <w:sz w:val="22"/>
                <w:szCs w:val="22"/>
                <w:lang w:val="en-NZ"/>
              </w:rPr>
              <w:t>)</w:t>
            </w:r>
          </w:p>
        </w:tc>
        <w:tc>
          <w:tcPr>
            <w:tcW w:w="5868" w:type="dxa"/>
          </w:tcPr>
          <w:p w:rsidR="009E6D86" w:rsidRPr="003457C0" w:rsidRDefault="009E6D86" w:rsidP="009E6D86">
            <w:pPr>
              <w:spacing w:before="40" w:after="40"/>
              <w:jc w:val="left"/>
              <w:rPr>
                <w:sz w:val="22"/>
                <w:szCs w:val="22"/>
                <w:lang w:val="en-NZ"/>
              </w:rPr>
            </w:pPr>
            <w:r w:rsidRPr="003457C0">
              <w:rPr>
                <w:sz w:val="22"/>
                <w:szCs w:val="22"/>
                <w:lang w:val="en-NZ"/>
              </w:rPr>
              <w:t>Extending the current securitisation regime to beyond banks.</w:t>
            </w:r>
          </w:p>
        </w:tc>
      </w:tr>
      <w:tr w:rsidR="009E6D86" w:rsidRPr="003457C0" w:rsidTr="009E6D86">
        <w:tc>
          <w:tcPr>
            <w:tcW w:w="2660" w:type="dxa"/>
          </w:tcPr>
          <w:p w:rsidR="009E6D86" w:rsidRPr="003457C0" w:rsidRDefault="00D863D2" w:rsidP="009E6D86">
            <w:pPr>
              <w:spacing w:before="40" w:after="40"/>
              <w:jc w:val="left"/>
              <w:rPr>
                <w:sz w:val="22"/>
                <w:szCs w:val="22"/>
                <w:lang w:val="en-NZ"/>
              </w:rPr>
            </w:pPr>
            <w:r>
              <w:rPr>
                <w:sz w:val="22"/>
                <w:szCs w:val="22"/>
                <w:lang w:val="en-NZ"/>
              </w:rPr>
              <w:t>I</w:t>
            </w:r>
            <w:r w:rsidR="009E6D86" w:rsidRPr="003457C0">
              <w:rPr>
                <w:sz w:val="22"/>
                <w:szCs w:val="22"/>
                <w:lang w:val="en-NZ"/>
              </w:rPr>
              <w:t>mpact of case law on the ”voting interest” test for corporate trustees</w:t>
            </w:r>
            <w:r>
              <w:rPr>
                <w:sz w:val="22"/>
                <w:szCs w:val="22"/>
                <w:lang w:val="en-NZ"/>
              </w:rPr>
              <w:t xml:space="preserve"> (</w:t>
            </w:r>
            <w:r w:rsidRPr="00277FFB">
              <w:rPr>
                <w:b/>
                <w:sz w:val="22"/>
                <w:szCs w:val="22"/>
                <w:lang w:val="en-NZ"/>
              </w:rPr>
              <w:t>new</w:t>
            </w:r>
            <w:r>
              <w:rPr>
                <w:sz w:val="22"/>
                <w:szCs w:val="22"/>
                <w:lang w:val="en-NZ"/>
              </w:rPr>
              <w:t>)</w:t>
            </w:r>
          </w:p>
        </w:tc>
        <w:tc>
          <w:tcPr>
            <w:tcW w:w="5868" w:type="dxa"/>
          </w:tcPr>
          <w:p w:rsidR="009E6D86" w:rsidRPr="003457C0" w:rsidRDefault="009E6D86" w:rsidP="009E6D86">
            <w:pPr>
              <w:spacing w:before="40" w:after="40"/>
              <w:jc w:val="left"/>
              <w:rPr>
                <w:sz w:val="22"/>
                <w:szCs w:val="22"/>
                <w:lang w:val="en-NZ"/>
              </w:rPr>
            </w:pPr>
            <w:r w:rsidRPr="003457C0">
              <w:rPr>
                <w:sz w:val="22"/>
                <w:szCs w:val="22"/>
                <w:lang w:val="en-NZ"/>
              </w:rPr>
              <w:t>Considering the impact of recent case law on the application of the voting interest test in the Income Tax Act 2007 and the Goods and Services Tax Act 1985 to corporate trustees.</w:t>
            </w:r>
          </w:p>
        </w:tc>
      </w:tr>
      <w:tr w:rsidR="009E6D86" w:rsidRPr="003457C0" w:rsidTr="009E6D86">
        <w:tc>
          <w:tcPr>
            <w:tcW w:w="2660" w:type="dxa"/>
          </w:tcPr>
          <w:p w:rsidR="009E6D86" w:rsidRPr="003457C0" w:rsidRDefault="009E6D86" w:rsidP="009E6D86">
            <w:pPr>
              <w:spacing w:before="40" w:after="40"/>
              <w:jc w:val="left"/>
              <w:rPr>
                <w:sz w:val="22"/>
                <w:szCs w:val="22"/>
                <w:lang w:val="en-NZ"/>
              </w:rPr>
            </w:pPr>
            <w:r w:rsidRPr="003457C0">
              <w:rPr>
                <w:sz w:val="22"/>
                <w:szCs w:val="22"/>
                <w:lang w:val="en-NZ"/>
              </w:rPr>
              <w:t>Repeal adverse events income equalisation deposit regime</w:t>
            </w:r>
            <w:r w:rsidR="00D863D2">
              <w:rPr>
                <w:sz w:val="22"/>
                <w:szCs w:val="22"/>
                <w:lang w:val="en-NZ"/>
              </w:rPr>
              <w:t xml:space="preserve"> (</w:t>
            </w:r>
            <w:r w:rsidR="00D863D2" w:rsidRPr="00277FFB">
              <w:rPr>
                <w:b/>
                <w:sz w:val="22"/>
                <w:szCs w:val="22"/>
                <w:lang w:val="en-NZ"/>
              </w:rPr>
              <w:t>new</w:t>
            </w:r>
            <w:r w:rsidR="00D863D2">
              <w:rPr>
                <w:sz w:val="22"/>
                <w:szCs w:val="22"/>
                <w:lang w:val="en-NZ"/>
              </w:rPr>
              <w:t>)</w:t>
            </w:r>
          </w:p>
        </w:tc>
        <w:tc>
          <w:tcPr>
            <w:tcW w:w="5868" w:type="dxa"/>
          </w:tcPr>
          <w:p w:rsidR="009E6D86" w:rsidRPr="003457C0" w:rsidRDefault="009E6D86" w:rsidP="009E6D86">
            <w:pPr>
              <w:spacing w:before="40" w:after="40"/>
              <w:jc w:val="left"/>
              <w:rPr>
                <w:sz w:val="22"/>
                <w:szCs w:val="22"/>
                <w:lang w:val="en-NZ"/>
              </w:rPr>
            </w:pPr>
            <w:r w:rsidRPr="003457C0">
              <w:rPr>
                <w:sz w:val="22"/>
                <w:szCs w:val="22"/>
                <w:lang w:val="en-NZ"/>
              </w:rPr>
              <w:t>This regime is, in practice, little used, because the main scheme offers more flexibility.  However, its existence can cause some confusion.</w:t>
            </w:r>
          </w:p>
        </w:tc>
      </w:tr>
      <w:tr w:rsidR="009E6D86" w:rsidRPr="003457C0" w:rsidTr="009E6D86">
        <w:tc>
          <w:tcPr>
            <w:tcW w:w="2660" w:type="dxa"/>
          </w:tcPr>
          <w:p w:rsidR="009E6D86" w:rsidRPr="003457C0" w:rsidRDefault="009E6D86" w:rsidP="009E6D86">
            <w:pPr>
              <w:spacing w:before="40" w:after="40"/>
              <w:jc w:val="left"/>
              <w:rPr>
                <w:sz w:val="22"/>
                <w:szCs w:val="22"/>
                <w:lang w:val="en-NZ"/>
              </w:rPr>
            </w:pPr>
            <w:r w:rsidRPr="003457C0">
              <w:rPr>
                <w:sz w:val="22"/>
                <w:szCs w:val="22"/>
                <w:lang w:val="en-NZ"/>
              </w:rPr>
              <w:t>Revi</w:t>
            </w:r>
            <w:r w:rsidR="00847D8B" w:rsidRPr="003457C0">
              <w:rPr>
                <w:sz w:val="22"/>
                <w:szCs w:val="22"/>
                <w:lang w:val="en-NZ"/>
              </w:rPr>
              <w:t>ew of donee status applications</w:t>
            </w:r>
          </w:p>
        </w:tc>
        <w:tc>
          <w:tcPr>
            <w:tcW w:w="5868" w:type="dxa"/>
          </w:tcPr>
          <w:p w:rsidR="009E6D86" w:rsidRPr="003457C0" w:rsidRDefault="009E6D86" w:rsidP="009E6D86">
            <w:pPr>
              <w:spacing w:before="40" w:after="40"/>
              <w:jc w:val="left"/>
              <w:rPr>
                <w:sz w:val="22"/>
                <w:szCs w:val="22"/>
                <w:lang w:val="en-NZ"/>
              </w:rPr>
            </w:pPr>
            <w:r w:rsidRPr="003457C0">
              <w:rPr>
                <w:sz w:val="22"/>
                <w:szCs w:val="22"/>
                <w:lang w:val="en-NZ"/>
              </w:rPr>
              <w:t>Dealing with applications by organisations for donee status under schedule 32.</w:t>
            </w:r>
          </w:p>
        </w:tc>
      </w:tr>
      <w:tr w:rsidR="009E6D86" w:rsidRPr="003457C0" w:rsidTr="009E6D86">
        <w:tc>
          <w:tcPr>
            <w:tcW w:w="2660" w:type="dxa"/>
          </w:tcPr>
          <w:p w:rsidR="009E6D86" w:rsidRPr="003457C0" w:rsidRDefault="009E6D86" w:rsidP="009E6D86">
            <w:pPr>
              <w:spacing w:before="40" w:after="40"/>
              <w:jc w:val="left"/>
              <w:rPr>
                <w:sz w:val="22"/>
                <w:szCs w:val="22"/>
                <w:lang w:val="en-NZ"/>
              </w:rPr>
            </w:pPr>
            <w:r w:rsidRPr="003457C0">
              <w:rPr>
                <w:sz w:val="22"/>
                <w:szCs w:val="22"/>
                <w:lang w:val="en-NZ"/>
              </w:rPr>
              <w:t>Treaty of Waitangi settlements</w:t>
            </w:r>
          </w:p>
        </w:tc>
        <w:tc>
          <w:tcPr>
            <w:tcW w:w="5868" w:type="dxa"/>
          </w:tcPr>
          <w:p w:rsidR="009E6D86" w:rsidRPr="003457C0" w:rsidRDefault="009E6D86" w:rsidP="009E6D86">
            <w:pPr>
              <w:spacing w:before="40" w:after="40"/>
              <w:jc w:val="left"/>
              <w:rPr>
                <w:sz w:val="22"/>
                <w:szCs w:val="22"/>
                <w:lang w:val="en-NZ"/>
              </w:rPr>
            </w:pPr>
            <w:r w:rsidRPr="003457C0">
              <w:rPr>
                <w:sz w:val="22"/>
                <w:szCs w:val="22"/>
                <w:lang w:val="en-NZ"/>
              </w:rPr>
              <w:t>Tax implications of Treaty settlements are addressed as required.</w:t>
            </w:r>
          </w:p>
        </w:tc>
      </w:tr>
    </w:tbl>
    <w:p w:rsidR="00DA093F" w:rsidRDefault="00DA093F">
      <w:pPr>
        <w:jc w:val="left"/>
        <w:rPr>
          <w:b/>
          <w:lang w:val="en-NZ"/>
        </w:rPr>
      </w:pPr>
      <w:r>
        <w:rPr>
          <w:lang w:val="en-NZ"/>
        </w:rPr>
        <w:br w:type="page"/>
      </w:r>
    </w:p>
    <w:p w:rsidR="00F7663E" w:rsidRPr="00F7663E" w:rsidRDefault="00F7663E" w:rsidP="009E6D86">
      <w:pPr>
        <w:pStyle w:val="Heading2"/>
        <w:rPr>
          <w:lang w:val="en-NZ"/>
        </w:rPr>
      </w:pPr>
      <w:bookmarkStart w:id="8" w:name="_Toc466284801"/>
      <w:bookmarkStart w:id="9" w:name="_Toc466285540"/>
      <w:bookmarkStart w:id="10" w:name="_Toc466288955"/>
      <w:bookmarkStart w:id="11" w:name="_Toc466289428"/>
      <w:bookmarkStart w:id="12" w:name="_Toc466290176"/>
      <w:bookmarkStart w:id="13" w:name="_Toc466290889"/>
      <w:r w:rsidRPr="00F7663E">
        <w:rPr>
          <w:lang w:val="en-NZ"/>
        </w:rPr>
        <w:lastRenderedPageBreak/>
        <w:t xml:space="preserve">International </w:t>
      </w:r>
      <w:r w:rsidR="00D4685C">
        <w:rPr>
          <w:lang w:val="en-NZ"/>
        </w:rPr>
        <w:t xml:space="preserve">tax </w:t>
      </w:r>
      <w:r w:rsidRPr="00F7663E">
        <w:rPr>
          <w:lang w:val="en-NZ"/>
        </w:rPr>
        <w:t>and base erosion and profit shifting (BEPS)</w:t>
      </w:r>
      <w:bookmarkEnd w:id="8"/>
      <w:bookmarkEnd w:id="9"/>
      <w:bookmarkEnd w:id="10"/>
      <w:bookmarkEnd w:id="11"/>
      <w:bookmarkEnd w:id="12"/>
      <w:bookmarkEnd w:id="13"/>
    </w:p>
    <w:p w:rsidR="00F7663E" w:rsidRPr="00F7663E" w:rsidRDefault="00F7663E" w:rsidP="00F7663E">
      <w:pPr>
        <w:rPr>
          <w:lang w:val="en-NZ"/>
        </w:rPr>
      </w:pPr>
    </w:p>
    <w:tbl>
      <w:tblPr>
        <w:tblStyle w:val="TableGrid"/>
        <w:tblW w:w="0" w:type="auto"/>
        <w:tblLook w:val="04A0" w:firstRow="1" w:lastRow="0" w:firstColumn="1" w:lastColumn="0" w:noHBand="0" w:noVBand="1"/>
      </w:tblPr>
      <w:tblGrid>
        <w:gridCol w:w="2660"/>
        <w:gridCol w:w="5868"/>
      </w:tblGrid>
      <w:tr w:rsidR="009E6D86" w:rsidRPr="003457C0" w:rsidTr="003457C0">
        <w:trPr>
          <w:tblHeader/>
        </w:trPr>
        <w:tc>
          <w:tcPr>
            <w:tcW w:w="2660" w:type="dxa"/>
            <w:shd w:val="clear" w:color="auto" w:fill="F2F2F2" w:themeFill="background1" w:themeFillShade="F2"/>
          </w:tcPr>
          <w:p w:rsidR="009E6D86" w:rsidRPr="003457C0" w:rsidRDefault="009E6D86" w:rsidP="009E6D86">
            <w:pPr>
              <w:spacing w:before="120" w:after="120"/>
              <w:jc w:val="left"/>
              <w:rPr>
                <w:b/>
                <w:sz w:val="22"/>
                <w:szCs w:val="22"/>
                <w:lang w:val="en-NZ"/>
              </w:rPr>
            </w:pPr>
            <w:r w:rsidRPr="003457C0">
              <w:rPr>
                <w:b/>
                <w:sz w:val="22"/>
                <w:szCs w:val="22"/>
                <w:lang w:val="en-NZ"/>
              </w:rPr>
              <w:t>Project</w:t>
            </w:r>
          </w:p>
        </w:tc>
        <w:tc>
          <w:tcPr>
            <w:tcW w:w="5868" w:type="dxa"/>
            <w:shd w:val="clear" w:color="auto" w:fill="F2F2F2" w:themeFill="background1" w:themeFillShade="F2"/>
          </w:tcPr>
          <w:p w:rsidR="009E6D86" w:rsidRPr="003457C0" w:rsidRDefault="009E6D86" w:rsidP="009E6D86">
            <w:pPr>
              <w:spacing w:before="120" w:after="120"/>
              <w:jc w:val="left"/>
              <w:rPr>
                <w:b/>
                <w:sz w:val="22"/>
                <w:szCs w:val="22"/>
                <w:lang w:val="en-NZ"/>
              </w:rPr>
            </w:pPr>
            <w:r w:rsidRPr="003457C0">
              <w:rPr>
                <w:b/>
                <w:sz w:val="22"/>
                <w:szCs w:val="22"/>
                <w:lang w:val="en-NZ"/>
              </w:rPr>
              <w:t>Description</w:t>
            </w:r>
          </w:p>
        </w:tc>
      </w:tr>
      <w:tr w:rsidR="009E6D86" w:rsidRPr="003457C0" w:rsidTr="009E6D86">
        <w:tc>
          <w:tcPr>
            <w:tcW w:w="2660" w:type="dxa"/>
          </w:tcPr>
          <w:p w:rsidR="009E6D86" w:rsidRPr="003457C0" w:rsidRDefault="009E6D86" w:rsidP="009E6D86">
            <w:pPr>
              <w:spacing w:before="40" w:after="40"/>
              <w:jc w:val="left"/>
              <w:rPr>
                <w:sz w:val="22"/>
                <w:szCs w:val="22"/>
                <w:lang w:val="en-NZ"/>
              </w:rPr>
            </w:pPr>
            <w:r w:rsidRPr="003457C0">
              <w:rPr>
                <w:sz w:val="22"/>
                <w:szCs w:val="22"/>
                <w:lang w:val="en-NZ"/>
              </w:rPr>
              <w:t>Hybrid instruments and entities</w:t>
            </w:r>
          </w:p>
        </w:tc>
        <w:tc>
          <w:tcPr>
            <w:tcW w:w="5868" w:type="dxa"/>
          </w:tcPr>
          <w:p w:rsidR="009E6D86" w:rsidRPr="003457C0" w:rsidRDefault="009E6D86" w:rsidP="009E6D86">
            <w:pPr>
              <w:spacing w:before="40" w:after="40"/>
              <w:jc w:val="left"/>
              <w:rPr>
                <w:sz w:val="22"/>
                <w:szCs w:val="22"/>
                <w:lang w:val="en-NZ"/>
              </w:rPr>
            </w:pPr>
            <w:r w:rsidRPr="003457C0">
              <w:rPr>
                <w:sz w:val="22"/>
                <w:szCs w:val="22"/>
                <w:lang w:val="en-NZ"/>
              </w:rPr>
              <w:t>Consideration of foreign hybrid instruments and entities in the context of BEPS.</w:t>
            </w:r>
          </w:p>
        </w:tc>
      </w:tr>
      <w:tr w:rsidR="009E6D86" w:rsidRPr="003457C0" w:rsidTr="009E6D86">
        <w:tc>
          <w:tcPr>
            <w:tcW w:w="2660" w:type="dxa"/>
          </w:tcPr>
          <w:p w:rsidR="009E6D86" w:rsidRPr="003457C0" w:rsidRDefault="009E6D86" w:rsidP="009E6D86">
            <w:pPr>
              <w:spacing w:before="40" w:after="40"/>
              <w:jc w:val="left"/>
              <w:rPr>
                <w:sz w:val="22"/>
                <w:szCs w:val="22"/>
                <w:lang w:val="en-NZ"/>
              </w:rPr>
            </w:pPr>
            <w:r w:rsidRPr="003457C0">
              <w:rPr>
                <w:sz w:val="22"/>
                <w:szCs w:val="22"/>
                <w:lang w:val="en-NZ"/>
              </w:rPr>
              <w:t>Double tax agreement (DTA) work programme</w:t>
            </w:r>
          </w:p>
        </w:tc>
        <w:tc>
          <w:tcPr>
            <w:tcW w:w="5868" w:type="dxa"/>
          </w:tcPr>
          <w:p w:rsidR="009E6D86" w:rsidRPr="003457C0" w:rsidRDefault="009E6D86" w:rsidP="009E6D86">
            <w:pPr>
              <w:spacing w:before="40" w:after="40"/>
              <w:jc w:val="left"/>
              <w:rPr>
                <w:sz w:val="22"/>
                <w:szCs w:val="22"/>
                <w:lang w:val="en-NZ"/>
              </w:rPr>
            </w:pPr>
            <w:r w:rsidRPr="003457C0">
              <w:rPr>
                <w:sz w:val="22"/>
                <w:szCs w:val="22"/>
                <w:lang w:val="en-NZ"/>
              </w:rPr>
              <w:t>New Zealand is seeking to establish new and updated double tax agreements with a number of countries, including Norway, China, Korea, Slovak Republic, Portugal and Fiji.</w:t>
            </w:r>
          </w:p>
        </w:tc>
      </w:tr>
      <w:tr w:rsidR="009E6D86" w:rsidRPr="003457C0" w:rsidTr="009E6D86">
        <w:tc>
          <w:tcPr>
            <w:tcW w:w="2660" w:type="dxa"/>
          </w:tcPr>
          <w:p w:rsidR="009E6D86" w:rsidRPr="003457C0" w:rsidRDefault="009E6D86" w:rsidP="009E6D86">
            <w:pPr>
              <w:spacing w:before="40" w:after="40"/>
              <w:jc w:val="left"/>
              <w:rPr>
                <w:sz w:val="22"/>
                <w:szCs w:val="22"/>
                <w:lang w:val="en-NZ"/>
              </w:rPr>
            </w:pPr>
            <w:r w:rsidRPr="003457C0">
              <w:rPr>
                <w:sz w:val="22"/>
                <w:szCs w:val="22"/>
                <w:lang w:val="en-NZ"/>
              </w:rPr>
              <w:t>Automatic exchange of information</w:t>
            </w:r>
          </w:p>
        </w:tc>
        <w:tc>
          <w:tcPr>
            <w:tcW w:w="5868" w:type="dxa"/>
          </w:tcPr>
          <w:p w:rsidR="009E6D86" w:rsidRPr="003457C0" w:rsidRDefault="009E6D86" w:rsidP="009E6D86">
            <w:pPr>
              <w:spacing w:before="40" w:after="40"/>
              <w:jc w:val="left"/>
              <w:rPr>
                <w:sz w:val="22"/>
                <w:szCs w:val="22"/>
                <w:lang w:val="en-NZ"/>
              </w:rPr>
            </w:pPr>
            <w:r w:rsidRPr="003457C0">
              <w:rPr>
                <w:sz w:val="22"/>
                <w:szCs w:val="22"/>
                <w:lang w:val="en-NZ"/>
              </w:rPr>
              <w:t>Domestic implementation of a new global standard on the automatic exchange of financial bank account information with treaty partners.</w:t>
            </w:r>
          </w:p>
        </w:tc>
      </w:tr>
      <w:tr w:rsidR="009E6D86" w:rsidRPr="003457C0" w:rsidTr="009E6D86">
        <w:tc>
          <w:tcPr>
            <w:tcW w:w="2660" w:type="dxa"/>
          </w:tcPr>
          <w:p w:rsidR="009E6D86" w:rsidRPr="003457C0" w:rsidRDefault="00847D8B" w:rsidP="009E6D86">
            <w:pPr>
              <w:spacing w:before="40" w:after="40"/>
              <w:jc w:val="left"/>
              <w:rPr>
                <w:sz w:val="22"/>
                <w:szCs w:val="22"/>
                <w:lang w:val="en-NZ"/>
              </w:rPr>
            </w:pPr>
            <w:r w:rsidRPr="003457C0">
              <w:rPr>
                <w:sz w:val="22"/>
                <w:szCs w:val="22"/>
                <w:lang w:val="en-NZ"/>
              </w:rPr>
              <w:t>Interest limitation rules</w:t>
            </w:r>
          </w:p>
        </w:tc>
        <w:tc>
          <w:tcPr>
            <w:tcW w:w="5868" w:type="dxa"/>
          </w:tcPr>
          <w:p w:rsidR="009E6D86" w:rsidRPr="003457C0" w:rsidRDefault="009E6D86" w:rsidP="009E6D86">
            <w:pPr>
              <w:spacing w:before="40" w:after="40"/>
              <w:jc w:val="left"/>
              <w:rPr>
                <w:sz w:val="22"/>
                <w:szCs w:val="22"/>
                <w:lang w:val="en-NZ"/>
              </w:rPr>
            </w:pPr>
            <w:r w:rsidRPr="003457C0">
              <w:rPr>
                <w:sz w:val="22"/>
                <w:szCs w:val="22"/>
                <w:lang w:val="en-NZ"/>
              </w:rPr>
              <w:t>Consideration of New Zealand’s interest limitation rules in light of OECD recommendations.  Part of the BEPS Action Plan.</w:t>
            </w:r>
          </w:p>
        </w:tc>
      </w:tr>
      <w:tr w:rsidR="009E6D86" w:rsidRPr="003457C0" w:rsidTr="009E6D86">
        <w:tc>
          <w:tcPr>
            <w:tcW w:w="2660" w:type="dxa"/>
          </w:tcPr>
          <w:p w:rsidR="009E6D86" w:rsidRPr="003457C0" w:rsidRDefault="009E6D86" w:rsidP="009E6D86">
            <w:pPr>
              <w:spacing w:before="40" w:after="40"/>
              <w:jc w:val="left"/>
              <w:rPr>
                <w:sz w:val="22"/>
                <w:szCs w:val="22"/>
                <w:lang w:val="en-NZ"/>
              </w:rPr>
            </w:pPr>
            <w:r w:rsidRPr="003457C0">
              <w:rPr>
                <w:sz w:val="22"/>
                <w:szCs w:val="22"/>
                <w:lang w:val="en-NZ"/>
              </w:rPr>
              <w:t>Multilateral instruments</w:t>
            </w:r>
          </w:p>
        </w:tc>
        <w:tc>
          <w:tcPr>
            <w:tcW w:w="5868" w:type="dxa"/>
          </w:tcPr>
          <w:p w:rsidR="009E6D86" w:rsidRPr="003457C0" w:rsidRDefault="009E6D86" w:rsidP="009E6D86">
            <w:pPr>
              <w:spacing w:before="40" w:after="40"/>
              <w:jc w:val="left"/>
              <w:rPr>
                <w:sz w:val="22"/>
                <w:szCs w:val="22"/>
                <w:lang w:val="en-NZ"/>
              </w:rPr>
            </w:pPr>
            <w:r w:rsidRPr="003457C0">
              <w:rPr>
                <w:sz w:val="22"/>
                <w:szCs w:val="22"/>
                <w:lang w:val="en-NZ"/>
              </w:rPr>
              <w:t>As part of the BEPS work, the OECD has proposed countries sign a multilateral instrument that will simultaneously amend the double tax agreements of participating countries.  The amendments to DTAs will address certain aspects of the BEPS project that have a treaty dimension e.g. treaty shopping or permanent establishment avoidance.</w:t>
            </w:r>
          </w:p>
        </w:tc>
      </w:tr>
      <w:tr w:rsidR="009E6D86" w:rsidRPr="003457C0" w:rsidTr="009E6D86">
        <w:tc>
          <w:tcPr>
            <w:tcW w:w="2660" w:type="dxa"/>
          </w:tcPr>
          <w:p w:rsidR="009E6D86" w:rsidRPr="003457C0" w:rsidRDefault="009E6D86" w:rsidP="009E6D86">
            <w:pPr>
              <w:spacing w:before="40" w:after="40"/>
              <w:jc w:val="left"/>
              <w:rPr>
                <w:sz w:val="22"/>
                <w:szCs w:val="22"/>
                <w:lang w:val="en-NZ"/>
              </w:rPr>
            </w:pPr>
            <w:r w:rsidRPr="003457C0">
              <w:rPr>
                <w:sz w:val="22"/>
                <w:szCs w:val="22"/>
                <w:lang w:val="en-NZ"/>
              </w:rPr>
              <w:t>Foreign trust disclosures</w:t>
            </w:r>
          </w:p>
        </w:tc>
        <w:tc>
          <w:tcPr>
            <w:tcW w:w="5868" w:type="dxa"/>
          </w:tcPr>
          <w:p w:rsidR="009E6D86" w:rsidRPr="003457C0" w:rsidRDefault="009E6D86" w:rsidP="009E6D86">
            <w:pPr>
              <w:spacing w:before="40" w:after="40"/>
              <w:jc w:val="left"/>
              <w:rPr>
                <w:sz w:val="22"/>
                <w:szCs w:val="22"/>
                <w:lang w:val="en-NZ"/>
              </w:rPr>
            </w:pPr>
            <w:r w:rsidRPr="003457C0">
              <w:rPr>
                <w:sz w:val="22"/>
                <w:szCs w:val="22"/>
                <w:lang w:val="en-NZ"/>
              </w:rPr>
              <w:t>Policy recommendations arising from the Government Inquiry into foreign trust disclosure requirements.</w:t>
            </w:r>
          </w:p>
        </w:tc>
      </w:tr>
      <w:tr w:rsidR="009E6D86" w:rsidRPr="003457C0" w:rsidTr="009E6D86">
        <w:tc>
          <w:tcPr>
            <w:tcW w:w="2660" w:type="dxa"/>
          </w:tcPr>
          <w:p w:rsidR="009E6D86" w:rsidRPr="003457C0" w:rsidRDefault="009E6D86" w:rsidP="00B84587">
            <w:pPr>
              <w:spacing w:before="40" w:after="40"/>
              <w:jc w:val="left"/>
              <w:rPr>
                <w:sz w:val="22"/>
                <w:szCs w:val="22"/>
                <w:lang w:val="en-NZ"/>
              </w:rPr>
            </w:pPr>
            <w:r w:rsidRPr="003457C0">
              <w:rPr>
                <w:sz w:val="22"/>
                <w:szCs w:val="22"/>
                <w:lang w:val="en-NZ"/>
              </w:rPr>
              <w:t xml:space="preserve">Inbound </w:t>
            </w:r>
            <w:r w:rsidR="00B84587" w:rsidRPr="003457C0">
              <w:rPr>
                <w:sz w:val="22"/>
                <w:szCs w:val="22"/>
                <w:lang w:val="en-NZ"/>
              </w:rPr>
              <w:t>i</w:t>
            </w:r>
            <w:r w:rsidRPr="003457C0">
              <w:rPr>
                <w:sz w:val="22"/>
                <w:szCs w:val="22"/>
                <w:lang w:val="en-NZ"/>
              </w:rPr>
              <w:t xml:space="preserve">nvestment </w:t>
            </w:r>
            <w:r w:rsidR="00B84587" w:rsidRPr="003457C0">
              <w:rPr>
                <w:sz w:val="22"/>
                <w:szCs w:val="22"/>
                <w:lang w:val="en-NZ"/>
              </w:rPr>
              <w:t>f</w:t>
            </w:r>
            <w:r w:rsidRPr="003457C0">
              <w:rPr>
                <w:sz w:val="22"/>
                <w:szCs w:val="22"/>
                <w:lang w:val="en-NZ"/>
              </w:rPr>
              <w:t>ramework</w:t>
            </w:r>
          </w:p>
        </w:tc>
        <w:tc>
          <w:tcPr>
            <w:tcW w:w="5868" w:type="dxa"/>
          </w:tcPr>
          <w:p w:rsidR="009E6D86" w:rsidRPr="003457C0" w:rsidRDefault="009E6D86" w:rsidP="00B84587">
            <w:pPr>
              <w:spacing w:before="40" w:after="40"/>
              <w:jc w:val="left"/>
              <w:rPr>
                <w:sz w:val="22"/>
                <w:szCs w:val="22"/>
                <w:lang w:val="en-NZ"/>
              </w:rPr>
            </w:pPr>
            <w:r w:rsidRPr="003457C0">
              <w:rPr>
                <w:sz w:val="22"/>
                <w:szCs w:val="22"/>
                <w:lang w:val="en-NZ"/>
              </w:rPr>
              <w:t>An officials’ paper outlining New Zealand’s approach to taxing foreign investment income has been prepared.</w:t>
            </w:r>
            <w:r w:rsidR="00023673" w:rsidRPr="003457C0">
              <w:rPr>
                <w:sz w:val="22"/>
                <w:szCs w:val="22"/>
                <w:lang w:val="en-NZ"/>
              </w:rPr>
              <w:t xml:space="preserve"> </w:t>
            </w:r>
            <w:r w:rsidRPr="003457C0">
              <w:rPr>
                <w:sz w:val="22"/>
                <w:szCs w:val="22"/>
                <w:lang w:val="en-NZ"/>
              </w:rPr>
              <w:t xml:space="preserve"> It has been used as the basis for targeted consultation with private sector representatives, and </w:t>
            </w:r>
            <w:r w:rsidR="00B84587" w:rsidRPr="003457C0">
              <w:rPr>
                <w:sz w:val="22"/>
                <w:szCs w:val="22"/>
                <w:lang w:val="en-NZ"/>
              </w:rPr>
              <w:t>has also been published on the t</w:t>
            </w:r>
            <w:r w:rsidRPr="003457C0">
              <w:rPr>
                <w:sz w:val="22"/>
                <w:szCs w:val="22"/>
                <w:lang w:val="en-NZ"/>
              </w:rPr>
              <w:t xml:space="preserve">ax </w:t>
            </w:r>
            <w:r w:rsidR="00B84587" w:rsidRPr="003457C0">
              <w:rPr>
                <w:sz w:val="22"/>
                <w:szCs w:val="22"/>
                <w:lang w:val="en-NZ"/>
              </w:rPr>
              <w:t>p</w:t>
            </w:r>
            <w:r w:rsidRPr="003457C0">
              <w:rPr>
                <w:sz w:val="22"/>
                <w:szCs w:val="22"/>
                <w:lang w:val="en-NZ"/>
              </w:rPr>
              <w:t>olicy website to facilitate a wide understanding of the trade-offs the Government faces in responding to BEPS.</w:t>
            </w:r>
          </w:p>
        </w:tc>
      </w:tr>
    </w:tbl>
    <w:p w:rsidR="00F7663E" w:rsidRDefault="00F7663E" w:rsidP="00F7663E">
      <w:pPr>
        <w:rPr>
          <w:lang w:val="en-NZ"/>
        </w:rPr>
      </w:pPr>
    </w:p>
    <w:p w:rsidR="009E6D86" w:rsidRPr="00F7663E" w:rsidRDefault="009E6D86" w:rsidP="00F7663E">
      <w:pPr>
        <w:rPr>
          <w:lang w:val="en-NZ"/>
        </w:rPr>
      </w:pPr>
    </w:p>
    <w:p w:rsidR="00F7663E" w:rsidRPr="00F7663E" w:rsidRDefault="00F7663E" w:rsidP="009E6D86">
      <w:pPr>
        <w:pStyle w:val="Heading2"/>
        <w:rPr>
          <w:lang w:val="en-NZ"/>
        </w:rPr>
      </w:pPr>
      <w:bookmarkStart w:id="14" w:name="_Toc466284802"/>
      <w:bookmarkStart w:id="15" w:name="_Toc466285541"/>
      <w:bookmarkStart w:id="16" w:name="_Toc466288956"/>
      <w:bookmarkStart w:id="17" w:name="_Toc466289429"/>
      <w:bookmarkStart w:id="18" w:name="_Toc466290177"/>
      <w:bookmarkStart w:id="19" w:name="_Toc466290890"/>
      <w:r w:rsidRPr="00F7663E">
        <w:rPr>
          <w:lang w:val="en-NZ"/>
        </w:rPr>
        <w:t xml:space="preserve">Business transformation and </w:t>
      </w:r>
      <w:r w:rsidR="00B84587">
        <w:rPr>
          <w:lang w:val="en-NZ"/>
        </w:rPr>
        <w:t>B</w:t>
      </w:r>
      <w:r w:rsidRPr="00F7663E">
        <w:rPr>
          <w:lang w:val="en-NZ"/>
        </w:rPr>
        <w:t xml:space="preserve">etter </w:t>
      </w:r>
      <w:r w:rsidR="00B84587">
        <w:rPr>
          <w:lang w:val="en-NZ"/>
        </w:rPr>
        <w:t>P</w:t>
      </w:r>
      <w:r w:rsidRPr="00F7663E">
        <w:rPr>
          <w:lang w:val="en-NZ"/>
        </w:rPr>
        <w:t xml:space="preserve">ublic </w:t>
      </w:r>
      <w:r w:rsidR="00B84587">
        <w:rPr>
          <w:lang w:val="en-NZ"/>
        </w:rPr>
        <w:t>S</w:t>
      </w:r>
      <w:r w:rsidRPr="00F7663E">
        <w:rPr>
          <w:lang w:val="en-NZ"/>
        </w:rPr>
        <w:t>ervices</w:t>
      </w:r>
      <w:bookmarkEnd w:id="14"/>
      <w:bookmarkEnd w:id="15"/>
      <w:bookmarkEnd w:id="16"/>
      <w:bookmarkEnd w:id="17"/>
      <w:bookmarkEnd w:id="18"/>
      <w:bookmarkEnd w:id="19"/>
    </w:p>
    <w:p w:rsidR="00F7663E" w:rsidRPr="00F7663E" w:rsidRDefault="00F7663E" w:rsidP="00F7663E">
      <w:pPr>
        <w:rPr>
          <w:lang w:val="en-NZ"/>
        </w:rPr>
      </w:pPr>
    </w:p>
    <w:p w:rsidR="00F7663E" w:rsidRPr="00F7663E" w:rsidRDefault="009E6D86" w:rsidP="009E6D86">
      <w:pPr>
        <w:pStyle w:val="Heading3"/>
        <w:rPr>
          <w:lang w:val="en-NZ"/>
        </w:rPr>
      </w:pPr>
      <w:bookmarkStart w:id="20" w:name="_Toc466284803"/>
      <w:bookmarkStart w:id="21" w:name="_Toc466285542"/>
      <w:bookmarkStart w:id="22" w:name="_Toc466288957"/>
      <w:bookmarkStart w:id="23" w:name="_Toc466289430"/>
      <w:bookmarkStart w:id="24" w:name="_Toc466290178"/>
      <w:bookmarkStart w:id="25" w:name="_Toc466290891"/>
      <w:r>
        <w:rPr>
          <w:lang w:val="en-NZ"/>
        </w:rPr>
        <w:t>Business transformation</w:t>
      </w:r>
      <w:bookmarkEnd w:id="20"/>
      <w:bookmarkEnd w:id="21"/>
      <w:bookmarkEnd w:id="22"/>
      <w:bookmarkEnd w:id="23"/>
      <w:bookmarkEnd w:id="24"/>
      <w:bookmarkEnd w:id="25"/>
    </w:p>
    <w:p w:rsidR="00F7663E" w:rsidRPr="00F7663E" w:rsidRDefault="00F7663E" w:rsidP="00F7663E">
      <w:pPr>
        <w:rPr>
          <w:lang w:val="en-NZ"/>
        </w:rPr>
      </w:pPr>
    </w:p>
    <w:tbl>
      <w:tblPr>
        <w:tblStyle w:val="TableGrid"/>
        <w:tblW w:w="0" w:type="auto"/>
        <w:tblLook w:val="04A0" w:firstRow="1" w:lastRow="0" w:firstColumn="1" w:lastColumn="0" w:noHBand="0" w:noVBand="1"/>
      </w:tblPr>
      <w:tblGrid>
        <w:gridCol w:w="2660"/>
        <w:gridCol w:w="5868"/>
      </w:tblGrid>
      <w:tr w:rsidR="009E6D86" w:rsidRPr="003457C0" w:rsidTr="003457C0">
        <w:trPr>
          <w:cantSplit/>
          <w:tblHeader/>
        </w:trPr>
        <w:tc>
          <w:tcPr>
            <w:tcW w:w="2660" w:type="dxa"/>
            <w:shd w:val="clear" w:color="auto" w:fill="F2F2F2" w:themeFill="background1" w:themeFillShade="F2"/>
          </w:tcPr>
          <w:p w:rsidR="009E6D86" w:rsidRPr="003457C0" w:rsidRDefault="009E6D86" w:rsidP="009E6D86">
            <w:pPr>
              <w:spacing w:before="120" w:after="120"/>
              <w:jc w:val="left"/>
              <w:rPr>
                <w:b/>
                <w:sz w:val="22"/>
                <w:szCs w:val="22"/>
                <w:lang w:val="en-NZ"/>
              </w:rPr>
            </w:pPr>
            <w:r w:rsidRPr="003457C0">
              <w:rPr>
                <w:b/>
                <w:sz w:val="22"/>
                <w:szCs w:val="22"/>
                <w:lang w:val="en-NZ"/>
              </w:rPr>
              <w:t>Project</w:t>
            </w:r>
          </w:p>
        </w:tc>
        <w:tc>
          <w:tcPr>
            <w:tcW w:w="5868" w:type="dxa"/>
            <w:shd w:val="clear" w:color="auto" w:fill="F2F2F2" w:themeFill="background1" w:themeFillShade="F2"/>
          </w:tcPr>
          <w:p w:rsidR="009E6D86" w:rsidRPr="003457C0" w:rsidRDefault="009E6D86" w:rsidP="009E6D86">
            <w:pPr>
              <w:spacing w:before="120" w:after="120"/>
              <w:jc w:val="left"/>
              <w:rPr>
                <w:b/>
                <w:sz w:val="22"/>
                <w:szCs w:val="22"/>
                <w:lang w:val="en-NZ"/>
              </w:rPr>
            </w:pPr>
            <w:r w:rsidRPr="003457C0">
              <w:rPr>
                <w:b/>
                <w:sz w:val="22"/>
                <w:szCs w:val="22"/>
                <w:lang w:val="en-NZ"/>
              </w:rPr>
              <w:t>Description</w:t>
            </w:r>
          </w:p>
        </w:tc>
      </w:tr>
      <w:tr w:rsidR="009E6D86" w:rsidRPr="003457C0" w:rsidTr="00DA093F">
        <w:trPr>
          <w:cantSplit/>
        </w:trPr>
        <w:tc>
          <w:tcPr>
            <w:tcW w:w="2660" w:type="dxa"/>
          </w:tcPr>
          <w:p w:rsidR="009E6D86" w:rsidRPr="003457C0" w:rsidRDefault="009E6D86" w:rsidP="008A1C4C">
            <w:pPr>
              <w:spacing w:before="40" w:after="40"/>
              <w:jc w:val="left"/>
              <w:rPr>
                <w:sz w:val="22"/>
                <w:szCs w:val="22"/>
                <w:lang w:val="en-NZ"/>
              </w:rPr>
            </w:pPr>
            <w:r w:rsidRPr="003457C0">
              <w:rPr>
                <w:sz w:val="22"/>
                <w:szCs w:val="22"/>
                <w:lang w:val="en-NZ"/>
              </w:rPr>
              <w:t xml:space="preserve">Better administration of GST </w:t>
            </w:r>
            <w:r w:rsidR="008A1C4C" w:rsidRPr="003457C0">
              <w:rPr>
                <w:sz w:val="22"/>
                <w:szCs w:val="22"/>
                <w:lang w:val="en-NZ"/>
              </w:rPr>
              <w:t>and</w:t>
            </w:r>
            <w:r w:rsidRPr="003457C0">
              <w:rPr>
                <w:sz w:val="22"/>
                <w:szCs w:val="22"/>
                <w:lang w:val="en-NZ"/>
              </w:rPr>
              <w:t xml:space="preserve"> PAYE</w:t>
            </w:r>
          </w:p>
        </w:tc>
        <w:tc>
          <w:tcPr>
            <w:tcW w:w="5868" w:type="dxa"/>
          </w:tcPr>
          <w:p w:rsidR="009E6D86" w:rsidRPr="003457C0" w:rsidRDefault="009E6D86" w:rsidP="009E6D86">
            <w:pPr>
              <w:spacing w:before="40" w:after="40"/>
              <w:jc w:val="left"/>
              <w:rPr>
                <w:sz w:val="22"/>
                <w:szCs w:val="22"/>
                <w:lang w:val="en-NZ"/>
              </w:rPr>
            </w:pPr>
            <w:r w:rsidRPr="003457C0">
              <w:rPr>
                <w:sz w:val="22"/>
                <w:szCs w:val="22"/>
                <w:lang w:val="en-NZ"/>
              </w:rPr>
              <w:t>Policy options to reduce compliance and administrative costs consistent with longer term business transformation thinking.</w:t>
            </w:r>
          </w:p>
        </w:tc>
      </w:tr>
      <w:tr w:rsidR="009E6D86" w:rsidRPr="003457C0" w:rsidTr="00DA093F">
        <w:trPr>
          <w:cantSplit/>
        </w:trPr>
        <w:tc>
          <w:tcPr>
            <w:tcW w:w="2660" w:type="dxa"/>
          </w:tcPr>
          <w:p w:rsidR="009E6D86" w:rsidRPr="003457C0" w:rsidRDefault="009E6D86" w:rsidP="009E6D86">
            <w:pPr>
              <w:spacing w:before="40" w:after="40"/>
              <w:jc w:val="left"/>
              <w:rPr>
                <w:sz w:val="22"/>
                <w:szCs w:val="22"/>
                <w:lang w:val="en-NZ"/>
              </w:rPr>
            </w:pPr>
            <w:r w:rsidRPr="003457C0">
              <w:rPr>
                <w:sz w:val="22"/>
                <w:szCs w:val="22"/>
                <w:lang w:val="en-NZ"/>
              </w:rPr>
              <w:t>Review of the Tax Administration Act</w:t>
            </w:r>
          </w:p>
        </w:tc>
        <w:tc>
          <w:tcPr>
            <w:tcW w:w="5868" w:type="dxa"/>
          </w:tcPr>
          <w:p w:rsidR="009E6D86" w:rsidRPr="003457C0" w:rsidRDefault="009E6D86" w:rsidP="009E6D86">
            <w:pPr>
              <w:spacing w:before="40" w:after="40"/>
              <w:jc w:val="left"/>
              <w:rPr>
                <w:sz w:val="22"/>
                <w:szCs w:val="22"/>
                <w:lang w:val="en-NZ"/>
              </w:rPr>
            </w:pPr>
            <w:r w:rsidRPr="003457C0">
              <w:rPr>
                <w:sz w:val="22"/>
                <w:szCs w:val="22"/>
                <w:lang w:val="en-NZ"/>
              </w:rPr>
              <w:t>Developing a framework for tax administration with an emphasis on the key roles of the Commissioner, taxpayers and tax agents, as well as the rules around information collection and tax secrecy which underpin their interactions.</w:t>
            </w:r>
          </w:p>
        </w:tc>
      </w:tr>
      <w:tr w:rsidR="009E6D86" w:rsidRPr="003457C0" w:rsidTr="00DA093F">
        <w:trPr>
          <w:cantSplit/>
        </w:trPr>
        <w:tc>
          <w:tcPr>
            <w:tcW w:w="2660" w:type="dxa"/>
          </w:tcPr>
          <w:p w:rsidR="009E6D86" w:rsidRPr="003457C0" w:rsidRDefault="00847D8B" w:rsidP="009E6D86">
            <w:pPr>
              <w:spacing w:before="40" w:after="40"/>
              <w:jc w:val="left"/>
              <w:rPr>
                <w:sz w:val="22"/>
                <w:szCs w:val="22"/>
                <w:lang w:val="en-NZ"/>
              </w:rPr>
            </w:pPr>
            <w:r w:rsidRPr="003457C0">
              <w:rPr>
                <w:sz w:val="22"/>
                <w:szCs w:val="22"/>
                <w:lang w:val="en-NZ"/>
              </w:rPr>
              <w:t>Individuals’ taxation</w:t>
            </w:r>
          </w:p>
        </w:tc>
        <w:tc>
          <w:tcPr>
            <w:tcW w:w="5868" w:type="dxa"/>
          </w:tcPr>
          <w:p w:rsidR="009E6D86" w:rsidRPr="003457C0" w:rsidRDefault="009E6D86" w:rsidP="009E6D86">
            <w:pPr>
              <w:spacing w:before="40" w:after="40"/>
              <w:jc w:val="left"/>
              <w:rPr>
                <w:sz w:val="22"/>
                <w:szCs w:val="22"/>
                <w:lang w:val="en-NZ"/>
              </w:rPr>
            </w:pPr>
            <w:r w:rsidRPr="003457C0">
              <w:rPr>
                <w:sz w:val="22"/>
                <w:szCs w:val="22"/>
                <w:lang w:val="en-NZ"/>
              </w:rPr>
              <w:t>Improving the tax system for individuals, including comprehensive pre-population of income information, collection of information, more efficient debt collection processes and the degree of interaction with the tax system.</w:t>
            </w:r>
          </w:p>
        </w:tc>
      </w:tr>
      <w:tr w:rsidR="009E6D86" w:rsidRPr="003457C0" w:rsidTr="00DA093F">
        <w:trPr>
          <w:cantSplit/>
        </w:trPr>
        <w:tc>
          <w:tcPr>
            <w:tcW w:w="2660" w:type="dxa"/>
          </w:tcPr>
          <w:p w:rsidR="009E6D86" w:rsidRPr="003457C0" w:rsidRDefault="00847D8B" w:rsidP="009E6D86">
            <w:pPr>
              <w:spacing w:before="40" w:after="40"/>
              <w:jc w:val="left"/>
              <w:rPr>
                <w:sz w:val="22"/>
                <w:szCs w:val="22"/>
                <w:lang w:val="en-NZ"/>
              </w:rPr>
            </w:pPr>
            <w:r w:rsidRPr="003457C0">
              <w:rPr>
                <w:sz w:val="22"/>
                <w:szCs w:val="22"/>
                <w:lang w:val="en-NZ"/>
              </w:rPr>
              <w:t>Business taxation</w:t>
            </w:r>
          </w:p>
        </w:tc>
        <w:tc>
          <w:tcPr>
            <w:tcW w:w="5868" w:type="dxa"/>
          </w:tcPr>
          <w:p w:rsidR="009E6D86" w:rsidRPr="003457C0" w:rsidRDefault="009E6D86" w:rsidP="009E6D86">
            <w:pPr>
              <w:spacing w:before="40" w:after="40"/>
              <w:jc w:val="left"/>
              <w:rPr>
                <w:sz w:val="22"/>
                <w:szCs w:val="22"/>
                <w:lang w:val="en-NZ"/>
              </w:rPr>
            </w:pPr>
            <w:r w:rsidRPr="003457C0">
              <w:rPr>
                <w:sz w:val="22"/>
                <w:szCs w:val="22"/>
                <w:lang w:val="en-NZ"/>
              </w:rPr>
              <w:t>Improving the tax system for business, including the calculation of provisional tax, the collection of information and reviewing the penalties and interest rules.</w:t>
            </w:r>
            <w:r w:rsidR="00023673" w:rsidRPr="003457C0">
              <w:rPr>
                <w:sz w:val="22"/>
                <w:szCs w:val="22"/>
                <w:lang w:val="en-NZ"/>
              </w:rPr>
              <w:t xml:space="preserve"> </w:t>
            </w:r>
            <w:r w:rsidRPr="003457C0">
              <w:rPr>
                <w:sz w:val="22"/>
                <w:szCs w:val="22"/>
                <w:lang w:val="en-NZ"/>
              </w:rPr>
              <w:t xml:space="preserve"> Includes researching additional measures that have potential to deliver further benefits to businesses, reduce compliance costs and make the tax system simpler.</w:t>
            </w:r>
          </w:p>
        </w:tc>
      </w:tr>
      <w:tr w:rsidR="009E6D86" w:rsidRPr="003457C0" w:rsidTr="00DA093F">
        <w:trPr>
          <w:cantSplit/>
        </w:trPr>
        <w:tc>
          <w:tcPr>
            <w:tcW w:w="2660" w:type="dxa"/>
          </w:tcPr>
          <w:p w:rsidR="009E6D86" w:rsidRPr="003457C0" w:rsidRDefault="00847D8B" w:rsidP="009E6D86">
            <w:pPr>
              <w:spacing w:before="40" w:after="40"/>
              <w:jc w:val="left"/>
              <w:rPr>
                <w:sz w:val="22"/>
                <w:szCs w:val="22"/>
                <w:lang w:val="en-NZ"/>
              </w:rPr>
            </w:pPr>
            <w:r w:rsidRPr="003457C0">
              <w:rPr>
                <w:sz w:val="22"/>
                <w:szCs w:val="22"/>
                <w:lang w:val="en-NZ"/>
              </w:rPr>
              <w:t>Investment income information</w:t>
            </w:r>
          </w:p>
        </w:tc>
        <w:tc>
          <w:tcPr>
            <w:tcW w:w="5868" w:type="dxa"/>
          </w:tcPr>
          <w:p w:rsidR="009E6D86" w:rsidRPr="003457C0" w:rsidRDefault="009E6D86" w:rsidP="009E6D86">
            <w:pPr>
              <w:spacing w:before="40" w:after="40"/>
              <w:jc w:val="left"/>
              <w:rPr>
                <w:sz w:val="22"/>
                <w:szCs w:val="22"/>
                <w:lang w:val="en-NZ"/>
              </w:rPr>
            </w:pPr>
            <w:r w:rsidRPr="003457C0">
              <w:rPr>
                <w:sz w:val="22"/>
                <w:szCs w:val="22"/>
                <w:lang w:val="en-NZ"/>
              </w:rPr>
              <w:t>Streamlining the collection of information about investment income such as interest, dividends, PIE income and Māori authority distributions.</w:t>
            </w:r>
          </w:p>
        </w:tc>
      </w:tr>
      <w:tr w:rsidR="009E6D86" w:rsidRPr="003457C0" w:rsidTr="00DA093F">
        <w:trPr>
          <w:cantSplit/>
        </w:trPr>
        <w:tc>
          <w:tcPr>
            <w:tcW w:w="2660" w:type="dxa"/>
          </w:tcPr>
          <w:p w:rsidR="009E6D86" w:rsidRPr="003457C0" w:rsidRDefault="00DA093F" w:rsidP="009E6D86">
            <w:pPr>
              <w:spacing w:before="40" w:after="40"/>
              <w:jc w:val="left"/>
              <w:rPr>
                <w:sz w:val="22"/>
                <w:szCs w:val="22"/>
                <w:lang w:val="en-NZ"/>
              </w:rPr>
            </w:pPr>
            <w:r w:rsidRPr="003457C0">
              <w:rPr>
                <w:sz w:val="22"/>
                <w:szCs w:val="22"/>
                <w:lang w:val="en-NZ"/>
              </w:rPr>
              <w:t>BT social policy</w:t>
            </w:r>
          </w:p>
        </w:tc>
        <w:tc>
          <w:tcPr>
            <w:tcW w:w="5868" w:type="dxa"/>
          </w:tcPr>
          <w:p w:rsidR="009E6D86" w:rsidRPr="003457C0" w:rsidRDefault="009E6D86" w:rsidP="00807628">
            <w:pPr>
              <w:spacing w:before="40" w:after="40"/>
              <w:jc w:val="left"/>
              <w:rPr>
                <w:sz w:val="22"/>
                <w:szCs w:val="22"/>
                <w:lang w:val="en-NZ"/>
              </w:rPr>
            </w:pPr>
            <w:r w:rsidRPr="003457C0">
              <w:rPr>
                <w:sz w:val="22"/>
                <w:szCs w:val="22"/>
                <w:lang w:val="en-NZ"/>
              </w:rPr>
              <w:t>Improving the social policy system for individuals and families, including alignment of definitions, reviewing assessment periods to improve accuracy and timeliness of payments, more efficient debt collection and prevention processes, and improving outcomes for customers with special or exceptional circumstances.</w:t>
            </w:r>
          </w:p>
        </w:tc>
      </w:tr>
    </w:tbl>
    <w:p w:rsidR="00F7663E" w:rsidRPr="00F7663E" w:rsidRDefault="00F7663E" w:rsidP="00F7663E">
      <w:pPr>
        <w:rPr>
          <w:lang w:val="en-NZ"/>
        </w:rPr>
      </w:pPr>
    </w:p>
    <w:p w:rsidR="00F7663E" w:rsidRPr="00F7663E" w:rsidRDefault="00F7663E" w:rsidP="009E6D86">
      <w:pPr>
        <w:pStyle w:val="Heading3"/>
        <w:rPr>
          <w:lang w:val="en-NZ"/>
        </w:rPr>
      </w:pPr>
      <w:bookmarkStart w:id="26" w:name="_Toc466284804"/>
      <w:bookmarkStart w:id="27" w:name="_Toc466285543"/>
      <w:bookmarkStart w:id="28" w:name="_Toc466288958"/>
      <w:bookmarkStart w:id="29" w:name="_Toc466289431"/>
      <w:bookmarkStart w:id="30" w:name="_Toc466290179"/>
      <w:bookmarkStart w:id="31" w:name="_Toc466290892"/>
      <w:r w:rsidRPr="00F7663E">
        <w:rPr>
          <w:lang w:val="en-NZ"/>
        </w:rPr>
        <w:t>Better Public Services</w:t>
      </w:r>
      <w:bookmarkEnd w:id="26"/>
      <w:bookmarkEnd w:id="27"/>
      <w:bookmarkEnd w:id="28"/>
      <w:bookmarkEnd w:id="29"/>
      <w:bookmarkEnd w:id="30"/>
      <w:bookmarkEnd w:id="31"/>
    </w:p>
    <w:p w:rsidR="009E6D86" w:rsidRDefault="009E6D86" w:rsidP="00F7663E">
      <w:pPr>
        <w:rPr>
          <w:lang w:val="en-NZ"/>
        </w:rPr>
      </w:pPr>
    </w:p>
    <w:tbl>
      <w:tblPr>
        <w:tblStyle w:val="TableGrid"/>
        <w:tblW w:w="0" w:type="auto"/>
        <w:tblLook w:val="04A0" w:firstRow="1" w:lastRow="0" w:firstColumn="1" w:lastColumn="0" w:noHBand="0" w:noVBand="1"/>
      </w:tblPr>
      <w:tblGrid>
        <w:gridCol w:w="2660"/>
        <w:gridCol w:w="5868"/>
      </w:tblGrid>
      <w:tr w:rsidR="009E6D86" w:rsidRPr="003457C0" w:rsidTr="003457C0">
        <w:trPr>
          <w:tblHeader/>
        </w:trPr>
        <w:tc>
          <w:tcPr>
            <w:tcW w:w="2660" w:type="dxa"/>
            <w:shd w:val="clear" w:color="auto" w:fill="F2F2F2" w:themeFill="background1" w:themeFillShade="F2"/>
          </w:tcPr>
          <w:p w:rsidR="009E6D86" w:rsidRPr="003457C0" w:rsidRDefault="009E6D86" w:rsidP="009E6D86">
            <w:pPr>
              <w:spacing w:before="120" w:after="120"/>
              <w:jc w:val="left"/>
              <w:rPr>
                <w:b/>
                <w:sz w:val="22"/>
                <w:szCs w:val="22"/>
                <w:lang w:val="en-NZ"/>
              </w:rPr>
            </w:pPr>
            <w:r w:rsidRPr="003457C0">
              <w:rPr>
                <w:b/>
                <w:sz w:val="22"/>
                <w:szCs w:val="22"/>
                <w:lang w:val="en-NZ"/>
              </w:rPr>
              <w:t>Project</w:t>
            </w:r>
          </w:p>
        </w:tc>
        <w:tc>
          <w:tcPr>
            <w:tcW w:w="5868" w:type="dxa"/>
            <w:shd w:val="clear" w:color="auto" w:fill="F2F2F2" w:themeFill="background1" w:themeFillShade="F2"/>
          </w:tcPr>
          <w:p w:rsidR="009E6D86" w:rsidRPr="003457C0" w:rsidRDefault="009E6D86" w:rsidP="009E6D86">
            <w:pPr>
              <w:spacing w:before="120" w:after="120"/>
              <w:jc w:val="left"/>
              <w:rPr>
                <w:b/>
                <w:sz w:val="22"/>
                <w:szCs w:val="22"/>
                <w:lang w:val="en-NZ"/>
              </w:rPr>
            </w:pPr>
            <w:r w:rsidRPr="003457C0">
              <w:rPr>
                <w:b/>
                <w:sz w:val="22"/>
                <w:szCs w:val="22"/>
                <w:lang w:val="en-NZ"/>
              </w:rPr>
              <w:t>Description</w:t>
            </w:r>
          </w:p>
        </w:tc>
      </w:tr>
      <w:tr w:rsidR="009E6D86" w:rsidRPr="003457C0" w:rsidTr="009E6D86">
        <w:tc>
          <w:tcPr>
            <w:tcW w:w="2660" w:type="dxa"/>
          </w:tcPr>
          <w:p w:rsidR="009E6D86" w:rsidRPr="003457C0" w:rsidRDefault="009E6D86" w:rsidP="009E6D86">
            <w:pPr>
              <w:spacing w:before="40" w:after="40"/>
              <w:jc w:val="left"/>
              <w:rPr>
                <w:sz w:val="22"/>
                <w:szCs w:val="22"/>
                <w:lang w:val="en-NZ"/>
              </w:rPr>
            </w:pPr>
            <w:r w:rsidRPr="003457C0">
              <w:rPr>
                <w:sz w:val="22"/>
                <w:szCs w:val="22"/>
                <w:lang w:val="en-NZ"/>
              </w:rPr>
              <w:t>Information sharing agreement between Ministry of Social Development and Inland Revenue</w:t>
            </w:r>
          </w:p>
        </w:tc>
        <w:tc>
          <w:tcPr>
            <w:tcW w:w="5868" w:type="dxa"/>
          </w:tcPr>
          <w:p w:rsidR="009E6D86" w:rsidRPr="003457C0" w:rsidRDefault="009E6D86" w:rsidP="009E6D86">
            <w:pPr>
              <w:spacing w:before="40" w:after="40"/>
              <w:jc w:val="left"/>
              <w:rPr>
                <w:sz w:val="22"/>
                <w:szCs w:val="22"/>
                <w:lang w:val="en-NZ"/>
              </w:rPr>
            </w:pPr>
            <w:r w:rsidRPr="003457C0">
              <w:rPr>
                <w:sz w:val="22"/>
                <w:szCs w:val="22"/>
                <w:lang w:val="en-NZ"/>
              </w:rPr>
              <w:t>Information sharing with Ministry of Social Development to assist in determining entitlements to benefits, social assistance and other services.</w:t>
            </w:r>
          </w:p>
        </w:tc>
      </w:tr>
    </w:tbl>
    <w:p w:rsidR="00F7663E" w:rsidRPr="00F7663E" w:rsidRDefault="00F7663E" w:rsidP="00F7663E">
      <w:pPr>
        <w:rPr>
          <w:lang w:val="en-NZ"/>
        </w:rPr>
      </w:pPr>
    </w:p>
    <w:p w:rsidR="00F7663E" w:rsidRPr="00F7663E" w:rsidRDefault="00F7663E" w:rsidP="00F7663E">
      <w:pPr>
        <w:rPr>
          <w:lang w:val="en-NZ"/>
        </w:rPr>
      </w:pPr>
    </w:p>
    <w:p w:rsidR="00F7663E" w:rsidRPr="00F7663E" w:rsidRDefault="00F7663E" w:rsidP="00F7663E">
      <w:pPr>
        <w:rPr>
          <w:lang w:val="en-NZ"/>
        </w:rPr>
      </w:pPr>
      <w:r w:rsidRPr="00F7663E">
        <w:rPr>
          <w:lang w:val="en-NZ"/>
        </w:rPr>
        <w:t>Note: This list does not include remedial items.</w:t>
      </w:r>
    </w:p>
    <w:p w:rsidR="00F7663E" w:rsidRPr="00F7663E" w:rsidRDefault="00F7663E" w:rsidP="00F7663E">
      <w:pPr>
        <w:rPr>
          <w:lang w:val="en-NZ"/>
        </w:rPr>
      </w:pPr>
    </w:p>
    <w:sectPr w:rsidR="00F7663E" w:rsidRPr="00F7663E" w:rsidSect="00C40711">
      <w:type w:val="oddPage"/>
      <w:pgSz w:w="11906" w:h="16838" w:code="9"/>
      <w:pgMar w:top="1134" w:right="1797" w:bottom="1134" w:left="1797" w:header="709" w:footer="425"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D86" w:rsidRDefault="009E6D86">
      <w:r>
        <w:separator/>
      </w:r>
    </w:p>
  </w:endnote>
  <w:endnote w:type="continuationSeparator" w:id="0">
    <w:p w:rsidR="009E6D86" w:rsidRDefault="009E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D86" w:rsidRDefault="009E6D86" w:rsidP="009E6D86">
    <w:pPr>
      <w:pStyle w:val="Footer"/>
      <w:tabs>
        <w:tab w:val="clear" w:pos="4153"/>
      </w:tabs>
      <w:ind w:right="32"/>
      <w:jc w:val="center"/>
    </w:pPr>
    <w:r>
      <w:rPr>
        <w:rStyle w:val="PageNumber"/>
      </w:rPr>
      <w:fldChar w:fldCharType="begin"/>
    </w:r>
    <w:r>
      <w:rPr>
        <w:rStyle w:val="PageNumber"/>
      </w:rPr>
      <w:instrText xml:space="preserve"> PAGE </w:instrText>
    </w:r>
    <w:r>
      <w:rPr>
        <w:rStyle w:val="PageNumber"/>
      </w:rPr>
      <w:fldChar w:fldCharType="separate"/>
    </w:r>
    <w:r w:rsidR="006D5B3E">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D86" w:rsidRDefault="009E6D86" w:rsidP="009E6D86">
    <w:pPr>
      <w:pStyle w:val="Footer"/>
      <w:jc w:val="center"/>
    </w:pPr>
    <w:r>
      <w:rPr>
        <w:rStyle w:val="PageNumber"/>
      </w:rPr>
      <w:fldChar w:fldCharType="begin"/>
    </w:r>
    <w:r>
      <w:rPr>
        <w:rStyle w:val="PageNumber"/>
      </w:rPr>
      <w:instrText xml:space="preserve"> PAGE </w:instrText>
    </w:r>
    <w:r>
      <w:rPr>
        <w:rStyle w:val="PageNumber"/>
      </w:rPr>
      <w:fldChar w:fldCharType="separate"/>
    </w:r>
    <w:r w:rsidR="006D5B3E">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D86" w:rsidRDefault="009E6D86">
      <w:r>
        <w:separator/>
      </w:r>
    </w:p>
  </w:footnote>
  <w:footnote w:type="continuationSeparator" w:id="0">
    <w:p w:rsidR="009E6D86" w:rsidRDefault="009E6D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6134C"/>
    <w:multiLevelType w:val="singleLevel"/>
    <w:tmpl w:val="7428A606"/>
    <w:lvl w:ilvl="0">
      <w:start w:val="1"/>
      <w:numFmt w:val="decimal"/>
      <w:pStyle w:val="Chapter5"/>
      <w:lvlText w:val="5.%1"/>
      <w:lvlJc w:val="left"/>
      <w:pPr>
        <w:tabs>
          <w:tab w:val="num" w:pos="851"/>
        </w:tabs>
        <w:ind w:left="851" w:hanging="851"/>
      </w:pPr>
      <w:rPr>
        <w:rFonts w:hint="default"/>
        <w:b w:val="0"/>
        <w:i w:val="0"/>
      </w:rPr>
    </w:lvl>
  </w:abstractNum>
  <w:abstractNum w:abstractNumId="1">
    <w:nsid w:val="15936E75"/>
    <w:multiLevelType w:val="hybridMultilevel"/>
    <w:tmpl w:val="60A86A16"/>
    <w:lvl w:ilvl="0" w:tplc="389AC7F0">
      <w:start w:val="1"/>
      <w:numFmt w:val="decimal"/>
      <w:pStyle w:val="Chapter6"/>
      <w:lvlText w:val="6.%1"/>
      <w:lvlJc w:val="left"/>
      <w:pPr>
        <w:tabs>
          <w:tab w:val="num" w:pos="851"/>
        </w:tabs>
        <w:ind w:left="851" w:hanging="851"/>
      </w:pPr>
      <w:rPr>
        <w:rFonts w:hint="default"/>
        <w:b w:val="0"/>
        <w:i w:val="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1DC37972"/>
    <w:multiLevelType w:val="singleLevel"/>
    <w:tmpl w:val="CE343910"/>
    <w:lvl w:ilvl="0">
      <w:start w:val="1"/>
      <w:numFmt w:val="decimal"/>
      <w:pStyle w:val="Chapter2"/>
      <w:lvlText w:val="2.%1"/>
      <w:lvlJc w:val="left"/>
      <w:pPr>
        <w:tabs>
          <w:tab w:val="num" w:pos="851"/>
        </w:tabs>
        <w:ind w:left="851" w:hanging="851"/>
      </w:pPr>
      <w:rPr>
        <w:rFonts w:hint="default"/>
      </w:rPr>
    </w:lvl>
  </w:abstractNum>
  <w:abstractNum w:abstractNumId="3">
    <w:nsid w:val="1DF45200"/>
    <w:multiLevelType w:val="hybridMultilevel"/>
    <w:tmpl w:val="5F78FE4A"/>
    <w:lvl w:ilvl="0" w:tplc="FFB09102">
      <w:start w:val="1"/>
      <w:numFmt w:val="decimal"/>
      <w:pStyle w:val="Chapter10"/>
      <w:lvlText w:val="10.%1"/>
      <w:lvlJc w:val="left"/>
      <w:pPr>
        <w:tabs>
          <w:tab w:val="num" w:pos="851"/>
        </w:tabs>
        <w:ind w:left="0"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2AEC4F50"/>
    <w:multiLevelType w:val="hybridMultilevel"/>
    <w:tmpl w:val="88B4F23A"/>
    <w:lvl w:ilvl="0" w:tplc="EAE03988">
      <w:start w:val="1"/>
      <w:numFmt w:val="decimal"/>
      <w:lvlText w:val="6.%1"/>
      <w:lvlJc w:val="left"/>
      <w:pPr>
        <w:tabs>
          <w:tab w:val="num" w:pos="0"/>
        </w:tabs>
        <w:ind w:left="0" w:firstLine="0"/>
      </w:pPr>
      <w:rPr>
        <w:rFonts w:ascii="Times New Roman" w:hAnsi="Times New Roman" w:hint="default"/>
        <w:b w:val="0"/>
        <w:i w:val="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319D0312"/>
    <w:multiLevelType w:val="multilevel"/>
    <w:tmpl w:val="56ECEE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1CB034F"/>
    <w:multiLevelType w:val="hybridMultilevel"/>
    <w:tmpl w:val="7C70641C"/>
    <w:lvl w:ilvl="0" w:tplc="DA883CCA">
      <w:start w:val="5"/>
      <w:numFmt w:val="bullet"/>
      <w:pStyle w:val="Bullets2"/>
      <w:lvlText w:val="–"/>
      <w:lvlJc w:val="left"/>
      <w:pPr>
        <w:ind w:left="1778" w:hanging="360"/>
      </w:pPr>
      <w:rPr>
        <w:rFonts w:ascii="Times New Roman" w:eastAsia="Times New Roman" w:hAnsi="Times New Roman" w:cs="Times New Roman" w:hint="default"/>
      </w:rPr>
    </w:lvl>
    <w:lvl w:ilvl="1" w:tplc="14090003" w:tentative="1">
      <w:start w:val="1"/>
      <w:numFmt w:val="bullet"/>
      <w:lvlText w:val="o"/>
      <w:lvlJc w:val="left"/>
      <w:pPr>
        <w:ind w:left="2498" w:hanging="360"/>
      </w:pPr>
      <w:rPr>
        <w:rFonts w:ascii="Courier New" w:hAnsi="Courier New" w:cs="Courier New" w:hint="default"/>
      </w:rPr>
    </w:lvl>
    <w:lvl w:ilvl="2" w:tplc="14090005" w:tentative="1">
      <w:start w:val="1"/>
      <w:numFmt w:val="bullet"/>
      <w:lvlText w:val=""/>
      <w:lvlJc w:val="left"/>
      <w:pPr>
        <w:ind w:left="3218" w:hanging="360"/>
      </w:pPr>
      <w:rPr>
        <w:rFonts w:ascii="Wingdings" w:hAnsi="Wingdings" w:hint="default"/>
      </w:rPr>
    </w:lvl>
    <w:lvl w:ilvl="3" w:tplc="14090001" w:tentative="1">
      <w:start w:val="1"/>
      <w:numFmt w:val="bullet"/>
      <w:lvlText w:val=""/>
      <w:lvlJc w:val="left"/>
      <w:pPr>
        <w:ind w:left="3938" w:hanging="360"/>
      </w:pPr>
      <w:rPr>
        <w:rFonts w:ascii="Symbol" w:hAnsi="Symbol" w:hint="default"/>
      </w:rPr>
    </w:lvl>
    <w:lvl w:ilvl="4" w:tplc="14090003" w:tentative="1">
      <w:start w:val="1"/>
      <w:numFmt w:val="bullet"/>
      <w:lvlText w:val="o"/>
      <w:lvlJc w:val="left"/>
      <w:pPr>
        <w:ind w:left="4658" w:hanging="360"/>
      </w:pPr>
      <w:rPr>
        <w:rFonts w:ascii="Courier New" w:hAnsi="Courier New" w:cs="Courier New" w:hint="default"/>
      </w:rPr>
    </w:lvl>
    <w:lvl w:ilvl="5" w:tplc="14090005" w:tentative="1">
      <w:start w:val="1"/>
      <w:numFmt w:val="bullet"/>
      <w:lvlText w:val=""/>
      <w:lvlJc w:val="left"/>
      <w:pPr>
        <w:ind w:left="5378" w:hanging="360"/>
      </w:pPr>
      <w:rPr>
        <w:rFonts w:ascii="Wingdings" w:hAnsi="Wingdings" w:hint="default"/>
      </w:rPr>
    </w:lvl>
    <w:lvl w:ilvl="6" w:tplc="14090001" w:tentative="1">
      <w:start w:val="1"/>
      <w:numFmt w:val="bullet"/>
      <w:lvlText w:val=""/>
      <w:lvlJc w:val="left"/>
      <w:pPr>
        <w:ind w:left="6098" w:hanging="360"/>
      </w:pPr>
      <w:rPr>
        <w:rFonts w:ascii="Symbol" w:hAnsi="Symbol" w:hint="default"/>
      </w:rPr>
    </w:lvl>
    <w:lvl w:ilvl="7" w:tplc="14090003" w:tentative="1">
      <w:start w:val="1"/>
      <w:numFmt w:val="bullet"/>
      <w:lvlText w:val="o"/>
      <w:lvlJc w:val="left"/>
      <w:pPr>
        <w:ind w:left="6818" w:hanging="360"/>
      </w:pPr>
      <w:rPr>
        <w:rFonts w:ascii="Courier New" w:hAnsi="Courier New" w:cs="Courier New" w:hint="default"/>
      </w:rPr>
    </w:lvl>
    <w:lvl w:ilvl="8" w:tplc="14090005" w:tentative="1">
      <w:start w:val="1"/>
      <w:numFmt w:val="bullet"/>
      <w:lvlText w:val=""/>
      <w:lvlJc w:val="left"/>
      <w:pPr>
        <w:ind w:left="7538" w:hanging="360"/>
      </w:pPr>
      <w:rPr>
        <w:rFonts w:ascii="Wingdings" w:hAnsi="Wingdings" w:hint="default"/>
      </w:rPr>
    </w:lvl>
  </w:abstractNum>
  <w:abstractNum w:abstractNumId="7">
    <w:nsid w:val="360938EC"/>
    <w:multiLevelType w:val="hybridMultilevel"/>
    <w:tmpl w:val="810ABB94"/>
    <w:lvl w:ilvl="0" w:tplc="A1FA7328">
      <w:start w:val="1"/>
      <w:numFmt w:val="decimal"/>
      <w:pStyle w:val="Chapter4"/>
      <w:lvlText w:val="4.%1"/>
      <w:lvlJc w:val="left"/>
      <w:pPr>
        <w:tabs>
          <w:tab w:val="num" w:pos="851"/>
        </w:tabs>
        <w:ind w:left="851" w:hanging="851"/>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nsid w:val="37172E99"/>
    <w:multiLevelType w:val="hybridMultilevel"/>
    <w:tmpl w:val="A80092D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nsid w:val="3B5D1A14"/>
    <w:multiLevelType w:val="multilevel"/>
    <w:tmpl w:val="00540552"/>
    <w:styleLink w:val="StyleBulletedWingdingssymbol"/>
    <w:lvl w:ilvl="0">
      <w:start w:val="1"/>
      <w:numFmt w:val="bullet"/>
      <w:lvlText w:val=""/>
      <w:lvlJc w:val="left"/>
      <w:pPr>
        <w:tabs>
          <w:tab w:val="num" w:pos="720"/>
        </w:tabs>
        <w:ind w:left="720" w:hanging="360"/>
      </w:pPr>
      <w:rPr>
        <w:rFonts w:ascii="Times New Roman" w:hAnsi="Times New Roman"/>
        <w:sz w:val="24"/>
        <w:szCs w:val="24"/>
      </w:rPr>
    </w:lvl>
    <w:lvl w:ilvl="1">
      <w:start w:val="1"/>
      <w:numFmt w:val="decimal"/>
      <w:lvlText w:val="4.%2"/>
      <w:lvlJc w:val="left"/>
      <w:pPr>
        <w:tabs>
          <w:tab w:val="num" w:pos="284"/>
        </w:tabs>
        <w:ind w:left="0" w:firstLine="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6864BCC"/>
    <w:multiLevelType w:val="hybridMultilevel"/>
    <w:tmpl w:val="A9548F28"/>
    <w:lvl w:ilvl="0" w:tplc="12AE0262">
      <w:start w:val="1"/>
      <w:numFmt w:val="bullet"/>
      <w:pStyle w:val="Bullets"/>
      <w:lvlText w:val=""/>
      <w:lvlJc w:val="left"/>
      <w:pPr>
        <w:tabs>
          <w:tab w:val="num" w:pos="567"/>
        </w:tabs>
        <w:ind w:left="1418" w:hanging="567"/>
      </w:pPr>
      <w:rPr>
        <w:rFonts w:ascii="Symbol" w:hAnsi="Symbol" w:hint="default"/>
        <w:b w:val="0"/>
        <w:i w:val="0"/>
        <w:sz w:val="24"/>
        <w:szCs w:val="24"/>
      </w:rPr>
    </w:lvl>
    <w:lvl w:ilvl="1" w:tplc="058C2656" w:tentative="1">
      <w:start w:val="1"/>
      <w:numFmt w:val="bullet"/>
      <w:lvlText w:val="o"/>
      <w:lvlJc w:val="left"/>
      <w:pPr>
        <w:tabs>
          <w:tab w:val="num" w:pos="1440"/>
        </w:tabs>
        <w:ind w:left="1440" w:hanging="360"/>
      </w:pPr>
      <w:rPr>
        <w:rFonts w:ascii="Courier New" w:hAnsi="Courier New" w:cs="Courier New" w:hint="default"/>
      </w:rPr>
    </w:lvl>
    <w:lvl w:ilvl="2" w:tplc="1409001B">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cs="Courier New"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cs="Courier New"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11">
    <w:nsid w:val="4E56784C"/>
    <w:multiLevelType w:val="hybridMultilevel"/>
    <w:tmpl w:val="A80092D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nsid w:val="514F7994"/>
    <w:multiLevelType w:val="hybridMultilevel"/>
    <w:tmpl w:val="8C1A3F62"/>
    <w:lvl w:ilvl="0" w:tplc="08090005">
      <w:start w:val="1"/>
      <w:numFmt w:val="decimal"/>
      <w:pStyle w:val="Chapter1"/>
      <w:lvlText w:val="1.%1"/>
      <w:lvlJc w:val="left"/>
      <w:pPr>
        <w:tabs>
          <w:tab w:val="num" w:pos="851"/>
        </w:tabs>
        <w:ind w:left="851" w:hanging="851"/>
      </w:pPr>
      <w:rPr>
        <w:rFonts w:hint="default"/>
      </w:rPr>
    </w:lvl>
    <w:lvl w:ilvl="1" w:tplc="6FB61F34"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3">
    <w:nsid w:val="553A5693"/>
    <w:multiLevelType w:val="hybridMultilevel"/>
    <w:tmpl w:val="28FCB24C"/>
    <w:lvl w:ilvl="0" w:tplc="08090005">
      <w:start w:val="1"/>
      <w:numFmt w:val="decimal"/>
      <w:pStyle w:val="Chapter9"/>
      <w:lvlText w:val="9.%1"/>
      <w:lvlJc w:val="left"/>
      <w:pPr>
        <w:tabs>
          <w:tab w:val="num" w:pos="567"/>
        </w:tabs>
        <w:ind w:left="0" w:firstLine="0"/>
      </w:pPr>
      <w:rPr>
        <w:rFonts w:hint="default"/>
      </w:rPr>
    </w:lvl>
    <w:lvl w:ilvl="1" w:tplc="FE56B4D8"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4">
    <w:nsid w:val="5BA171F8"/>
    <w:multiLevelType w:val="hybridMultilevel"/>
    <w:tmpl w:val="289EA060"/>
    <w:lvl w:ilvl="0" w:tplc="0C090019">
      <w:start w:val="1"/>
      <w:numFmt w:val="bullet"/>
      <w:lvlText w:val=""/>
      <w:lvlJc w:val="left"/>
      <w:pPr>
        <w:tabs>
          <w:tab w:val="num" w:pos="1350"/>
        </w:tabs>
        <w:ind w:left="1350" w:hanging="360"/>
      </w:pPr>
      <w:rPr>
        <w:rFonts w:ascii="Symbol" w:hAnsi="Symbol" w:hint="default"/>
      </w:rPr>
    </w:lvl>
    <w:lvl w:ilvl="1" w:tplc="0C090003" w:tentative="1">
      <w:start w:val="1"/>
      <w:numFmt w:val="lowerLetter"/>
      <w:lvlText w:val="%2."/>
      <w:lvlJc w:val="left"/>
      <w:pPr>
        <w:tabs>
          <w:tab w:val="num" w:pos="2007"/>
        </w:tabs>
        <w:ind w:left="2007" w:hanging="360"/>
      </w:pPr>
    </w:lvl>
    <w:lvl w:ilvl="2" w:tplc="0C090005" w:tentative="1">
      <w:start w:val="1"/>
      <w:numFmt w:val="lowerRoman"/>
      <w:lvlText w:val="%3."/>
      <w:lvlJc w:val="right"/>
      <w:pPr>
        <w:tabs>
          <w:tab w:val="num" w:pos="2727"/>
        </w:tabs>
        <w:ind w:left="2727" w:hanging="180"/>
      </w:pPr>
    </w:lvl>
    <w:lvl w:ilvl="3" w:tplc="0C090001" w:tentative="1">
      <w:start w:val="1"/>
      <w:numFmt w:val="decimal"/>
      <w:lvlText w:val="%4."/>
      <w:lvlJc w:val="left"/>
      <w:pPr>
        <w:tabs>
          <w:tab w:val="num" w:pos="3447"/>
        </w:tabs>
        <w:ind w:left="3447" w:hanging="360"/>
      </w:pPr>
    </w:lvl>
    <w:lvl w:ilvl="4" w:tplc="0C090003" w:tentative="1">
      <w:start w:val="1"/>
      <w:numFmt w:val="lowerLetter"/>
      <w:lvlText w:val="%5."/>
      <w:lvlJc w:val="left"/>
      <w:pPr>
        <w:tabs>
          <w:tab w:val="num" w:pos="4167"/>
        </w:tabs>
        <w:ind w:left="4167" w:hanging="360"/>
      </w:pPr>
    </w:lvl>
    <w:lvl w:ilvl="5" w:tplc="0C090005" w:tentative="1">
      <w:start w:val="1"/>
      <w:numFmt w:val="lowerRoman"/>
      <w:lvlText w:val="%6."/>
      <w:lvlJc w:val="right"/>
      <w:pPr>
        <w:tabs>
          <w:tab w:val="num" w:pos="4887"/>
        </w:tabs>
        <w:ind w:left="4887" w:hanging="180"/>
      </w:pPr>
    </w:lvl>
    <w:lvl w:ilvl="6" w:tplc="0C090001" w:tentative="1">
      <w:start w:val="1"/>
      <w:numFmt w:val="decimal"/>
      <w:lvlText w:val="%7."/>
      <w:lvlJc w:val="left"/>
      <w:pPr>
        <w:tabs>
          <w:tab w:val="num" w:pos="5607"/>
        </w:tabs>
        <w:ind w:left="5607" w:hanging="360"/>
      </w:pPr>
    </w:lvl>
    <w:lvl w:ilvl="7" w:tplc="0C090003" w:tentative="1">
      <w:start w:val="1"/>
      <w:numFmt w:val="lowerLetter"/>
      <w:lvlText w:val="%8."/>
      <w:lvlJc w:val="left"/>
      <w:pPr>
        <w:tabs>
          <w:tab w:val="num" w:pos="6327"/>
        </w:tabs>
        <w:ind w:left="6327" w:hanging="360"/>
      </w:pPr>
    </w:lvl>
    <w:lvl w:ilvl="8" w:tplc="0C090005" w:tentative="1">
      <w:start w:val="1"/>
      <w:numFmt w:val="lowerRoman"/>
      <w:lvlText w:val="%9."/>
      <w:lvlJc w:val="right"/>
      <w:pPr>
        <w:tabs>
          <w:tab w:val="num" w:pos="7047"/>
        </w:tabs>
        <w:ind w:left="7047" w:hanging="180"/>
      </w:pPr>
    </w:lvl>
  </w:abstractNum>
  <w:abstractNum w:abstractNumId="15">
    <w:nsid w:val="602C34EE"/>
    <w:multiLevelType w:val="hybridMultilevel"/>
    <w:tmpl w:val="8AE87DEC"/>
    <w:lvl w:ilvl="0" w:tplc="0809000F">
      <w:start w:val="1"/>
      <w:numFmt w:val="decimal"/>
      <w:pStyle w:val="Chapter7"/>
      <w:lvlText w:val="7.%1"/>
      <w:lvlJc w:val="left"/>
      <w:pPr>
        <w:tabs>
          <w:tab w:val="num" w:pos="567"/>
        </w:tabs>
        <w:ind w:left="0" w:firstLine="0"/>
      </w:pPr>
      <w:rPr>
        <w:rFonts w:hint="default"/>
      </w:rPr>
    </w:lvl>
    <w:lvl w:ilvl="1" w:tplc="08090019">
      <w:start w:val="1"/>
      <w:numFmt w:val="lowerLetter"/>
      <w:lvlText w:val="%2."/>
      <w:lvlJc w:val="left"/>
      <w:pPr>
        <w:tabs>
          <w:tab w:val="num" w:pos="1440"/>
        </w:tabs>
        <w:ind w:left="1440" w:hanging="360"/>
      </w:pPr>
    </w:lvl>
    <w:lvl w:ilvl="2" w:tplc="55A4EE06"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640C6943"/>
    <w:multiLevelType w:val="singleLevel"/>
    <w:tmpl w:val="C0D403FA"/>
    <w:lvl w:ilvl="0">
      <w:start w:val="1"/>
      <w:numFmt w:val="decimal"/>
      <w:pStyle w:val="Chapter3"/>
      <w:lvlText w:val="3.%1"/>
      <w:lvlJc w:val="left"/>
      <w:pPr>
        <w:tabs>
          <w:tab w:val="num" w:pos="851"/>
        </w:tabs>
        <w:ind w:left="851" w:hanging="851"/>
      </w:pPr>
      <w:rPr>
        <w:rFonts w:hint="default"/>
      </w:rPr>
    </w:lvl>
  </w:abstractNum>
  <w:abstractNum w:abstractNumId="17">
    <w:nsid w:val="64C1796D"/>
    <w:multiLevelType w:val="hybridMultilevel"/>
    <w:tmpl w:val="DB829DCE"/>
    <w:lvl w:ilvl="0" w:tplc="08090005">
      <w:start w:val="1"/>
      <w:numFmt w:val="decimal"/>
      <w:pStyle w:val="Chapter8"/>
      <w:lvlText w:val="8.%1"/>
      <w:lvlJc w:val="left"/>
      <w:pPr>
        <w:tabs>
          <w:tab w:val="num" w:pos="851"/>
        </w:tabs>
        <w:ind w:left="0" w:firstLine="0"/>
      </w:pPr>
      <w:rPr>
        <w:rFonts w:hint="default"/>
      </w:rPr>
    </w:lvl>
    <w:lvl w:ilvl="1" w:tplc="18D61E8E"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8">
    <w:nsid w:val="65A10F29"/>
    <w:multiLevelType w:val="hybridMultilevel"/>
    <w:tmpl w:val="42F665F6"/>
    <w:lvl w:ilvl="0" w:tplc="A7005A70">
      <w:start w:val="1"/>
      <w:numFmt w:val="decimal"/>
      <w:pStyle w:val="Chapter11"/>
      <w:lvlText w:val="11.%1"/>
      <w:lvlJc w:val="left"/>
      <w:pPr>
        <w:tabs>
          <w:tab w:val="num" w:pos="851"/>
        </w:tabs>
        <w:ind w:left="0"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nsid w:val="6B557726"/>
    <w:multiLevelType w:val="hybridMultilevel"/>
    <w:tmpl w:val="A5460864"/>
    <w:lvl w:ilvl="0" w:tplc="B3F2B942">
      <w:start w:val="1"/>
      <w:numFmt w:val="decimal"/>
      <w:pStyle w:val="Chapter100"/>
      <w:lvlText w:val="10.%1"/>
      <w:lvlJc w:val="left"/>
      <w:pPr>
        <w:tabs>
          <w:tab w:val="num" w:pos="567"/>
        </w:tabs>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nsid w:val="6F09054B"/>
    <w:multiLevelType w:val="hybridMultilevel"/>
    <w:tmpl w:val="86722BDC"/>
    <w:lvl w:ilvl="0" w:tplc="A8F6750E">
      <w:start w:val="1"/>
      <w:numFmt w:val="bullet"/>
      <w:lvlText w:val=""/>
      <w:lvlJc w:val="left"/>
      <w:pPr>
        <w:tabs>
          <w:tab w:val="num" w:pos="567"/>
        </w:tabs>
        <w:ind w:left="567" w:hanging="510"/>
      </w:pPr>
      <w:rPr>
        <w:rFonts w:ascii="Symbol" w:hAnsi="Symbol" w:hint="default"/>
        <w:sz w:val="21"/>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72127131"/>
    <w:multiLevelType w:val="hybridMultilevel"/>
    <w:tmpl w:val="56ECEE88"/>
    <w:lvl w:ilvl="0" w:tplc="0FA0D9A2">
      <w:start w:val="1"/>
      <w:numFmt w:val="bullet"/>
      <w:lvlText w:val=""/>
      <w:lvlJc w:val="left"/>
      <w:pPr>
        <w:tabs>
          <w:tab w:val="num" w:pos="720"/>
        </w:tabs>
        <w:ind w:left="720" w:hanging="360"/>
      </w:pPr>
      <w:rPr>
        <w:rFonts w:ascii="Symbol" w:hAnsi="Symbol" w:hint="default"/>
      </w:rPr>
    </w:lvl>
    <w:lvl w:ilvl="1" w:tplc="0C090001"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22">
    <w:nsid w:val="76B95CA4"/>
    <w:multiLevelType w:val="hybridMultilevel"/>
    <w:tmpl w:val="6F9E63D0"/>
    <w:lvl w:ilvl="0" w:tplc="BA08752A">
      <w:start w:val="1"/>
      <w:numFmt w:val="bullet"/>
      <w:lvlText w:val=""/>
      <w:lvlJc w:val="left"/>
      <w:pPr>
        <w:tabs>
          <w:tab w:val="num" w:pos="360"/>
        </w:tabs>
        <w:ind w:left="360" w:hanging="360"/>
      </w:pPr>
      <w:rPr>
        <w:rFonts w:ascii="Symbol" w:hAnsi="Symbol" w:hint="default"/>
        <w:sz w:val="20"/>
        <w:szCs w:val="20"/>
      </w:rPr>
    </w:lvl>
    <w:lvl w:ilvl="1" w:tplc="0C090001"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0"/>
  </w:num>
  <w:num w:numId="3">
    <w:abstractNumId w:val="12"/>
  </w:num>
  <w:num w:numId="4">
    <w:abstractNumId w:val="13"/>
  </w:num>
  <w:num w:numId="5">
    <w:abstractNumId w:val="19"/>
  </w:num>
  <w:num w:numId="6">
    <w:abstractNumId w:val="2"/>
  </w:num>
  <w:num w:numId="7">
    <w:abstractNumId w:val="16"/>
  </w:num>
  <w:num w:numId="8">
    <w:abstractNumId w:val="7"/>
  </w:num>
  <w:num w:numId="9">
    <w:abstractNumId w:val="0"/>
  </w:num>
  <w:num w:numId="10">
    <w:abstractNumId w:val="1"/>
  </w:num>
  <w:num w:numId="11">
    <w:abstractNumId w:val="4"/>
  </w:num>
  <w:num w:numId="12">
    <w:abstractNumId w:val="15"/>
  </w:num>
  <w:num w:numId="13">
    <w:abstractNumId w:val="20"/>
  </w:num>
  <w:num w:numId="14">
    <w:abstractNumId w:val="17"/>
  </w:num>
  <w:num w:numId="15">
    <w:abstractNumId w:val="18"/>
  </w:num>
  <w:num w:numId="16">
    <w:abstractNumId w:val="9"/>
  </w:num>
  <w:num w:numId="17">
    <w:abstractNumId w:val="21"/>
  </w:num>
  <w:num w:numId="18">
    <w:abstractNumId w:val="14"/>
  </w:num>
  <w:num w:numId="19">
    <w:abstractNumId w:val="5"/>
  </w:num>
  <w:num w:numId="20">
    <w:abstractNumId w:val="22"/>
  </w:num>
  <w:num w:numId="21">
    <w:abstractNumId w:val="11"/>
  </w:num>
  <w:num w:numId="22">
    <w:abstractNumId w:val="8"/>
  </w:num>
  <w:num w:numId="23">
    <w:abstractNumId w:val="6"/>
  </w:num>
  <w:num w:numId="24">
    <w:abstractNumId w:val="12"/>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0"/>
  </w:num>
  <w:num w:numId="42">
    <w:abstractNumId w:val="10"/>
  </w:num>
  <w:num w:numId="43">
    <w:abstractNumId w:val="10"/>
  </w:num>
  <w:num w:numId="44">
    <w:abstractNumId w:val="10"/>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evenAndOddHeaders/>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900"/>
    <w:rsid w:val="000022EC"/>
    <w:rsid w:val="0000377B"/>
    <w:rsid w:val="00003908"/>
    <w:rsid w:val="00006422"/>
    <w:rsid w:val="00007351"/>
    <w:rsid w:val="00012289"/>
    <w:rsid w:val="00014230"/>
    <w:rsid w:val="00015410"/>
    <w:rsid w:val="00015F50"/>
    <w:rsid w:val="0001695D"/>
    <w:rsid w:val="000171CE"/>
    <w:rsid w:val="00017767"/>
    <w:rsid w:val="0002323A"/>
    <w:rsid w:val="0002340B"/>
    <w:rsid w:val="00023673"/>
    <w:rsid w:val="00023739"/>
    <w:rsid w:val="000250E7"/>
    <w:rsid w:val="000251CA"/>
    <w:rsid w:val="0002735F"/>
    <w:rsid w:val="00027B73"/>
    <w:rsid w:val="0003027F"/>
    <w:rsid w:val="00031162"/>
    <w:rsid w:val="0003124A"/>
    <w:rsid w:val="0003164B"/>
    <w:rsid w:val="000317D5"/>
    <w:rsid w:val="00033150"/>
    <w:rsid w:val="00033259"/>
    <w:rsid w:val="00033F9A"/>
    <w:rsid w:val="000344D8"/>
    <w:rsid w:val="00034917"/>
    <w:rsid w:val="00035F81"/>
    <w:rsid w:val="00037A83"/>
    <w:rsid w:val="000407DB"/>
    <w:rsid w:val="00041A29"/>
    <w:rsid w:val="00041E24"/>
    <w:rsid w:val="00043BEF"/>
    <w:rsid w:val="00047CC7"/>
    <w:rsid w:val="00047FF9"/>
    <w:rsid w:val="00050E51"/>
    <w:rsid w:val="00051E9F"/>
    <w:rsid w:val="000523E0"/>
    <w:rsid w:val="00053A26"/>
    <w:rsid w:val="00053BF5"/>
    <w:rsid w:val="0005471A"/>
    <w:rsid w:val="00055518"/>
    <w:rsid w:val="000570B4"/>
    <w:rsid w:val="0005761B"/>
    <w:rsid w:val="000578D5"/>
    <w:rsid w:val="00064C13"/>
    <w:rsid w:val="00064CDF"/>
    <w:rsid w:val="00067972"/>
    <w:rsid w:val="00070A6E"/>
    <w:rsid w:val="00072271"/>
    <w:rsid w:val="00074205"/>
    <w:rsid w:val="0007577B"/>
    <w:rsid w:val="00081340"/>
    <w:rsid w:val="00083D81"/>
    <w:rsid w:val="00084ED4"/>
    <w:rsid w:val="000852A1"/>
    <w:rsid w:val="00090841"/>
    <w:rsid w:val="00091439"/>
    <w:rsid w:val="000936CF"/>
    <w:rsid w:val="00096603"/>
    <w:rsid w:val="00096828"/>
    <w:rsid w:val="000972F9"/>
    <w:rsid w:val="00097D6E"/>
    <w:rsid w:val="000A1039"/>
    <w:rsid w:val="000A1D11"/>
    <w:rsid w:val="000A21B8"/>
    <w:rsid w:val="000A2369"/>
    <w:rsid w:val="000A55B7"/>
    <w:rsid w:val="000A69BB"/>
    <w:rsid w:val="000A7407"/>
    <w:rsid w:val="000B0C18"/>
    <w:rsid w:val="000B1DE7"/>
    <w:rsid w:val="000B38A9"/>
    <w:rsid w:val="000B4164"/>
    <w:rsid w:val="000B5747"/>
    <w:rsid w:val="000C009E"/>
    <w:rsid w:val="000C0168"/>
    <w:rsid w:val="000C0315"/>
    <w:rsid w:val="000C3FFB"/>
    <w:rsid w:val="000C5DF3"/>
    <w:rsid w:val="000C5EB7"/>
    <w:rsid w:val="000C73AB"/>
    <w:rsid w:val="000C78C9"/>
    <w:rsid w:val="000D0B00"/>
    <w:rsid w:val="000D0F7B"/>
    <w:rsid w:val="000D154C"/>
    <w:rsid w:val="000D431B"/>
    <w:rsid w:val="000D477E"/>
    <w:rsid w:val="000D5566"/>
    <w:rsid w:val="000E1182"/>
    <w:rsid w:val="000E1473"/>
    <w:rsid w:val="000E3A50"/>
    <w:rsid w:val="000E3D2B"/>
    <w:rsid w:val="000E5145"/>
    <w:rsid w:val="000E5794"/>
    <w:rsid w:val="000E764D"/>
    <w:rsid w:val="000E7C71"/>
    <w:rsid w:val="000E7EAB"/>
    <w:rsid w:val="000F4BC1"/>
    <w:rsid w:val="000F7153"/>
    <w:rsid w:val="000F7771"/>
    <w:rsid w:val="001005B7"/>
    <w:rsid w:val="00100901"/>
    <w:rsid w:val="001078F8"/>
    <w:rsid w:val="00110264"/>
    <w:rsid w:val="001142E4"/>
    <w:rsid w:val="00117C16"/>
    <w:rsid w:val="001201B6"/>
    <w:rsid w:val="00121752"/>
    <w:rsid w:val="0012550F"/>
    <w:rsid w:val="00126F60"/>
    <w:rsid w:val="00131B6A"/>
    <w:rsid w:val="001324ED"/>
    <w:rsid w:val="001348E3"/>
    <w:rsid w:val="00134C59"/>
    <w:rsid w:val="001353EA"/>
    <w:rsid w:val="00136CB8"/>
    <w:rsid w:val="00140748"/>
    <w:rsid w:val="001425E7"/>
    <w:rsid w:val="00143CAA"/>
    <w:rsid w:val="001455DB"/>
    <w:rsid w:val="0014563C"/>
    <w:rsid w:val="0015001E"/>
    <w:rsid w:val="00150A63"/>
    <w:rsid w:val="001526C7"/>
    <w:rsid w:val="0015532D"/>
    <w:rsid w:val="00157C9A"/>
    <w:rsid w:val="00160D92"/>
    <w:rsid w:val="00162125"/>
    <w:rsid w:val="0016327A"/>
    <w:rsid w:val="00166D50"/>
    <w:rsid w:val="00166FD2"/>
    <w:rsid w:val="001702CB"/>
    <w:rsid w:val="00170CFB"/>
    <w:rsid w:val="001713B3"/>
    <w:rsid w:val="001722B8"/>
    <w:rsid w:val="00176CEC"/>
    <w:rsid w:val="00176E74"/>
    <w:rsid w:val="00177C80"/>
    <w:rsid w:val="00180ED9"/>
    <w:rsid w:val="00182551"/>
    <w:rsid w:val="001836E5"/>
    <w:rsid w:val="00183F66"/>
    <w:rsid w:val="0019398A"/>
    <w:rsid w:val="00196612"/>
    <w:rsid w:val="00197444"/>
    <w:rsid w:val="001A2A81"/>
    <w:rsid w:val="001A2BCA"/>
    <w:rsid w:val="001A3053"/>
    <w:rsid w:val="001A385F"/>
    <w:rsid w:val="001A6A36"/>
    <w:rsid w:val="001A721B"/>
    <w:rsid w:val="001B57E9"/>
    <w:rsid w:val="001C23A1"/>
    <w:rsid w:val="001C38AE"/>
    <w:rsid w:val="001C6F6F"/>
    <w:rsid w:val="001C74B8"/>
    <w:rsid w:val="001D02C2"/>
    <w:rsid w:val="001D0512"/>
    <w:rsid w:val="001D47CB"/>
    <w:rsid w:val="001D4B71"/>
    <w:rsid w:val="001D5A37"/>
    <w:rsid w:val="001D6E66"/>
    <w:rsid w:val="001D72DE"/>
    <w:rsid w:val="001D768A"/>
    <w:rsid w:val="001D799C"/>
    <w:rsid w:val="001E193C"/>
    <w:rsid w:val="001E1CE3"/>
    <w:rsid w:val="001E3029"/>
    <w:rsid w:val="001E7D14"/>
    <w:rsid w:val="001F0321"/>
    <w:rsid w:val="001F1432"/>
    <w:rsid w:val="001F1B9D"/>
    <w:rsid w:val="001F35C8"/>
    <w:rsid w:val="001F6CB4"/>
    <w:rsid w:val="001F7F76"/>
    <w:rsid w:val="00200688"/>
    <w:rsid w:val="00200C96"/>
    <w:rsid w:val="00200EE6"/>
    <w:rsid w:val="002025E9"/>
    <w:rsid w:val="002033D4"/>
    <w:rsid w:val="0020386B"/>
    <w:rsid w:val="002040FD"/>
    <w:rsid w:val="002048AD"/>
    <w:rsid w:val="00205799"/>
    <w:rsid w:val="0020641A"/>
    <w:rsid w:val="002137D1"/>
    <w:rsid w:val="0021414A"/>
    <w:rsid w:val="002152CE"/>
    <w:rsid w:val="0021548E"/>
    <w:rsid w:val="00216D5E"/>
    <w:rsid w:val="00217C12"/>
    <w:rsid w:val="00231C75"/>
    <w:rsid w:val="002325A4"/>
    <w:rsid w:val="00232C5B"/>
    <w:rsid w:val="0023315E"/>
    <w:rsid w:val="00233203"/>
    <w:rsid w:val="002334CC"/>
    <w:rsid w:val="002343E9"/>
    <w:rsid w:val="002357D6"/>
    <w:rsid w:val="0023589C"/>
    <w:rsid w:val="002361A0"/>
    <w:rsid w:val="0023748D"/>
    <w:rsid w:val="00237EF2"/>
    <w:rsid w:val="00240DCC"/>
    <w:rsid w:val="0024175F"/>
    <w:rsid w:val="00244391"/>
    <w:rsid w:val="0025084A"/>
    <w:rsid w:val="002516B4"/>
    <w:rsid w:val="00253969"/>
    <w:rsid w:val="00254177"/>
    <w:rsid w:val="0026027E"/>
    <w:rsid w:val="00260B59"/>
    <w:rsid w:val="00260ED8"/>
    <w:rsid w:val="00263E47"/>
    <w:rsid w:val="00267C0F"/>
    <w:rsid w:val="0027067F"/>
    <w:rsid w:val="00271089"/>
    <w:rsid w:val="00273349"/>
    <w:rsid w:val="00277C44"/>
    <w:rsid w:val="00277FFB"/>
    <w:rsid w:val="00283A2A"/>
    <w:rsid w:val="00286748"/>
    <w:rsid w:val="00290180"/>
    <w:rsid w:val="00291A59"/>
    <w:rsid w:val="0029316E"/>
    <w:rsid w:val="002960FD"/>
    <w:rsid w:val="00296FC3"/>
    <w:rsid w:val="002A1409"/>
    <w:rsid w:val="002A1595"/>
    <w:rsid w:val="002A2045"/>
    <w:rsid w:val="002A2064"/>
    <w:rsid w:val="002A2214"/>
    <w:rsid w:val="002A3B95"/>
    <w:rsid w:val="002A6420"/>
    <w:rsid w:val="002A6B59"/>
    <w:rsid w:val="002A729A"/>
    <w:rsid w:val="002A7B5E"/>
    <w:rsid w:val="002A7F65"/>
    <w:rsid w:val="002B213A"/>
    <w:rsid w:val="002B2263"/>
    <w:rsid w:val="002B3770"/>
    <w:rsid w:val="002B7250"/>
    <w:rsid w:val="002C1491"/>
    <w:rsid w:val="002C3D65"/>
    <w:rsid w:val="002C4868"/>
    <w:rsid w:val="002C5860"/>
    <w:rsid w:val="002C5E5F"/>
    <w:rsid w:val="002C723A"/>
    <w:rsid w:val="002C7AD2"/>
    <w:rsid w:val="002D08DF"/>
    <w:rsid w:val="002D0B41"/>
    <w:rsid w:val="002D78AA"/>
    <w:rsid w:val="002D7CEB"/>
    <w:rsid w:val="002E05EC"/>
    <w:rsid w:val="002E093E"/>
    <w:rsid w:val="002E102D"/>
    <w:rsid w:val="002E227E"/>
    <w:rsid w:val="002E3A75"/>
    <w:rsid w:val="002F082A"/>
    <w:rsid w:val="002F102C"/>
    <w:rsid w:val="002F2C39"/>
    <w:rsid w:val="002F46B3"/>
    <w:rsid w:val="002F5A43"/>
    <w:rsid w:val="0030295B"/>
    <w:rsid w:val="003048A8"/>
    <w:rsid w:val="0030508B"/>
    <w:rsid w:val="0030535A"/>
    <w:rsid w:val="0030684E"/>
    <w:rsid w:val="00311DBB"/>
    <w:rsid w:val="003120D8"/>
    <w:rsid w:val="00317CA5"/>
    <w:rsid w:val="00320319"/>
    <w:rsid w:val="0032154C"/>
    <w:rsid w:val="0032499B"/>
    <w:rsid w:val="00325904"/>
    <w:rsid w:val="003265FB"/>
    <w:rsid w:val="00331093"/>
    <w:rsid w:val="0033150F"/>
    <w:rsid w:val="0033227F"/>
    <w:rsid w:val="00333F40"/>
    <w:rsid w:val="003356AC"/>
    <w:rsid w:val="003413ED"/>
    <w:rsid w:val="00341557"/>
    <w:rsid w:val="0034165E"/>
    <w:rsid w:val="00343FC6"/>
    <w:rsid w:val="003457C0"/>
    <w:rsid w:val="0034639D"/>
    <w:rsid w:val="003473DB"/>
    <w:rsid w:val="00354453"/>
    <w:rsid w:val="003563D9"/>
    <w:rsid w:val="0036156A"/>
    <w:rsid w:val="00362461"/>
    <w:rsid w:val="00367337"/>
    <w:rsid w:val="00367C7B"/>
    <w:rsid w:val="00370F9D"/>
    <w:rsid w:val="00371125"/>
    <w:rsid w:val="0037173A"/>
    <w:rsid w:val="00373D19"/>
    <w:rsid w:val="00373E7D"/>
    <w:rsid w:val="00373F5D"/>
    <w:rsid w:val="003742E3"/>
    <w:rsid w:val="00374BD9"/>
    <w:rsid w:val="00374E66"/>
    <w:rsid w:val="003754D0"/>
    <w:rsid w:val="00380CAC"/>
    <w:rsid w:val="00381ABC"/>
    <w:rsid w:val="00384C7E"/>
    <w:rsid w:val="0038645D"/>
    <w:rsid w:val="00387D1E"/>
    <w:rsid w:val="00390F8D"/>
    <w:rsid w:val="00391A22"/>
    <w:rsid w:val="00391B92"/>
    <w:rsid w:val="00392924"/>
    <w:rsid w:val="003944D6"/>
    <w:rsid w:val="00394CF8"/>
    <w:rsid w:val="00395475"/>
    <w:rsid w:val="00395B3F"/>
    <w:rsid w:val="003962BF"/>
    <w:rsid w:val="00396824"/>
    <w:rsid w:val="00397856"/>
    <w:rsid w:val="003A31FD"/>
    <w:rsid w:val="003A4D95"/>
    <w:rsid w:val="003A5393"/>
    <w:rsid w:val="003A5488"/>
    <w:rsid w:val="003A5C2F"/>
    <w:rsid w:val="003B397F"/>
    <w:rsid w:val="003B6241"/>
    <w:rsid w:val="003C055A"/>
    <w:rsid w:val="003C3352"/>
    <w:rsid w:val="003C3693"/>
    <w:rsid w:val="003C37C2"/>
    <w:rsid w:val="003C4126"/>
    <w:rsid w:val="003C502F"/>
    <w:rsid w:val="003C5519"/>
    <w:rsid w:val="003C594A"/>
    <w:rsid w:val="003C6105"/>
    <w:rsid w:val="003C6A12"/>
    <w:rsid w:val="003C75F6"/>
    <w:rsid w:val="003D0B49"/>
    <w:rsid w:val="003D1452"/>
    <w:rsid w:val="003D6323"/>
    <w:rsid w:val="003D684E"/>
    <w:rsid w:val="003D6EF5"/>
    <w:rsid w:val="003D73BF"/>
    <w:rsid w:val="003E0056"/>
    <w:rsid w:val="003E02BB"/>
    <w:rsid w:val="003E44F6"/>
    <w:rsid w:val="003E51E2"/>
    <w:rsid w:val="003E7906"/>
    <w:rsid w:val="003E7977"/>
    <w:rsid w:val="003E7C3D"/>
    <w:rsid w:val="003F03E7"/>
    <w:rsid w:val="003F5739"/>
    <w:rsid w:val="003F6AB6"/>
    <w:rsid w:val="003F6E87"/>
    <w:rsid w:val="00401F0F"/>
    <w:rsid w:val="0040231F"/>
    <w:rsid w:val="00403468"/>
    <w:rsid w:val="00404CDB"/>
    <w:rsid w:val="00405235"/>
    <w:rsid w:val="0040742C"/>
    <w:rsid w:val="00413004"/>
    <w:rsid w:val="004137E5"/>
    <w:rsid w:val="0041492E"/>
    <w:rsid w:val="00414AC0"/>
    <w:rsid w:val="00414F89"/>
    <w:rsid w:val="0042286D"/>
    <w:rsid w:val="004243F7"/>
    <w:rsid w:val="004258D6"/>
    <w:rsid w:val="004306CC"/>
    <w:rsid w:val="00430BB2"/>
    <w:rsid w:val="00431555"/>
    <w:rsid w:val="00431E1A"/>
    <w:rsid w:val="004326C9"/>
    <w:rsid w:val="00432F19"/>
    <w:rsid w:val="00434294"/>
    <w:rsid w:val="00434570"/>
    <w:rsid w:val="00435C8B"/>
    <w:rsid w:val="00436FCD"/>
    <w:rsid w:val="0044126B"/>
    <w:rsid w:val="0044537A"/>
    <w:rsid w:val="00445690"/>
    <w:rsid w:val="0044726A"/>
    <w:rsid w:val="00447865"/>
    <w:rsid w:val="004478AE"/>
    <w:rsid w:val="00450226"/>
    <w:rsid w:val="00452856"/>
    <w:rsid w:val="00453713"/>
    <w:rsid w:val="00454686"/>
    <w:rsid w:val="00455B3C"/>
    <w:rsid w:val="00456DE8"/>
    <w:rsid w:val="004603E1"/>
    <w:rsid w:val="004649DC"/>
    <w:rsid w:val="004714F2"/>
    <w:rsid w:val="00477B93"/>
    <w:rsid w:val="00482460"/>
    <w:rsid w:val="00482B21"/>
    <w:rsid w:val="00485CD4"/>
    <w:rsid w:val="004865E4"/>
    <w:rsid w:val="00493A9F"/>
    <w:rsid w:val="004955E2"/>
    <w:rsid w:val="00495F1D"/>
    <w:rsid w:val="004A0BAE"/>
    <w:rsid w:val="004A11C8"/>
    <w:rsid w:val="004A1DEC"/>
    <w:rsid w:val="004A4529"/>
    <w:rsid w:val="004A6E86"/>
    <w:rsid w:val="004B0926"/>
    <w:rsid w:val="004B1B92"/>
    <w:rsid w:val="004B2F23"/>
    <w:rsid w:val="004B36B0"/>
    <w:rsid w:val="004B37FB"/>
    <w:rsid w:val="004B659E"/>
    <w:rsid w:val="004B684C"/>
    <w:rsid w:val="004B6F8B"/>
    <w:rsid w:val="004C1701"/>
    <w:rsid w:val="004C2444"/>
    <w:rsid w:val="004C2DB8"/>
    <w:rsid w:val="004C2E97"/>
    <w:rsid w:val="004C5738"/>
    <w:rsid w:val="004D2B7A"/>
    <w:rsid w:val="004D6158"/>
    <w:rsid w:val="004D6900"/>
    <w:rsid w:val="004D773C"/>
    <w:rsid w:val="004E10A4"/>
    <w:rsid w:val="004E2A2B"/>
    <w:rsid w:val="004E2CEB"/>
    <w:rsid w:val="004E491E"/>
    <w:rsid w:val="004E59D9"/>
    <w:rsid w:val="004E5B10"/>
    <w:rsid w:val="004E648C"/>
    <w:rsid w:val="004E72FD"/>
    <w:rsid w:val="004F0044"/>
    <w:rsid w:val="004F3671"/>
    <w:rsid w:val="004F4237"/>
    <w:rsid w:val="004F4278"/>
    <w:rsid w:val="004F4C58"/>
    <w:rsid w:val="004F5679"/>
    <w:rsid w:val="00501EBD"/>
    <w:rsid w:val="00502359"/>
    <w:rsid w:val="005025DD"/>
    <w:rsid w:val="00506D4E"/>
    <w:rsid w:val="0050746B"/>
    <w:rsid w:val="00507805"/>
    <w:rsid w:val="005105C2"/>
    <w:rsid w:val="00512EC7"/>
    <w:rsid w:val="00513EFC"/>
    <w:rsid w:val="00514F79"/>
    <w:rsid w:val="00517261"/>
    <w:rsid w:val="005209B8"/>
    <w:rsid w:val="00521C06"/>
    <w:rsid w:val="00530A3D"/>
    <w:rsid w:val="0053146F"/>
    <w:rsid w:val="0053156B"/>
    <w:rsid w:val="0054074E"/>
    <w:rsid w:val="00541932"/>
    <w:rsid w:val="00542C0A"/>
    <w:rsid w:val="00543138"/>
    <w:rsid w:val="005453ED"/>
    <w:rsid w:val="00546695"/>
    <w:rsid w:val="005471D8"/>
    <w:rsid w:val="00547515"/>
    <w:rsid w:val="00550F68"/>
    <w:rsid w:val="00551C9D"/>
    <w:rsid w:val="00551EBF"/>
    <w:rsid w:val="00551FAE"/>
    <w:rsid w:val="0055286A"/>
    <w:rsid w:val="00552DD1"/>
    <w:rsid w:val="0055476A"/>
    <w:rsid w:val="00554E3A"/>
    <w:rsid w:val="00557701"/>
    <w:rsid w:val="00560940"/>
    <w:rsid w:val="005614DF"/>
    <w:rsid w:val="00561AEA"/>
    <w:rsid w:val="00561BA6"/>
    <w:rsid w:val="00562990"/>
    <w:rsid w:val="00565602"/>
    <w:rsid w:val="0056690C"/>
    <w:rsid w:val="00567926"/>
    <w:rsid w:val="00575170"/>
    <w:rsid w:val="00577313"/>
    <w:rsid w:val="00580AF0"/>
    <w:rsid w:val="00580B4E"/>
    <w:rsid w:val="00581E13"/>
    <w:rsid w:val="00582227"/>
    <w:rsid w:val="005827DA"/>
    <w:rsid w:val="00583BFC"/>
    <w:rsid w:val="00583E53"/>
    <w:rsid w:val="00586ED7"/>
    <w:rsid w:val="005871DB"/>
    <w:rsid w:val="005911E8"/>
    <w:rsid w:val="005920A0"/>
    <w:rsid w:val="00592591"/>
    <w:rsid w:val="00592F96"/>
    <w:rsid w:val="005A148F"/>
    <w:rsid w:val="005A209F"/>
    <w:rsid w:val="005A3D08"/>
    <w:rsid w:val="005A3D33"/>
    <w:rsid w:val="005A5CF8"/>
    <w:rsid w:val="005A5EFE"/>
    <w:rsid w:val="005A629E"/>
    <w:rsid w:val="005A76F3"/>
    <w:rsid w:val="005B06C3"/>
    <w:rsid w:val="005B1EAC"/>
    <w:rsid w:val="005B46A5"/>
    <w:rsid w:val="005C1D28"/>
    <w:rsid w:val="005C3DE8"/>
    <w:rsid w:val="005C6E37"/>
    <w:rsid w:val="005D1902"/>
    <w:rsid w:val="005D1BD6"/>
    <w:rsid w:val="005D1CBA"/>
    <w:rsid w:val="005D2143"/>
    <w:rsid w:val="005D3A47"/>
    <w:rsid w:val="005D51C1"/>
    <w:rsid w:val="005D6E01"/>
    <w:rsid w:val="005E0A51"/>
    <w:rsid w:val="005E0ADA"/>
    <w:rsid w:val="005E1382"/>
    <w:rsid w:val="005E168D"/>
    <w:rsid w:val="005E3C39"/>
    <w:rsid w:val="005E52FB"/>
    <w:rsid w:val="005E559F"/>
    <w:rsid w:val="005E6722"/>
    <w:rsid w:val="005F29F5"/>
    <w:rsid w:val="005F305F"/>
    <w:rsid w:val="005F4770"/>
    <w:rsid w:val="005F6053"/>
    <w:rsid w:val="005F6EBC"/>
    <w:rsid w:val="006002F3"/>
    <w:rsid w:val="0060100F"/>
    <w:rsid w:val="0060141E"/>
    <w:rsid w:val="00603414"/>
    <w:rsid w:val="00603449"/>
    <w:rsid w:val="006041F7"/>
    <w:rsid w:val="006042D1"/>
    <w:rsid w:val="0060457E"/>
    <w:rsid w:val="0060519F"/>
    <w:rsid w:val="00606865"/>
    <w:rsid w:val="00610D98"/>
    <w:rsid w:val="00610EA0"/>
    <w:rsid w:val="006117FD"/>
    <w:rsid w:val="006131E5"/>
    <w:rsid w:val="006169BE"/>
    <w:rsid w:val="00617CE2"/>
    <w:rsid w:val="00617DFC"/>
    <w:rsid w:val="00617FD2"/>
    <w:rsid w:val="00620585"/>
    <w:rsid w:val="00624899"/>
    <w:rsid w:val="00627E1F"/>
    <w:rsid w:val="00631AD7"/>
    <w:rsid w:val="00632A6B"/>
    <w:rsid w:val="006350A3"/>
    <w:rsid w:val="00635E6E"/>
    <w:rsid w:val="00635EB8"/>
    <w:rsid w:val="00636058"/>
    <w:rsid w:val="00642559"/>
    <w:rsid w:val="00642F45"/>
    <w:rsid w:val="00647202"/>
    <w:rsid w:val="006515C5"/>
    <w:rsid w:val="0065219C"/>
    <w:rsid w:val="00652798"/>
    <w:rsid w:val="00652E32"/>
    <w:rsid w:val="0065392C"/>
    <w:rsid w:val="006549EB"/>
    <w:rsid w:val="00654A37"/>
    <w:rsid w:val="00654BCA"/>
    <w:rsid w:val="00654C0C"/>
    <w:rsid w:val="00655851"/>
    <w:rsid w:val="00662E92"/>
    <w:rsid w:val="00662F7B"/>
    <w:rsid w:val="006644EE"/>
    <w:rsid w:val="0066498C"/>
    <w:rsid w:val="00665DEA"/>
    <w:rsid w:val="00670383"/>
    <w:rsid w:val="0067137C"/>
    <w:rsid w:val="0067215C"/>
    <w:rsid w:val="0067287E"/>
    <w:rsid w:val="006735D1"/>
    <w:rsid w:val="00675264"/>
    <w:rsid w:val="006772F4"/>
    <w:rsid w:val="00681F0D"/>
    <w:rsid w:val="00683EB1"/>
    <w:rsid w:val="00686E61"/>
    <w:rsid w:val="00690DC4"/>
    <w:rsid w:val="006922FB"/>
    <w:rsid w:val="00692772"/>
    <w:rsid w:val="006A23A6"/>
    <w:rsid w:val="006A2BE5"/>
    <w:rsid w:val="006A397B"/>
    <w:rsid w:val="006A6B54"/>
    <w:rsid w:val="006B0566"/>
    <w:rsid w:val="006B1316"/>
    <w:rsid w:val="006B2A85"/>
    <w:rsid w:val="006B5427"/>
    <w:rsid w:val="006B598A"/>
    <w:rsid w:val="006C0008"/>
    <w:rsid w:val="006D1287"/>
    <w:rsid w:val="006D5B3E"/>
    <w:rsid w:val="006D5E8F"/>
    <w:rsid w:val="006D6102"/>
    <w:rsid w:val="006D69D1"/>
    <w:rsid w:val="006D75D7"/>
    <w:rsid w:val="006E19D8"/>
    <w:rsid w:val="006E1C6B"/>
    <w:rsid w:val="006E2848"/>
    <w:rsid w:val="006E44FA"/>
    <w:rsid w:val="006E50E7"/>
    <w:rsid w:val="006E6038"/>
    <w:rsid w:val="006F02AD"/>
    <w:rsid w:val="006F1D5A"/>
    <w:rsid w:val="006F3442"/>
    <w:rsid w:val="006F3E59"/>
    <w:rsid w:val="006F4D00"/>
    <w:rsid w:val="006F50C5"/>
    <w:rsid w:val="006F6822"/>
    <w:rsid w:val="006F7DAA"/>
    <w:rsid w:val="0070017E"/>
    <w:rsid w:val="00701E76"/>
    <w:rsid w:val="007022BF"/>
    <w:rsid w:val="0070247E"/>
    <w:rsid w:val="00704AD1"/>
    <w:rsid w:val="007055A3"/>
    <w:rsid w:val="007056D0"/>
    <w:rsid w:val="00706992"/>
    <w:rsid w:val="00713702"/>
    <w:rsid w:val="00715279"/>
    <w:rsid w:val="00715D61"/>
    <w:rsid w:val="007161D3"/>
    <w:rsid w:val="00717673"/>
    <w:rsid w:val="00725975"/>
    <w:rsid w:val="00725B0D"/>
    <w:rsid w:val="00726C4D"/>
    <w:rsid w:val="007276C0"/>
    <w:rsid w:val="00727914"/>
    <w:rsid w:val="00727B0E"/>
    <w:rsid w:val="0073368E"/>
    <w:rsid w:val="007343A9"/>
    <w:rsid w:val="007351D5"/>
    <w:rsid w:val="007357CF"/>
    <w:rsid w:val="00736162"/>
    <w:rsid w:val="007369E2"/>
    <w:rsid w:val="007444CE"/>
    <w:rsid w:val="007452FA"/>
    <w:rsid w:val="00746725"/>
    <w:rsid w:val="00746D40"/>
    <w:rsid w:val="0074770F"/>
    <w:rsid w:val="00747BCE"/>
    <w:rsid w:val="00750168"/>
    <w:rsid w:val="007510CF"/>
    <w:rsid w:val="007526F1"/>
    <w:rsid w:val="00753E8F"/>
    <w:rsid w:val="0075609C"/>
    <w:rsid w:val="00757846"/>
    <w:rsid w:val="00757E1F"/>
    <w:rsid w:val="007620E8"/>
    <w:rsid w:val="0076265A"/>
    <w:rsid w:val="00764FC2"/>
    <w:rsid w:val="007658B3"/>
    <w:rsid w:val="007664F6"/>
    <w:rsid w:val="00766F65"/>
    <w:rsid w:val="00776D47"/>
    <w:rsid w:val="007809E0"/>
    <w:rsid w:val="00780E1E"/>
    <w:rsid w:val="00782A42"/>
    <w:rsid w:val="0078345B"/>
    <w:rsid w:val="00783C1E"/>
    <w:rsid w:val="00786280"/>
    <w:rsid w:val="00790114"/>
    <w:rsid w:val="007902DC"/>
    <w:rsid w:val="007922D4"/>
    <w:rsid w:val="007935E2"/>
    <w:rsid w:val="007936EE"/>
    <w:rsid w:val="00794535"/>
    <w:rsid w:val="007958B8"/>
    <w:rsid w:val="00795D94"/>
    <w:rsid w:val="007961D3"/>
    <w:rsid w:val="007976E4"/>
    <w:rsid w:val="007A186C"/>
    <w:rsid w:val="007A204E"/>
    <w:rsid w:val="007A3CFC"/>
    <w:rsid w:val="007A4CC6"/>
    <w:rsid w:val="007A59B3"/>
    <w:rsid w:val="007A62AF"/>
    <w:rsid w:val="007B0045"/>
    <w:rsid w:val="007B06B7"/>
    <w:rsid w:val="007B3F45"/>
    <w:rsid w:val="007B454F"/>
    <w:rsid w:val="007B5A67"/>
    <w:rsid w:val="007B6B9F"/>
    <w:rsid w:val="007C033B"/>
    <w:rsid w:val="007C0792"/>
    <w:rsid w:val="007C23A7"/>
    <w:rsid w:val="007C2425"/>
    <w:rsid w:val="007C28DB"/>
    <w:rsid w:val="007C2F1B"/>
    <w:rsid w:val="007C5126"/>
    <w:rsid w:val="007E3625"/>
    <w:rsid w:val="007F0D94"/>
    <w:rsid w:val="007F1E98"/>
    <w:rsid w:val="007F5EF1"/>
    <w:rsid w:val="007F68CB"/>
    <w:rsid w:val="0080092E"/>
    <w:rsid w:val="008064B7"/>
    <w:rsid w:val="00807628"/>
    <w:rsid w:val="00811AAE"/>
    <w:rsid w:val="00813605"/>
    <w:rsid w:val="00815526"/>
    <w:rsid w:val="00816367"/>
    <w:rsid w:val="008164DA"/>
    <w:rsid w:val="008177B1"/>
    <w:rsid w:val="008201B3"/>
    <w:rsid w:val="00820687"/>
    <w:rsid w:val="00821169"/>
    <w:rsid w:val="00830AC3"/>
    <w:rsid w:val="00831363"/>
    <w:rsid w:val="00832939"/>
    <w:rsid w:val="00833BEF"/>
    <w:rsid w:val="00834092"/>
    <w:rsid w:val="00834C8A"/>
    <w:rsid w:val="00837387"/>
    <w:rsid w:val="00837D98"/>
    <w:rsid w:val="008421B3"/>
    <w:rsid w:val="008423EA"/>
    <w:rsid w:val="0084257B"/>
    <w:rsid w:val="008430E9"/>
    <w:rsid w:val="008464AB"/>
    <w:rsid w:val="00847D8B"/>
    <w:rsid w:val="0085013C"/>
    <w:rsid w:val="00850F10"/>
    <w:rsid w:val="00851B2F"/>
    <w:rsid w:val="00852377"/>
    <w:rsid w:val="008525B1"/>
    <w:rsid w:val="008529E2"/>
    <w:rsid w:val="008537EA"/>
    <w:rsid w:val="0085447D"/>
    <w:rsid w:val="00854C43"/>
    <w:rsid w:val="00854D7E"/>
    <w:rsid w:val="00854DFA"/>
    <w:rsid w:val="008569FB"/>
    <w:rsid w:val="00856C3E"/>
    <w:rsid w:val="00861702"/>
    <w:rsid w:val="00863BEF"/>
    <w:rsid w:val="008654D3"/>
    <w:rsid w:val="00873A37"/>
    <w:rsid w:val="008740E7"/>
    <w:rsid w:val="0087438E"/>
    <w:rsid w:val="00882647"/>
    <w:rsid w:val="008840A1"/>
    <w:rsid w:val="00886A68"/>
    <w:rsid w:val="00890CD7"/>
    <w:rsid w:val="00891892"/>
    <w:rsid w:val="008938CF"/>
    <w:rsid w:val="00893C67"/>
    <w:rsid w:val="0089509C"/>
    <w:rsid w:val="00895302"/>
    <w:rsid w:val="00896B56"/>
    <w:rsid w:val="008A1C4C"/>
    <w:rsid w:val="008A3229"/>
    <w:rsid w:val="008A339E"/>
    <w:rsid w:val="008A36A9"/>
    <w:rsid w:val="008A58F1"/>
    <w:rsid w:val="008B371A"/>
    <w:rsid w:val="008B60D9"/>
    <w:rsid w:val="008C03D1"/>
    <w:rsid w:val="008C1ACF"/>
    <w:rsid w:val="008C1FF5"/>
    <w:rsid w:val="008C3D45"/>
    <w:rsid w:val="008C44B8"/>
    <w:rsid w:val="008C4809"/>
    <w:rsid w:val="008C49ED"/>
    <w:rsid w:val="008C59DF"/>
    <w:rsid w:val="008C639C"/>
    <w:rsid w:val="008C7648"/>
    <w:rsid w:val="008C78BD"/>
    <w:rsid w:val="008D004A"/>
    <w:rsid w:val="008D4E6B"/>
    <w:rsid w:val="008E29D4"/>
    <w:rsid w:val="008E520E"/>
    <w:rsid w:val="008E5FD9"/>
    <w:rsid w:val="008E6715"/>
    <w:rsid w:val="008F0649"/>
    <w:rsid w:val="008F12F0"/>
    <w:rsid w:val="008F1B05"/>
    <w:rsid w:val="008F3A34"/>
    <w:rsid w:val="008F64CF"/>
    <w:rsid w:val="008F691D"/>
    <w:rsid w:val="00900193"/>
    <w:rsid w:val="009009EC"/>
    <w:rsid w:val="00902A72"/>
    <w:rsid w:val="0091275E"/>
    <w:rsid w:val="009165B1"/>
    <w:rsid w:val="00921EBA"/>
    <w:rsid w:val="009234BB"/>
    <w:rsid w:val="00924AC6"/>
    <w:rsid w:val="00925651"/>
    <w:rsid w:val="00925E43"/>
    <w:rsid w:val="00926D28"/>
    <w:rsid w:val="00930D24"/>
    <w:rsid w:val="00933E77"/>
    <w:rsid w:val="009368ED"/>
    <w:rsid w:val="00937E27"/>
    <w:rsid w:val="009430F5"/>
    <w:rsid w:val="00943723"/>
    <w:rsid w:val="0094413F"/>
    <w:rsid w:val="0094416A"/>
    <w:rsid w:val="00945302"/>
    <w:rsid w:val="00952BCD"/>
    <w:rsid w:val="00952BDA"/>
    <w:rsid w:val="00953AA6"/>
    <w:rsid w:val="00954411"/>
    <w:rsid w:val="00955F81"/>
    <w:rsid w:val="00956AA6"/>
    <w:rsid w:val="00957B8D"/>
    <w:rsid w:val="009620DD"/>
    <w:rsid w:val="0096344E"/>
    <w:rsid w:val="0096690D"/>
    <w:rsid w:val="009766AC"/>
    <w:rsid w:val="0097761A"/>
    <w:rsid w:val="00977B8A"/>
    <w:rsid w:val="00984423"/>
    <w:rsid w:val="00984554"/>
    <w:rsid w:val="00986D97"/>
    <w:rsid w:val="00987B82"/>
    <w:rsid w:val="00991CA2"/>
    <w:rsid w:val="00992959"/>
    <w:rsid w:val="00993AEC"/>
    <w:rsid w:val="00996BB1"/>
    <w:rsid w:val="009974FD"/>
    <w:rsid w:val="00997952"/>
    <w:rsid w:val="009A095D"/>
    <w:rsid w:val="009A1DBB"/>
    <w:rsid w:val="009A239F"/>
    <w:rsid w:val="009A38C4"/>
    <w:rsid w:val="009A4114"/>
    <w:rsid w:val="009A47E6"/>
    <w:rsid w:val="009A5243"/>
    <w:rsid w:val="009A6335"/>
    <w:rsid w:val="009A68D0"/>
    <w:rsid w:val="009A69BB"/>
    <w:rsid w:val="009B08CA"/>
    <w:rsid w:val="009B14AC"/>
    <w:rsid w:val="009B32A4"/>
    <w:rsid w:val="009B408D"/>
    <w:rsid w:val="009B7311"/>
    <w:rsid w:val="009C2842"/>
    <w:rsid w:val="009C5032"/>
    <w:rsid w:val="009C5477"/>
    <w:rsid w:val="009C69CB"/>
    <w:rsid w:val="009C7462"/>
    <w:rsid w:val="009D34C0"/>
    <w:rsid w:val="009D4F0D"/>
    <w:rsid w:val="009E0AD0"/>
    <w:rsid w:val="009E11B3"/>
    <w:rsid w:val="009E1E3B"/>
    <w:rsid w:val="009E2EF7"/>
    <w:rsid w:val="009E3C5E"/>
    <w:rsid w:val="009E4DD2"/>
    <w:rsid w:val="009E59BC"/>
    <w:rsid w:val="009E59D6"/>
    <w:rsid w:val="009E6D86"/>
    <w:rsid w:val="009E79DB"/>
    <w:rsid w:val="009F0E76"/>
    <w:rsid w:val="009F2FD1"/>
    <w:rsid w:val="009F471E"/>
    <w:rsid w:val="009F5253"/>
    <w:rsid w:val="009F54C0"/>
    <w:rsid w:val="009F5816"/>
    <w:rsid w:val="00A01DB8"/>
    <w:rsid w:val="00A0205D"/>
    <w:rsid w:val="00A0658C"/>
    <w:rsid w:val="00A06F5B"/>
    <w:rsid w:val="00A071FB"/>
    <w:rsid w:val="00A11690"/>
    <w:rsid w:val="00A11BB8"/>
    <w:rsid w:val="00A13880"/>
    <w:rsid w:val="00A15951"/>
    <w:rsid w:val="00A23F7A"/>
    <w:rsid w:val="00A24CA9"/>
    <w:rsid w:val="00A2727C"/>
    <w:rsid w:val="00A27E9E"/>
    <w:rsid w:val="00A32DB0"/>
    <w:rsid w:val="00A331A0"/>
    <w:rsid w:val="00A33724"/>
    <w:rsid w:val="00A35A6F"/>
    <w:rsid w:val="00A35D5A"/>
    <w:rsid w:val="00A36B22"/>
    <w:rsid w:val="00A36C68"/>
    <w:rsid w:val="00A3741A"/>
    <w:rsid w:val="00A37AFC"/>
    <w:rsid w:val="00A4184E"/>
    <w:rsid w:val="00A429E0"/>
    <w:rsid w:val="00A44DA0"/>
    <w:rsid w:val="00A46BEC"/>
    <w:rsid w:val="00A47873"/>
    <w:rsid w:val="00A524BD"/>
    <w:rsid w:val="00A53438"/>
    <w:rsid w:val="00A56B86"/>
    <w:rsid w:val="00A57421"/>
    <w:rsid w:val="00A603D5"/>
    <w:rsid w:val="00A6138F"/>
    <w:rsid w:val="00A61A7A"/>
    <w:rsid w:val="00A64CED"/>
    <w:rsid w:val="00A654A2"/>
    <w:rsid w:val="00A7007F"/>
    <w:rsid w:val="00A70278"/>
    <w:rsid w:val="00A70A9E"/>
    <w:rsid w:val="00A70F07"/>
    <w:rsid w:val="00A72490"/>
    <w:rsid w:val="00A735E6"/>
    <w:rsid w:val="00A73DA9"/>
    <w:rsid w:val="00A75D76"/>
    <w:rsid w:val="00A8012B"/>
    <w:rsid w:val="00A8194D"/>
    <w:rsid w:val="00A845C7"/>
    <w:rsid w:val="00A854C1"/>
    <w:rsid w:val="00A870CA"/>
    <w:rsid w:val="00A87217"/>
    <w:rsid w:val="00A90A4C"/>
    <w:rsid w:val="00A92D9B"/>
    <w:rsid w:val="00A94E6A"/>
    <w:rsid w:val="00A97A29"/>
    <w:rsid w:val="00A97A68"/>
    <w:rsid w:val="00AA0311"/>
    <w:rsid w:val="00AA0C0C"/>
    <w:rsid w:val="00AA0E96"/>
    <w:rsid w:val="00AA5C50"/>
    <w:rsid w:val="00AA79D8"/>
    <w:rsid w:val="00AB4BE6"/>
    <w:rsid w:val="00AB531F"/>
    <w:rsid w:val="00AB6656"/>
    <w:rsid w:val="00AC22BF"/>
    <w:rsid w:val="00AC2600"/>
    <w:rsid w:val="00AC4AFF"/>
    <w:rsid w:val="00AC65A1"/>
    <w:rsid w:val="00AC7AF4"/>
    <w:rsid w:val="00AE0153"/>
    <w:rsid w:val="00AE1349"/>
    <w:rsid w:val="00AE3239"/>
    <w:rsid w:val="00AE4560"/>
    <w:rsid w:val="00AE5041"/>
    <w:rsid w:val="00AE7C32"/>
    <w:rsid w:val="00AF27A9"/>
    <w:rsid w:val="00AF2CF1"/>
    <w:rsid w:val="00AF2D32"/>
    <w:rsid w:val="00AF360B"/>
    <w:rsid w:val="00AF48FB"/>
    <w:rsid w:val="00AF641C"/>
    <w:rsid w:val="00AF66E6"/>
    <w:rsid w:val="00AF7D2E"/>
    <w:rsid w:val="00B00624"/>
    <w:rsid w:val="00B015E3"/>
    <w:rsid w:val="00B13479"/>
    <w:rsid w:val="00B22A79"/>
    <w:rsid w:val="00B22D45"/>
    <w:rsid w:val="00B260AF"/>
    <w:rsid w:val="00B31398"/>
    <w:rsid w:val="00B32385"/>
    <w:rsid w:val="00B37D85"/>
    <w:rsid w:val="00B41A2D"/>
    <w:rsid w:val="00B41FA8"/>
    <w:rsid w:val="00B43E3E"/>
    <w:rsid w:val="00B44ABC"/>
    <w:rsid w:val="00B45404"/>
    <w:rsid w:val="00B45C43"/>
    <w:rsid w:val="00B46566"/>
    <w:rsid w:val="00B465D6"/>
    <w:rsid w:val="00B4770F"/>
    <w:rsid w:val="00B505E2"/>
    <w:rsid w:val="00B51BDC"/>
    <w:rsid w:val="00B539DE"/>
    <w:rsid w:val="00B53D41"/>
    <w:rsid w:val="00B55968"/>
    <w:rsid w:val="00B566D9"/>
    <w:rsid w:val="00B60E0C"/>
    <w:rsid w:val="00B61516"/>
    <w:rsid w:val="00B6161E"/>
    <w:rsid w:val="00B62657"/>
    <w:rsid w:val="00B65BA0"/>
    <w:rsid w:val="00B6659E"/>
    <w:rsid w:val="00B7406C"/>
    <w:rsid w:val="00B75517"/>
    <w:rsid w:val="00B80202"/>
    <w:rsid w:val="00B82CE2"/>
    <w:rsid w:val="00B82D7E"/>
    <w:rsid w:val="00B83BAD"/>
    <w:rsid w:val="00B84587"/>
    <w:rsid w:val="00B84903"/>
    <w:rsid w:val="00B854CC"/>
    <w:rsid w:val="00B93AD9"/>
    <w:rsid w:val="00B9700A"/>
    <w:rsid w:val="00B97CF9"/>
    <w:rsid w:val="00B97E0D"/>
    <w:rsid w:val="00BA0664"/>
    <w:rsid w:val="00BA282A"/>
    <w:rsid w:val="00BA2F5B"/>
    <w:rsid w:val="00BA4082"/>
    <w:rsid w:val="00BA4B09"/>
    <w:rsid w:val="00BA591D"/>
    <w:rsid w:val="00BB0122"/>
    <w:rsid w:val="00BB07FC"/>
    <w:rsid w:val="00BB099F"/>
    <w:rsid w:val="00BB307D"/>
    <w:rsid w:val="00BB5895"/>
    <w:rsid w:val="00BB74A5"/>
    <w:rsid w:val="00BB75AF"/>
    <w:rsid w:val="00BC195E"/>
    <w:rsid w:val="00BC261C"/>
    <w:rsid w:val="00BC34B3"/>
    <w:rsid w:val="00BC40EC"/>
    <w:rsid w:val="00BC496E"/>
    <w:rsid w:val="00BC4FA2"/>
    <w:rsid w:val="00BC5DD5"/>
    <w:rsid w:val="00BD31D0"/>
    <w:rsid w:val="00BD3764"/>
    <w:rsid w:val="00BD5387"/>
    <w:rsid w:val="00BD7ECC"/>
    <w:rsid w:val="00BE2385"/>
    <w:rsid w:val="00BE32DE"/>
    <w:rsid w:val="00BE4424"/>
    <w:rsid w:val="00BE4680"/>
    <w:rsid w:val="00BE5341"/>
    <w:rsid w:val="00BE5D13"/>
    <w:rsid w:val="00BE7C01"/>
    <w:rsid w:val="00BE7E9F"/>
    <w:rsid w:val="00BF1ADD"/>
    <w:rsid w:val="00BF2EF2"/>
    <w:rsid w:val="00BF2FC2"/>
    <w:rsid w:val="00BF381D"/>
    <w:rsid w:val="00BF3E8E"/>
    <w:rsid w:val="00BF542A"/>
    <w:rsid w:val="00BF5C75"/>
    <w:rsid w:val="00BF68EE"/>
    <w:rsid w:val="00BF69D8"/>
    <w:rsid w:val="00BF77DF"/>
    <w:rsid w:val="00BF79FE"/>
    <w:rsid w:val="00C001D3"/>
    <w:rsid w:val="00C007BA"/>
    <w:rsid w:val="00C00A9C"/>
    <w:rsid w:val="00C01BB5"/>
    <w:rsid w:val="00C048EF"/>
    <w:rsid w:val="00C063A1"/>
    <w:rsid w:val="00C07899"/>
    <w:rsid w:val="00C113F3"/>
    <w:rsid w:val="00C15011"/>
    <w:rsid w:val="00C15065"/>
    <w:rsid w:val="00C15285"/>
    <w:rsid w:val="00C213D1"/>
    <w:rsid w:val="00C2295C"/>
    <w:rsid w:val="00C2477F"/>
    <w:rsid w:val="00C30A17"/>
    <w:rsid w:val="00C31F9D"/>
    <w:rsid w:val="00C33442"/>
    <w:rsid w:val="00C35A93"/>
    <w:rsid w:val="00C40711"/>
    <w:rsid w:val="00C40C63"/>
    <w:rsid w:val="00C41427"/>
    <w:rsid w:val="00C41571"/>
    <w:rsid w:val="00C43493"/>
    <w:rsid w:val="00C44DCF"/>
    <w:rsid w:val="00C468BD"/>
    <w:rsid w:val="00C50DBF"/>
    <w:rsid w:val="00C540CC"/>
    <w:rsid w:val="00C55759"/>
    <w:rsid w:val="00C55E01"/>
    <w:rsid w:val="00C56D16"/>
    <w:rsid w:val="00C62970"/>
    <w:rsid w:val="00C727C3"/>
    <w:rsid w:val="00C748C2"/>
    <w:rsid w:val="00C74BA9"/>
    <w:rsid w:val="00C7580C"/>
    <w:rsid w:val="00C76B4F"/>
    <w:rsid w:val="00C77CF4"/>
    <w:rsid w:val="00C81DDE"/>
    <w:rsid w:val="00C83FA4"/>
    <w:rsid w:val="00C86B11"/>
    <w:rsid w:val="00C86C43"/>
    <w:rsid w:val="00C86EA7"/>
    <w:rsid w:val="00C86FB2"/>
    <w:rsid w:val="00C873D9"/>
    <w:rsid w:val="00C912FB"/>
    <w:rsid w:val="00C92BAA"/>
    <w:rsid w:val="00C93EEC"/>
    <w:rsid w:val="00C9417E"/>
    <w:rsid w:val="00C94D20"/>
    <w:rsid w:val="00C967CA"/>
    <w:rsid w:val="00C97186"/>
    <w:rsid w:val="00CA040E"/>
    <w:rsid w:val="00CA2FDE"/>
    <w:rsid w:val="00CA33EC"/>
    <w:rsid w:val="00CA429C"/>
    <w:rsid w:val="00CA62FA"/>
    <w:rsid w:val="00CA6A71"/>
    <w:rsid w:val="00CA6D27"/>
    <w:rsid w:val="00CB0403"/>
    <w:rsid w:val="00CB4711"/>
    <w:rsid w:val="00CB659D"/>
    <w:rsid w:val="00CB66E1"/>
    <w:rsid w:val="00CB7A06"/>
    <w:rsid w:val="00CB7AFB"/>
    <w:rsid w:val="00CC08C3"/>
    <w:rsid w:val="00CC0F7B"/>
    <w:rsid w:val="00CC1226"/>
    <w:rsid w:val="00CC160E"/>
    <w:rsid w:val="00CC3062"/>
    <w:rsid w:val="00CC42CC"/>
    <w:rsid w:val="00CD0F2D"/>
    <w:rsid w:val="00CD1568"/>
    <w:rsid w:val="00CD53FC"/>
    <w:rsid w:val="00CD54FB"/>
    <w:rsid w:val="00CD6895"/>
    <w:rsid w:val="00CD7BE9"/>
    <w:rsid w:val="00CD7C3C"/>
    <w:rsid w:val="00CE0083"/>
    <w:rsid w:val="00CE0435"/>
    <w:rsid w:val="00CE272B"/>
    <w:rsid w:val="00CE3301"/>
    <w:rsid w:val="00CE52B3"/>
    <w:rsid w:val="00CE56DF"/>
    <w:rsid w:val="00CE5C4D"/>
    <w:rsid w:val="00CE62AE"/>
    <w:rsid w:val="00CF0525"/>
    <w:rsid w:val="00CF2E35"/>
    <w:rsid w:val="00CF767D"/>
    <w:rsid w:val="00D01708"/>
    <w:rsid w:val="00D01D38"/>
    <w:rsid w:val="00D03B5C"/>
    <w:rsid w:val="00D05FF5"/>
    <w:rsid w:val="00D06CB1"/>
    <w:rsid w:val="00D10025"/>
    <w:rsid w:val="00D142DF"/>
    <w:rsid w:val="00D159C4"/>
    <w:rsid w:val="00D15E55"/>
    <w:rsid w:val="00D178A8"/>
    <w:rsid w:val="00D21CEF"/>
    <w:rsid w:val="00D227C1"/>
    <w:rsid w:val="00D2582C"/>
    <w:rsid w:val="00D25ADF"/>
    <w:rsid w:val="00D25D7B"/>
    <w:rsid w:val="00D27C1F"/>
    <w:rsid w:val="00D343C2"/>
    <w:rsid w:val="00D34A62"/>
    <w:rsid w:val="00D34BF2"/>
    <w:rsid w:val="00D34FD8"/>
    <w:rsid w:val="00D36967"/>
    <w:rsid w:val="00D40395"/>
    <w:rsid w:val="00D40489"/>
    <w:rsid w:val="00D40CED"/>
    <w:rsid w:val="00D40D21"/>
    <w:rsid w:val="00D40DEA"/>
    <w:rsid w:val="00D44877"/>
    <w:rsid w:val="00D44AA1"/>
    <w:rsid w:val="00D4685C"/>
    <w:rsid w:val="00D46FD6"/>
    <w:rsid w:val="00D47103"/>
    <w:rsid w:val="00D4713C"/>
    <w:rsid w:val="00D52FA8"/>
    <w:rsid w:val="00D53B11"/>
    <w:rsid w:val="00D54540"/>
    <w:rsid w:val="00D54F33"/>
    <w:rsid w:val="00D5555D"/>
    <w:rsid w:val="00D5583E"/>
    <w:rsid w:val="00D559C5"/>
    <w:rsid w:val="00D56991"/>
    <w:rsid w:val="00D5737C"/>
    <w:rsid w:val="00D57852"/>
    <w:rsid w:val="00D57A20"/>
    <w:rsid w:val="00D6175C"/>
    <w:rsid w:val="00D629F2"/>
    <w:rsid w:val="00D64536"/>
    <w:rsid w:val="00D649BC"/>
    <w:rsid w:val="00D662A0"/>
    <w:rsid w:val="00D669AA"/>
    <w:rsid w:val="00D739A9"/>
    <w:rsid w:val="00D73AEC"/>
    <w:rsid w:val="00D7474C"/>
    <w:rsid w:val="00D75FED"/>
    <w:rsid w:val="00D863D2"/>
    <w:rsid w:val="00D86C38"/>
    <w:rsid w:val="00D872DE"/>
    <w:rsid w:val="00D92359"/>
    <w:rsid w:val="00D9235C"/>
    <w:rsid w:val="00D923F3"/>
    <w:rsid w:val="00D92DBB"/>
    <w:rsid w:val="00D931AC"/>
    <w:rsid w:val="00D9428D"/>
    <w:rsid w:val="00D95D4A"/>
    <w:rsid w:val="00D96E48"/>
    <w:rsid w:val="00D972B1"/>
    <w:rsid w:val="00D97734"/>
    <w:rsid w:val="00D97F80"/>
    <w:rsid w:val="00DA01A3"/>
    <w:rsid w:val="00DA05CA"/>
    <w:rsid w:val="00DA093F"/>
    <w:rsid w:val="00DA0AC5"/>
    <w:rsid w:val="00DA5729"/>
    <w:rsid w:val="00DA67EF"/>
    <w:rsid w:val="00DA6FC7"/>
    <w:rsid w:val="00DA701D"/>
    <w:rsid w:val="00DA7AFB"/>
    <w:rsid w:val="00DA7C69"/>
    <w:rsid w:val="00DB2E6B"/>
    <w:rsid w:val="00DB3494"/>
    <w:rsid w:val="00DB4B7D"/>
    <w:rsid w:val="00DC0193"/>
    <w:rsid w:val="00DC0AE9"/>
    <w:rsid w:val="00DC257B"/>
    <w:rsid w:val="00DC2AA9"/>
    <w:rsid w:val="00DC4C41"/>
    <w:rsid w:val="00DC5A64"/>
    <w:rsid w:val="00DC645C"/>
    <w:rsid w:val="00DD0318"/>
    <w:rsid w:val="00DD0B87"/>
    <w:rsid w:val="00DD2224"/>
    <w:rsid w:val="00DD3074"/>
    <w:rsid w:val="00DD30AA"/>
    <w:rsid w:val="00DD36E6"/>
    <w:rsid w:val="00DD37AC"/>
    <w:rsid w:val="00DD4609"/>
    <w:rsid w:val="00DD7B6D"/>
    <w:rsid w:val="00DE18C3"/>
    <w:rsid w:val="00DE27E9"/>
    <w:rsid w:val="00DE7BB3"/>
    <w:rsid w:val="00DF1E8F"/>
    <w:rsid w:val="00DF3470"/>
    <w:rsid w:val="00DF3FBD"/>
    <w:rsid w:val="00E013D5"/>
    <w:rsid w:val="00E016B7"/>
    <w:rsid w:val="00E0570F"/>
    <w:rsid w:val="00E07D47"/>
    <w:rsid w:val="00E109A5"/>
    <w:rsid w:val="00E1246F"/>
    <w:rsid w:val="00E13118"/>
    <w:rsid w:val="00E13EBD"/>
    <w:rsid w:val="00E17C9F"/>
    <w:rsid w:val="00E202F4"/>
    <w:rsid w:val="00E20398"/>
    <w:rsid w:val="00E205BA"/>
    <w:rsid w:val="00E210FE"/>
    <w:rsid w:val="00E253EA"/>
    <w:rsid w:val="00E301A5"/>
    <w:rsid w:val="00E3614C"/>
    <w:rsid w:val="00E371C8"/>
    <w:rsid w:val="00E40A6C"/>
    <w:rsid w:val="00E40BF5"/>
    <w:rsid w:val="00E432F5"/>
    <w:rsid w:val="00E44E50"/>
    <w:rsid w:val="00E45366"/>
    <w:rsid w:val="00E511A0"/>
    <w:rsid w:val="00E53DD6"/>
    <w:rsid w:val="00E54DD0"/>
    <w:rsid w:val="00E55DF2"/>
    <w:rsid w:val="00E56819"/>
    <w:rsid w:val="00E570E8"/>
    <w:rsid w:val="00E5753C"/>
    <w:rsid w:val="00E6063A"/>
    <w:rsid w:val="00E65978"/>
    <w:rsid w:val="00E65B69"/>
    <w:rsid w:val="00E67A2D"/>
    <w:rsid w:val="00E749F0"/>
    <w:rsid w:val="00E75715"/>
    <w:rsid w:val="00E76BE8"/>
    <w:rsid w:val="00E82596"/>
    <w:rsid w:val="00E833E7"/>
    <w:rsid w:val="00E939A9"/>
    <w:rsid w:val="00E93E6B"/>
    <w:rsid w:val="00EA014C"/>
    <w:rsid w:val="00EA0226"/>
    <w:rsid w:val="00EA287A"/>
    <w:rsid w:val="00EA2C69"/>
    <w:rsid w:val="00EA2C7B"/>
    <w:rsid w:val="00EA330F"/>
    <w:rsid w:val="00EA3913"/>
    <w:rsid w:val="00EA492C"/>
    <w:rsid w:val="00EA546F"/>
    <w:rsid w:val="00EB2A2E"/>
    <w:rsid w:val="00EB2A90"/>
    <w:rsid w:val="00EB2CEA"/>
    <w:rsid w:val="00EB39C6"/>
    <w:rsid w:val="00EB4577"/>
    <w:rsid w:val="00EB4672"/>
    <w:rsid w:val="00EB7C38"/>
    <w:rsid w:val="00EC192C"/>
    <w:rsid w:val="00EC1D0C"/>
    <w:rsid w:val="00EC3CE3"/>
    <w:rsid w:val="00EC3F04"/>
    <w:rsid w:val="00EC4084"/>
    <w:rsid w:val="00EC6C95"/>
    <w:rsid w:val="00ED0B7F"/>
    <w:rsid w:val="00ED2ECA"/>
    <w:rsid w:val="00ED3065"/>
    <w:rsid w:val="00ED34D4"/>
    <w:rsid w:val="00ED45F2"/>
    <w:rsid w:val="00ED6BCA"/>
    <w:rsid w:val="00EE0020"/>
    <w:rsid w:val="00EE0128"/>
    <w:rsid w:val="00EE0CF4"/>
    <w:rsid w:val="00EE0FEF"/>
    <w:rsid w:val="00EE1B7B"/>
    <w:rsid w:val="00EE1C9E"/>
    <w:rsid w:val="00EE75AF"/>
    <w:rsid w:val="00EE7A56"/>
    <w:rsid w:val="00EF2E52"/>
    <w:rsid w:val="00EF3B15"/>
    <w:rsid w:val="00EF45E5"/>
    <w:rsid w:val="00EF4832"/>
    <w:rsid w:val="00EF4BC6"/>
    <w:rsid w:val="00EF6574"/>
    <w:rsid w:val="00EF69A0"/>
    <w:rsid w:val="00EF78D5"/>
    <w:rsid w:val="00EF7CD8"/>
    <w:rsid w:val="00EF7FF3"/>
    <w:rsid w:val="00F03A3A"/>
    <w:rsid w:val="00F044D3"/>
    <w:rsid w:val="00F066BF"/>
    <w:rsid w:val="00F10C04"/>
    <w:rsid w:val="00F10FEA"/>
    <w:rsid w:val="00F11255"/>
    <w:rsid w:val="00F11498"/>
    <w:rsid w:val="00F11C72"/>
    <w:rsid w:val="00F156B4"/>
    <w:rsid w:val="00F15772"/>
    <w:rsid w:val="00F2131E"/>
    <w:rsid w:val="00F22381"/>
    <w:rsid w:val="00F24F51"/>
    <w:rsid w:val="00F276D3"/>
    <w:rsid w:val="00F33841"/>
    <w:rsid w:val="00F348C4"/>
    <w:rsid w:val="00F41228"/>
    <w:rsid w:val="00F413EE"/>
    <w:rsid w:val="00F42493"/>
    <w:rsid w:val="00F44E85"/>
    <w:rsid w:val="00F4543B"/>
    <w:rsid w:val="00F46053"/>
    <w:rsid w:val="00F46CDD"/>
    <w:rsid w:val="00F470B1"/>
    <w:rsid w:val="00F470C9"/>
    <w:rsid w:val="00F506B7"/>
    <w:rsid w:val="00F5748F"/>
    <w:rsid w:val="00F6047D"/>
    <w:rsid w:val="00F6425E"/>
    <w:rsid w:val="00F651C3"/>
    <w:rsid w:val="00F66195"/>
    <w:rsid w:val="00F70596"/>
    <w:rsid w:val="00F7068F"/>
    <w:rsid w:val="00F752FE"/>
    <w:rsid w:val="00F7663E"/>
    <w:rsid w:val="00F800F8"/>
    <w:rsid w:val="00F82570"/>
    <w:rsid w:val="00F84DCA"/>
    <w:rsid w:val="00F862CB"/>
    <w:rsid w:val="00F86D96"/>
    <w:rsid w:val="00F90F96"/>
    <w:rsid w:val="00F913A7"/>
    <w:rsid w:val="00F92BED"/>
    <w:rsid w:val="00F967D5"/>
    <w:rsid w:val="00FA145B"/>
    <w:rsid w:val="00FB12F1"/>
    <w:rsid w:val="00FB1F12"/>
    <w:rsid w:val="00FB475F"/>
    <w:rsid w:val="00FB54FA"/>
    <w:rsid w:val="00FB65E5"/>
    <w:rsid w:val="00FB7A2A"/>
    <w:rsid w:val="00FC0646"/>
    <w:rsid w:val="00FC2A5D"/>
    <w:rsid w:val="00FC30C6"/>
    <w:rsid w:val="00FC39F7"/>
    <w:rsid w:val="00FC3A2C"/>
    <w:rsid w:val="00FC63C7"/>
    <w:rsid w:val="00FC7146"/>
    <w:rsid w:val="00FC76A2"/>
    <w:rsid w:val="00FD11ED"/>
    <w:rsid w:val="00FD1414"/>
    <w:rsid w:val="00FD40B4"/>
    <w:rsid w:val="00FD5F9B"/>
    <w:rsid w:val="00FE1B44"/>
    <w:rsid w:val="00FE4758"/>
    <w:rsid w:val="00FE5296"/>
    <w:rsid w:val="00FF4901"/>
    <w:rsid w:val="00FF4D46"/>
    <w:rsid w:val="00FF6B2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27914"/>
    <w:pPr>
      <w:jc w:val="both"/>
    </w:pPr>
    <w:rPr>
      <w:sz w:val="24"/>
      <w:lang w:val="en-GB" w:eastAsia="en-AU"/>
    </w:rPr>
  </w:style>
  <w:style w:type="paragraph" w:styleId="Heading1">
    <w:name w:val="heading 1"/>
    <w:basedOn w:val="Normal"/>
    <w:next w:val="Normal"/>
    <w:link w:val="Heading1Char"/>
    <w:qFormat/>
    <w:rsid w:val="00815526"/>
    <w:pPr>
      <w:keepNext/>
      <w:pBdr>
        <w:bottom w:val="single" w:sz="4" w:space="1" w:color="auto"/>
      </w:pBdr>
      <w:jc w:val="left"/>
      <w:outlineLvl w:val="0"/>
    </w:pPr>
    <w:rPr>
      <w:rFonts w:ascii="Times New Roman Bold" w:hAnsi="Times New Roman Bold"/>
      <w:b/>
      <w:sz w:val="28"/>
      <w:szCs w:val="28"/>
      <w:lang w:val="en-NZ"/>
    </w:rPr>
  </w:style>
  <w:style w:type="paragraph" w:styleId="Heading2">
    <w:name w:val="heading 2"/>
    <w:basedOn w:val="Normal"/>
    <w:next w:val="Normal"/>
    <w:link w:val="Heading2Char"/>
    <w:qFormat/>
    <w:rsid w:val="00B45C43"/>
    <w:pPr>
      <w:outlineLvl w:val="1"/>
    </w:pPr>
    <w:rPr>
      <w:b/>
    </w:rPr>
  </w:style>
  <w:style w:type="paragraph" w:styleId="Heading3">
    <w:name w:val="heading 3"/>
    <w:basedOn w:val="Normal"/>
    <w:next w:val="Normal"/>
    <w:link w:val="Heading3Char"/>
    <w:qFormat/>
    <w:rsid w:val="00B45C43"/>
    <w:pPr>
      <w:outlineLvl w:val="2"/>
    </w:pPr>
    <w:rPr>
      <w:b/>
      <w:i/>
    </w:rPr>
  </w:style>
  <w:style w:type="paragraph" w:styleId="Heading4">
    <w:name w:val="heading 4"/>
    <w:basedOn w:val="Heading3"/>
    <w:next w:val="Normal"/>
    <w:qFormat/>
    <w:rsid w:val="003E7C3D"/>
    <w:pPr>
      <w:outlineLvl w:val="3"/>
    </w:pPr>
    <w:rPr>
      <w:b w:val="0"/>
    </w:rPr>
  </w:style>
  <w:style w:type="paragraph" w:styleId="Heading5">
    <w:name w:val="heading 5"/>
    <w:basedOn w:val="Normal"/>
    <w:next w:val="Normal"/>
    <w:rsid w:val="00725975"/>
    <w:pPr>
      <w:spacing w:before="240" w:after="60"/>
      <w:outlineLvl w:val="4"/>
    </w:pPr>
    <w:rPr>
      <w:b/>
      <w:bCs/>
      <w:i/>
      <w:iCs/>
      <w:sz w:val="26"/>
      <w:szCs w:val="26"/>
    </w:rPr>
  </w:style>
  <w:style w:type="paragraph" w:styleId="Heading6">
    <w:name w:val="heading 6"/>
    <w:basedOn w:val="Normal"/>
    <w:next w:val="Normal"/>
    <w:rsid w:val="00725975"/>
    <w:pPr>
      <w:spacing w:before="240" w:after="60"/>
      <w:outlineLvl w:val="5"/>
    </w:pPr>
    <w:rPr>
      <w:b/>
      <w:bCs/>
      <w:sz w:val="22"/>
      <w:szCs w:val="22"/>
    </w:rPr>
  </w:style>
  <w:style w:type="paragraph" w:styleId="Heading7">
    <w:name w:val="heading 7"/>
    <w:basedOn w:val="Normal"/>
    <w:next w:val="Normal"/>
    <w:rsid w:val="00725975"/>
    <w:pPr>
      <w:spacing w:before="240" w:after="60"/>
      <w:outlineLvl w:val="6"/>
    </w:pPr>
    <w:rPr>
      <w:szCs w:val="24"/>
    </w:rPr>
  </w:style>
  <w:style w:type="paragraph" w:styleId="Heading8">
    <w:name w:val="heading 8"/>
    <w:basedOn w:val="Normal"/>
    <w:next w:val="Normal"/>
    <w:rsid w:val="00725975"/>
    <w:pPr>
      <w:spacing w:before="240" w:after="60"/>
      <w:outlineLvl w:val="7"/>
    </w:pPr>
    <w:rPr>
      <w:i/>
      <w:iCs/>
      <w:szCs w:val="24"/>
    </w:rPr>
  </w:style>
  <w:style w:type="paragraph" w:styleId="Heading9">
    <w:name w:val="heading 9"/>
    <w:basedOn w:val="Normal"/>
    <w:next w:val="Normal"/>
    <w:rsid w:val="0072597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25975"/>
    <w:pPr>
      <w:spacing w:before="100" w:beforeAutospacing="1" w:after="100" w:afterAutospacing="1"/>
    </w:pPr>
    <w:rPr>
      <w:rFonts w:ascii="Verdana" w:hAnsi="Verdana"/>
      <w:sz w:val="27"/>
      <w:szCs w:val="27"/>
      <w:lang w:val="en-AU"/>
    </w:rPr>
  </w:style>
  <w:style w:type="character" w:styleId="Hyperlink">
    <w:name w:val="Hyperlink"/>
    <w:basedOn w:val="DefaultParagraphFont"/>
    <w:rsid w:val="00725975"/>
    <w:rPr>
      <w:color w:val="auto"/>
    </w:rPr>
  </w:style>
  <w:style w:type="paragraph" w:styleId="FootnoteText">
    <w:name w:val="footnote text"/>
    <w:basedOn w:val="Normal"/>
    <w:semiHidden/>
    <w:rsid w:val="00725975"/>
    <w:pPr>
      <w:jc w:val="left"/>
    </w:pPr>
    <w:rPr>
      <w:rFonts w:eastAsia="MS Mincho"/>
      <w:sz w:val="18"/>
      <w:szCs w:val="18"/>
      <w:lang w:val="en-NZ" w:eastAsia="ja-JP"/>
    </w:rPr>
  </w:style>
  <w:style w:type="character" w:styleId="FootnoteReference">
    <w:name w:val="footnote reference"/>
    <w:basedOn w:val="DefaultParagraphFont"/>
    <w:semiHidden/>
    <w:rsid w:val="00725975"/>
    <w:rPr>
      <w:rFonts w:ascii="Times New Roman" w:hAnsi="Times New Roman"/>
      <w:sz w:val="18"/>
      <w:szCs w:val="18"/>
      <w:vertAlign w:val="superscript"/>
    </w:rPr>
  </w:style>
  <w:style w:type="table" w:styleId="TableGrid">
    <w:name w:val="Table Grid"/>
    <w:basedOn w:val="TableNormal"/>
    <w:rsid w:val="00725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s2">
    <w:name w:val="Bullets2"/>
    <w:qFormat/>
    <w:rsid w:val="008F12F0"/>
    <w:pPr>
      <w:numPr>
        <w:numId w:val="23"/>
      </w:numPr>
      <w:tabs>
        <w:tab w:val="left" w:pos="1985"/>
      </w:tabs>
      <w:ind w:left="1985" w:hanging="567"/>
    </w:pPr>
    <w:rPr>
      <w:sz w:val="24"/>
      <w:lang w:eastAsia="en-AU"/>
    </w:rPr>
  </w:style>
  <w:style w:type="paragraph" w:styleId="Header">
    <w:name w:val="header"/>
    <w:basedOn w:val="Normal"/>
    <w:rsid w:val="00725975"/>
    <w:pPr>
      <w:tabs>
        <w:tab w:val="center" w:pos="4153"/>
        <w:tab w:val="right" w:pos="8306"/>
      </w:tabs>
    </w:pPr>
  </w:style>
  <w:style w:type="paragraph" w:styleId="Footer">
    <w:name w:val="footer"/>
    <w:basedOn w:val="Normal"/>
    <w:rsid w:val="00725975"/>
    <w:pPr>
      <w:tabs>
        <w:tab w:val="center" w:pos="4153"/>
        <w:tab w:val="right" w:pos="8306"/>
      </w:tabs>
    </w:pPr>
  </w:style>
  <w:style w:type="character" w:styleId="PageNumber">
    <w:name w:val="page number"/>
    <w:basedOn w:val="DefaultParagraphFont"/>
    <w:rsid w:val="0003164B"/>
    <w:rPr>
      <w:sz w:val="22"/>
      <w:szCs w:val="22"/>
    </w:rPr>
  </w:style>
  <w:style w:type="paragraph" w:styleId="BalloonText">
    <w:name w:val="Balloon Text"/>
    <w:basedOn w:val="Normal"/>
    <w:semiHidden/>
    <w:rsid w:val="00725975"/>
    <w:rPr>
      <w:rFonts w:ascii="Tahoma" w:hAnsi="Tahoma" w:cs="Tahoma"/>
      <w:sz w:val="16"/>
      <w:szCs w:val="16"/>
    </w:rPr>
  </w:style>
  <w:style w:type="character" w:styleId="CommentReference">
    <w:name w:val="annotation reference"/>
    <w:basedOn w:val="DefaultParagraphFont"/>
    <w:semiHidden/>
    <w:rsid w:val="00725975"/>
    <w:rPr>
      <w:sz w:val="16"/>
      <w:szCs w:val="16"/>
    </w:rPr>
  </w:style>
  <w:style w:type="paragraph" w:styleId="CommentText">
    <w:name w:val="annotation text"/>
    <w:basedOn w:val="Normal"/>
    <w:semiHidden/>
    <w:rsid w:val="00725975"/>
  </w:style>
  <w:style w:type="paragraph" w:styleId="CommentSubject">
    <w:name w:val="annotation subject"/>
    <w:basedOn w:val="CommentText"/>
    <w:next w:val="CommentText"/>
    <w:semiHidden/>
    <w:rsid w:val="000E3A50"/>
    <w:rPr>
      <w:b/>
      <w:bCs/>
    </w:rPr>
  </w:style>
  <w:style w:type="paragraph" w:customStyle="1" w:styleId="Chapter7">
    <w:name w:val="Chapter 7"/>
    <w:link w:val="Chapter7Char"/>
    <w:rsid w:val="00ED0B7F"/>
    <w:pPr>
      <w:numPr>
        <w:numId w:val="12"/>
      </w:numPr>
      <w:tabs>
        <w:tab w:val="clear" w:pos="567"/>
        <w:tab w:val="num" w:pos="851"/>
      </w:tabs>
      <w:ind w:left="851" w:hanging="851"/>
      <w:jc w:val="both"/>
    </w:pPr>
    <w:rPr>
      <w:sz w:val="24"/>
      <w:szCs w:val="24"/>
      <w:lang w:eastAsia="en-AU"/>
    </w:rPr>
  </w:style>
  <w:style w:type="character" w:customStyle="1" w:styleId="Chapter7Char">
    <w:name w:val="Chapter 7 Char"/>
    <w:link w:val="Chapter7"/>
    <w:rsid w:val="00ED0B7F"/>
    <w:rPr>
      <w:sz w:val="24"/>
      <w:szCs w:val="24"/>
      <w:lang w:eastAsia="en-AU"/>
    </w:rPr>
  </w:style>
  <w:style w:type="paragraph" w:customStyle="1" w:styleId="Chapter8">
    <w:name w:val="Chapter 8"/>
    <w:link w:val="Chapter8Char"/>
    <w:rsid w:val="00ED0B7F"/>
    <w:pPr>
      <w:numPr>
        <w:numId w:val="14"/>
      </w:numPr>
      <w:ind w:left="851" w:hanging="851"/>
      <w:jc w:val="both"/>
    </w:pPr>
    <w:rPr>
      <w:sz w:val="24"/>
      <w:szCs w:val="24"/>
      <w:lang w:eastAsia="en-AU"/>
    </w:rPr>
  </w:style>
  <w:style w:type="character" w:customStyle="1" w:styleId="Chapter8Char">
    <w:name w:val="Chapter 8 Char"/>
    <w:basedOn w:val="DefaultParagraphFont"/>
    <w:link w:val="Chapter8"/>
    <w:rsid w:val="00ED0B7F"/>
    <w:rPr>
      <w:sz w:val="24"/>
      <w:szCs w:val="24"/>
      <w:lang w:eastAsia="en-AU"/>
    </w:rPr>
  </w:style>
  <w:style w:type="paragraph" w:customStyle="1" w:styleId="Chapter9">
    <w:name w:val="Chapter 9"/>
    <w:link w:val="Chapter9Char"/>
    <w:rsid w:val="00ED0B7F"/>
    <w:pPr>
      <w:numPr>
        <w:numId w:val="4"/>
      </w:numPr>
      <w:tabs>
        <w:tab w:val="clear" w:pos="567"/>
        <w:tab w:val="num" w:pos="851"/>
      </w:tabs>
      <w:ind w:left="851" w:hanging="851"/>
      <w:jc w:val="both"/>
    </w:pPr>
    <w:rPr>
      <w:sz w:val="24"/>
      <w:szCs w:val="24"/>
      <w:lang w:eastAsia="en-AU"/>
    </w:rPr>
  </w:style>
  <w:style w:type="character" w:customStyle="1" w:styleId="Chapter9Char">
    <w:name w:val="Chapter 9 Char"/>
    <w:basedOn w:val="DefaultParagraphFont"/>
    <w:link w:val="Chapter9"/>
    <w:rsid w:val="00ED0B7F"/>
    <w:rPr>
      <w:sz w:val="24"/>
      <w:szCs w:val="24"/>
      <w:lang w:eastAsia="en-AU"/>
    </w:rPr>
  </w:style>
  <w:style w:type="paragraph" w:customStyle="1" w:styleId="Chapter10">
    <w:name w:val="Chapter10"/>
    <w:basedOn w:val="Normal"/>
    <w:rsid w:val="00311DBB"/>
    <w:pPr>
      <w:numPr>
        <w:numId w:val="1"/>
      </w:numPr>
      <w:ind w:left="851" w:hanging="851"/>
    </w:pPr>
  </w:style>
  <w:style w:type="paragraph" w:customStyle="1" w:styleId="Chapter11">
    <w:name w:val="Chapter11"/>
    <w:basedOn w:val="Normal"/>
    <w:rsid w:val="00C97186"/>
    <w:pPr>
      <w:numPr>
        <w:numId w:val="15"/>
      </w:numPr>
      <w:ind w:left="851" w:hanging="851"/>
    </w:pPr>
    <w:rPr>
      <w:szCs w:val="24"/>
      <w:lang w:val="en-AU"/>
    </w:rPr>
  </w:style>
  <w:style w:type="paragraph" w:styleId="DocumentMap">
    <w:name w:val="Document Map"/>
    <w:basedOn w:val="Normal"/>
    <w:semiHidden/>
    <w:rsid w:val="00CB7A06"/>
    <w:pPr>
      <w:shd w:val="clear" w:color="auto" w:fill="000080"/>
    </w:pPr>
    <w:rPr>
      <w:rFonts w:ascii="Tahoma" w:hAnsi="Tahoma" w:cs="Tahoma"/>
      <w:sz w:val="20"/>
    </w:rPr>
  </w:style>
  <w:style w:type="paragraph" w:customStyle="1" w:styleId="Chapter1">
    <w:name w:val="Chapter 1"/>
    <w:link w:val="Chapter1Char1"/>
    <w:qFormat/>
    <w:rsid w:val="006F02AD"/>
    <w:pPr>
      <w:numPr>
        <w:numId w:val="3"/>
      </w:numPr>
      <w:jc w:val="both"/>
    </w:pPr>
    <w:rPr>
      <w:sz w:val="24"/>
      <w:lang w:eastAsia="en-AU"/>
    </w:rPr>
  </w:style>
  <w:style w:type="paragraph" w:customStyle="1" w:styleId="Chapter100">
    <w:name w:val="Chapter 10"/>
    <w:basedOn w:val="Chapter9"/>
    <w:rsid w:val="00725975"/>
    <w:pPr>
      <w:numPr>
        <w:numId w:val="5"/>
      </w:numPr>
      <w:tabs>
        <w:tab w:val="clear" w:pos="567"/>
        <w:tab w:val="num" w:pos="851"/>
      </w:tabs>
      <w:ind w:left="851" w:hanging="851"/>
    </w:pPr>
  </w:style>
  <w:style w:type="paragraph" w:customStyle="1" w:styleId="Chapter2">
    <w:name w:val="Chapter 2"/>
    <w:link w:val="Chapter2Char"/>
    <w:qFormat/>
    <w:rsid w:val="000852A1"/>
    <w:pPr>
      <w:numPr>
        <w:numId w:val="6"/>
      </w:numPr>
      <w:jc w:val="both"/>
    </w:pPr>
    <w:rPr>
      <w:snapToGrid w:val="0"/>
      <w:sz w:val="24"/>
      <w:lang w:eastAsia="en-US"/>
    </w:rPr>
  </w:style>
  <w:style w:type="paragraph" w:customStyle="1" w:styleId="Chapter3">
    <w:name w:val="Chapter 3"/>
    <w:link w:val="Chapter3Char1"/>
    <w:qFormat/>
    <w:rsid w:val="000852A1"/>
    <w:pPr>
      <w:numPr>
        <w:numId w:val="7"/>
      </w:numPr>
      <w:jc w:val="both"/>
    </w:pPr>
    <w:rPr>
      <w:snapToGrid w:val="0"/>
      <w:sz w:val="24"/>
      <w:lang w:eastAsia="en-US"/>
    </w:rPr>
  </w:style>
  <w:style w:type="paragraph" w:customStyle="1" w:styleId="Chapter4">
    <w:name w:val="Chapter 4"/>
    <w:qFormat/>
    <w:rsid w:val="000852A1"/>
    <w:pPr>
      <w:numPr>
        <w:numId w:val="8"/>
      </w:numPr>
      <w:jc w:val="both"/>
    </w:pPr>
    <w:rPr>
      <w:sz w:val="24"/>
      <w:lang w:eastAsia="en-AU"/>
    </w:rPr>
  </w:style>
  <w:style w:type="paragraph" w:customStyle="1" w:styleId="Chapter5">
    <w:name w:val="Chapter 5"/>
    <w:link w:val="Chapter5Char"/>
    <w:rsid w:val="000852A1"/>
    <w:pPr>
      <w:numPr>
        <w:numId w:val="9"/>
      </w:numPr>
      <w:jc w:val="both"/>
    </w:pPr>
    <w:rPr>
      <w:sz w:val="24"/>
      <w:lang w:eastAsia="en-AU"/>
    </w:rPr>
  </w:style>
  <w:style w:type="paragraph" w:customStyle="1" w:styleId="Chapter6">
    <w:name w:val="Chapter 6"/>
    <w:link w:val="Chapter6Char"/>
    <w:rsid w:val="00ED0B7F"/>
    <w:pPr>
      <w:numPr>
        <w:numId w:val="10"/>
      </w:numPr>
      <w:jc w:val="both"/>
    </w:pPr>
    <w:rPr>
      <w:sz w:val="24"/>
      <w:lang w:eastAsia="en-AU"/>
    </w:rPr>
  </w:style>
  <w:style w:type="paragraph" w:customStyle="1" w:styleId="PartHeading">
    <w:name w:val="Part Heading"/>
    <w:basedOn w:val="Normal"/>
    <w:rsid w:val="00725975"/>
    <w:pPr>
      <w:pBdr>
        <w:top w:val="single" w:sz="4" w:space="10" w:color="auto"/>
        <w:bottom w:val="single" w:sz="4" w:space="10" w:color="auto"/>
      </w:pBdr>
      <w:jc w:val="center"/>
    </w:pPr>
    <w:rPr>
      <w:sz w:val="52"/>
      <w:szCs w:val="52"/>
    </w:rPr>
  </w:style>
  <w:style w:type="paragraph" w:styleId="Quote">
    <w:name w:val="Quote"/>
    <w:qFormat/>
    <w:rsid w:val="008F12F0"/>
    <w:pPr>
      <w:ind w:left="1418" w:right="567"/>
      <w:jc w:val="both"/>
    </w:pPr>
    <w:rPr>
      <w:sz w:val="22"/>
      <w:szCs w:val="22"/>
      <w:lang w:eastAsia="en-AU"/>
    </w:rPr>
  </w:style>
  <w:style w:type="paragraph" w:styleId="TOC1">
    <w:name w:val="toc 1"/>
    <w:basedOn w:val="Normal"/>
    <w:next w:val="Normal"/>
    <w:autoRedefine/>
    <w:uiPriority w:val="39"/>
    <w:rsid w:val="002048AD"/>
    <w:pPr>
      <w:tabs>
        <w:tab w:val="left" w:pos="567"/>
        <w:tab w:val="right" w:pos="8296"/>
      </w:tabs>
      <w:spacing w:before="240" w:after="240"/>
      <w:ind w:left="567" w:hanging="567"/>
      <w:jc w:val="left"/>
    </w:pPr>
    <w:rPr>
      <w:rFonts w:ascii="Times New Roman Bold" w:hAnsi="Times New Roman Bold"/>
      <w:b/>
      <w:noProof/>
      <w:szCs w:val="24"/>
      <w:lang w:val="en-NZ"/>
    </w:rPr>
  </w:style>
  <w:style w:type="paragraph" w:styleId="TOC2">
    <w:name w:val="toc 2"/>
    <w:basedOn w:val="Normal"/>
    <w:next w:val="Normal"/>
    <w:autoRedefine/>
    <w:uiPriority w:val="39"/>
    <w:rsid w:val="002048AD"/>
    <w:pPr>
      <w:tabs>
        <w:tab w:val="left" w:pos="567"/>
        <w:tab w:val="right" w:pos="8301"/>
      </w:tabs>
      <w:spacing w:before="40" w:after="40"/>
      <w:ind w:left="567"/>
      <w:jc w:val="left"/>
    </w:pPr>
    <w:rPr>
      <w:sz w:val="22"/>
      <w:szCs w:val="24"/>
      <w:lang w:val="en-NZ"/>
    </w:rPr>
  </w:style>
  <w:style w:type="paragraph" w:styleId="TOC3">
    <w:name w:val="toc 3"/>
    <w:basedOn w:val="Normal"/>
    <w:next w:val="Normal"/>
    <w:autoRedefine/>
    <w:uiPriority w:val="39"/>
    <w:rsid w:val="002048AD"/>
    <w:pPr>
      <w:tabs>
        <w:tab w:val="right" w:pos="8302"/>
      </w:tabs>
      <w:spacing w:before="20" w:after="20"/>
      <w:ind w:left="1134"/>
    </w:pPr>
    <w:rPr>
      <w:sz w:val="20"/>
      <w:szCs w:val="22"/>
      <w:lang w:val="en-NZ"/>
    </w:rPr>
  </w:style>
  <w:style w:type="numbering" w:customStyle="1" w:styleId="StyleBulletedWingdingssymbol">
    <w:name w:val="Style Bulleted Wingdings (symbol)"/>
    <w:basedOn w:val="NoList"/>
    <w:rsid w:val="00311DBB"/>
    <w:pPr>
      <w:numPr>
        <w:numId w:val="16"/>
      </w:numPr>
    </w:pPr>
  </w:style>
  <w:style w:type="paragraph" w:customStyle="1" w:styleId="Bullets">
    <w:name w:val="Bullets"/>
    <w:basedOn w:val="Normal"/>
    <w:link w:val="BulletsChar"/>
    <w:qFormat/>
    <w:rsid w:val="008F12F0"/>
    <w:pPr>
      <w:numPr>
        <w:numId w:val="2"/>
      </w:numPr>
      <w:tabs>
        <w:tab w:val="left" w:pos="1418"/>
      </w:tabs>
      <w:spacing w:after="140"/>
    </w:pPr>
    <w:rPr>
      <w:lang w:val="en-NZ"/>
    </w:rPr>
  </w:style>
  <w:style w:type="paragraph" w:styleId="TOC4">
    <w:name w:val="toc 4"/>
    <w:basedOn w:val="Normal"/>
    <w:next w:val="Normal"/>
    <w:autoRedefine/>
    <w:semiHidden/>
    <w:rsid w:val="00642F45"/>
    <w:pPr>
      <w:ind w:left="720"/>
      <w:jc w:val="left"/>
    </w:pPr>
    <w:rPr>
      <w:szCs w:val="24"/>
      <w:lang w:val="en-AU"/>
    </w:rPr>
  </w:style>
  <w:style w:type="paragraph" w:styleId="TOC5">
    <w:name w:val="toc 5"/>
    <w:basedOn w:val="Normal"/>
    <w:next w:val="Normal"/>
    <w:autoRedefine/>
    <w:semiHidden/>
    <w:rsid w:val="00642F45"/>
    <w:pPr>
      <w:ind w:left="960"/>
      <w:jc w:val="left"/>
    </w:pPr>
    <w:rPr>
      <w:szCs w:val="24"/>
      <w:lang w:val="en-AU"/>
    </w:rPr>
  </w:style>
  <w:style w:type="paragraph" w:styleId="TOC6">
    <w:name w:val="toc 6"/>
    <w:basedOn w:val="Normal"/>
    <w:next w:val="Normal"/>
    <w:autoRedefine/>
    <w:semiHidden/>
    <w:rsid w:val="00642F45"/>
    <w:pPr>
      <w:ind w:left="1200"/>
      <w:jc w:val="left"/>
    </w:pPr>
    <w:rPr>
      <w:szCs w:val="24"/>
      <w:lang w:val="en-AU"/>
    </w:rPr>
  </w:style>
  <w:style w:type="paragraph" w:styleId="TOC7">
    <w:name w:val="toc 7"/>
    <w:basedOn w:val="Normal"/>
    <w:next w:val="Normal"/>
    <w:autoRedefine/>
    <w:semiHidden/>
    <w:rsid w:val="00642F45"/>
    <w:pPr>
      <w:ind w:left="1440"/>
      <w:jc w:val="left"/>
    </w:pPr>
    <w:rPr>
      <w:szCs w:val="24"/>
      <w:lang w:val="en-AU"/>
    </w:rPr>
  </w:style>
  <w:style w:type="paragraph" w:styleId="TOC8">
    <w:name w:val="toc 8"/>
    <w:basedOn w:val="Normal"/>
    <w:next w:val="Normal"/>
    <w:autoRedefine/>
    <w:semiHidden/>
    <w:rsid w:val="00642F45"/>
    <w:pPr>
      <w:ind w:left="1680"/>
      <w:jc w:val="left"/>
    </w:pPr>
    <w:rPr>
      <w:szCs w:val="24"/>
      <w:lang w:val="en-AU"/>
    </w:rPr>
  </w:style>
  <w:style w:type="paragraph" w:styleId="TOC9">
    <w:name w:val="toc 9"/>
    <w:basedOn w:val="Normal"/>
    <w:next w:val="Normal"/>
    <w:autoRedefine/>
    <w:semiHidden/>
    <w:rsid w:val="00642F45"/>
    <w:pPr>
      <w:ind w:left="1920"/>
      <w:jc w:val="left"/>
    </w:pPr>
    <w:rPr>
      <w:szCs w:val="24"/>
      <w:lang w:val="en-AU"/>
    </w:rPr>
  </w:style>
  <w:style w:type="character" w:customStyle="1" w:styleId="Chapter1Char1">
    <w:name w:val="Chapter 1 Char1"/>
    <w:basedOn w:val="DefaultParagraphFont"/>
    <w:link w:val="Chapter1"/>
    <w:rsid w:val="006F02AD"/>
    <w:rPr>
      <w:sz w:val="24"/>
      <w:lang w:eastAsia="en-AU"/>
    </w:rPr>
  </w:style>
  <w:style w:type="character" w:customStyle="1" w:styleId="Chapter2Char">
    <w:name w:val="Chapter 2 Char"/>
    <w:basedOn w:val="Chapter1Char1"/>
    <w:link w:val="Chapter2"/>
    <w:rsid w:val="000852A1"/>
    <w:rPr>
      <w:snapToGrid w:val="0"/>
      <w:sz w:val="24"/>
      <w:lang w:val="en-NZ" w:eastAsia="en-US" w:bidi="ar-SA"/>
    </w:rPr>
  </w:style>
  <w:style w:type="character" w:customStyle="1" w:styleId="Chapter3Char1">
    <w:name w:val="Chapter 3 Char1"/>
    <w:basedOn w:val="Chapter2Char"/>
    <w:link w:val="Chapter3"/>
    <w:rsid w:val="000852A1"/>
    <w:rPr>
      <w:snapToGrid w:val="0"/>
      <w:sz w:val="24"/>
      <w:lang w:val="en-NZ" w:eastAsia="en-US" w:bidi="ar-SA"/>
    </w:rPr>
  </w:style>
  <w:style w:type="character" w:customStyle="1" w:styleId="Chapter5Char">
    <w:name w:val="Chapter 5 Char"/>
    <w:basedOn w:val="Chapter1Char1"/>
    <w:link w:val="Chapter5"/>
    <w:rsid w:val="000852A1"/>
    <w:rPr>
      <w:sz w:val="24"/>
      <w:lang w:val="en-NZ" w:eastAsia="en-AU" w:bidi="ar-SA"/>
    </w:rPr>
  </w:style>
  <w:style w:type="character" w:customStyle="1" w:styleId="Chapter6Char">
    <w:name w:val="Chapter 6 Char"/>
    <w:basedOn w:val="DefaultParagraphFont"/>
    <w:link w:val="Chapter6"/>
    <w:rsid w:val="00ED0B7F"/>
    <w:rPr>
      <w:sz w:val="24"/>
      <w:lang w:eastAsia="en-AU"/>
    </w:rPr>
  </w:style>
  <w:style w:type="character" w:customStyle="1" w:styleId="Heading1Char">
    <w:name w:val="Heading 1 Char"/>
    <w:basedOn w:val="DefaultParagraphFont"/>
    <w:link w:val="Heading1"/>
    <w:rsid w:val="00815526"/>
    <w:rPr>
      <w:rFonts w:ascii="Times New Roman Bold" w:hAnsi="Times New Roman Bold"/>
      <w:b/>
      <w:sz w:val="28"/>
      <w:szCs w:val="28"/>
      <w:lang w:eastAsia="en-AU"/>
    </w:rPr>
  </w:style>
  <w:style w:type="character" w:customStyle="1" w:styleId="Heading2Char">
    <w:name w:val="Heading 2 Char"/>
    <w:basedOn w:val="DefaultParagraphFont"/>
    <w:link w:val="Heading2"/>
    <w:rsid w:val="00B45C43"/>
    <w:rPr>
      <w:b/>
      <w:sz w:val="24"/>
      <w:lang w:val="en-GB" w:eastAsia="en-AU"/>
    </w:rPr>
  </w:style>
  <w:style w:type="paragraph" w:customStyle="1" w:styleId="Chapterheading">
    <w:name w:val="Chapter heading"/>
    <w:basedOn w:val="Normal"/>
    <w:link w:val="ChapterheadingChar1"/>
    <w:qFormat/>
    <w:rsid w:val="00ED0B7F"/>
    <w:pPr>
      <w:jc w:val="center"/>
    </w:pPr>
    <w:rPr>
      <w:rFonts w:ascii="Times New Roman Bold" w:hAnsi="Times New Roman Bold"/>
      <w:b/>
      <w:bCs/>
      <w:caps/>
      <w:sz w:val="28"/>
      <w:szCs w:val="28"/>
      <w:lang w:val="en-NZ"/>
    </w:rPr>
  </w:style>
  <w:style w:type="character" w:customStyle="1" w:styleId="BulletsChar">
    <w:name w:val="Bullets Char"/>
    <w:basedOn w:val="DefaultParagraphFont"/>
    <w:link w:val="Bullets"/>
    <w:rsid w:val="008F12F0"/>
    <w:rPr>
      <w:sz w:val="24"/>
      <w:lang w:eastAsia="en-AU"/>
    </w:rPr>
  </w:style>
  <w:style w:type="character" w:customStyle="1" w:styleId="Heading3Char">
    <w:name w:val="Heading 3 Char"/>
    <w:basedOn w:val="DefaultParagraphFont"/>
    <w:link w:val="Heading3"/>
    <w:rsid w:val="00B45C43"/>
    <w:rPr>
      <w:b/>
      <w:i/>
      <w:sz w:val="24"/>
      <w:lang w:val="en-GB" w:eastAsia="en-AU"/>
    </w:rPr>
  </w:style>
  <w:style w:type="character" w:customStyle="1" w:styleId="ChapterheadingChar1">
    <w:name w:val="Chapter heading Char1"/>
    <w:basedOn w:val="DefaultParagraphFont"/>
    <w:link w:val="Chapterheading"/>
    <w:rsid w:val="00ED0B7F"/>
    <w:rPr>
      <w:rFonts w:ascii="Times New Roman Bold" w:hAnsi="Times New Roman Bold"/>
      <w:b/>
      <w:bCs/>
      <w:caps/>
      <w:sz w:val="28"/>
      <w:szCs w:val="2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27914"/>
    <w:pPr>
      <w:jc w:val="both"/>
    </w:pPr>
    <w:rPr>
      <w:sz w:val="24"/>
      <w:lang w:val="en-GB" w:eastAsia="en-AU"/>
    </w:rPr>
  </w:style>
  <w:style w:type="paragraph" w:styleId="Heading1">
    <w:name w:val="heading 1"/>
    <w:basedOn w:val="Normal"/>
    <w:next w:val="Normal"/>
    <w:link w:val="Heading1Char"/>
    <w:qFormat/>
    <w:rsid w:val="00815526"/>
    <w:pPr>
      <w:keepNext/>
      <w:pBdr>
        <w:bottom w:val="single" w:sz="4" w:space="1" w:color="auto"/>
      </w:pBdr>
      <w:jc w:val="left"/>
      <w:outlineLvl w:val="0"/>
    </w:pPr>
    <w:rPr>
      <w:rFonts w:ascii="Times New Roman Bold" w:hAnsi="Times New Roman Bold"/>
      <w:b/>
      <w:sz w:val="28"/>
      <w:szCs w:val="28"/>
      <w:lang w:val="en-NZ"/>
    </w:rPr>
  </w:style>
  <w:style w:type="paragraph" w:styleId="Heading2">
    <w:name w:val="heading 2"/>
    <w:basedOn w:val="Normal"/>
    <w:next w:val="Normal"/>
    <w:link w:val="Heading2Char"/>
    <w:qFormat/>
    <w:rsid w:val="00B45C43"/>
    <w:pPr>
      <w:outlineLvl w:val="1"/>
    </w:pPr>
    <w:rPr>
      <w:b/>
    </w:rPr>
  </w:style>
  <w:style w:type="paragraph" w:styleId="Heading3">
    <w:name w:val="heading 3"/>
    <w:basedOn w:val="Normal"/>
    <w:next w:val="Normal"/>
    <w:link w:val="Heading3Char"/>
    <w:qFormat/>
    <w:rsid w:val="00B45C43"/>
    <w:pPr>
      <w:outlineLvl w:val="2"/>
    </w:pPr>
    <w:rPr>
      <w:b/>
      <w:i/>
    </w:rPr>
  </w:style>
  <w:style w:type="paragraph" w:styleId="Heading4">
    <w:name w:val="heading 4"/>
    <w:basedOn w:val="Heading3"/>
    <w:next w:val="Normal"/>
    <w:qFormat/>
    <w:rsid w:val="003E7C3D"/>
    <w:pPr>
      <w:outlineLvl w:val="3"/>
    </w:pPr>
    <w:rPr>
      <w:b w:val="0"/>
    </w:rPr>
  </w:style>
  <w:style w:type="paragraph" w:styleId="Heading5">
    <w:name w:val="heading 5"/>
    <w:basedOn w:val="Normal"/>
    <w:next w:val="Normal"/>
    <w:rsid w:val="00725975"/>
    <w:pPr>
      <w:spacing w:before="240" w:after="60"/>
      <w:outlineLvl w:val="4"/>
    </w:pPr>
    <w:rPr>
      <w:b/>
      <w:bCs/>
      <w:i/>
      <w:iCs/>
      <w:sz w:val="26"/>
      <w:szCs w:val="26"/>
    </w:rPr>
  </w:style>
  <w:style w:type="paragraph" w:styleId="Heading6">
    <w:name w:val="heading 6"/>
    <w:basedOn w:val="Normal"/>
    <w:next w:val="Normal"/>
    <w:rsid w:val="00725975"/>
    <w:pPr>
      <w:spacing w:before="240" w:after="60"/>
      <w:outlineLvl w:val="5"/>
    </w:pPr>
    <w:rPr>
      <w:b/>
      <w:bCs/>
      <w:sz w:val="22"/>
      <w:szCs w:val="22"/>
    </w:rPr>
  </w:style>
  <w:style w:type="paragraph" w:styleId="Heading7">
    <w:name w:val="heading 7"/>
    <w:basedOn w:val="Normal"/>
    <w:next w:val="Normal"/>
    <w:rsid w:val="00725975"/>
    <w:pPr>
      <w:spacing w:before="240" w:after="60"/>
      <w:outlineLvl w:val="6"/>
    </w:pPr>
    <w:rPr>
      <w:szCs w:val="24"/>
    </w:rPr>
  </w:style>
  <w:style w:type="paragraph" w:styleId="Heading8">
    <w:name w:val="heading 8"/>
    <w:basedOn w:val="Normal"/>
    <w:next w:val="Normal"/>
    <w:rsid w:val="00725975"/>
    <w:pPr>
      <w:spacing w:before="240" w:after="60"/>
      <w:outlineLvl w:val="7"/>
    </w:pPr>
    <w:rPr>
      <w:i/>
      <w:iCs/>
      <w:szCs w:val="24"/>
    </w:rPr>
  </w:style>
  <w:style w:type="paragraph" w:styleId="Heading9">
    <w:name w:val="heading 9"/>
    <w:basedOn w:val="Normal"/>
    <w:next w:val="Normal"/>
    <w:rsid w:val="0072597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25975"/>
    <w:pPr>
      <w:spacing w:before="100" w:beforeAutospacing="1" w:after="100" w:afterAutospacing="1"/>
    </w:pPr>
    <w:rPr>
      <w:rFonts w:ascii="Verdana" w:hAnsi="Verdana"/>
      <w:sz w:val="27"/>
      <w:szCs w:val="27"/>
      <w:lang w:val="en-AU"/>
    </w:rPr>
  </w:style>
  <w:style w:type="character" w:styleId="Hyperlink">
    <w:name w:val="Hyperlink"/>
    <w:basedOn w:val="DefaultParagraphFont"/>
    <w:rsid w:val="00725975"/>
    <w:rPr>
      <w:color w:val="auto"/>
    </w:rPr>
  </w:style>
  <w:style w:type="paragraph" w:styleId="FootnoteText">
    <w:name w:val="footnote text"/>
    <w:basedOn w:val="Normal"/>
    <w:semiHidden/>
    <w:rsid w:val="00725975"/>
    <w:pPr>
      <w:jc w:val="left"/>
    </w:pPr>
    <w:rPr>
      <w:rFonts w:eastAsia="MS Mincho"/>
      <w:sz w:val="18"/>
      <w:szCs w:val="18"/>
      <w:lang w:val="en-NZ" w:eastAsia="ja-JP"/>
    </w:rPr>
  </w:style>
  <w:style w:type="character" w:styleId="FootnoteReference">
    <w:name w:val="footnote reference"/>
    <w:basedOn w:val="DefaultParagraphFont"/>
    <w:semiHidden/>
    <w:rsid w:val="00725975"/>
    <w:rPr>
      <w:rFonts w:ascii="Times New Roman" w:hAnsi="Times New Roman"/>
      <w:sz w:val="18"/>
      <w:szCs w:val="18"/>
      <w:vertAlign w:val="superscript"/>
    </w:rPr>
  </w:style>
  <w:style w:type="table" w:styleId="TableGrid">
    <w:name w:val="Table Grid"/>
    <w:basedOn w:val="TableNormal"/>
    <w:rsid w:val="00725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s2">
    <w:name w:val="Bullets2"/>
    <w:qFormat/>
    <w:rsid w:val="008F12F0"/>
    <w:pPr>
      <w:numPr>
        <w:numId w:val="23"/>
      </w:numPr>
      <w:tabs>
        <w:tab w:val="left" w:pos="1985"/>
      </w:tabs>
      <w:ind w:left="1985" w:hanging="567"/>
    </w:pPr>
    <w:rPr>
      <w:sz w:val="24"/>
      <w:lang w:eastAsia="en-AU"/>
    </w:rPr>
  </w:style>
  <w:style w:type="paragraph" w:styleId="Header">
    <w:name w:val="header"/>
    <w:basedOn w:val="Normal"/>
    <w:rsid w:val="00725975"/>
    <w:pPr>
      <w:tabs>
        <w:tab w:val="center" w:pos="4153"/>
        <w:tab w:val="right" w:pos="8306"/>
      </w:tabs>
    </w:pPr>
  </w:style>
  <w:style w:type="paragraph" w:styleId="Footer">
    <w:name w:val="footer"/>
    <w:basedOn w:val="Normal"/>
    <w:rsid w:val="00725975"/>
    <w:pPr>
      <w:tabs>
        <w:tab w:val="center" w:pos="4153"/>
        <w:tab w:val="right" w:pos="8306"/>
      </w:tabs>
    </w:pPr>
  </w:style>
  <w:style w:type="character" w:styleId="PageNumber">
    <w:name w:val="page number"/>
    <w:basedOn w:val="DefaultParagraphFont"/>
    <w:rsid w:val="0003164B"/>
    <w:rPr>
      <w:sz w:val="22"/>
      <w:szCs w:val="22"/>
    </w:rPr>
  </w:style>
  <w:style w:type="paragraph" w:styleId="BalloonText">
    <w:name w:val="Balloon Text"/>
    <w:basedOn w:val="Normal"/>
    <w:semiHidden/>
    <w:rsid w:val="00725975"/>
    <w:rPr>
      <w:rFonts w:ascii="Tahoma" w:hAnsi="Tahoma" w:cs="Tahoma"/>
      <w:sz w:val="16"/>
      <w:szCs w:val="16"/>
    </w:rPr>
  </w:style>
  <w:style w:type="character" w:styleId="CommentReference">
    <w:name w:val="annotation reference"/>
    <w:basedOn w:val="DefaultParagraphFont"/>
    <w:semiHidden/>
    <w:rsid w:val="00725975"/>
    <w:rPr>
      <w:sz w:val="16"/>
      <w:szCs w:val="16"/>
    </w:rPr>
  </w:style>
  <w:style w:type="paragraph" w:styleId="CommentText">
    <w:name w:val="annotation text"/>
    <w:basedOn w:val="Normal"/>
    <w:semiHidden/>
    <w:rsid w:val="00725975"/>
  </w:style>
  <w:style w:type="paragraph" w:styleId="CommentSubject">
    <w:name w:val="annotation subject"/>
    <w:basedOn w:val="CommentText"/>
    <w:next w:val="CommentText"/>
    <w:semiHidden/>
    <w:rsid w:val="000E3A50"/>
    <w:rPr>
      <w:b/>
      <w:bCs/>
    </w:rPr>
  </w:style>
  <w:style w:type="paragraph" w:customStyle="1" w:styleId="Chapter7">
    <w:name w:val="Chapter 7"/>
    <w:link w:val="Chapter7Char"/>
    <w:rsid w:val="00ED0B7F"/>
    <w:pPr>
      <w:numPr>
        <w:numId w:val="12"/>
      </w:numPr>
      <w:tabs>
        <w:tab w:val="clear" w:pos="567"/>
        <w:tab w:val="num" w:pos="851"/>
      </w:tabs>
      <w:ind w:left="851" w:hanging="851"/>
      <w:jc w:val="both"/>
    </w:pPr>
    <w:rPr>
      <w:sz w:val="24"/>
      <w:szCs w:val="24"/>
      <w:lang w:eastAsia="en-AU"/>
    </w:rPr>
  </w:style>
  <w:style w:type="character" w:customStyle="1" w:styleId="Chapter7Char">
    <w:name w:val="Chapter 7 Char"/>
    <w:link w:val="Chapter7"/>
    <w:rsid w:val="00ED0B7F"/>
    <w:rPr>
      <w:sz w:val="24"/>
      <w:szCs w:val="24"/>
      <w:lang w:eastAsia="en-AU"/>
    </w:rPr>
  </w:style>
  <w:style w:type="paragraph" w:customStyle="1" w:styleId="Chapter8">
    <w:name w:val="Chapter 8"/>
    <w:link w:val="Chapter8Char"/>
    <w:rsid w:val="00ED0B7F"/>
    <w:pPr>
      <w:numPr>
        <w:numId w:val="14"/>
      </w:numPr>
      <w:ind w:left="851" w:hanging="851"/>
      <w:jc w:val="both"/>
    </w:pPr>
    <w:rPr>
      <w:sz w:val="24"/>
      <w:szCs w:val="24"/>
      <w:lang w:eastAsia="en-AU"/>
    </w:rPr>
  </w:style>
  <w:style w:type="character" w:customStyle="1" w:styleId="Chapter8Char">
    <w:name w:val="Chapter 8 Char"/>
    <w:basedOn w:val="DefaultParagraphFont"/>
    <w:link w:val="Chapter8"/>
    <w:rsid w:val="00ED0B7F"/>
    <w:rPr>
      <w:sz w:val="24"/>
      <w:szCs w:val="24"/>
      <w:lang w:eastAsia="en-AU"/>
    </w:rPr>
  </w:style>
  <w:style w:type="paragraph" w:customStyle="1" w:styleId="Chapter9">
    <w:name w:val="Chapter 9"/>
    <w:link w:val="Chapter9Char"/>
    <w:rsid w:val="00ED0B7F"/>
    <w:pPr>
      <w:numPr>
        <w:numId w:val="4"/>
      </w:numPr>
      <w:tabs>
        <w:tab w:val="clear" w:pos="567"/>
        <w:tab w:val="num" w:pos="851"/>
      </w:tabs>
      <w:ind w:left="851" w:hanging="851"/>
      <w:jc w:val="both"/>
    </w:pPr>
    <w:rPr>
      <w:sz w:val="24"/>
      <w:szCs w:val="24"/>
      <w:lang w:eastAsia="en-AU"/>
    </w:rPr>
  </w:style>
  <w:style w:type="character" w:customStyle="1" w:styleId="Chapter9Char">
    <w:name w:val="Chapter 9 Char"/>
    <w:basedOn w:val="DefaultParagraphFont"/>
    <w:link w:val="Chapter9"/>
    <w:rsid w:val="00ED0B7F"/>
    <w:rPr>
      <w:sz w:val="24"/>
      <w:szCs w:val="24"/>
      <w:lang w:eastAsia="en-AU"/>
    </w:rPr>
  </w:style>
  <w:style w:type="paragraph" w:customStyle="1" w:styleId="Chapter10">
    <w:name w:val="Chapter10"/>
    <w:basedOn w:val="Normal"/>
    <w:rsid w:val="00311DBB"/>
    <w:pPr>
      <w:numPr>
        <w:numId w:val="1"/>
      </w:numPr>
      <w:ind w:left="851" w:hanging="851"/>
    </w:pPr>
  </w:style>
  <w:style w:type="paragraph" w:customStyle="1" w:styleId="Chapter11">
    <w:name w:val="Chapter11"/>
    <w:basedOn w:val="Normal"/>
    <w:rsid w:val="00C97186"/>
    <w:pPr>
      <w:numPr>
        <w:numId w:val="15"/>
      </w:numPr>
      <w:ind w:left="851" w:hanging="851"/>
    </w:pPr>
    <w:rPr>
      <w:szCs w:val="24"/>
      <w:lang w:val="en-AU"/>
    </w:rPr>
  </w:style>
  <w:style w:type="paragraph" w:styleId="DocumentMap">
    <w:name w:val="Document Map"/>
    <w:basedOn w:val="Normal"/>
    <w:semiHidden/>
    <w:rsid w:val="00CB7A06"/>
    <w:pPr>
      <w:shd w:val="clear" w:color="auto" w:fill="000080"/>
    </w:pPr>
    <w:rPr>
      <w:rFonts w:ascii="Tahoma" w:hAnsi="Tahoma" w:cs="Tahoma"/>
      <w:sz w:val="20"/>
    </w:rPr>
  </w:style>
  <w:style w:type="paragraph" w:customStyle="1" w:styleId="Chapter1">
    <w:name w:val="Chapter 1"/>
    <w:link w:val="Chapter1Char1"/>
    <w:qFormat/>
    <w:rsid w:val="006F02AD"/>
    <w:pPr>
      <w:numPr>
        <w:numId w:val="3"/>
      </w:numPr>
      <w:jc w:val="both"/>
    </w:pPr>
    <w:rPr>
      <w:sz w:val="24"/>
      <w:lang w:eastAsia="en-AU"/>
    </w:rPr>
  </w:style>
  <w:style w:type="paragraph" w:customStyle="1" w:styleId="Chapter100">
    <w:name w:val="Chapter 10"/>
    <w:basedOn w:val="Chapter9"/>
    <w:rsid w:val="00725975"/>
    <w:pPr>
      <w:numPr>
        <w:numId w:val="5"/>
      </w:numPr>
      <w:tabs>
        <w:tab w:val="clear" w:pos="567"/>
        <w:tab w:val="num" w:pos="851"/>
      </w:tabs>
      <w:ind w:left="851" w:hanging="851"/>
    </w:pPr>
  </w:style>
  <w:style w:type="paragraph" w:customStyle="1" w:styleId="Chapter2">
    <w:name w:val="Chapter 2"/>
    <w:link w:val="Chapter2Char"/>
    <w:qFormat/>
    <w:rsid w:val="000852A1"/>
    <w:pPr>
      <w:numPr>
        <w:numId w:val="6"/>
      </w:numPr>
      <w:jc w:val="both"/>
    </w:pPr>
    <w:rPr>
      <w:snapToGrid w:val="0"/>
      <w:sz w:val="24"/>
      <w:lang w:eastAsia="en-US"/>
    </w:rPr>
  </w:style>
  <w:style w:type="paragraph" w:customStyle="1" w:styleId="Chapter3">
    <w:name w:val="Chapter 3"/>
    <w:link w:val="Chapter3Char1"/>
    <w:qFormat/>
    <w:rsid w:val="000852A1"/>
    <w:pPr>
      <w:numPr>
        <w:numId w:val="7"/>
      </w:numPr>
      <w:jc w:val="both"/>
    </w:pPr>
    <w:rPr>
      <w:snapToGrid w:val="0"/>
      <w:sz w:val="24"/>
      <w:lang w:eastAsia="en-US"/>
    </w:rPr>
  </w:style>
  <w:style w:type="paragraph" w:customStyle="1" w:styleId="Chapter4">
    <w:name w:val="Chapter 4"/>
    <w:qFormat/>
    <w:rsid w:val="000852A1"/>
    <w:pPr>
      <w:numPr>
        <w:numId w:val="8"/>
      </w:numPr>
      <w:jc w:val="both"/>
    </w:pPr>
    <w:rPr>
      <w:sz w:val="24"/>
      <w:lang w:eastAsia="en-AU"/>
    </w:rPr>
  </w:style>
  <w:style w:type="paragraph" w:customStyle="1" w:styleId="Chapter5">
    <w:name w:val="Chapter 5"/>
    <w:link w:val="Chapter5Char"/>
    <w:rsid w:val="000852A1"/>
    <w:pPr>
      <w:numPr>
        <w:numId w:val="9"/>
      </w:numPr>
      <w:jc w:val="both"/>
    </w:pPr>
    <w:rPr>
      <w:sz w:val="24"/>
      <w:lang w:eastAsia="en-AU"/>
    </w:rPr>
  </w:style>
  <w:style w:type="paragraph" w:customStyle="1" w:styleId="Chapter6">
    <w:name w:val="Chapter 6"/>
    <w:link w:val="Chapter6Char"/>
    <w:rsid w:val="00ED0B7F"/>
    <w:pPr>
      <w:numPr>
        <w:numId w:val="10"/>
      </w:numPr>
      <w:jc w:val="both"/>
    </w:pPr>
    <w:rPr>
      <w:sz w:val="24"/>
      <w:lang w:eastAsia="en-AU"/>
    </w:rPr>
  </w:style>
  <w:style w:type="paragraph" w:customStyle="1" w:styleId="PartHeading">
    <w:name w:val="Part Heading"/>
    <w:basedOn w:val="Normal"/>
    <w:rsid w:val="00725975"/>
    <w:pPr>
      <w:pBdr>
        <w:top w:val="single" w:sz="4" w:space="10" w:color="auto"/>
        <w:bottom w:val="single" w:sz="4" w:space="10" w:color="auto"/>
      </w:pBdr>
      <w:jc w:val="center"/>
    </w:pPr>
    <w:rPr>
      <w:sz w:val="52"/>
      <w:szCs w:val="52"/>
    </w:rPr>
  </w:style>
  <w:style w:type="paragraph" w:styleId="Quote">
    <w:name w:val="Quote"/>
    <w:qFormat/>
    <w:rsid w:val="008F12F0"/>
    <w:pPr>
      <w:ind w:left="1418" w:right="567"/>
      <w:jc w:val="both"/>
    </w:pPr>
    <w:rPr>
      <w:sz w:val="22"/>
      <w:szCs w:val="22"/>
      <w:lang w:eastAsia="en-AU"/>
    </w:rPr>
  </w:style>
  <w:style w:type="paragraph" w:styleId="TOC1">
    <w:name w:val="toc 1"/>
    <w:basedOn w:val="Normal"/>
    <w:next w:val="Normal"/>
    <w:autoRedefine/>
    <w:uiPriority w:val="39"/>
    <w:rsid w:val="002048AD"/>
    <w:pPr>
      <w:tabs>
        <w:tab w:val="left" w:pos="567"/>
        <w:tab w:val="right" w:pos="8296"/>
      </w:tabs>
      <w:spacing w:before="240" w:after="240"/>
      <w:ind w:left="567" w:hanging="567"/>
      <w:jc w:val="left"/>
    </w:pPr>
    <w:rPr>
      <w:rFonts w:ascii="Times New Roman Bold" w:hAnsi="Times New Roman Bold"/>
      <w:b/>
      <w:noProof/>
      <w:szCs w:val="24"/>
      <w:lang w:val="en-NZ"/>
    </w:rPr>
  </w:style>
  <w:style w:type="paragraph" w:styleId="TOC2">
    <w:name w:val="toc 2"/>
    <w:basedOn w:val="Normal"/>
    <w:next w:val="Normal"/>
    <w:autoRedefine/>
    <w:uiPriority w:val="39"/>
    <w:rsid w:val="002048AD"/>
    <w:pPr>
      <w:tabs>
        <w:tab w:val="left" w:pos="567"/>
        <w:tab w:val="right" w:pos="8301"/>
      </w:tabs>
      <w:spacing w:before="40" w:after="40"/>
      <w:ind w:left="567"/>
      <w:jc w:val="left"/>
    </w:pPr>
    <w:rPr>
      <w:sz w:val="22"/>
      <w:szCs w:val="24"/>
      <w:lang w:val="en-NZ"/>
    </w:rPr>
  </w:style>
  <w:style w:type="paragraph" w:styleId="TOC3">
    <w:name w:val="toc 3"/>
    <w:basedOn w:val="Normal"/>
    <w:next w:val="Normal"/>
    <w:autoRedefine/>
    <w:uiPriority w:val="39"/>
    <w:rsid w:val="002048AD"/>
    <w:pPr>
      <w:tabs>
        <w:tab w:val="right" w:pos="8302"/>
      </w:tabs>
      <w:spacing w:before="20" w:after="20"/>
      <w:ind w:left="1134"/>
    </w:pPr>
    <w:rPr>
      <w:sz w:val="20"/>
      <w:szCs w:val="22"/>
      <w:lang w:val="en-NZ"/>
    </w:rPr>
  </w:style>
  <w:style w:type="numbering" w:customStyle="1" w:styleId="StyleBulletedWingdingssymbol">
    <w:name w:val="Style Bulleted Wingdings (symbol)"/>
    <w:basedOn w:val="NoList"/>
    <w:rsid w:val="00311DBB"/>
    <w:pPr>
      <w:numPr>
        <w:numId w:val="16"/>
      </w:numPr>
    </w:pPr>
  </w:style>
  <w:style w:type="paragraph" w:customStyle="1" w:styleId="Bullets">
    <w:name w:val="Bullets"/>
    <w:basedOn w:val="Normal"/>
    <w:link w:val="BulletsChar"/>
    <w:qFormat/>
    <w:rsid w:val="008F12F0"/>
    <w:pPr>
      <w:numPr>
        <w:numId w:val="2"/>
      </w:numPr>
      <w:tabs>
        <w:tab w:val="left" w:pos="1418"/>
      </w:tabs>
      <w:spacing w:after="140"/>
    </w:pPr>
    <w:rPr>
      <w:lang w:val="en-NZ"/>
    </w:rPr>
  </w:style>
  <w:style w:type="paragraph" w:styleId="TOC4">
    <w:name w:val="toc 4"/>
    <w:basedOn w:val="Normal"/>
    <w:next w:val="Normal"/>
    <w:autoRedefine/>
    <w:semiHidden/>
    <w:rsid w:val="00642F45"/>
    <w:pPr>
      <w:ind w:left="720"/>
      <w:jc w:val="left"/>
    </w:pPr>
    <w:rPr>
      <w:szCs w:val="24"/>
      <w:lang w:val="en-AU"/>
    </w:rPr>
  </w:style>
  <w:style w:type="paragraph" w:styleId="TOC5">
    <w:name w:val="toc 5"/>
    <w:basedOn w:val="Normal"/>
    <w:next w:val="Normal"/>
    <w:autoRedefine/>
    <w:semiHidden/>
    <w:rsid w:val="00642F45"/>
    <w:pPr>
      <w:ind w:left="960"/>
      <w:jc w:val="left"/>
    </w:pPr>
    <w:rPr>
      <w:szCs w:val="24"/>
      <w:lang w:val="en-AU"/>
    </w:rPr>
  </w:style>
  <w:style w:type="paragraph" w:styleId="TOC6">
    <w:name w:val="toc 6"/>
    <w:basedOn w:val="Normal"/>
    <w:next w:val="Normal"/>
    <w:autoRedefine/>
    <w:semiHidden/>
    <w:rsid w:val="00642F45"/>
    <w:pPr>
      <w:ind w:left="1200"/>
      <w:jc w:val="left"/>
    </w:pPr>
    <w:rPr>
      <w:szCs w:val="24"/>
      <w:lang w:val="en-AU"/>
    </w:rPr>
  </w:style>
  <w:style w:type="paragraph" w:styleId="TOC7">
    <w:name w:val="toc 7"/>
    <w:basedOn w:val="Normal"/>
    <w:next w:val="Normal"/>
    <w:autoRedefine/>
    <w:semiHidden/>
    <w:rsid w:val="00642F45"/>
    <w:pPr>
      <w:ind w:left="1440"/>
      <w:jc w:val="left"/>
    </w:pPr>
    <w:rPr>
      <w:szCs w:val="24"/>
      <w:lang w:val="en-AU"/>
    </w:rPr>
  </w:style>
  <w:style w:type="paragraph" w:styleId="TOC8">
    <w:name w:val="toc 8"/>
    <w:basedOn w:val="Normal"/>
    <w:next w:val="Normal"/>
    <w:autoRedefine/>
    <w:semiHidden/>
    <w:rsid w:val="00642F45"/>
    <w:pPr>
      <w:ind w:left="1680"/>
      <w:jc w:val="left"/>
    </w:pPr>
    <w:rPr>
      <w:szCs w:val="24"/>
      <w:lang w:val="en-AU"/>
    </w:rPr>
  </w:style>
  <w:style w:type="paragraph" w:styleId="TOC9">
    <w:name w:val="toc 9"/>
    <w:basedOn w:val="Normal"/>
    <w:next w:val="Normal"/>
    <w:autoRedefine/>
    <w:semiHidden/>
    <w:rsid w:val="00642F45"/>
    <w:pPr>
      <w:ind w:left="1920"/>
      <w:jc w:val="left"/>
    </w:pPr>
    <w:rPr>
      <w:szCs w:val="24"/>
      <w:lang w:val="en-AU"/>
    </w:rPr>
  </w:style>
  <w:style w:type="character" w:customStyle="1" w:styleId="Chapter1Char1">
    <w:name w:val="Chapter 1 Char1"/>
    <w:basedOn w:val="DefaultParagraphFont"/>
    <w:link w:val="Chapter1"/>
    <w:rsid w:val="006F02AD"/>
    <w:rPr>
      <w:sz w:val="24"/>
      <w:lang w:eastAsia="en-AU"/>
    </w:rPr>
  </w:style>
  <w:style w:type="character" w:customStyle="1" w:styleId="Chapter2Char">
    <w:name w:val="Chapter 2 Char"/>
    <w:basedOn w:val="Chapter1Char1"/>
    <w:link w:val="Chapter2"/>
    <w:rsid w:val="000852A1"/>
    <w:rPr>
      <w:snapToGrid w:val="0"/>
      <w:sz w:val="24"/>
      <w:lang w:val="en-NZ" w:eastAsia="en-US" w:bidi="ar-SA"/>
    </w:rPr>
  </w:style>
  <w:style w:type="character" w:customStyle="1" w:styleId="Chapter3Char1">
    <w:name w:val="Chapter 3 Char1"/>
    <w:basedOn w:val="Chapter2Char"/>
    <w:link w:val="Chapter3"/>
    <w:rsid w:val="000852A1"/>
    <w:rPr>
      <w:snapToGrid w:val="0"/>
      <w:sz w:val="24"/>
      <w:lang w:val="en-NZ" w:eastAsia="en-US" w:bidi="ar-SA"/>
    </w:rPr>
  </w:style>
  <w:style w:type="character" w:customStyle="1" w:styleId="Chapter5Char">
    <w:name w:val="Chapter 5 Char"/>
    <w:basedOn w:val="Chapter1Char1"/>
    <w:link w:val="Chapter5"/>
    <w:rsid w:val="000852A1"/>
    <w:rPr>
      <w:sz w:val="24"/>
      <w:lang w:val="en-NZ" w:eastAsia="en-AU" w:bidi="ar-SA"/>
    </w:rPr>
  </w:style>
  <w:style w:type="character" w:customStyle="1" w:styleId="Chapter6Char">
    <w:name w:val="Chapter 6 Char"/>
    <w:basedOn w:val="DefaultParagraphFont"/>
    <w:link w:val="Chapter6"/>
    <w:rsid w:val="00ED0B7F"/>
    <w:rPr>
      <w:sz w:val="24"/>
      <w:lang w:eastAsia="en-AU"/>
    </w:rPr>
  </w:style>
  <w:style w:type="character" w:customStyle="1" w:styleId="Heading1Char">
    <w:name w:val="Heading 1 Char"/>
    <w:basedOn w:val="DefaultParagraphFont"/>
    <w:link w:val="Heading1"/>
    <w:rsid w:val="00815526"/>
    <w:rPr>
      <w:rFonts w:ascii="Times New Roman Bold" w:hAnsi="Times New Roman Bold"/>
      <w:b/>
      <w:sz w:val="28"/>
      <w:szCs w:val="28"/>
      <w:lang w:eastAsia="en-AU"/>
    </w:rPr>
  </w:style>
  <w:style w:type="character" w:customStyle="1" w:styleId="Heading2Char">
    <w:name w:val="Heading 2 Char"/>
    <w:basedOn w:val="DefaultParagraphFont"/>
    <w:link w:val="Heading2"/>
    <w:rsid w:val="00B45C43"/>
    <w:rPr>
      <w:b/>
      <w:sz w:val="24"/>
      <w:lang w:val="en-GB" w:eastAsia="en-AU"/>
    </w:rPr>
  </w:style>
  <w:style w:type="paragraph" w:customStyle="1" w:styleId="Chapterheading">
    <w:name w:val="Chapter heading"/>
    <w:basedOn w:val="Normal"/>
    <w:link w:val="ChapterheadingChar1"/>
    <w:qFormat/>
    <w:rsid w:val="00ED0B7F"/>
    <w:pPr>
      <w:jc w:val="center"/>
    </w:pPr>
    <w:rPr>
      <w:rFonts w:ascii="Times New Roman Bold" w:hAnsi="Times New Roman Bold"/>
      <w:b/>
      <w:bCs/>
      <w:caps/>
      <w:sz w:val="28"/>
      <w:szCs w:val="28"/>
      <w:lang w:val="en-NZ"/>
    </w:rPr>
  </w:style>
  <w:style w:type="character" w:customStyle="1" w:styleId="BulletsChar">
    <w:name w:val="Bullets Char"/>
    <w:basedOn w:val="DefaultParagraphFont"/>
    <w:link w:val="Bullets"/>
    <w:rsid w:val="008F12F0"/>
    <w:rPr>
      <w:sz w:val="24"/>
      <w:lang w:eastAsia="en-AU"/>
    </w:rPr>
  </w:style>
  <w:style w:type="character" w:customStyle="1" w:styleId="Heading3Char">
    <w:name w:val="Heading 3 Char"/>
    <w:basedOn w:val="DefaultParagraphFont"/>
    <w:link w:val="Heading3"/>
    <w:rsid w:val="00B45C43"/>
    <w:rPr>
      <w:b/>
      <w:i/>
      <w:sz w:val="24"/>
      <w:lang w:val="en-GB" w:eastAsia="en-AU"/>
    </w:rPr>
  </w:style>
  <w:style w:type="character" w:customStyle="1" w:styleId="ChapterheadingChar1">
    <w:name w:val="Chapter heading Char1"/>
    <w:basedOn w:val="DefaultParagraphFont"/>
    <w:link w:val="Chapterheading"/>
    <w:rsid w:val="00ED0B7F"/>
    <w:rPr>
      <w:rFonts w:ascii="Times New Roman Bold" w:hAnsi="Times New Roman Bold"/>
      <w:b/>
      <w:bCs/>
      <w:caps/>
      <w:sz w:val="28"/>
      <w:szCs w:val="2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15887">
      <w:bodyDiv w:val="1"/>
      <w:marLeft w:val="0"/>
      <w:marRight w:val="0"/>
      <w:marTop w:val="0"/>
      <w:marBottom w:val="0"/>
      <w:divBdr>
        <w:top w:val="none" w:sz="0" w:space="0" w:color="auto"/>
        <w:left w:val="none" w:sz="0" w:space="0" w:color="auto"/>
        <w:bottom w:val="none" w:sz="0" w:space="0" w:color="auto"/>
        <w:right w:val="none" w:sz="0" w:space="0" w:color="auto"/>
      </w:divBdr>
    </w:div>
    <w:div w:id="492138164">
      <w:bodyDiv w:val="1"/>
      <w:marLeft w:val="0"/>
      <w:marRight w:val="0"/>
      <w:marTop w:val="0"/>
      <w:marBottom w:val="0"/>
      <w:divBdr>
        <w:top w:val="none" w:sz="0" w:space="0" w:color="auto"/>
        <w:left w:val="none" w:sz="0" w:space="0" w:color="auto"/>
        <w:bottom w:val="none" w:sz="0" w:space="0" w:color="auto"/>
        <w:right w:val="none" w:sz="0" w:space="0" w:color="auto"/>
      </w:divBdr>
    </w:div>
    <w:div w:id="684941955">
      <w:bodyDiv w:val="1"/>
      <w:marLeft w:val="0"/>
      <w:marRight w:val="0"/>
      <w:marTop w:val="0"/>
      <w:marBottom w:val="0"/>
      <w:divBdr>
        <w:top w:val="none" w:sz="0" w:space="0" w:color="auto"/>
        <w:left w:val="none" w:sz="0" w:space="0" w:color="auto"/>
        <w:bottom w:val="none" w:sz="0" w:space="0" w:color="auto"/>
        <w:right w:val="none" w:sz="0" w:space="0" w:color="auto"/>
      </w:divBdr>
    </w:div>
    <w:div w:id="887372961">
      <w:bodyDiv w:val="1"/>
      <w:marLeft w:val="0"/>
      <w:marRight w:val="0"/>
      <w:marTop w:val="0"/>
      <w:marBottom w:val="0"/>
      <w:divBdr>
        <w:top w:val="none" w:sz="0" w:space="0" w:color="auto"/>
        <w:left w:val="none" w:sz="0" w:space="0" w:color="auto"/>
        <w:bottom w:val="none" w:sz="0" w:space="0" w:color="auto"/>
        <w:right w:val="none" w:sz="0" w:space="0" w:color="auto"/>
      </w:divBdr>
    </w:div>
    <w:div w:id="1093553952">
      <w:bodyDiv w:val="1"/>
      <w:marLeft w:val="0"/>
      <w:marRight w:val="0"/>
      <w:marTop w:val="0"/>
      <w:marBottom w:val="0"/>
      <w:divBdr>
        <w:top w:val="none" w:sz="0" w:space="0" w:color="auto"/>
        <w:left w:val="none" w:sz="0" w:space="0" w:color="auto"/>
        <w:bottom w:val="none" w:sz="0" w:space="0" w:color="auto"/>
        <w:right w:val="none" w:sz="0" w:space="0" w:color="auto"/>
      </w:divBdr>
    </w:div>
    <w:div w:id="1610888824">
      <w:bodyDiv w:val="1"/>
      <w:marLeft w:val="0"/>
      <w:marRight w:val="0"/>
      <w:marTop w:val="0"/>
      <w:marBottom w:val="0"/>
      <w:divBdr>
        <w:top w:val="none" w:sz="0" w:space="0" w:color="auto"/>
        <w:left w:val="none" w:sz="0" w:space="0" w:color="auto"/>
        <w:bottom w:val="none" w:sz="0" w:space="0" w:color="auto"/>
        <w:right w:val="none" w:sz="0" w:space="0" w:color="auto"/>
      </w:divBdr>
    </w:div>
    <w:div w:id="1642267703">
      <w:bodyDiv w:val="1"/>
      <w:marLeft w:val="0"/>
      <w:marRight w:val="0"/>
      <w:marTop w:val="0"/>
      <w:marBottom w:val="0"/>
      <w:divBdr>
        <w:top w:val="none" w:sz="0" w:space="0" w:color="auto"/>
        <w:left w:val="none" w:sz="0" w:space="0" w:color="auto"/>
        <w:bottom w:val="none" w:sz="0" w:space="0" w:color="auto"/>
        <w:right w:val="none" w:sz="0" w:space="0" w:color="auto"/>
      </w:divBdr>
    </w:div>
    <w:div w:id="1717200048">
      <w:bodyDiv w:val="1"/>
      <w:marLeft w:val="0"/>
      <w:marRight w:val="0"/>
      <w:marTop w:val="0"/>
      <w:marBottom w:val="0"/>
      <w:divBdr>
        <w:top w:val="none" w:sz="0" w:space="0" w:color="auto"/>
        <w:left w:val="none" w:sz="0" w:space="0" w:color="auto"/>
        <w:bottom w:val="none" w:sz="0" w:space="0" w:color="auto"/>
        <w:right w:val="none" w:sz="0" w:space="0" w:color="auto"/>
      </w:divBdr>
    </w:div>
    <w:div w:id="1844394679">
      <w:bodyDiv w:val="1"/>
      <w:marLeft w:val="0"/>
      <w:marRight w:val="0"/>
      <w:marTop w:val="0"/>
      <w:marBottom w:val="0"/>
      <w:divBdr>
        <w:top w:val="none" w:sz="0" w:space="0" w:color="auto"/>
        <w:left w:val="none" w:sz="0" w:space="0" w:color="auto"/>
        <w:bottom w:val="none" w:sz="0" w:space="0" w:color="auto"/>
        <w:right w:val="none" w:sz="0" w:space="0" w:color="auto"/>
      </w:divBdr>
    </w:div>
    <w:div w:id="1916549204">
      <w:bodyDiv w:val="1"/>
      <w:marLeft w:val="0"/>
      <w:marRight w:val="0"/>
      <w:marTop w:val="0"/>
      <w:marBottom w:val="0"/>
      <w:divBdr>
        <w:top w:val="none" w:sz="0" w:space="0" w:color="auto"/>
        <w:left w:val="none" w:sz="0" w:space="0" w:color="auto"/>
        <w:bottom w:val="none" w:sz="0" w:space="0" w:color="auto"/>
        <w:right w:val="none" w:sz="0" w:space="0" w:color="auto"/>
      </w:divBdr>
    </w:div>
    <w:div w:id="1922181047">
      <w:bodyDiv w:val="1"/>
      <w:marLeft w:val="0"/>
      <w:marRight w:val="0"/>
      <w:marTop w:val="0"/>
      <w:marBottom w:val="0"/>
      <w:divBdr>
        <w:top w:val="none" w:sz="0" w:space="0" w:color="auto"/>
        <w:left w:val="none" w:sz="0" w:space="0" w:color="auto"/>
        <w:bottom w:val="none" w:sz="0" w:space="0" w:color="auto"/>
        <w:right w:val="none" w:sz="0" w:space="0" w:color="auto"/>
      </w:divBdr>
    </w:div>
    <w:div w:id="1969779276">
      <w:bodyDiv w:val="1"/>
      <w:marLeft w:val="0"/>
      <w:marRight w:val="0"/>
      <w:marTop w:val="0"/>
      <w:marBottom w:val="0"/>
      <w:divBdr>
        <w:top w:val="none" w:sz="0" w:space="0" w:color="auto"/>
        <w:left w:val="none" w:sz="0" w:space="0" w:color="auto"/>
        <w:bottom w:val="none" w:sz="0" w:space="0" w:color="auto"/>
        <w:right w:val="none" w:sz="0" w:space="0" w:color="auto"/>
      </w:divBdr>
    </w:div>
    <w:div w:id="203804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57713-96B2-485A-8DC3-DF5432E4C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919</Words>
  <Characters>5524</Characters>
  <Application>Microsoft Office Word</Application>
  <DocSecurity>0</DocSecurity>
  <Lines>230</Lines>
  <Paragraphs>88</Paragraphs>
  <ScaleCrop>false</ScaleCrop>
  <HeadingPairs>
    <vt:vector size="2" baseType="variant">
      <vt:variant>
        <vt:lpstr>Title</vt:lpstr>
      </vt:variant>
      <vt:variant>
        <vt:i4>1</vt:i4>
      </vt:variant>
    </vt:vector>
  </HeadingPairs>
  <TitlesOfParts>
    <vt:vector size="1" baseType="lpstr">
      <vt:lpstr>The Government's tax policy work programme - 2016-17 - Update released on 8 November 2016</vt:lpstr>
    </vt:vector>
  </TitlesOfParts>
  <Company>Inland Revenue</Company>
  <LinksUpToDate>false</LinksUpToDate>
  <CharactersWithSpaces>6355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Government's tax policy work programme - 2016-17 - Update released on 8 November 2016</dc:title>
  <dc:creator>Policy and Strategy</dc:creator>
  <cp:lastModifiedBy>David Nind</cp:lastModifiedBy>
  <cp:revision>2</cp:revision>
  <dcterms:created xsi:type="dcterms:W3CDTF">2016-11-09T02:11:00Z</dcterms:created>
  <dcterms:modified xsi:type="dcterms:W3CDTF">2016-11-09T02:12:00Z</dcterms:modified>
</cp:coreProperties>
</file>