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ADC3" w14:textId="324DA386" w:rsidR="00702B7E" w:rsidRPr="00473ED6" w:rsidRDefault="00DE5AD4" w:rsidP="00702B7E">
      <w:pPr>
        <w:pStyle w:val="Title"/>
      </w:pPr>
      <w:bookmarkStart w:id="0" w:name="_Toc429977995"/>
      <w:r w:rsidRPr="00DE5AD4">
        <w:t>Child Support Amendment Bill</w:t>
      </w:r>
    </w:p>
    <w:p w14:paraId="38ABCFB0" w14:textId="085E6E25" w:rsidR="00DE5AD4" w:rsidRDefault="00DE5AD4" w:rsidP="00DE5AD4">
      <w:pPr>
        <w:pStyle w:val="Subtitle"/>
      </w:pPr>
      <w:r>
        <w:t>Supplementary commentary on proposed amendments to:</w:t>
      </w:r>
    </w:p>
    <w:p w14:paraId="324B5AF2" w14:textId="77777777" w:rsidR="00DE5AD4" w:rsidRDefault="00DE5AD4" w:rsidP="00DE5AD4">
      <w:pPr>
        <w:pStyle w:val="Subtitle"/>
        <w:numPr>
          <w:ilvl w:val="0"/>
          <w:numId w:val="9"/>
        </w:numPr>
        <w:ind w:left="567" w:hanging="567"/>
      </w:pPr>
      <w:r>
        <w:t>Repeal incremental penalties, and</w:t>
      </w:r>
    </w:p>
    <w:p w14:paraId="1CC1FE1D" w14:textId="0FECBEBF" w:rsidR="003959E1" w:rsidRPr="00473ED6" w:rsidRDefault="00DE5AD4" w:rsidP="00DE5AD4">
      <w:pPr>
        <w:pStyle w:val="Subtitle"/>
        <w:numPr>
          <w:ilvl w:val="0"/>
          <w:numId w:val="9"/>
        </w:numPr>
        <w:ind w:left="567" w:hanging="567"/>
      </w:pPr>
      <w:r>
        <w:t>Simplify write-off provisions</w:t>
      </w:r>
    </w:p>
    <w:p w14:paraId="593E6411" w14:textId="77777777" w:rsidR="003959E1" w:rsidRPr="00473ED6" w:rsidRDefault="003959E1"/>
    <w:p w14:paraId="4991CF98" w14:textId="77777777" w:rsidR="00702B7E" w:rsidRPr="00473ED6" w:rsidRDefault="00702B7E"/>
    <w:p w14:paraId="79D5D7E0" w14:textId="77777777" w:rsidR="00702B7E" w:rsidRPr="00473ED6" w:rsidRDefault="00702B7E"/>
    <w:p w14:paraId="1BC7AE87" w14:textId="77777777" w:rsidR="00702B7E" w:rsidRPr="00473ED6" w:rsidRDefault="00702B7E"/>
    <w:p w14:paraId="567F3826" w14:textId="77777777" w:rsidR="00702B7E" w:rsidRPr="00473ED6" w:rsidRDefault="00702B7E"/>
    <w:p w14:paraId="6999F21A" w14:textId="67870E97" w:rsidR="00702B7E" w:rsidRDefault="00702B7E"/>
    <w:p w14:paraId="28880127" w14:textId="77777777" w:rsidR="000668CD" w:rsidRPr="00473ED6" w:rsidRDefault="000668CD"/>
    <w:p w14:paraId="51E9C9A7" w14:textId="77777777" w:rsidR="00702B7E" w:rsidRPr="00473ED6" w:rsidRDefault="00702B7E"/>
    <w:p w14:paraId="10E9EF53" w14:textId="77777777" w:rsidR="00702B7E" w:rsidRPr="00473ED6" w:rsidRDefault="00702B7E"/>
    <w:p w14:paraId="798F0CF4" w14:textId="77777777" w:rsidR="00702B7E" w:rsidRPr="00473ED6" w:rsidRDefault="00702B7E"/>
    <w:p w14:paraId="7FF0E99E" w14:textId="77777777" w:rsidR="00702B7E" w:rsidRPr="00473ED6" w:rsidRDefault="00702B7E"/>
    <w:p w14:paraId="6A44EC32" w14:textId="77777777" w:rsidR="00702B7E" w:rsidRDefault="00702B7E"/>
    <w:p w14:paraId="71263A10" w14:textId="77777777" w:rsidR="0026287E" w:rsidRPr="00473ED6" w:rsidRDefault="0026287E"/>
    <w:p w14:paraId="628E7A56" w14:textId="77777777" w:rsidR="00702B7E" w:rsidRPr="00473ED6" w:rsidRDefault="00702B7E"/>
    <w:p w14:paraId="0EF81F45" w14:textId="7A24F4E1" w:rsidR="00702B7E" w:rsidRDefault="00702B7E"/>
    <w:p w14:paraId="3B6DFC13" w14:textId="77777777" w:rsidR="000668CD" w:rsidRPr="00473ED6" w:rsidRDefault="000668CD"/>
    <w:p w14:paraId="5FD44E5D" w14:textId="77777777" w:rsidR="003959E1" w:rsidRPr="00473ED6" w:rsidRDefault="003959E1" w:rsidP="00702B7E">
      <w:pPr>
        <w:pStyle w:val="Authorname"/>
      </w:pPr>
      <w:r w:rsidRPr="00473ED6">
        <w:t xml:space="preserve">Hon </w:t>
      </w:r>
      <w:r w:rsidR="007460A6" w:rsidRPr="00473ED6">
        <w:t>Stuart Nash</w:t>
      </w:r>
    </w:p>
    <w:p w14:paraId="1F809ACF" w14:textId="18E3E716" w:rsidR="003959E1" w:rsidRPr="00473ED6" w:rsidRDefault="003959E1" w:rsidP="000668CD">
      <w:pPr>
        <w:pStyle w:val="Authortitle"/>
      </w:pPr>
      <w:r w:rsidRPr="00473ED6">
        <w:t>Minister of Revenue</w:t>
      </w:r>
      <w:r w:rsidRPr="00473ED6">
        <w:br w:type="page"/>
      </w:r>
    </w:p>
    <w:p w14:paraId="23BFC98C" w14:textId="77777777" w:rsidR="003959E1" w:rsidRPr="00473ED6" w:rsidRDefault="003959E1">
      <w:pPr>
        <w:rPr>
          <w:sz w:val="20"/>
        </w:rPr>
      </w:pPr>
    </w:p>
    <w:p w14:paraId="0FA3CB3E" w14:textId="77777777" w:rsidR="00D929C1" w:rsidRPr="00473ED6" w:rsidRDefault="00D929C1">
      <w:pPr>
        <w:rPr>
          <w:sz w:val="20"/>
        </w:rPr>
      </w:pPr>
    </w:p>
    <w:p w14:paraId="19B8B2A9" w14:textId="77777777" w:rsidR="00D929C1" w:rsidRPr="00473ED6" w:rsidRDefault="00D929C1">
      <w:pPr>
        <w:rPr>
          <w:sz w:val="20"/>
        </w:rPr>
      </w:pPr>
    </w:p>
    <w:p w14:paraId="5DAACC84" w14:textId="77777777" w:rsidR="00D929C1" w:rsidRPr="00473ED6" w:rsidRDefault="00D929C1">
      <w:pPr>
        <w:rPr>
          <w:sz w:val="20"/>
        </w:rPr>
      </w:pPr>
    </w:p>
    <w:p w14:paraId="7C74DCF5" w14:textId="77777777" w:rsidR="00D929C1" w:rsidRPr="00473ED6" w:rsidRDefault="00D929C1">
      <w:pPr>
        <w:rPr>
          <w:sz w:val="20"/>
        </w:rPr>
      </w:pPr>
    </w:p>
    <w:p w14:paraId="2A4DB09F" w14:textId="77777777" w:rsidR="00D929C1" w:rsidRPr="00473ED6" w:rsidRDefault="00D929C1">
      <w:pPr>
        <w:rPr>
          <w:sz w:val="20"/>
        </w:rPr>
      </w:pPr>
    </w:p>
    <w:p w14:paraId="017D82EE" w14:textId="77777777" w:rsidR="00D929C1" w:rsidRPr="00473ED6" w:rsidRDefault="00D929C1">
      <w:pPr>
        <w:rPr>
          <w:sz w:val="20"/>
        </w:rPr>
      </w:pPr>
    </w:p>
    <w:p w14:paraId="47149CA8" w14:textId="77777777" w:rsidR="00D929C1" w:rsidRPr="00473ED6" w:rsidRDefault="00D929C1">
      <w:pPr>
        <w:rPr>
          <w:sz w:val="20"/>
        </w:rPr>
      </w:pPr>
    </w:p>
    <w:p w14:paraId="7CCABBB6" w14:textId="77777777" w:rsidR="00D929C1" w:rsidRPr="00473ED6" w:rsidRDefault="00D929C1">
      <w:pPr>
        <w:rPr>
          <w:sz w:val="20"/>
        </w:rPr>
      </w:pPr>
    </w:p>
    <w:p w14:paraId="089022E4" w14:textId="77777777" w:rsidR="00D929C1" w:rsidRPr="00473ED6" w:rsidRDefault="00D929C1">
      <w:pPr>
        <w:rPr>
          <w:sz w:val="20"/>
        </w:rPr>
      </w:pPr>
    </w:p>
    <w:p w14:paraId="1C973C5A" w14:textId="77777777" w:rsidR="00D929C1" w:rsidRPr="00473ED6" w:rsidRDefault="00D929C1">
      <w:pPr>
        <w:rPr>
          <w:sz w:val="20"/>
        </w:rPr>
      </w:pPr>
    </w:p>
    <w:p w14:paraId="70F31306" w14:textId="77777777" w:rsidR="00D929C1" w:rsidRPr="00473ED6" w:rsidRDefault="00D929C1">
      <w:pPr>
        <w:rPr>
          <w:sz w:val="20"/>
        </w:rPr>
      </w:pPr>
    </w:p>
    <w:p w14:paraId="382DAE36" w14:textId="77777777" w:rsidR="00D929C1" w:rsidRPr="00473ED6" w:rsidRDefault="00D929C1">
      <w:pPr>
        <w:rPr>
          <w:sz w:val="20"/>
        </w:rPr>
      </w:pPr>
    </w:p>
    <w:p w14:paraId="4B813026" w14:textId="77777777" w:rsidR="00D929C1" w:rsidRPr="00473ED6" w:rsidRDefault="00D929C1">
      <w:pPr>
        <w:rPr>
          <w:sz w:val="20"/>
        </w:rPr>
      </w:pPr>
    </w:p>
    <w:p w14:paraId="3620F62D" w14:textId="77777777" w:rsidR="00D929C1" w:rsidRPr="00473ED6" w:rsidRDefault="00D929C1">
      <w:pPr>
        <w:rPr>
          <w:sz w:val="20"/>
        </w:rPr>
      </w:pPr>
    </w:p>
    <w:p w14:paraId="2990E40E" w14:textId="77777777" w:rsidR="00D929C1" w:rsidRPr="00473ED6" w:rsidRDefault="00D929C1">
      <w:pPr>
        <w:rPr>
          <w:sz w:val="20"/>
        </w:rPr>
      </w:pPr>
    </w:p>
    <w:p w14:paraId="3689C068" w14:textId="77777777" w:rsidR="00D929C1" w:rsidRPr="00473ED6" w:rsidRDefault="00D929C1">
      <w:pPr>
        <w:rPr>
          <w:sz w:val="20"/>
        </w:rPr>
      </w:pPr>
    </w:p>
    <w:p w14:paraId="5DA72F05" w14:textId="77777777" w:rsidR="00D929C1" w:rsidRPr="00473ED6" w:rsidRDefault="00D929C1">
      <w:pPr>
        <w:rPr>
          <w:sz w:val="20"/>
        </w:rPr>
      </w:pPr>
    </w:p>
    <w:p w14:paraId="71C3B977" w14:textId="77777777" w:rsidR="00D929C1" w:rsidRPr="00473ED6" w:rsidRDefault="00D929C1">
      <w:pPr>
        <w:rPr>
          <w:sz w:val="20"/>
        </w:rPr>
      </w:pPr>
    </w:p>
    <w:p w14:paraId="7CAF0496" w14:textId="77777777" w:rsidR="00D929C1" w:rsidRDefault="00D929C1">
      <w:pPr>
        <w:rPr>
          <w:sz w:val="20"/>
        </w:rPr>
      </w:pPr>
    </w:p>
    <w:p w14:paraId="614FE028" w14:textId="77777777" w:rsidR="0026287E" w:rsidRDefault="0026287E">
      <w:pPr>
        <w:rPr>
          <w:sz w:val="20"/>
        </w:rPr>
      </w:pPr>
    </w:p>
    <w:p w14:paraId="404501B7" w14:textId="3033A7D6" w:rsidR="00702B7E" w:rsidRPr="00473ED6" w:rsidRDefault="00702B7E" w:rsidP="00702B7E">
      <w:pPr>
        <w:rPr>
          <w:sz w:val="20"/>
          <w:szCs w:val="20"/>
        </w:rPr>
      </w:pPr>
      <w:r w:rsidRPr="00473ED6">
        <w:rPr>
          <w:sz w:val="20"/>
          <w:szCs w:val="20"/>
        </w:rPr>
        <w:t xml:space="preserve">First published in </w:t>
      </w:r>
      <w:r w:rsidR="00DE5AD4">
        <w:rPr>
          <w:sz w:val="20"/>
        </w:rPr>
        <w:t>July 2020</w:t>
      </w:r>
      <w:r w:rsidRPr="00473ED6">
        <w:rPr>
          <w:sz w:val="20"/>
          <w:szCs w:val="20"/>
        </w:rPr>
        <w:t xml:space="preserve"> by Policy and Strategy</w:t>
      </w:r>
      <w:r w:rsidR="0026287E">
        <w:rPr>
          <w:sz w:val="20"/>
          <w:szCs w:val="20"/>
        </w:rPr>
        <w:t xml:space="preserve">, </w:t>
      </w:r>
      <w:r w:rsidRPr="00473ED6">
        <w:rPr>
          <w:sz w:val="20"/>
          <w:szCs w:val="20"/>
        </w:rPr>
        <w:t>Inland Revenue, PO Box 2198, Wellington 6140.</w:t>
      </w:r>
    </w:p>
    <w:p w14:paraId="325F97A2" w14:textId="6678EB01" w:rsidR="00702B7E" w:rsidRPr="00473ED6" w:rsidRDefault="00DE5AD4" w:rsidP="00DE5AD4">
      <w:pPr>
        <w:rPr>
          <w:sz w:val="20"/>
          <w:szCs w:val="20"/>
        </w:rPr>
      </w:pPr>
      <w:r w:rsidRPr="00DE5AD4">
        <w:rPr>
          <w:sz w:val="20"/>
          <w:szCs w:val="20"/>
        </w:rPr>
        <w:t>Child Support Amendment Bill</w:t>
      </w:r>
      <w:r>
        <w:rPr>
          <w:sz w:val="20"/>
          <w:szCs w:val="20"/>
        </w:rPr>
        <w:t xml:space="preserve"> – S</w:t>
      </w:r>
      <w:r w:rsidRPr="00DE5AD4">
        <w:rPr>
          <w:sz w:val="20"/>
          <w:szCs w:val="20"/>
        </w:rPr>
        <w:t>upplementary commentary on proposed amendments to</w:t>
      </w:r>
      <w:r>
        <w:rPr>
          <w:sz w:val="20"/>
          <w:szCs w:val="20"/>
        </w:rPr>
        <w:t xml:space="preserve"> r</w:t>
      </w:r>
      <w:r w:rsidRPr="00DE5AD4">
        <w:rPr>
          <w:sz w:val="20"/>
          <w:szCs w:val="20"/>
        </w:rPr>
        <w:t>epeal incremental penalties and</w:t>
      </w:r>
      <w:r>
        <w:rPr>
          <w:sz w:val="20"/>
          <w:szCs w:val="20"/>
        </w:rPr>
        <w:t xml:space="preserve"> s</w:t>
      </w:r>
      <w:r w:rsidRPr="00DE5AD4">
        <w:rPr>
          <w:sz w:val="20"/>
          <w:szCs w:val="20"/>
        </w:rPr>
        <w:t>implify write-off provisions</w:t>
      </w:r>
      <w:r>
        <w:rPr>
          <w:sz w:val="20"/>
          <w:szCs w:val="20"/>
        </w:rPr>
        <w:t>.</w:t>
      </w:r>
    </w:p>
    <w:p w14:paraId="1848E6A3" w14:textId="71FEA652" w:rsidR="00376F5C" w:rsidRPr="00473ED6" w:rsidRDefault="00702B7E" w:rsidP="00D929C1">
      <w:pPr>
        <w:pStyle w:val="Copyright"/>
      </w:pPr>
      <w:r w:rsidRPr="00473ED6">
        <w:t xml:space="preserve">ISBN </w:t>
      </w:r>
      <w:r w:rsidR="0062051D" w:rsidRPr="0062051D">
        <w:t>978-1-98-857319-9</w:t>
      </w:r>
      <w:r w:rsidRPr="00473ED6">
        <w:t xml:space="preserve"> (Online)</w:t>
      </w:r>
    </w:p>
    <w:p w14:paraId="3FC4CB50"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7216" behindDoc="0" locked="0" layoutInCell="1" allowOverlap="1" wp14:anchorId="7DE88AF2" wp14:editId="5D275BC6">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7BB89C91" w14:textId="77777777" w:rsidR="00702B7E" w:rsidRPr="00473ED6" w:rsidRDefault="00702B7E" w:rsidP="00D929C1">
      <w:pPr>
        <w:pStyle w:val="Copyright"/>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745B6514" w14:textId="6CEEBB42" w:rsidR="00821704" w:rsidRPr="00473ED6"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13" w:history="1">
        <w:r w:rsidR="0062051D" w:rsidRPr="00D36361">
          <w:rPr>
            <w:rStyle w:val="Hyperlink"/>
            <w:sz w:val="20"/>
          </w:rPr>
          <w:t>https://purl.org/nzir-tp/2020-010</w:t>
        </w:r>
      </w:hyperlink>
    </w:p>
    <w:p w14:paraId="71419A96" w14:textId="65E764E4" w:rsidR="000A6E3B" w:rsidRPr="00DA3080" w:rsidRDefault="00702B7E" w:rsidP="00DA3080">
      <w:pPr>
        <w:jc w:val="left"/>
        <w:rPr>
          <w:sz w:val="20"/>
          <w:szCs w:val="20"/>
        </w:rPr>
      </w:pPr>
      <w:r w:rsidRPr="00473ED6">
        <w:rPr>
          <w:sz w:val="20"/>
          <w:szCs w:val="20"/>
        </w:rPr>
        <w:t>The document is available at</w:t>
      </w:r>
      <w:r w:rsidR="000A6E3B">
        <w:rPr>
          <w:sz w:val="20"/>
          <w:szCs w:val="20"/>
        </w:rPr>
        <w:t xml:space="preserve"> </w:t>
      </w:r>
      <w:r w:rsidR="0062051D">
        <w:rPr>
          <w:sz w:val="20"/>
          <w:szCs w:val="20"/>
        </w:rPr>
        <w:br/>
      </w:r>
      <w:hyperlink r:id="rId14" w:history="1">
        <w:r w:rsidR="0062051D" w:rsidRPr="0062051D">
          <w:rPr>
            <w:rStyle w:val="Hyperlink"/>
            <w:sz w:val="20"/>
            <w:szCs w:val="20"/>
          </w:rPr>
          <w:t>https://taxpolicy.ird.govt.nz/publications/2020-commentary-child-support-bill-supplementary/overview</w:t>
        </w:r>
      </w:hyperlink>
    </w:p>
    <w:p w14:paraId="7CD4631A" w14:textId="77777777" w:rsidR="00702B7E" w:rsidRPr="00473ED6" w:rsidRDefault="00702B7E" w:rsidP="00D929C1">
      <w:pPr>
        <w:sectPr w:rsidR="00702B7E" w:rsidRPr="00473ED6" w:rsidSect="00702B7E">
          <w:footerReference w:type="even" r:id="rId15"/>
          <w:type w:val="nextColumn"/>
          <w:pgSz w:w="11906" w:h="16838" w:code="9"/>
          <w:pgMar w:top="1304" w:right="1559" w:bottom="1134" w:left="1559" w:header="720" w:footer="567" w:gutter="0"/>
          <w:pgNumType w:start="1"/>
          <w:cols w:space="720"/>
          <w:titlePg/>
        </w:sectPr>
      </w:pPr>
    </w:p>
    <w:p w14:paraId="7AEACAF6" w14:textId="77777777" w:rsidR="003959E1" w:rsidRPr="00473ED6" w:rsidRDefault="003959E1" w:rsidP="00473ED6">
      <w:pPr>
        <w:spacing w:after="480"/>
        <w:jc w:val="center"/>
        <w:rPr>
          <w:b/>
          <w:sz w:val="28"/>
        </w:rPr>
      </w:pPr>
      <w:r w:rsidRPr="00473ED6">
        <w:rPr>
          <w:b/>
          <w:sz w:val="28"/>
        </w:rPr>
        <w:t>CONTENTS</w:t>
      </w:r>
    </w:p>
    <w:bookmarkStart w:id="1" w:name="_Hlt510587982"/>
    <w:bookmarkStart w:id="2" w:name="_Hlt478443407"/>
    <w:bookmarkStart w:id="3" w:name="_Toc14174909"/>
    <w:bookmarkStart w:id="4" w:name="_Hlt509367909"/>
    <w:bookmarkEnd w:id="0"/>
    <w:bookmarkEnd w:id="1"/>
    <w:bookmarkEnd w:id="2"/>
    <w:p w14:paraId="6EE7D5E5" w14:textId="33F97B4C" w:rsidR="008B66DD" w:rsidRDefault="00366F3C">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45016478" w:history="1">
        <w:r w:rsidR="008B66DD" w:rsidRPr="00235D65">
          <w:rPr>
            <w:rStyle w:val="Hyperlink"/>
            <w:noProof/>
          </w:rPr>
          <w:t>Child support penalties</w:t>
        </w:r>
        <w:r w:rsidR="008B66DD">
          <w:rPr>
            <w:noProof/>
            <w:webHidden/>
          </w:rPr>
          <w:tab/>
        </w:r>
        <w:r w:rsidR="008B66DD">
          <w:rPr>
            <w:noProof/>
            <w:webHidden/>
          </w:rPr>
          <w:fldChar w:fldCharType="begin"/>
        </w:r>
        <w:r w:rsidR="008B66DD">
          <w:rPr>
            <w:noProof/>
            <w:webHidden/>
          </w:rPr>
          <w:instrText xml:space="preserve"> PAGEREF _Toc45016478 \h </w:instrText>
        </w:r>
        <w:r w:rsidR="008B66DD">
          <w:rPr>
            <w:noProof/>
            <w:webHidden/>
          </w:rPr>
        </w:r>
        <w:r w:rsidR="008B66DD">
          <w:rPr>
            <w:noProof/>
            <w:webHidden/>
          </w:rPr>
          <w:fldChar w:fldCharType="separate"/>
        </w:r>
        <w:r w:rsidR="008B66DD">
          <w:rPr>
            <w:noProof/>
            <w:webHidden/>
          </w:rPr>
          <w:t>5</w:t>
        </w:r>
        <w:r w:rsidR="008B66DD">
          <w:rPr>
            <w:noProof/>
            <w:webHidden/>
          </w:rPr>
          <w:fldChar w:fldCharType="end"/>
        </w:r>
      </w:hyperlink>
    </w:p>
    <w:p w14:paraId="4F05977E" w14:textId="24A374F5" w:rsidR="008B66DD" w:rsidRDefault="006E742C">
      <w:pPr>
        <w:pStyle w:val="TOC2"/>
        <w:rPr>
          <w:rFonts w:asciiTheme="minorHAnsi" w:eastAsiaTheme="minorEastAsia" w:hAnsiTheme="minorHAnsi" w:cstheme="minorBidi"/>
          <w:noProof/>
          <w:sz w:val="22"/>
          <w:szCs w:val="22"/>
        </w:rPr>
      </w:pPr>
      <w:hyperlink w:anchor="_Toc45016479" w:history="1">
        <w:r w:rsidR="008B66DD" w:rsidRPr="00235D65">
          <w:rPr>
            <w:rStyle w:val="Hyperlink"/>
            <w:noProof/>
          </w:rPr>
          <w:t>Repeal of child support incremental penalties</w:t>
        </w:r>
        <w:r w:rsidR="008B66DD">
          <w:rPr>
            <w:noProof/>
            <w:webHidden/>
          </w:rPr>
          <w:tab/>
        </w:r>
        <w:r w:rsidR="008B66DD">
          <w:rPr>
            <w:noProof/>
            <w:webHidden/>
          </w:rPr>
          <w:fldChar w:fldCharType="begin"/>
        </w:r>
        <w:r w:rsidR="008B66DD">
          <w:rPr>
            <w:noProof/>
            <w:webHidden/>
          </w:rPr>
          <w:instrText xml:space="preserve"> PAGEREF _Toc45016479 \h </w:instrText>
        </w:r>
        <w:r w:rsidR="008B66DD">
          <w:rPr>
            <w:noProof/>
            <w:webHidden/>
          </w:rPr>
        </w:r>
        <w:r w:rsidR="008B66DD">
          <w:rPr>
            <w:noProof/>
            <w:webHidden/>
          </w:rPr>
          <w:fldChar w:fldCharType="separate"/>
        </w:r>
        <w:r w:rsidR="008B66DD">
          <w:rPr>
            <w:noProof/>
            <w:webHidden/>
          </w:rPr>
          <w:t>7</w:t>
        </w:r>
        <w:r w:rsidR="008B66DD">
          <w:rPr>
            <w:noProof/>
            <w:webHidden/>
          </w:rPr>
          <w:fldChar w:fldCharType="end"/>
        </w:r>
      </w:hyperlink>
    </w:p>
    <w:p w14:paraId="2491ACCB" w14:textId="6F91DD4D" w:rsidR="008B66DD" w:rsidRDefault="006E742C">
      <w:pPr>
        <w:pStyle w:val="TOC2"/>
        <w:rPr>
          <w:rFonts w:asciiTheme="minorHAnsi" w:eastAsiaTheme="minorEastAsia" w:hAnsiTheme="minorHAnsi" w:cstheme="minorBidi"/>
          <w:noProof/>
          <w:sz w:val="22"/>
          <w:szCs w:val="22"/>
        </w:rPr>
      </w:pPr>
      <w:hyperlink w:anchor="_Toc45016480" w:history="1">
        <w:r w:rsidR="008B66DD" w:rsidRPr="00235D65">
          <w:rPr>
            <w:rStyle w:val="Hyperlink"/>
            <w:noProof/>
          </w:rPr>
          <w:t>Simplification of the child support penalties write-off rules</w:t>
        </w:r>
        <w:r w:rsidR="008B66DD">
          <w:rPr>
            <w:noProof/>
            <w:webHidden/>
          </w:rPr>
          <w:tab/>
        </w:r>
        <w:r w:rsidR="008B66DD">
          <w:rPr>
            <w:noProof/>
            <w:webHidden/>
          </w:rPr>
          <w:fldChar w:fldCharType="begin"/>
        </w:r>
        <w:r w:rsidR="008B66DD">
          <w:rPr>
            <w:noProof/>
            <w:webHidden/>
          </w:rPr>
          <w:instrText xml:space="preserve"> PAGEREF _Toc45016480 \h </w:instrText>
        </w:r>
        <w:r w:rsidR="008B66DD">
          <w:rPr>
            <w:noProof/>
            <w:webHidden/>
          </w:rPr>
        </w:r>
        <w:r w:rsidR="008B66DD">
          <w:rPr>
            <w:noProof/>
            <w:webHidden/>
          </w:rPr>
          <w:fldChar w:fldCharType="separate"/>
        </w:r>
        <w:r w:rsidR="008B66DD">
          <w:rPr>
            <w:noProof/>
            <w:webHidden/>
          </w:rPr>
          <w:t>8</w:t>
        </w:r>
        <w:r w:rsidR="008B66DD">
          <w:rPr>
            <w:noProof/>
            <w:webHidden/>
          </w:rPr>
          <w:fldChar w:fldCharType="end"/>
        </w:r>
      </w:hyperlink>
    </w:p>
    <w:p w14:paraId="7205820D" w14:textId="0DADE685" w:rsidR="00E41835" w:rsidRDefault="00366F3C" w:rsidP="00817C0E">
      <w:r>
        <w:fldChar w:fldCharType="end"/>
      </w:r>
    </w:p>
    <w:p w14:paraId="585B31DE" w14:textId="77777777" w:rsidR="00817C0E" w:rsidRPr="00817C0E" w:rsidRDefault="00817C0E" w:rsidP="00817C0E">
      <w:pPr>
        <w:sectPr w:rsidR="00817C0E" w:rsidRPr="00817C0E" w:rsidSect="00CC7AA6">
          <w:footerReference w:type="default" r:id="rId16"/>
          <w:footerReference w:type="first" r:id="rId17"/>
          <w:type w:val="nextColumn"/>
          <w:pgSz w:w="11906" w:h="16838" w:code="9"/>
          <w:pgMar w:top="1304" w:right="1416" w:bottom="1134" w:left="1559" w:header="720" w:footer="567" w:gutter="0"/>
          <w:cols w:space="720"/>
          <w:docGrid w:linePitch="326"/>
        </w:sectPr>
      </w:pPr>
    </w:p>
    <w:p w14:paraId="3D95094F" w14:textId="1CF087BD" w:rsidR="003959E1" w:rsidRPr="00E22D08" w:rsidRDefault="00DE5AD4" w:rsidP="00E22D08">
      <w:pPr>
        <w:pStyle w:val="Heading1"/>
      </w:pPr>
      <w:bookmarkStart w:id="5" w:name="_Toc45016478"/>
      <w:r>
        <w:t xml:space="preserve">Child support </w:t>
      </w:r>
      <w:bookmarkEnd w:id="3"/>
      <w:r>
        <w:t>penalties</w:t>
      </w:r>
      <w:bookmarkEnd w:id="5"/>
    </w:p>
    <w:p w14:paraId="1992F89D" w14:textId="77777777" w:rsidR="009444E1" w:rsidRPr="009444E1" w:rsidRDefault="009444E1" w:rsidP="009444E1"/>
    <w:p w14:paraId="36585B81" w14:textId="77777777" w:rsidR="009444E1" w:rsidRPr="009444E1" w:rsidRDefault="009444E1" w:rsidP="009444E1">
      <w:pPr>
        <w:sectPr w:rsidR="009444E1" w:rsidRPr="009444E1" w:rsidSect="00817C0E">
          <w:type w:val="oddPage"/>
          <w:pgSz w:w="11906" w:h="16838" w:code="9"/>
          <w:pgMar w:top="1304" w:right="1559" w:bottom="1134" w:left="1559" w:header="720" w:footer="567" w:gutter="0"/>
          <w:cols w:space="720"/>
          <w:docGrid w:linePitch="326"/>
        </w:sectPr>
      </w:pPr>
    </w:p>
    <w:p w14:paraId="5BDFC5D7" w14:textId="69DB6783" w:rsidR="00DE5AD4" w:rsidRDefault="00DE5AD4" w:rsidP="00DE5AD4">
      <w:pPr>
        <w:pStyle w:val="Heading2"/>
      </w:pPr>
      <w:bookmarkStart w:id="6" w:name="_Toc14174911"/>
      <w:bookmarkStart w:id="7" w:name="_Toc45016479"/>
      <w:bookmarkEnd w:id="4"/>
      <w:bookmarkEnd w:id="6"/>
      <w:r>
        <w:t>Repeal of child support incremental penalties</w:t>
      </w:r>
      <w:bookmarkEnd w:id="7"/>
    </w:p>
    <w:p w14:paraId="32B5A4E5" w14:textId="4D3AB23D" w:rsidR="00DE5AD4" w:rsidRDefault="00DE5AD4" w:rsidP="00DE5AD4">
      <w:pPr>
        <w:pStyle w:val="Clause"/>
      </w:pPr>
      <w:r>
        <w:t>(Clause 42)</w:t>
      </w:r>
    </w:p>
    <w:p w14:paraId="7D83AC38" w14:textId="77777777" w:rsidR="00DE5AD4" w:rsidRDefault="00DE5AD4" w:rsidP="00DE5AD4">
      <w:pPr>
        <w:pStyle w:val="Heading3"/>
      </w:pPr>
      <w:r>
        <w:t>Summary of proposed amendment</w:t>
      </w:r>
    </w:p>
    <w:p w14:paraId="3F72E80A" w14:textId="77777777" w:rsidR="00DE5AD4" w:rsidRDefault="00DE5AD4" w:rsidP="00DE5AD4">
      <w:r>
        <w:t>Late payment penalties are imposed on a liable parent if they do not pay on time. Initial penalties are applied in two stages in the first month, and if the amount is not paid incremental penalties are imposed each month the amount is outstanding. The proposal is to no longer charge incremental penalties.</w:t>
      </w:r>
    </w:p>
    <w:p w14:paraId="363C9FAD" w14:textId="77777777" w:rsidR="00DE5AD4" w:rsidRDefault="00DE5AD4" w:rsidP="00DE5AD4">
      <w:pPr>
        <w:pStyle w:val="Heading3"/>
      </w:pPr>
      <w:r>
        <w:t>Application date</w:t>
      </w:r>
    </w:p>
    <w:p w14:paraId="4EC673BB" w14:textId="77777777" w:rsidR="00DE5AD4" w:rsidRDefault="00DE5AD4" w:rsidP="00DE5AD4">
      <w:r>
        <w:t>The proposed amendment would apply from 1 April 2021.</w:t>
      </w:r>
    </w:p>
    <w:p w14:paraId="2E52BC81" w14:textId="77777777" w:rsidR="00DE5AD4" w:rsidRDefault="00DE5AD4" w:rsidP="00DE5AD4">
      <w:pPr>
        <w:pStyle w:val="Heading3"/>
      </w:pPr>
      <w:r>
        <w:t>Key features</w:t>
      </w:r>
    </w:p>
    <w:p w14:paraId="37166619" w14:textId="77777777" w:rsidR="00DE5AD4" w:rsidRDefault="00DE5AD4" w:rsidP="00DE5AD4">
      <w:r>
        <w:t>Incremental penalties would no longer be charged on child support amounts not paid on time.</w:t>
      </w:r>
    </w:p>
    <w:p w14:paraId="7157A0A0" w14:textId="7C6617DC" w:rsidR="00DE5AD4" w:rsidRDefault="00DE5AD4" w:rsidP="00DE5AD4">
      <w:r>
        <w:t>The change would apply to unpaid amounts on or after 1 April 2021. That is, penalties will not be applied to:</w:t>
      </w:r>
    </w:p>
    <w:p w14:paraId="49BA0845" w14:textId="77777777" w:rsidR="00DE5AD4" w:rsidRDefault="00DE5AD4" w:rsidP="00DE5AD4">
      <w:pPr>
        <w:pStyle w:val="ListBullet"/>
      </w:pPr>
      <w:r>
        <w:t>new debt arising on or after 1 April 2021; and</w:t>
      </w:r>
    </w:p>
    <w:p w14:paraId="00DC1982" w14:textId="77777777" w:rsidR="00DE5AD4" w:rsidRDefault="00DE5AD4" w:rsidP="00DE5AD4">
      <w:pPr>
        <w:pStyle w:val="ListBullet"/>
      </w:pPr>
      <w:r>
        <w:t>existing unpaid amounts due before 1 April 2021.</w:t>
      </w:r>
    </w:p>
    <w:p w14:paraId="16CB4CEC" w14:textId="77777777" w:rsidR="00DE5AD4" w:rsidRDefault="00DE5AD4" w:rsidP="00DE5AD4">
      <w:r>
        <w:t>Penalties imposed before 1 April 2021 would remain.</w:t>
      </w:r>
    </w:p>
    <w:p w14:paraId="1052B229" w14:textId="77777777" w:rsidR="00DE5AD4" w:rsidRDefault="00DE5AD4" w:rsidP="00DE5AD4">
      <w:pPr>
        <w:pStyle w:val="Heading3"/>
      </w:pPr>
      <w:r>
        <w:t>Background</w:t>
      </w:r>
    </w:p>
    <w:p w14:paraId="4F898541" w14:textId="77777777" w:rsidR="00DE5AD4" w:rsidRDefault="00DE5AD4" w:rsidP="00DE5AD4">
      <w:r>
        <w:t>Currently, late payment penalties are imposed on a liable parent if they do not pay on time. Initial penalties are imposed as well as incremental penalties. Incremental penalties are applied at:</w:t>
      </w:r>
    </w:p>
    <w:p w14:paraId="69C9F334" w14:textId="77777777" w:rsidR="00DE5AD4" w:rsidRDefault="00DE5AD4" w:rsidP="00DE5AD4">
      <w:pPr>
        <w:pStyle w:val="ListBullet"/>
      </w:pPr>
      <w:r>
        <w:t>2% of the outstanding amount including penalties from one month after the due date for the next 11 months; and</w:t>
      </w:r>
    </w:p>
    <w:p w14:paraId="0383F94C" w14:textId="77777777" w:rsidR="00DE5AD4" w:rsidRDefault="00DE5AD4" w:rsidP="00DE5AD4">
      <w:pPr>
        <w:pStyle w:val="ListBullet"/>
      </w:pPr>
      <w:r>
        <w:t>1% of the outstanding amount including penalties each month from 13 months after the due date.</w:t>
      </w:r>
    </w:p>
    <w:p w14:paraId="78FF7F32" w14:textId="77777777" w:rsidR="00DE5AD4" w:rsidRDefault="00DE5AD4" w:rsidP="00DE5AD4">
      <w:r>
        <w:t>The penalties compound and create further debt for customers. The compounding nature of incremental penalties can result in liable parents disengaging with their child support obligations. When a payment is made, it is allocated to the core amount first and then to any penalties. Write-off rules mean that in most cases incremental penalties are written off.</w:t>
      </w:r>
    </w:p>
    <w:p w14:paraId="7CBF8FE8" w14:textId="77777777" w:rsidR="00DE5AD4" w:rsidRDefault="00DE5AD4" w:rsidP="00DE5AD4">
      <w:r>
        <w:t>Initial penalties are being retained. As child support is due each month, if a person is late paying month-after-month, Inland Revenue is able to take appropriate follow up action with the person when initial penalties are imposed.</w:t>
      </w:r>
    </w:p>
    <w:p w14:paraId="1F7E04F9" w14:textId="49D88183" w:rsidR="00DE5AD4" w:rsidRDefault="00DE5AD4" w:rsidP="00DE5AD4">
      <w:pPr>
        <w:pStyle w:val="Heading2"/>
      </w:pPr>
      <w:bookmarkStart w:id="8" w:name="_Toc45016480"/>
      <w:r>
        <w:t>Simplification of the child support penalties write-off rules</w:t>
      </w:r>
      <w:bookmarkEnd w:id="8"/>
    </w:p>
    <w:p w14:paraId="409186D8" w14:textId="73AE3F57" w:rsidR="00DE5AD4" w:rsidRDefault="00DE5AD4" w:rsidP="00DE5AD4">
      <w:pPr>
        <w:pStyle w:val="Clause"/>
      </w:pPr>
      <w:r>
        <w:t>(Clauses 43A, 43B, 43C, 43D, 43E, 43F, 43G, and 44A)</w:t>
      </w:r>
    </w:p>
    <w:p w14:paraId="29EEE3C3" w14:textId="77777777" w:rsidR="00DE5AD4" w:rsidRDefault="00DE5AD4" w:rsidP="00DE5AD4">
      <w:pPr>
        <w:pStyle w:val="Heading3"/>
      </w:pPr>
      <w:r>
        <w:t>Summary of proposed amendment</w:t>
      </w:r>
    </w:p>
    <w:p w14:paraId="4CA47AC5" w14:textId="77777777" w:rsidR="00DE5AD4" w:rsidRDefault="00DE5AD4" w:rsidP="00DE5AD4">
      <w:r>
        <w:t>It is proposed that the child support penalty write-off rules be simplified.</w:t>
      </w:r>
    </w:p>
    <w:p w14:paraId="5D06A39E" w14:textId="77777777" w:rsidR="00DE5AD4" w:rsidRDefault="00DE5AD4" w:rsidP="00DE5AD4">
      <w:pPr>
        <w:pStyle w:val="Heading3"/>
      </w:pPr>
      <w:r>
        <w:t>Application date</w:t>
      </w:r>
    </w:p>
    <w:p w14:paraId="62BFCC3F" w14:textId="77777777" w:rsidR="00DE5AD4" w:rsidRDefault="00DE5AD4" w:rsidP="00DE5AD4">
      <w:r>
        <w:t>The proposed amendment would apply from 1 April 2021.</w:t>
      </w:r>
    </w:p>
    <w:p w14:paraId="730B83A5" w14:textId="77777777" w:rsidR="00DE5AD4" w:rsidRDefault="00DE5AD4" w:rsidP="00DE5AD4">
      <w:pPr>
        <w:pStyle w:val="Heading3"/>
      </w:pPr>
      <w:r>
        <w:t>Key features</w:t>
      </w:r>
    </w:p>
    <w:p w14:paraId="1BC64D53" w14:textId="77777777" w:rsidR="00DE5AD4" w:rsidRDefault="00DE5AD4" w:rsidP="00DE5AD4">
      <w:r>
        <w:t>The child support penalty write-off rules would be simplified to allow for the write-off of penalties when:</w:t>
      </w:r>
    </w:p>
    <w:p w14:paraId="219130B6" w14:textId="77777777" w:rsidR="00DE5AD4" w:rsidRDefault="00DE5AD4" w:rsidP="00DE5AD4">
      <w:pPr>
        <w:pStyle w:val="ListBullet"/>
      </w:pPr>
      <w:r>
        <w:t xml:space="preserve">there was a reasonable cause for the late </w:t>
      </w:r>
      <w:proofErr w:type="gramStart"/>
      <w:r>
        <w:t>payment;</w:t>
      </w:r>
      <w:proofErr w:type="gramEnd"/>
    </w:p>
    <w:p w14:paraId="5A067B80" w14:textId="61EB4EA2" w:rsidR="00DE5AD4" w:rsidRDefault="00DE5AD4" w:rsidP="00DE5AD4">
      <w:pPr>
        <w:pStyle w:val="ListBullet"/>
      </w:pPr>
      <w:r>
        <w:t xml:space="preserve">the late payment was due to the failure of another person to make a </w:t>
      </w:r>
      <w:proofErr w:type="gramStart"/>
      <w:r>
        <w:t>deduction;</w:t>
      </w:r>
      <w:proofErr w:type="gramEnd"/>
    </w:p>
    <w:p w14:paraId="45BCBEFB" w14:textId="7C1E8114" w:rsidR="00DE5AD4" w:rsidRDefault="00DE5AD4" w:rsidP="00DE5AD4">
      <w:pPr>
        <w:pStyle w:val="ListBullet"/>
      </w:pPr>
      <w:r>
        <w:t xml:space="preserve">the late payment was due to an honest mistake by the liable </w:t>
      </w:r>
      <w:proofErr w:type="gramStart"/>
      <w:r>
        <w:t>parent;</w:t>
      </w:r>
      <w:proofErr w:type="gramEnd"/>
    </w:p>
    <w:p w14:paraId="74F78915" w14:textId="77777777" w:rsidR="00DE5AD4" w:rsidRDefault="00DE5AD4" w:rsidP="00DE5AD4">
      <w:pPr>
        <w:pStyle w:val="ListBullet"/>
      </w:pPr>
      <w:r>
        <w:t xml:space="preserve">an error was made by Inland </w:t>
      </w:r>
      <w:proofErr w:type="gramStart"/>
      <w:r>
        <w:t>Revenue;</w:t>
      </w:r>
      <w:proofErr w:type="gramEnd"/>
    </w:p>
    <w:p w14:paraId="5752EC07" w14:textId="77777777" w:rsidR="00DE5AD4" w:rsidRDefault="00DE5AD4" w:rsidP="00DE5AD4">
      <w:pPr>
        <w:pStyle w:val="ListBullet"/>
      </w:pPr>
      <w:r>
        <w:t xml:space="preserve">a person is in serous </w:t>
      </w:r>
      <w:proofErr w:type="gramStart"/>
      <w:r>
        <w:t>hardship;</w:t>
      </w:r>
      <w:proofErr w:type="gramEnd"/>
    </w:p>
    <w:p w14:paraId="2335BD0F" w14:textId="77777777" w:rsidR="00DE5AD4" w:rsidRDefault="00DE5AD4" w:rsidP="00DE5AD4">
      <w:pPr>
        <w:pStyle w:val="ListBullet"/>
      </w:pPr>
      <w:r>
        <w:t>it is an inefficient use of Inland Revenue’s resources to collect the penalty; and</w:t>
      </w:r>
    </w:p>
    <w:p w14:paraId="5FA2AD3B" w14:textId="77777777" w:rsidR="00DE5AD4" w:rsidRDefault="00DE5AD4" w:rsidP="00DE5AD4">
      <w:pPr>
        <w:pStyle w:val="ListBullet"/>
      </w:pPr>
      <w:r>
        <w:t xml:space="preserve">the receiving carer has uplifted the debt, or waived the right to the payment, to which the penalty </w:t>
      </w:r>
      <w:proofErr w:type="gramStart"/>
      <w:r>
        <w:t>relates</w:t>
      </w:r>
      <w:proofErr w:type="gramEnd"/>
      <w:r>
        <w:t xml:space="preserve"> and a write-off would be fair and reasonable.</w:t>
      </w:r>
    </w:p>
    <w:p w14:paraId="7EDCA6E4" w14:textId="77777777" w:rsidR="00DE5AD4" w:rsidRDefault="00DE5AD4" w:rsidP="00DE5AD4">
      <w:r>
        <w:t>To ensure parents who are charged penalties on or before 31 March 2021 are not worse off under the new rules, a “fair and reasonable” penalty write-off provision would be retained that would only be used to write-off penalties charged on or before 31 March 2021.</w:t>
      </w:r>
    </w:p>
    <w:p w14:paraId="71FB7FB2" w14:textId="77777777" w:rsidR="00DE5AD4" w:rsidRDefault="00DE5AD4" w:rsidP="00DE5AD4">
      <w:pPr>
        <w:pStyle w:val="Heading3"/>
      </w:pPr>
      <w:r>
        <w:t>Background</w:t>
      </w:r>
    </w:p>
    <w:p w14:paraId="48144C80" w14:textId="6948FBCA" w:rsidR="00DE5AD4" w:rsidRDefault="00DE5AD4" w:rsidP="00DE5AD4">
      <w:r>
        <w:t>The current penalty write-off provisions are complex and difficult for customers to understand and Inland Revenue to administer. Most of the incremental penalties imposed can be written off. Table 1 outlines the current write-off provisions.</w:t>
      </w:r>
    </w:p>
    <w:p w14:paraId="38C23592" w14:textId="77777777" w:rsidR="008B66DD" w:rsidRPr="008B66DD" w:rsidRDefault="008B66DD" w:rsidP="00F034D4">
      <w:r w:rsidRPr="008B66DD">
        <w:br w:type="page"/>
      </w:r>
    </w:p>
    <w:p w14:paraId="7DC58028" w14:textId="7A2356B4" w:rsidR="00DE5AD4" w:rsidRDefault="00DE5AD4" w:rsidP="00F034D4">
      <w:pPr>
        <w:pStyle w:val="Caption"/>
      </w:pPr>
      <w:r w:rsidRPr="00DE5AD4">
        <w:t>Table 1: Current write-off provisions</w:t>
      </w:r>
    </w:p>
    <w:tbl>
      <w:tblPr>
        <w:tblStyle w:val="TableGrid"/>
        <w:tblW w:w="8926" w:type="dxa"/>
        <w:tblLayout w:type="fixed"/>
        <w:tblLook w:val="04A0" w:firstRow="1" w:lastRow="0" w:firstColumn="1" w:lastColumn="0" w:noHBand="0" w:noVBand="1"/>
      </w:tblPr>
      <w:tblGrid>
        <w:gridCol w:w="1017"/>
        <w:gridCol w:w="1672"/>
        <w:gridCol w:w="2268"/>
        <w:gridCol w:w="3969"/>
      </w:tblGrid>
      <w:tr w:rsidR="00DE5AD4" w:rsidRPr="00DE5AD4" w14:paraId="262827F8" w14:textId="77777777" w:rsidTr="0062051D">
        <w:trPr>
          <w:cantSplit/>
          <w:tblHeader/>
        </w:trPr>
        <w:tc>
          <w:tcPr>
            <w:tcW w:w="1017" w:type="dxa"/>
          </w:tcPr>
          <w:p w14:paraId="796DCE5B" w14:textId="77777777" w:rsidR="00DE5AD4" w:rsidRPr="00DE5AD4" w:rsidRDefault="00DE5AD4" w:rsidP="00DE5AD4">
            <w:pPr>
              <w:pStyle w:val="Table-HeaderRow"/>
            </w:pPr>
            <w:r w:rsidRPr="00DE5AD4">
              <w:t>Section</w:t>
            </w:r>
          </w:p>
        </w:tc>
        <w:tc>
          <w:tcPr>
            <w:tcW w:w="1672" w:type="dxa"/>
          </w:tcPr>
          <w:p w14:paraId="04927DC3" w14:textId="29DE6061" w:rsidR="00DE5AD4" w:rsidRPr="00DE5AD4" w:rsidRDefault="00DE5AD4" w:rsidP="00DE5AD4">
            <w:pPr>
              <w:pStyle w:val="Table-HeaderRow"/>
            </w:pPr>
            <w:r w:rsidRPr="00DE5AD4">
              <w:t>Mandatory</w:t>
            </w:r>
            <w:r w:rsidR="00991736">
              <w:t xml:space="preserve"> or </w:t>
            </w:r>
            <w:r w:rsidRPr="00DE5AD4">
              <w:t>discretionary</w:t>
            </w:r>
          </w:p>
        </w:tc>
        <w:tc>
          <w:tcPr>
            <w:tcW w:w="2268" w:type="dxa"/>
          </w:tcPr>
          <w:p w14:paraId="02EF4955" w14:textId="79ADC0E7" w:rsidR="00DE5AD4" w:rsidRPr="00DE5AD4" w:rsidRDefault="000668CD" w:rsidP="00DE5AD4">
            <w:pPr>
              <w:pStyle w:val="Table-HeaderRow"/>
            </w:pPr>
            <w:r>
              <w:t>Type of penalt</w:t>
            </w:r>
            <w:r w:rsidR="0062051D">
              <w:t>ies</w:t>
            </w:r>
          </w:p>
        </w:tc>
        <w:tc>
          <w:tcPr>
            <w:tcW w:w="3969" w:type="dxa"/>
          </w:tcPr>
          <w:p w14:paraId="30DCEACA" w14:textId="77777777" w:rsidR="00DE5AD4" w:rsidRPr="00DE5AD4" w:rsidRDefault="00DE5AD4" w:rsidP="00DE5AD4">
            <w:pPr>
              <w:pStyle w:val="Table-HeaderRow"/>
            </w:pPr>
            <w:r w:rsidRPr="00DE5AD4">
              <w:t>Explanation</w:t>
            </w:r>
          </w:p>
        </w:tc>
      </w:tr>
      <w:tr w:rsidR="00DE5AD4" w:rsidRPr="00DE5AD4" w14:paraId="7A09326A" w14:textId="77777777" w:rsidTr="0062051D">
        <w:trPr>
          <w:cantSplit/>
        </w:trPr>
        <w:tc>
          <w:tcPr>
            <w:tcW w:w="1017" w:type="dxa"/>
          </w:tcPr>
          <w:p w14:paraId="6D9224BD" w14:textId="77777777" w:rsidR="00DE5AD4" w:rsidRPr="00DE5AD4" w:rsidRDefault="00DE5AD4" w:rsidP="00DE5AD4">
            <w:pPr>
              <w:pStyle w:val="Table-Text"/>
            </w:pPr>
            <w:r w:rsidRPr="00DE5AD4">
              <w:t>135A</w:t>
            </w:r>
          </w:p>
        </w:tc>
        <w:tc>
          <w:tcPr>
            <w:tcW w:w="1672" w:type="dxa"/>
          </w:tcPr>
          <w:p w14:paraId="1A986A16" w14:textId="14B7D3B5" w:rsidR="00DE5AD4" w:rsidRPr="00DE5AD4" w:rsidRDefault="002A58E4" w:rsidP="00DE5AD4">
            <w:pPr>
              <w:pStyle w:val="Table-Text"/>
            </w:pPr>
            <w:r>
              <w:t>-</w:t>
            </w:r>
          </w:p>
        </w:tc>
        <w:tc>
          <w:tcPr>
            <w:tcW w:w="2268" w:type="dxa"/>
          </w:tcPr>
          <w:p w14:paraId="642A988B" w14:textId="3B818F41" w:rsidR="00DE5AD4" w:rsidRPr="00DE5AD4" w:rsidRDefault="002A58E4" w:rsidP="00DE5AD4">
            <w:pPr>
              <w:pStyle w:val="Table-Text"/>
            </w:pPr>
            <w:r>
              <w:t>-</w:t>
            </w:r>
          </w:p>
        </w:tc>
        <w:tc>
          <w:tcPr>
            <w:tcW w:w="3969" w:type="dxa"/>
          </w:tcPr>
          <w:p w14:paraId="1304AD87" w14:textId="0EA16976" w:rsidR="00DE5AD4" w:rsidRDefault="0062051D" w:rsidP="00DE5AD4">
            <w:pPr>
              <w:pStyle w:val="Table-Text"/>
            </w:pPr>
            <w:r>
              <w:t xml:space="preserve">The </w:t>
            </w:r>
            <w:r w:rsidR="00DE5AD4" w:rsidRPr="00DE5AD4">
              <w:t>Commissioner may grant relief by writing off in part or in full.</w:t>
            </w:r>
          </w:p>
          <w:p w14:paraId="512B026F" w14:textId="624279A4" w:rsidR="00DE5AD4" w:rsidRPr="00DE5AD4" w:rsidRDefault="00DE5AD4" w:rsidP="00DE5AD4">
            <w:pPr>
              <w:pStyle w:val="Table-Text"/>
            </w:pPr>
            <w:r w:rsidRPr="00DE5AD4">
              <w:t>If an amount has been paid and the Commissioner writes off a penalty, the amount paid can be refunded</w:t>
            </w:r>
            <w:r w:rsidR="00991736">
              <w:t>.</w:t>
            </w:r>
          </w:p>
        </w:tc>
      </w:tr>
      <w:tr w:rsidR="00DE5AD4" w:rsidRPr="00DE5AD4" w14:paraId="33094DF6" w14:textId="77777777" w:rsidTr="0062051D">
        <w:trPr>
          <w:cantSplit/>
        </w:trPr>
        <w:tc>
          <w:tcPr>
            <w:tcW w:w="1017" w:type="dxa"/>
          </w:tcPr>
          <w:p w14:paraId="247FEAA0" w14:textId="77777777" w:rsidR="00DE5AD4" w:rsidRPr="00DE5AD4" w:rsidRDefault="00DE5AD4" w:rsidP="00DE5AD4">
            <w:pPr>
              <w:pStyle w:val="Table-Text"/>
            </w:pPr>
            <w:r w:rsidRPr="00DE5AD4">
              <w:t>135B</w:t>
            </w:r>
          </w:p>
        </w:tc>
        <w:tc>
          <w:tcPr>
            <w:tcW w:w="1672" w:type="dxa"/>
          </w:tcPr>
          <w:p w14:paraId="5A58CEC5" w14:textId="77777777" w:rsidR="00DE5AD4" w:rsidRPr="00DE5AD4" w:rsidRDefault="00DE5AD4" w:rsidP="00DE5AD4">
            <w:pPr>
              <w:pStyle w:val="Table-Text"/>
            </w:pPr>
            <w:r w:rsidRPr="00DE5AD4">
              <w:t>Discretionary</w:t>
            </w:r>
          </w:p>
        </w:tc>
        <w:tc>
          <w:tcPr>
            <w:tcW w:w="2268" w:type="dxa"/>
          </w:tcPr>
          <w:p w14:paraId="1C0142D2" w14:textId="77777777" w:rsidR="00DE5AD4" w:rsidRPr="00DE5AD4" w:rsidRDefault="00DE5AD4" w:rsidP="00DE5AD4">
            <w:pPr>
              <w:pStyle w:val="Table-Text"/>
            </w:pPr>
            <w:r w:rsidRPr="00DE5AD4">
              <w:t>Initial and incremental (but does not refer to either)</w:t>
            </w:r>
          </w:p>
        </w:tc>
        <w:tc>
          <w:tcPr>
            <w:tcW w:w="3969" w:type="dxa"/>
          </w:tcPr>
          <w:p w14:paraId="776D314D" w14:textId="2B41639E" w:rsidR="00DE5AD4" w:rsidRPr="00DE5AD4" w:rsidRDefault="00DE5AD4" w:rsidP="00DE5AD4">
            <w:pPr>
              <w:pStyle w:val="Table-Text"/>
            </w:pPr>
            <w:r w:rsidRPr="00DE5AD4">
              <w:t>Reasonable cause</w:t>
            </w:r>
            <w:r w:rsidR="00991736">
              <w:t>.</w:t>
            </w:r>
          </w:p>
        </w:tc>
      </w:tr>
      <w:tr w:rsidR="00DE5AD4" w:rsidRPr="00DE5AD4" w14:paraId="5D7A902C" w14:textId="77777777" w:rsidTr="0062051D">
        <w:trPr>
          <w:cantSplit/>
        </w:trPr>
        <w:tc>
          <w:tcPr>
            <w:tcW w:w="1017" w:type="dxa"/>
          </w:tcPr>
          <w:p w14:paraId="07009AEE" w14:textId="77777777" w:rsidR="00DE5AD4" w:rsidRPr="00DE5AD4" w:rsidRDefault="00DE5AD4" w:rsidP="00DE5AD4">
            <w:pPr>
              <w:pStyle w:val="Table-Text"/>
            </w:pPr>
            <w:r w:rsidRPr="00DE5AD4">
              <w:t>135C</w:t>
            </w:r>
          </w:p>
        </w:tc>
        <w:tc>
          <w:tcPr>
            <w:tcW w:w="1672" w:type="dxa"/>
          </w:tcPr>
          <w:p w14:paraId="3D4457A8" w14:textId="77777777" w:rsidR="00DE5AD4" w:rsidRPr="00DE5AD4" w:rsidRDefault="00DE5AD4" w:rsidP="00DE5AD4">
            <w:pPr>
              <w:pStyle w:val="Table-Text"/>
            </w:pPr>
            <w:r w:rsidRPr="00DE5AD4">
              <w:t>Discretionary</w:t>
            </w:r>
          </w:p>
        </w:tc>
        <w:tc>
          <w:tcPr>
            <w:tcW w:w="2268" w:type="dxa"/>
          </w:tcPr>
          <w:p w14:paraId="01E38E8B" w14:textId="77777777" w:rsidR="00DE5AD4" w:rsidRPr="00DE5AD4" w:rsidRDefault="00DE5AD4" w:rsidP="00DE5AD4">
            <w:pPr>
              <w:pStyle w:val="Table-Text"/>
            </w:pPr>
            <w:r w:rsidRPr="00DE5AD4">
              <w:t>Initial and incremental</w:t>
            </w:r>
          </w:p>
        </w:tc>
        <w:tc>
          <w:tcPr>
            <w:tcW w:w="3969" w:type="dxa"/>
          </w:tcPr>
          <w:p w14:paraId="11E01B0E" w14:textId="0697727A" w:rsidR="00DE5AD4" w:rsidRPr="00DE5AD4" w:rsidRDefault="00DE5AD4" w:rsidP="00DE5AD4">
            <w:pPr>
              <w:pStyle w:val="Table-Text"/>
            </w:pPr>
            <w:r w:rsidRPr="00DE5AD4">
              <w:t>Failure of another person to make a deduction</w:t>
            </w:r>
            <w:r w:rsidR="00991736">
              <w:t>.</w:t>
            </w:r>
          </w:p>
        </w:tc>
      </w:tr>
      <w:tr w:rsidR="00DE5AD4" w:rsidRPr="00DE5AD4" w14:paraId="342645D2" w14:textId="77777777" w:rsidTr="0062051D">
        <w:trPr>
          <w:cantSplit/>
        </w:trPr>
        <w:tc>
          <w:tcPr>
            <w:tcW w:w="1017" w:type="dxa"/>
          </w:tcPr>
          <w:p w14:paraId="41F9DFA5" w14:textId="77777777" w:rsidR="00DE5AD4" w:rsidRPr="00DE5AD4" w:rsidRDefault="00DE5AD4" w:rsidP="00DE5AD4">
            <w:pPr>
              <w:pStyle w:val="Table-Text"/>
            </w:pPr>
            <w:r w:rsidRPr="00DE5AD4">
              <w:t>135D</w:t>
            </w:r>
          </w:p>
        </w:tc>
        <w:tc>
          <w:tcPr>
            <w:tcW w:w="1672" w:type="dxa"/>
          </w:tcPr>
          <w:p w14:paraId="2A0599DB" w14:textId="77777777" w:rsidR="00DE5AD4" w:rsidRPr="00DE5AD4" w:rsidRDefault="00DE5AD4" w:rsidP="00DE5AD4">
            <w:pPr>
              <w:pStyle w:val="Table-Text"/>
            </w:pPr>
            <w:r w:rsidRPr="00DE5AD4">
              <w:t>Discretionary</w:t>
            </w:r>
          </w:p>
        </w:tc>
        <w:tc>
          <w:tcPr>
            <w:tcW w:w="2268" w:type="dxa"/>
          </w:tcPr>
          <w:p w14:paraId="33EC2307" w14:textId="77777777" w:rsidR="00DE5AD4" w:rsidRPr="00DE5AD4" w:rsidRDefault="00DE5AD4" w:rsidP="00DE5AD4">
            <w:pPr>
              <w:pStyle w:val="Table-Text"/>
            </w:pPr>
            <w:r w:rsidRPr="00DE5AD4">
              <w:t>Initial and incremental</w:t>
            </w:r>
          </w:p>
        </w:tc>
        <w:tc>
          <w:tcPr>
            <w:tcW w:w="3969" w:type="dxa"/>
          </w:tcPr>
          <w:p w14:paraId="05088D6D" w14:textId="7B0F7022" w:rsidR="00DE5AD4" w:rsidRPr="00DE5AD4" w:rsidRDefault="00DE5AD4" w:rsidP="00DE5AD4">
            <w:pPr>
              <w:pStyle w:val="Table-Text"/>
            </w:pPr>
            <w:r w:rsidRPr="00DE5AD4">
              <w:t>Honest oversight by liable person with no history of default</w:t>
            </w:r>
            <w:r w:rsidR="00991736">
              <w:t>.</w:t>
            </w:r>
          </w:p>
        </w:tc>
      </w:tr>
      <w:tr w:rsidR="00DE5AD4" w:rsidRPr="00DE5AD4" w14:paraId="1D3025EB" w14:textId="77777777" w:rsidTr="0062051D">
        <w:trPr>
          <w:cantSplit/>
        </w:trPr>
        <w:tc>
          <w:tcPr>
            <w:tcW w:w="1017" w:type="dxa"/>
          </w:tcPr>
          <w:p w14:paraId="3B515E1C" w14:textId="77777777" w:rsidR="00DE5AD4" w:rsidRPr="00DE5AD4" w:rsidRDefault="00DE5AD4" w:rsidP="00DE5AD4">
            <w:pPr>
              <w:pStyle w:val="Table-Text"/>
            </w:pPr>
            <w:r w:rsidRPr="00DE5AD4">
              <w:t>135E</w:t>
            </w:r>
          </w:p>
        </w:tc>
        <w:tc>
          <w:tcPr>
            <w:tcW w:w="1672" w:type="dxa"/>
          </w:tcPr>
          <w:p w14:paraId="3B942353" w14:textId="77777777" w:rsidR="00DE5AD4" w:rsidRPr="00DE5AD4" w:rsidRDefault="00DE5AD4" w:rsidP="00DE5AD4">
            <w:pPr>
              <w:pStyle w:val="Table-Text"/>
            </w:pPr>
            <w:r w:rsidRPr="00DE5AD4">
              <w:t>Discretionary</w:t>
            </w:r>
          </w:p>
        </w:tc>
        <w:tc>
          <w:tcPr>
            <w:tcW w:w="2268" w:type="dxa"/>
          </w:tcPr>
          <w:p w14:paraId="3D1C081C" w14:textId="77777777" w:rsidR="00DE5AD4" w:rsidRPr="00DE5AD4" w:rsidRDefault="00DE5AD4" w:rsidP="00DE5AD4">
            <w:pPr>
              <w:pStyle w:val="Table-Text"/>
            </w:pPr>
            <w:r w:rsidRPr="00DE5AD4">
              <w:t>Initial and incremental</w:t>
            </w:r>
          </w:p>
        </w:tc>
        <w:tc>
          <w:tcPr>
            <w:tcW w:w="3969" w:type="dxa"/>
          </w:tcPr>
          <w:p w14:paraId="776FF5A8" w14:textId="19CE60AC" w:rsidR="00DE5AD4" w:rsidRPr="00DE5AD4" w:rsidRDefault="00DE5AD4" w:rsidP="00DE5AD4">
            <w:pPr>
              <w:pStyle w:val="Table-Text"/>
            </w:pPr>
            <w:r w:rsidRPr="00DE5AD4">
              <w:t xml:space="preserve">Error made by </w:t>
            </w:r>
            <w:r w:rsidR="00991736">
              <w:t>Inland Revenue.</w:t>
            </w:r>
          </w:p>
        </w:tc>
      </w:tr>
      <w:tr w:rsidR="00DE5AD4" w:rsidRPr="00DE5AD4" w14:paraId="095BCFF1" w14:textId="77777777" w:rsidTr="0062051D">
        <w:trPr>
          <w:cantSplit/>
        </w:trPr>
        <w:tc>
          <w:tcPr>
            <w:tcW w:w="1017" w:type="dxa"/>
          </w:tcPr>
          <w:p w14:paraId="5B2B73D3" w14:textId="77777777" w:rsidR="00DE5AD4" w:rsidRPr="00DE5AD4" w:rsidRDefault="00DE5AD4" w:rsidP="00DE5AD4">
            <w:pPr>
              <w:pStyle w:val="Table-Text"/>
            </w:pPr>
            <w:r w:rsidRPr="00DE5AD4">
              <w:t>135F</w:t>
            </w:r>
          </w:p>
        </w:tc>
        <w:tc>
          <w:tcPr>
            <w:tcW w:w="1672" w:type="dxa"/>
          </w:tcPr>
          <w:p w14:paraId="2D073C1F" w14:textId="77777777" w:rsidR="00DE5AD4" w:rsidRPr="00DE5AD4" w:rsidRDefault="00DE5AD4" w:rsidP="00DE5AD4">
            <w:pPr>
              <w:pStyle w:val="Table-Text"/>
            </w:pPr>
            <w:r w:rsidRPr="00DE5AD4">
              <w:t>Discretionary</w:t>
            </w:r>
          </w:p>
        </w:tc>
        <w:tc>
          <w:tcPr>
            <w:tcW w:w="2268" w:type="dxa"/>
          </w:tcPr>
          <w:p w14:paraId="099A3C45" w14:textId="77777777" w:rsidR="00DE5AD4" w:rsidRPr="00DE5AD4" w:rsidRDefault="00DE5AD4" w:rsidP="00DE5AD4">
            <w:pPr>
              <w:pStyle w:val="Table-Text"/>
            </w:pPr>
            <w:r w:rsidRPr="00DE5AD4">
              <w:t>Initial and incremental</w:t>
            </w:r>
          </w:p>
        </w:tc>
        <w:tc>
          <w:tcPr>
            <w:tcW w:w="3969" w:type="dxa"/>
          </w:tcPr>
          <w:p w14:paraId="7D06CFB8" w14:textId="59A0514D" w:rsidR="00DE5AD4" w:rsidRPr="00DE5AD4" w:rsidRDefault="00DE5AD4" w:rsidP="00DE5AD4">
            <w:pPr>
              <w:pStyle w:val="Table-Text"/>
            </w:pPr>
            <w:r w:rsidRPr="00DE5AD4">
              <w:t>Debt waived or uplifted</w:t>
            </w:r>
            <w:r w:rsidR="00991736">
              <w:t>.</w:t>
            </w:r>
          </w:p>
        </w:tc>
      </w:tr>
      <w:tr w:rsidR="00DE5AD4" w:rsidRPr="00DE5AD4" w14:paraId="70467521" w14:textId="77777777" w:rsidTr="0062051D">
        <w:trPr>
          <w:cantSplit/>
        </w:trPr>
        <w:tc>
          <w:tcPr>
            <w:tcW w:w="1017" w:type="dxa"/>
          </w:tcPr>
          <w:p w14:paraId="2244FB0A" w14:textId="77777777" w:rsidR="00DE5AD4" w:rsidRPr="00DE5AD4" w:rsidRDefault="00DE5AD4" w:rsidP="00DE5AD4">
            <w:pPr>
              <w:pStyle w:val="Table-Text"/>
            </w:pPr>
            <w:r w:rsidRPr="00DE5AD4">
              <w:t>135FA</w:t>
            </w:r>
          </w:p>
        </w:tc>
        <w:tc>
          <w:tcPr>
            <w:tcW w:w="1672" w:type="dxa"/>
          </w:tcPr>
          <w:p w14:paraId="4B5F61BC" w14:textId="77777777" w:rsidR="00DE5AD4" w:rsidRPr="00DE5AD4" w:rsidRDefault="00DE5AD4" w:rsidP="00DE5AD4">
            <w:pPr>
              <w:pStyle w:val="Table-Text"/>
            </w:pPr>
            <w:r w:rsidRPr="00DE5AD4">
              <w:t>Discretionary</w:t>
            </w:r>
          </w:p>
        </w:tc>
        <w:tc>
          <w:tcPr>
            <w:tcW w:w="2268" w:type="dxa"/>
          </w:tcPr>
          <w:p w14:paraId="25353E7E" w14:textId="77777777" w:rsidR="00DE5AD4" w:rsidRPr="00DE5AD4" w:rsidRDefault="00DE5AD4" w:rsidP="00DE5AD4">
            <w:pPr>
              <w:pStyle w:val="Table-Text"/>
            </w:pPr>
            <w:r w:rsidRPr="00DE5AD4">
              <w:t>Incremental</w:t>
            </w:r>
          </w:p>
        </w:tc>
        <w:tc>
          <w:tcPr>
            <w:tcW w:w="3969" w:type="dxa"/>
          </w:tcPr>
          <w:p w14:paraId="06AB2F69" w14:textId="765BDFF2" w:rsidR="00DE5AD4" w:rsidRPr="00DE5AD4" w:rsidRDefault="00DE5AD4" w:rsidP="00DE5AD4">
            <w:pPr>
              <w:pStyle w:val="Table-Text"/>
            </w:pPr>
            <w:r w:rsidRPr="00DE5AD4">
              <w:t>Unpaid before agreement entered into on or after 1 April 2016</w:t>
            </w:r>
            <w:r w:rsidR="00991736">
              <w:t>.</w:t>
            </w:r>
          </w:p>
        </w:tc>
      </w:tr>
      <w:tr w:rsidR="00DE5AD4" w:rsidRPr="00DE5AD4" w14:paraId="5C533B73" w14:textId="77777777" w:rsidTr="0062051D">
        <w:trPr>
          <w:cantSplit/>
        </w:trPr>
        <w:tc>
          <w:tcPr>
            <w:tcW w:w="1017" w:type="dxa"/>
          </w:tcPr>
          <w:p w14:paraId="5A0876B6" w14:textId="77777777" w:rsidR="00DE5AD4" w:rsidRPr="00DE5AD4" w:rsidRDefault="00DE5AD4" w:rsidP="00DE5AD4">
            <w:pPr>
              <w:pStyle w:val="Table-Text"/>
            </w:pPr>
            <w:r w:rsidRPr="00DE5AD4">
              <w:t>135G</w:t>
            </w:r>
          </w:p>
        </w:tc>
        <w:tc>
          <w:tcPr>
            <w:tcW w:w="1672" w:type="dxa"/>
          </w:tcPr>
          <w:p w14:paraId="11BF0A8C" w14:textId="77777777" w:rsidR="00DE5AD4" w:rsidRPr="00DE5AD4" w:rsidRDefault="00DE5AD4" w:rsidP="00DE5AD4">
            <w:pPr>
              <w:pStyle w:val="Table-Text"/>
            </w:pPr>
            <w:r w:rsidRPr="00DE5AD4">
              <w:t>Discretionary</w:t>
            </w:r>
          </w:p>
        </w:tc>
        <w:tc>
          <w:tcPr>
            <w:tcW w:w="2268" w:type="dxa"/>
          </w:tcPr>
          <w:p w14:paraId="69045BF2" w14:textId="77777777" w:rsidR="00DE5AD4" w:rsidRPr="00DE5AD4" w:rsidRDefault="00DE5AD4" w:rsidP="00DE5AD4">
            <w:pPr>
              <w:pStyle w:val="Table-Text"/>
            </w:pPr>
            <w:r w:rsidRPr="00DE5AD4">
              <w:t>Incremental</w:t>
            </w:r>
          </w:p>
        </w:tc>
        <w:tc>
          <w:tcPr>
            <w:tcW w:w="3969" w:type="dxa"/>
          </w:tcPr>
          <w:p w14:paraId="674850DE" w14:textId="77777777" w:rsidR="00DE5AD4" w:rsidRPr="00DE5AD4" w:rsidRDefault="00DE5AD4" w:rsidP="00DE5AD4">
            <w:pPr>
              <w:pStyle w:val="Table-Text"/>
            </w:pPr>
            <w:r w:rsidRPr="00DE5AD4">
              <w:t xml:space="preserve">Relief if some or all of the debt has been paid and recovery of incremental penalties would place the liable parent in serious </w:t>
            </w:r>
            <w:proofErr w:type="gramStart"/>
            <w:r w:rsidRPr="00DE5AD4">
              <w:t>hardship</w:t>
            </w:r>
            <w:proofErr w:type="gramEnd"/>
            <w:r w:rsidRPr="00DE5AD4">
              <w:t xml:space="preserve"> or it would be fair and reasonable to grant relief.</w:t>
            </w:r>
          </w:p>
        </w:tc>
      </w:tr>
      <w:tr w:rsidR="00DE5AD4" w:rsidRPr="00DE5AD4" w14:paraId="31BAE8B6" w14:textId="77777777" w:rsidTr="0062051D">
        <w:trPr>
          <w:cantSplit/>
        </w:trPr>
        <w:tc>
          <w:tcPr>
            <w:tcW w:w="1017" w:type="dxa"/>
          </w:tcPr>
          <w:p w14:paraId="001C8CB6" w14:textId="77777777" w:rsidR="00DE5AD4" w:rsidRPr="00DE5AD4" w:rsidRDefault="00DE5AD4" w:rsidP="00DE5AD4">
            <w:pPr>
              <w:pStyle w:val="Table-Text"/>
            </w:pPr>
            <w:r w:rsidRPr="00DE5AD4">
              <w:t>135GA</w:t>
            </w:r>
          </w:p>
        </w:tc>
        <w:tc>
          <w:tcPr>
            <w:tcW w:w="1672" w:type="dxa"/>
          </w:tcPr>
          <w:p w14:paraId="624EE51A" w14:textId="77777777" w:rsidR="00DE5AD4" w:rsidRPr="00DE5AD4" w:rsidRDefault="00DE5AD4" w:rsidP="00DE5AD4">
            <w:pPr>
              <w:pStyle w:val="Table-Text"/>
            </w:pPr>
            <w:r w:rsidRPr="00DE5AD4">
              <w:t>Discretionary</w:t>
            </w:r>
          </w:p>
        </w:tc>
        <w:tc>
          <w:tcPr>
            <w:tcW w:w="2268" w:type="dxa"/>
          </w:tcPr>
          <w:p w14:paraId="07B7FF20" w14:textId="77777777" w:rsidR="00DE5AD4" w:rsidRPr="00DE5AD4" w:rsidRDefault="00DE5AD4" w:rsidP="00DE5AD4">
            <w:pPr>
              <w:pStyle w:val="Table-Text"/>
            </w:pPr>
            <w:r w:rsidRPr="00DE5AD4">
              <w:t>Initial and incremental</w:t>
            </w:r>
          </w:p>
        </w:tc>
        <w:tc>
          <w:tcPr>
            <w:tcW w:w="3969" w:type="dxa"/>
          </w:tcPr>
          <w:p w14:paraId="38C326F9" w14:textId="3DAB331C" w:rsidR="00DE5AD4" w:rsidRPr="00DE5AD4" w:rsidRDefault="00DE5AD4" w:rsidP="00DE5AD4">
            <w:pPr>
              <w:pStyle w:val="Table-Text"/>
            </w:pPr>
            <w:r w:rsidRPr="00DE5AD4">
              <w:t>Residual penalty only debt (including when core written off when owed to the Crown)</w:t>
            </w:r>
            <w:r w:rsidR="00991736">
              <w:t>.</w:t>
            </w:r>
          </w:p>
        </w:tc>
      </w:tr>
      <w:tr w:rsidR="00DE5AD4" w:rsidRPr="00DE5AD4" w14:paraId="725D46D2" w14:textId="77777777" w:rsidTr="0062051D">
        <w:trPr>
          <w:cantSplit/>
        </w:trPr>
        <w:tc>
          <w:tcPr>
            <w:tcW w:w="1017" w:type="dxa"/>
          </w:tcPr>
          <w:p w14:paraId="6A7E682E" w14:textId="77777777" w:rsidR="00DE5AD4" w:rsidRPr="00DE5AD4" w:rsidRDefault="00DE5AD4" w:rsidP="00DE5AD4">
            <w:pPr>
              <w:pStyle w:val="Table-Text"/>
            </w:pPr>
            <w:r w:rsidRPr="00DE5AD4">
              <w:t xml:space="preserve">135GB </w:t>
            </w:r>
          </w:p>
        </w:tc>
        <w:tc>
          <w:tcPr>
            <w:tcW w:w="1672" w:type="dxa"/>
          </w:tcPr>
          <w:p w14:paraId="0E6F934B" w14:textId="77777777" w:rsidR="00DE5AD4" w:rsidRPr="00DE5AD4" w:rsidRDefault="00DE5AD4" w:rsidP="00DE5AD4">
            <w:pPr>
              <w:pStyle w:val="Table-Text"/>
            </w:pPr>
            <w:r w:rsidRPr="00DE5AD4">
              <w:t>Mandatory</w:t>
            </w:r>
          </w:p>
        </w:tc>
        <w:tc>
          <w:tcPr>
            <w:tcW w:w="2268" w:type="dxa"/>
          </w:tcPr>
          <w:p w14:paraId="69724AE8" w14:textId="77777777" w:rsidR="00DE5AD4" w:rsidRPr="00DE5AD4" w:rsidRDefault="00DE5AD4" w:rsidP="00DE5AD4">
            <w:pPr>
              <w:pStyle w:val="Table-Text"/>
            </w:pPr>
            <w:r w:rsidRPr="00DE5AD4">
              <w:t>Initial late payment penalty</w:t>
            </w:r>
          </w:p>
        </w:tc>
        <w:tc>
          <w:tcPr>
            <w:tcW w:w="3969" w:type="dxa"/>
          </w:tcPr>
          <w:p w14:paraId="60B09BFE" w14:textId="1D5F589D" w:rsidR="00DE5AD4" w:rsidRPr="00DE5AD4" w:rsidRDefault="00DE5AD4" w:rsidP="00DE5AD4">
            <w:pPr>
              <w:pStyle w:val="Table-Text"/>
            </w:pPr>
            <w:r w:rsidRPr="00DE5AD4">
              <w:t>Relief if full or substantial compliance with payment arrangement entered into or made on or after 1 April 2016 and within 3-month period</w:t>
            </w:r>
            <w:r w:rsidR="00991736">
              <w:t>.</w:t>
            </w:r>
          </w:p>
        </w:tc>
      </w:tr>
      <w:tr w:rsidR="00DE5AD4" w:rsidRPr="00DE5AD4" w14:paraId="15008EB3" w14:textId="77777777" w:rsidTr="0062051D">
        <w:trPr>
          <w:cantSplit/>
        </w:trPr>
        <w:tc>
          <w:tcPr>
            <w:tcW w:w="1017" w:type="dxa"/>
          </w:tcPr>
          <w:p w14:paraId="7F72E789" w14:textId="77777777" w:rsidR="00DE5AD4" w:rsidRPr="00DE5AD4" w:rsidRDefault="00DE5AD4" w:rsidP="00DE5AD4">
            <w:pPr>
              <w:pStyle w:val="Table-Text"/>
            </w:pPr>
            <w:r w:rsidRPr="00DE5AD4">
              <w:t>135H</w:t>
            </w:r>
          </w:p>
        </w:tc>
        <w:tc>
          <w:tcPr>
            <w:tcW w:w="1672" w:type="dxa"/>
          </w:tcPr>
          <w:p w14:paraId="76297FB5" w14:textId="77777777" w:rsidR="00DE5AD4" w:rsidRPr="00DE5AD4" w:rsidRDefault="00DE5AD4" w:rsidP="00DE5AD4">
            <w:pPr>
              <w:pStyle w:val="Table-Text"/>
            </w:pPr>
            <w:r w:rsidRPr="00DE5AD4">
              <w:t>Mandatory</w:t>
            </w:r>
          </w:p>
        </w:tc>
        <w:tc>
          <w:tcPr>
            <w:tcW w:w="2268" w:type="dxa"/>
          </w:tcPr>
          <w:p w14:paraId="31153638" w14:textId="77777777" w:rsidR="00DE5AD4" w:rsidRPr="00DE5AD4" w:rsidRDefault="00DE5AD4" w:rsidP="00DE5AD4">
            <w:pPr>
              <w:pStyle w:val="Table-Text"/>
            </w:pPr>
            <w:r w:rsidRPr="00DE5AD4">
              <w:t>Initial late payment penalty</w:t>
            </w:r>
          </w:p>
        </w:tc>
        <w:tc>
          <w:tcPr>
            <w:tcW w:w="3969" w:type="dxa"/>
          </w:tcPr>
          <w:p w14:paraId="15CDD8BD" w14:textId="4896D375" w:rsidR="00DE5AD4" w:rsidRPr="00DE5AD4" w:rsidRDefault="00DE5AD4" w:rsidP="00DE5AD4">
            <w:pPr>
              <w:pStyle w:val="Table-Text"/>
            </w:pPr>
            <w:r w:rsidRPr="00DE5AD4">
              <w:t>Relief if full compliance with payment arrangement entered into or made before 1</w:t>
            </w:r>
            <w:r w:rsidR="00B22CF0">
              <w:t> </w:t>
            </w:r>
            <w:r w:rsidRPr="00DE5AD4">
              <w:t>April 2016 and within 3-month period</w:t>
            </w:r>
            <w:r w:rsidR="00E9414C">
              <w:t>.</w:t>
            </w:r>
          </w:p>
        </w:tc>
      </w:tr>
      <w:tr w:rsidR="00DE5AD4" w:rsidRPr="00DE5AD4" w14:paraId="4A8431BB" w14:textId="77777777" w:rsidTr="0062051D">
        <w:trPr>
          <w:cantSplit/>
        </w:trPr>
        <w:tc>
          <w:tcPr>
            <w:tcW w:w="1017" w:type="dxa"/>
          </w:tcPr>
          <w:p w14:paraId="516F19CE" w14:textId="77777777" w:rsidR="00DE5AD4" w:rsidRPr="00DE5AD4" w:rsidRDefault="00DE5AD4" w:rsidP="00DE5AD4">
            <w:pPr>
              <w:pStyle w:val="Table-Text"/>
            </w:pPr>
            <w:r w:rsidRPr="00DE5AD4">
              <w:t>135I</w:t>
            </w:r>
          </w:p>
        </w:tc>
        <w:tc>
          <w:tcPr>
            <w:tcW w:w="1672" w:type="dxa"/>
          </w:tcPr>
          <w:p w14:paraId="2E3DD731" w14:textId="77777777" w:rsidR="00DE5AD4" w:rsidRPr="00DE5AD4" w:rsidRDefault="00DE5AD4" w:rsidP="00DE5AD4">
            <w:pPr>
              <w:pStyle w:val="Table-Text"/>
            </w:pPr>
            <w:r w:rsidRPr="00DE5AD4">
              <w:t>Mandatory</w:t>
            </w:r>
          </w:p>
        </w:tc>
        <w:tc>
          <w:tcPr>
            <w:tcW w:w="2268" w:type="dxa"/>
          </w:tcPr>
          <w:p w14:paraId="15754719" w14:textId="77777777" w:rsidR="00DE5AD4" w:rsidRPr="00DE5AD4" w:rsidRDefault="00DE5AD4" w:rsidP="00DE5AD4">
            <w:pPr>
              <w:pStyle w:val="Table-Text"/>
            </w:pPr>
            <w:r w:rsidRPr="00DE5AD4">
              <w:t>Initial late payment penalty</w:t>
            </w:r>
          </w:p>
        </w:tc>
        <w:tc>
          <w:tcPr>
            <w:tcW w:w="3969" w:type="dxa"/>
          </w:tcPr>
          <w:p w14:paraId="4F354AD2" w14:textId="5D3B03DF" w:rsidR="00DE5AD4" w:rsidRPr="00DE5AD4" w:rsidRDefault="00DE5AD4" w:rsidP="00DE5AD4">
            <w:pPr>
              <w:pStyle w:val="Table-Text"/>
            </w:pPr>
            <w:r w:rsidRPr="00DE5AD4">
              <w:t>Amount of the penalty is no more than $5</w:t>
            </w:r>
            <w:r w:rsidR="00E9414C">
              <w:t xml:space="preserve"> </w:t>
            </w:r>
            <w:r w:rsidRPr="00DE5AD4">
              <w:t>and the amount of the financial support that the penalty relates to is less than the amount of the penalty and no history of default.</w:t>
            </w:r>
          </w:p>
        </w:tc>
      </w:tr>
      <w:tr w:rsidR="00DE5AD4" w:rsidRPr="00DE5AD4" w14:paraId="32AE168D" w14:textId="77777777" w:rsidTr="0062051D">
        <w:trPr>
          <w:cantSplit/>
        </w:trPr>
        <w:tc>
          <w:tcPr>
            <w:tcW w:w="1017" w:type="dxa"/>
          </w:tcPr>
          <w:p w14:paraId="4C74ABCC" w14:textId="77777777" w:rsidR="00DE5AD4" w:rsidRPr="00DE5AD4" w:rsidRDefault="00DE5AD4" w:rsidP="00DE5AD4">
            <w:pPr>
              <w:pStyle w:val="Table-Text"/>
            </w:pPr>
            <w:r w:rsidRPr="00DE5AD4">
              <w:t>135J</w:t>
            </w:r>
          </w:p>
        </w:tc>
        <w:tc>
          <w:tcPr>
            <w:tcW w:w="1672" w:type="dxa"/>
          </w:tcPr>
          <w:p w14:paraId="32EF9B49" w14:textId="77777777" w:rsidR="00DE5AD4" w:rsidRPr="00DE5AD4" w:rsidRDefault="00DE5AD4" w:rsidP="00DE5AD4">
            <w:pPr>
              <w:pStyle w:val="Table-Text"/>
            </w:pPr>
            <w:r w:rsidRPr="00DE5AD4">
              <w:t>Mandatory</w:t>
            </w:r>
          </w:p>
        </w:tc>
        <w:tc>
          <w:tcPr>
            <w:tcW w:w="2268" w:type="dxa"/>
          </w:tcPr>
          <w:p w14:paraId="2D2501C2" w14:textId="77777777" w:rsidR="00DE5AD4" w:rsidRPr="00DE5AD4" w:rsidRDefault="00DE5AD4" w:rsidP="00DE5AD4">
            <w:pPr>
              <w:pStyle w:val="Table-Text"/>
            </w:pPr>
            <w:r w:rsidRPr="00DE5AD4">
              <w:t>Incremental</w:t>
            </w:r>
          </w:p>
        </w:tc>
        <w:tc>
          <w:tcPr>
            <w:tcW w:w="3969" w:type="dxa"/>
          </w:tcPr>
          <w:p w14:paraId="7FC138D4" w14:textId="3C107015" w:rsidR="00DE5AD4" w:rsidRPr="00DE5AD4" w:rsidRDefault="00DE5AD4" w:rsidP="00DE5AD4">
            <w:pPr>
              <w:pStyle w:val="Table-Text"/>
            </w:pPr>
            <w:r w:rsidRPr="00DE5AD4">
              <w:t>Relief from incremental penalties unpaid before agreement entered into on or after 26 September 2006 (26 weeks)</w:t>
            </w:r>
            <w:r w:rsidR="00E9414C">
              <w:t>.</w:t>
            </w:r>
          </w:p>
        </w:tc>
      </w:tr>
      <w:tr w:rsidR="00DE5AD4" w:rsidRPr="00DE5AD4" w14:paraId="1BC68DEA" w14:textId="77777777" w:rsidTr="0062051D">
        <w:trPr>
          <w:cantSplit/>
        </w:trPr>
        <w:tc>
          <w:tcPr>
            <w:tcW w:w="1017" w:type="dxa"/>
          </w:tcPr>
          <w:p w14:paraId="5BA3EAAD" w14:textId="77777777" w:rsidR="00DE5AD4" w:rsidRPr="00DE5AD4" w:rsidRDefault="00DE5AD4" w:rsidP="00DE5AD4">
            <w:pPr>
              <w:pStyle w:val="Table-Text"/>
            </w:pPr>
            <w:r w:rsidRPr="00DE5AD4">
              <w:t>135JA</w:t>
            </w:r>
          </w:p>
        </w:tc>
        <w:tc>
          <w:tcPr>
            <w:tcW w:w="1672" w:type="dxa"/>
          </w:tcPr>
          <w:p w14:paraId="3A6EC551" w14:textId="77777777" w:rsidR="00DE5AD4" w:rsidRPr="00DE5AD4" w:rsidRDefault="00DE5AD4" w:rsidP="00DE5AD4">
            <w:pPr>
              <w:pStyle w:val="Table-Text"/>
            </w:pPr>
            <w:r w:rsidRPr="00DE5AD4">
              <w:t>Mandatory</w:t>
            </w:r>
          </w:p>
        </w:tc>
        <w:tc>
          <w:tcPr>
            <w:tcW w:w="2268" w:type="dxa"/>
          </w:tcPr>
          <w:p w14:paraId="46947F6E" w14:textId="77777777" w:rsidR="00DE5AD4" w:rsidRPr="00DE5AD4" w:rsidRDefault="00DE5AD4" w:rsidP="00DE5AD4">
            <w:pPr>
              <w:pStyle w:val="Table-Text"/>
            </w:pPr>
            <w:r w:rsidRPr="00DE5AD4">
              <w:t>Incremental</w:t>
            </w:r>
          </w:p>
        </w:tc>
        <w:tc>
          <w:tcPr>
            <w:tcW w:w="3969" w:type="dxa"/>
          </w:tcPr>
          <w:p w14:paraId="49E971FB" w14:textId="42A00EC9" w:rsidR="00DE5AD4" w:rsidRPr="00DE5AD4" w:rsidRDefault="00DE5AD4" w:rsidP="00DE5AD4">
            <w:pPr>
              <w:pStyle w:val="Table-Text"/>
            </w:pPr>
            <w:r w:rsidRPr="00DE5AD4">
              <w:t>Relief from incremental penalties unpaid before deduction plan made on or after 1</w:t>
            </w:r>
            <w:r w:rsidR="00B22CF0">
              <w:t> </w:t>
            </w:r>
            <w:r w:rsidRPr="00DE5AD4">
              <w:t>April 2016 (26 weeks)</w:t>
            </w:r>
            <w:r w:rsidR="00B22CF0">
              <w:t>.</w:t>
            </w:r>
          </w:p>
        </w:tc>
      </w:tr>
      <w:tr w:rsidR="00DE5AD4" w:rsidRPr="00DE5AD4" w14:paraId="73E71635" w14:textId="77777777" w:rsidTr="0062051D">
        <w:trPr>
          <w:cantSplit/>
        </w:trPr>
        <w:tc>
          <w:tcPr>
            <w:tcW w:w="1017" w:type="dxa"/>
          </w:tcPr>
          <w:p w14:paraId="2B3F1AC8" w14:textId="77777777" w:rsidR="00DE5AD4" w:rsidRPr="00DE5AD4" w:rsidRDefault="00DE5AD4" w:rsidP="00DE5AD4">
            <w:pPr>
              <w:pStyle w:val="Table-Text"/>
            </w:pPr>
            <w:r w:rsidRPr="00DE5AD4">
              <w:t>135K</w:t>
            </w:r>
          </w:p>
        </w:tc>
        <w:tc>
          <w:tcPr>
            <w:tcW w:w="1672" w:type="dxa"/>
          </w:tcPr>
          <w:p w14:paraId="2EF33D27" w14:textId="77777777" w:rsidR="00DE5AD4" w:rsidRPr="00DE5AD4" w:rsidRDefault="00DE5AD4" w:rsidP="00DE5AD4">
            <w:pPr>
              <w:pStyle w:val="Table-Text"/>
            </w:pPr>
            <w:r w:rsidRPr="00DE5AD4">
              <w:t>Mandatory</w:t>
            </w:r>
          </w:p>
        </w:tc>
        <w:tc>
          <w:tcPr>
            <w:tcW w:w="2268" w:type="dxa"/>
          </w:tcPr>
          <w:p w14:paraId="447DDA7C" w14:textId="77777777" w:rsidR="00DE5AD4" w:rsidRPr="00DE5AD4" w:rsidRDefault="00DE5AD4" w:rsidP="00DE5AD4">
            <w:pPr>
              <w:pStyle w:val="Table-Text"/>
            </w:pPr>
            <w:r w:rsidRPr="00DE5AD4">
              <w:t>Incremental</w:t>
            </w:r>
          </w:p>
        </w:tc>
        <w:tc>
          <w:tcPr>
            <w:tcW w:w="3969" w:type="dxa"/>
          </w:tcPr>
          <w:p w14:paraId="2B338E4E" w14:textId="772BBA7C" w:rsidR="00DE5AD4" w:rsidRPr="00DE5AD4" w:rsidRDefault="00DE5AD4" w:rsidP="00DE5AD4">
            <w:pPr>
              <w:pStyle w:val="Table-Text"/>
            </w:pPr>
            <w:r w:rsidRPr="00DE5AD4">
              <w:t>Relief from incremental penalties in relation to arrangements entered into or made before 26 September 2006 (26</w:t>
            </w:r>
            <w:r w:rsidR="00B22CF0">
              <w:t> </w:t>
            </w:r>
            <w:r w:rsidRPr="00DE5AD4">
              <w:t>weeks)</w:t>
            </w:r>
            <w:r w:rsidR="00B22CF0">
              <w:t>.</w:t>
            </w:r>
          </w:p>
        </w:tc>
      </w:tr>
      <w:tr w:rsidR="00DE5AD4" w:rsidRPr="00DE5AD4" w14:paraId="1B29D09C" w14:textId="77777777" w:rsidTr="0062051D">
        <w:trPr>
          <w:cantSplit/>
        </w:trPr>
        <w:tc>
          <w:tcPr>
            <w:tcW w:w="1017" w:type="dxa"/>
          </w:tcPr>
          <w:p w14:paraId="034BE139" w14:textId="77777777" w:rsidR="00DE5AD4" w:rsidRPr="00DE5AD4" w:rsidRDefault="00DE5AD4" w:rsidP="00DE5AD4">
            <w:pPr>
              <w:pStyle w:val="Table-Text"/>
            </w:pPr>
            <w:r w:rsidRPr="00DE5AD4">
              <w:t>135L</w:t>
            </w:r>
          </w:p>
        </w:tc>
        <w:tc>
          <w:tcPr>
            <w:tcW w:w="1672" w:type="dxa"/>
          </w:tcPr>
          <w:p w14:paraId="110C05D3" w14:textId="77777777" w:rsidR="00DE5AD4" w:rsidRPr="00DE5AD4" w:rsidRDefault="00DE5AD4" w:rsidP="00DE5AD4">
            <w:pPr>
              <w:pStyle w:val="Table-Text"/>
            </w:pPr>
            <w:r w:rsidRPr="00DE5AD4">
              <w:t>Mandatory</w:t>
            </w:r>
          </w:p>
        </w:tc>
        <w:tc>
          <w:tcPr>
            <w:tcW w:w="2268" w:type="dxa"/>
          </w:tcPr>
          <w:p w14:paraId="15483963" w14:textId="77777777" w:rsidR="00DE5AD4" w:rsidRPr="00DE5AD4" w:rsidRDefault="00DE5AD4" w:rsidP="00DE5AD4">
            <w:pPr>
              <w:pStyle w:val="Table-Text"/>
            </w:pPr>
            <w:r w:rsidRPr="00DE5AD4">
              <w:t>Incremental</w:t>
            </w:r>
          </w:p>
        </w:tc>
        <w:tc>
          <w:tcPr>
            <w:tcW w:w="3969" w:type="dxa"/>
          </w:tcPr>
          <w:p w14:paraId="0ECE4B42" w14:textId="77777777" w:rsidR="00DE5AD4" w:rsidRPr="00DE5AD4" w:rsidRDefault="00DE5AD4" w:rsidP="00DE5AD4">
            <w:pPr>
              <w:pStyle w:val="Table-Text"/>
            </w:pPr>
            <w:r w:rsidRPr="00DE5AD4">
              <w:t xml:space="preserve">Writing off of incremental penalties if non-compliance with arrangement (if at review date the Commissioner is satisfied that the circumstances relating to the failure would, if related to payment of debt to which penalty relates, entitle the Commissioner to grant relief under any of sections 135B to 135E). </w:t>
            </w:r>
          </w:p>
        </w:tc>
      </w:tr>
      <w:tr w:rsidR="00DE5AD4" w:rsidRPr="00DE5AD4" w14:paraId="64444BB1" w14:textId="77777777" w:rsidTr="0062051D">
        <w:trPr>
          <w:cantSplit/>
        </w:trPr>
        <w:tc>
          <w:tcPr>
            <w:tcW w:w="1017" w:type="dxa"/>
          </w:tcPr>
          <w:p w14:paraId="2E34BBE7" w14:textId="77777777" w:rsidR="00DE5AD4" w:rsidRPr="00DE5AD4" w:rsidRDefault="00DE5AD4" w:rsidP="00DE5AD4">
            <w:pPr>
              <w:pStyle w:val="Table-Text"/>
            </w:pPr>
            <w:r w:rsidRPr="00DE5AD4">
              <w:t>135M</w:t>
            </w:r>
          </w:p>
        </w:tc>
        <w:tc>
          <w:tcPr>
            <w:tcW w:w="1672" w:type="dxa"/>
          </w:tcPr>
          <w:p w14:paraId="38194E7B" w14:textId="77777777" w:rsidR="00DE5AD4" w:rsidRPr="00DE5AD4" w:rsidRDefault="00DE5AD4" w:rsidP="00DE5AD4">
            <w:pPr>
              <w:pStyle w:val="Table-Text"/>
            </w:pPr>
            <w:r w:rsidRPr="00DE5AD4">
              <w:t>Mandatory</w:t>
            </w:r>
          </w:p>
        </w:tc>
        <w:tc>
          <w:tcPr>
            <w:tcW w:w="2268" w:type="dxa"/>
          </w:tcPr>
          <w:p w14:paraId="3DE49C0D" w14:textId="77777777" w:rsidR="00DE5AD4" w:rsidRPr="00DE5AD4" w:rsidRDefault="00DE5AD4" w:rsidP="00DE5AD4">
            <w:pPr>
              <w:pStyle w:val="Table-Text"/>
            </w:pPr>
            <w:r w:rsidRPr="00DE5AD4">
              <w:t>Incremental</w:t>
            </w:r>
          </w:p>
        </w:tc>
        <w:tc>
          <w:tcPr>
            <w:tcW w:w="3969" w:type="dxa"/>
          </w:tcPr>
          <w:p w14:paraId="064370A0" w14:textId="639E2B5E" w:rsidR="00DE5AD4" w:rsidRPr="00DE5AD4" w:rsidRDefault="00DE5AD4" w:rsidP="00DE5AD4">
            <w:pPr>
              <w:pStyle w:val="Table-Text"/>
            </w:pPr>
            <w:r w:rsidRPr="00DE5AD4">
              <w:t>Relief if payment agreement in force</w:t>
            </w:r>
            <w:r w:rsidR="00B22CF0">
              <w:t>.</w:t>
            </w:r>
          </w:p>
        </w:tc>
      </w:tr>
      <w:tr w:rsidR="00DE5AD4" w:rsidRPr="00DE5AD4" w14:paraId="069A1DE3" w14:textId="77777777" w:rsidTr="0062051D">
        <w:trPr>
          <w:cantSplit/>
        </w:trPr>
        <w:tc>
          <w:tcPr>
            <w:tcW w:w="1017" w:type="dxa"/>
          </w:tcPr>
          <w:p w14:paraId="2B18AD87" w14:textId="77777777" w:rsidR="00DE5AD4" w:rsidRPr="00DE5AD4" w:rsidRDefault="00DE5AD4" w:rsidP="00DE5AD4">
            <w:pPr>
              <w:pStyle w:val="Table-Text"/>
            </w:pPr>
            <w:r w:rsidRPr="00DE5AD4">
              <w:t>135N</w:t>
            </w:r>
          </w:p>
        </w:tc>
        <w:tc>
          <w:tcPr>
            <w:tcW w:w="1672" w:type="dxa"/>
          </w:tcPr>
          <w:p w14:paraId="6CC5E0EB" w14:textId="77777777" w:rsidR="00DE5AD4" w:rsidRPr="00DE5AD4" w:rsidRDefault="00DE5AD4" w:rsidP="00DE5AD4">
            <w:pPr>
              <w:pStyle w:val="Table-Text"/>
            </w:pPr>
            <w:r w:rsidRPr="00DE5AD4">
              <w:t>Mandatory</w:t>
            </w:r>
          </w:p>
        </w:tc>
        <w:tc>
          <w:tcPr>
            <w:tcW w:w="2268" w:type="dxa"/>
          </w:tcPr>
          <w:p w14:paraId="7E527F25" w14:textId="77777777" w:rsidR="00DE5AD4" w:rsidRPr="00DE5AD4" w:rsidRDefault="00DE5AD4" w:rsidP="00DE5AD4">
            <w:pPr>
              <w:pStyle w:val="Table-Text"/>
            </w:pPr>
            <w:r w:rsidRPr="00DE5AD4">
              <w:t>Incremental</w:t>
            </w:r>
          </w:p>
        </w:tc>
        <w:tc>
          <w:tcPr>
            <w:tcW w:w="3969" w:type="dxa"/>
          </w:tcPr>
          <w:p w14:paraId="3DE49E4F" w14:textId="45F2ACF5" w:rsidR="00DE5AD4" w:rsidRPr="00DE5AD4" w:rsidRDefault="00DE5AD4" w:rsidP="00DE5AD4">
            <w:pPr>
              <w:pStyle w:val="Table-Text"/>
            </w:pPr>
            <w:r w:rsidRPr="00DE5AD4">
              <w:t>Relief if deduction notice in force</w:t>
            </w:r>
            <w:r w:rsidR="00B22CF0">
              <w:t>.</w:t>
            </w:r>
          </w:p>
        </w:tc>
      </w:tr>
    </w:tbl>
    <w:p w14:paraId="3492E9DA" w14:textId="77777777" w:rsidR="00E22D08" w:rsidRPr="003413D9" w:rsidRDefault="00E22D08" w:rsidP="003413D9"/>
    <w:sectPr w:rsidR="00E22D08" w:rsidRPr="003413D9" w:rsidSect="009444E1">
      <w:footerReference w:type="first" r:id="rId18"/>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ED72D" w14:textId="77777777" w:rsidR="00DE5AD4" w:rsidRDefault="00DE5AD4">
      <w:r>
        <w:separator/>
      </w:r>
    </w:p>
    <w:p w14:paraId="47218900" w14:textId="77777777" w:rsidR="00DE5AD4" w:rsidRDefault="00DE5AD4"/>
  </w:endnote>
  <w:endnote w:type="continuationSeparator" w:id="0">
    <w:p w14:paraId="2C89CD1F" w14:textId="77777777" w:rsidR="00DE5AD4" w:rsidRDefault="00DE5AD4">
      <w:r>
        <w:continuationSeparator/>
      </w:r>
    </w:p>
    <w:p w14:paraId="3D8ED988" w14:textId="77777777" w:rsidR="00DE5AD4" w:rsidRDefault="00DE5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C7E6" w14:textId="77777777" w:rsidR="005B67C6" w:rsidRDefault="005B6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57C8135F" w14:textId="77777777" w:rsidR="005B67C6" w:rsidRDefault="005B67C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23C4" w14:textId="77777777" w:rsidR="005B67C6" w:rsidRDefault="005B67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7F43" w14:textId="77777777" w:rsidR="005B67C6" w:rsidRDefault="005B67C6">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8BC0E" w14:textId="77777777" w:rsidR="00DE5AD4" w:rsidRDefault="00DE5AD4">
      <w:r>
        <w:separator/>
      </w:r>
    </w:p>
  </w:footnote>
  <w:footnote w:type="continuationSeparator" w:id="0">
    <w:p w14:paraId="3FA3679C" w14:textId="77777777" w:rsidR="00DE5AD4" w:rsidRDefault="00DE5AD4">
      <w:r>
        <w:continuationSeparator/>
      </w:r>
    </w:p>
    <w:p w14:paraId="7ACAB505" w14:textId="77777777" w:rsidR="00DE5AD4" w:rsidRDefault="00DE5A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6FF7986"/>
    <w:multiLevelType w:val="hybridMultilevel"/>
    <w:tmpl w:val="DDA48EEC"/>
    <w:lvl w:ilvl="0" w:tplc="311EAD32">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 w15:restartNumberingAfterBreak="0">
    <w:nsid w:val="6E1A283E"/>
    <w:multiLevelType w:val="multilevel"/>
    <w:tmpl w:val="86304BF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6"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6"/>
  </w:num>
  <w:num w:numId="6">
    <w:abstractNumId w:val="0"/>
  </w:num>
  <w:num w:numId="7">
    <w:abstractNumId w:val="2"/>
  </w:num>
  <w:num w:numId="8">
    <w:abstractNumId w:val="3"/>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D4"/>
    <w:rsid w:val="00013D54"/>
    <w:rsid w:val="00021385"/>
    <w:rsid w:val="00023590"/>
    <w:rsid w:val="000668CD"/>
    <w:rsid w:val="00072567"/>
    <w:rsid w:val="0007560B"/>
    <w:rsid w:val="0009415B"/>
    <w:rsid w:val="000A6E3B"/>
    <w:rsid w:val="000D3DDE"/>
    <w:rsid w:val="00101924"/>
    <w:rsid w:val="00145802"/>
    <w:rsid w:val="001467F6"/>
    <w:rsid w:val="00174CB9"/>
    <w:rsid w:val="00177BD4"/>
    <w:rsid w:val="001861E4"/>
    <w:rsid w:val="001A2C68"/>
    <w:rsid w:val="001B0B2E"/>
    <w:rsid w:val="001B383F"/>
    <w:rsid w:val="001C027B"/>
    <w:rsid w:val="001D3CE8"/>
    <w:rsid w:val="001F6140"/>
    <w:rsid w:val="00224B10"/>
    <w:rsid w:val="00240FC7"/>
    <w:rsid w:val="0024736E"/>
    <w:rsid w:val="00256229"/>
    <w:rsid w:val="0026209F"/>
    <w:rsid w:val="0026287E"/>
    <w:rsid w:val="00275CE9"/>
    <w:rsid w:val="002853AF"/>
    <w:rsid w:val="002948B6"/>
    <w:rsid w:val="002A233D"/>
    <w:rsid w:val="002A58E4"/>
    <w:rsid w:val="002B0D19"/>
    <w:rsid w:val="002B3B1F"/>
    <w:rsid w:val="002C2776"/>
    <w:rsid w:val="002E7168"/>
    <w:rsid w:val="002F7BE0"/>
    <w:rsid w:val="00301C85"/>
    <w:rsid w:val="0032700A"/>
    <w:rsid w:val="00333C42"/>
    <w:rsid w:val="0033679A"/>
    <w:rsid w:val="0033709F"/>
    <w:rsid w:val="003413D9"/>
    <w:rsid w:val="003458A3"/>
    <w:rsid w:val="0036210E"/>
    <w:rsid w:val="00366F3C"/>
    <w:rsid w:val="00372924"/>
    <w:rsid w:val="00376F5C"/>
    <w:rsid w:val="00377773"/>
    <w:rsid w:val="003959E1"/>
    <w:rsid w:val="00396BCE"/>
    <w:rsid w:val="003C0A1F"/>
    <w:rsid w:val="003C4040"/>
    <w:rsid w:val="003D1865"/>
    <w:rsid w:val="004123A7"/>
    <w:rsid w:val="00427B2C"/>
    <w:rsid w:val="00453B7E"/>
    <w:rsid w:val="004659D6"/>
    <w:rsid w:val="00473ED6"/>
    <w:rsid w:val="00481032"/>
    <w:rsid w:val="00492715"/>
    <w:rsid w:val="004A15D7"/>
    <w:rsid w:val="004A54BD"/>
    <w:rsid w:val="004A6653"/>
    <w:rsid w:val="004E2D26"/>
    <w:rsid w:val="00506F33"/>
    <w:rsid w:val="00546231"/>
    <w:rsid w:val="00554274"/>
    <w:rsid w:val="0055677E"/>
    <w:rsid w:val="00562937"/>
    <w:rsid w:val="00574600"/>
    <w:rsid w:val="00580226"/>
    <w:rsid w:val="00587089"/>
    <w:rsid w:val="00592DE7"/>
    <w:rsid w:val="005B67C6"/>
    <w:rsid w:val="005C0C4F"/>
    <w:rsid w:val="005D6400"/>
    <w:rsid w:val="005D6B26"/>
    <w:rsid w:val="005F3177"/>
    <w:rsid w:val="005F5CAB"/>
    <w:rsid w:val="005F5F0A"/>
    <w:rsid w:val="00613CBC"/>
    <w:rsid w:val="0062051D"/>
    <w:rsid w:val="0064513A"/>
    <w:rsid w:val="00672A71"/>
    <w:rsid w:val="00681C3B"/>
    <w:rsid w:val="006E4207"/>
    <w:rsid w:val="006E5017"/>
    <w:rsid w:val="006E742C"/>
    <w:rsid w:val="00702B7E"/>
    <w:rsid w:val="00715D1B"/>
    <w:rsid w:val="00725856"/>
    <w:rsid w:val="00742B37"/>
    <w:rsid w:val="007433B9"/>
    <w:rsid w:val="007460A6"/>
    <w:rsid w:val="00747E61"/>
    <w:rsid w:val="00775AFE"/>
    <w:rsid w:val="0079065F"/>
    <w:rsid w:val="007A2462"/>
    <w:rsid w:val="007A5D40"/>
    <w:rsid w:val="007B45BA"/>
    <w:rsid w:val="007C480D"/>
    <w:rsid w:val="007D3959"/>
    <w:rsid w:val="007D62E4"/>
    <w:rsid w:val="007F64C0"/>
    <w:rsid w:val="00817C0E"/>
    <w:rsid w:val="00821704"/>
    <w:rsid w:val="00825463"/>
    <w:rsid w:val="00836DC9"/>
    <w:rsid w:val="00860E8D"/>
    <w:rsid w:val="00862056"/>
    <w:rsid w:val="0088086E"/>
    <w:rsid w:val="00897E54"/>
    <w:rsid w:val="008A7685"/>
    <w:rsid w:val="008B66DD"/>
    <w:rsid w:val="008C656B"/>
    <w:rsid w:val="008D7D7D"/>
    <w:rsid w:val="008E45F9"/>
    <w:rsid w:val="008F6269"/>
    <w:rsid w:val="009444E1"/>
    <w:rsid w:val="00952372"/>
    <w:rsid w:val="009828C2"/>
    <w:rsid w:val="00991736"/>
    <w:rsid w:val="00992011"/>
    <w:rsid w:val="009927C3"/>
    <w:rsid w:val="009B2C63"/>
    <w:rsid w:val="009B684A"/>
    <w:rsid w:val="009B73A2"/>
    <w:rsid w:val="009D537E"/>
    <w:rsid w:val="009D5D52"/>
    <w:rsid w:val="00A02E76"/>
    <w:rsid w:val="00A03B1E"/>
    <w:rsid w:val="00A341BF"/>
    <w:rsid w:val="00A3774E"/>
    <w:rsid w:val="00A37A96"/>
    <w:rsid w:val="00A5726B"/>
    <w:rsid w:val="00A707EA"/>
    <w:rsid w:val="00A736B6"/>
    <w:rsid w:val="00A74278"/>
    <w:rsid w:val="00A87E60"/>
    <w:rsid w:val="00AA57F7"/>
    <w:rsid w:val="00AC79B5"/>
    <w:rsid w:val="00AD5AB3"/>
    <w:rsid w:val="00AD733C"/>
    <w:rsid w:val="00AE4EF5"/>
    <w:rsid w:val="00AE79C8"/>
    <w:rsid w:val="00B22CF0"/>
    <w:rsid w:val="00B3699F"/>
    <w:rsid w:val="00B46D49"/>
    <w:rsid w:val="00B54B75"/>
    <w:rsid w:val="00B55031"/>
    <w:rsid w:val="00B551B4"/>
    <w:rsid w:val="00B66C84"/>
    <w:rsid w:val="00B7160F"/>
    <w:rsid w:val="00B917E9"/>
    <w:rsid w:val="00BF291A"/>
    <w:rsid w:val="00BF2C12"/>
    <w:rsid w:val="00BF7BE1"/>
    <w:rsid w:val="00C0489E"/>
    <w:rsid w:val="00C3204E"/>
    <w:rsid w:val="00C46B85"/>
    <w:rsid w:val="00C670C2"/>
    <w:rsid w:val="00C733BA"/>
    <w:rsid w:val="00CA7E7C"/>
    <w:rsid w:val="00CB0C73"/>
    <w:rsid w:val="00CC43B8"/>
    <w:rsid w:val="00CC7AA6"/>
    <w:rsid w:val="00CE111D"/>
    <w:rsid w:val="00CE1E2D"/>
    <w:rsid w:val="00D47073"/>
    <w:rsid w:val="00D571C9"/>
    <w:rsid w:val="00D61229"/>
    <w:rsid w:val="00D929C1"/>
    <w:rsid w:val="00D9392A"/>
    <w:rsid w:val="00D94817"/>
    <w:rsid w:val="00DA3080"/>
    <w:rsid w:val="00DB205A"/>
    <w:rsid w:val="00DB5593"/>
    <w:rsid w:val="00DD659F"/>
    <w:rsid w:val="00DE5AD4"/>
    <w:rsid w:val="00DE5CF2"/>
    <w:rsid w:val="00E22D08"/>
    <w:rsid w:val="00E41835"/>
    <w:rsid w:val="00E43EE7"/>
    <w:rsid w:val="00E801F9"/>
    <w:rsid w:val="00E87D30"/>
    <w:rsid w:val="00E9414C"/>
    <w:rsid w:val="00ED7E84"/>
    <w:rsid w:val="00EF35FB"/>
    <w:rsid w:val="00F034D4"/>
    <w:rsid w:val="00F0756D"/>
    <w:rsid w:val="00F10634"/>
    <w:rsid w:val="00F16487"/>
    <w:rsid w:val="00F6180B"/>
    <w:rsid w:val="00FD67A9"/>
    <w:rsid w:val="00FE78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2E4B3A"/>
  <w15:docId w15:val="{F68E1ED7-5FB7-4A42-820D-F5EE01CF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35"/>
    <w:pPr>
      <w:spacing w:before="240"/>
      <w:jc w:val="both"/>
    </w:pPr>
  </w:style>
  <w:style w:type="paragraph" w:styleId="Heading1">
    <w:name w:val="heading 1"/>
    <w:basedOn w:val="Normal"/>
    <w:next w:val="Normal"/>
    <w:qFormat/>
    <w:rsid w:val="00E22D08"/>
    <w:pPr>
      <w:pBdr>
        <w:top w:val="single" w:sz="4" w:space="8" w:color="auto"/>
        <w:bottom w:val="single" w:sz="4" w:space="8" w:color="auto"/>
      </w:pBdr>
      <w:spacing w:before="3120"/>
      <w:jc w:val="center"/>
      <w:outlineLvl w:val="0"/>
    </w:pPr>
    <w:rPr>
      <w:sz w:val="60"/>
      <w:szCs w:val="60"/>
    </w:rPr>
  </w:style>
  <w:style w:type="paragraph" w:styleId="Heading2">
    <w:name w:val="heading 2"/>
    <w:basedOn w:val="Normal"/>
    <w:next w:val="Normal"/>
    <w:qFormat/>
    <w:rsid w:val="000A6E3B"/>
    <w:pPr>
      <w:keepNext/>
      <w:pageBreakBefore/>
      <w:pBdr>
        <w:bottom w:val="single" w:sz="4" w:space="6" w:color="auto"/>
      </w:pBdr>
      <w:spacing w:before="0"/>
      <w:jc w:val="left"/>
      <w:outlineLvl w:val="1"/>
    </w:pPr>
    <w:rPr>
      <w:b/>
      <w:caps/>
      <w:sz w:val="26"/>
      <w:szCs w:val="26"/>
    </w:rPr>
  </w:style>
  <w:style w:type="paragraph" w:styleId="Heading3">
    <w:name w:val="heading 3"/>
    <w:basedOn w:val="Normal"/>
    <w:next w:val="Normal"/>
    <w:link w:val="Heading3Char"/>
    <w:qFormat/>
    <w:rsid w:val="006E4207"/>
    <w:pPr>
      <w:keepNext/>
      <w:spacing w:before="480"/>
      <w:jc w:val="left"/>
      <w:outlineLvl w:val="2"/>
    </w:pPr>
    <w:rPr>
      <w:b/>
    </w:rPr>
  </w:style>
  <w:style w:type="paragraph" w:styleId="Heading4">
    <w:name w:val="heading 4"/>
    <w:basedOn w:val="Normal"/>
    <w:next w:val="Normal"/>
    <w:qFormat/>
    <w:rsid w:val="006E4207"/>
    <w:pPr>
      <w:keepNext/>
      <w:jc w:val="left"/>
      <w:outlineLvl w:val="3"/>
    </w:pPr>
    <w:rPr>
      <w:b/>
      <w:i/>
    </w:rPr>
  </w:style>
  <w:style w:type="paragraph" w:styleId="Heading5">
    <w:name w:val="heading 5"/>
    <w:basedOn w:val="Heading4"/>
    <w:next w:val="Normal"/>
    <w:qFormat/>
    <w:rsid w:val="00B917E9"/>
    <w:pPr>
      <w:outlineLvl w:val="4"/>
    </w:pPr>
    <w:rPr>
      <w:b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D61229"/>
    <w:pPr>
      <w:pBdr>
        <w:top w:val="single" w:sz="4" w:space="10" w:color="auto"/>
        <w:left w:val="single" w:sz="4" w:space="4" w:color="auto"/>
        <w:bottom w:val="single" w:sz="4" w:space="10" w:color="auto"/>
        <w:right w:val="single" w:sz="4" w:space="4" w:color="auto"/>
      </w:pBdr>
      <w:spacing w:before="100"/>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26287E"/>
    <w:pPr>
      <w:tabs>
        <w:tab w:val="right" w:leader="dot" w:pos="8789"/>
      </w:tabs>
      <w:spacing w:before="360" w:after="120"/>
    </w:pPr>
    <w:rPr>
      <w:b/>
      <w:sz w:val="28"/>
    </w:rPr>
  </w:style>
  <w:style w:type="paragraph" w:styleId="TOC2">
    <w:name w:val="toc 2"/>
    <w:basedOn w:val="Normal"/>
    <w:next w:val="Normal"/>
    <w:autoRedefine/>
    <w:uiPriority w:val="39"/>
    <w:rsid w:val="00860E8D"/>
    <w:pPr>
      <w:tabs>
        <w:tab w:val="right" w:leader="dot" w:pos="8789"/>
      </w:tabs>
      <w:spacing w:after="60"/>
      <w:ind w:left="567" w:right="566"/>
      <w:jc w:val="left"/>
    </w:p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rsid w:val="00023590"/>
    <w:pPr>
      <w:pBdr>
        <w:bottom w:val="single" w:sz="4" w:space="6" w:color="auto"/>
      </w:pBdr>
      <w:spacing w:before="2400"/>
    </w:pPr>
    <w:rPr>
      <w:b/>
      <w:sz w:val="4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9927C3"/>
    <w:pPr>
      <w:spacing w:before="440"/>
      <w:jc w:val="left"/>
    </w:pPr>
    <w:rPr>
      <w:b/>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6E4207"/>
    <w:rPr>
      <w:b/>
      <w:sz w:val="24"/>
      <w:lang w:val="en-GB"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862056"/>
    <w:pPr>
      <w:numPr>
        <w:numId w:val="5"/>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702B7E"/>
    <w:rPr>
      <w:i/>
      <w:sz w:val="36"/>
      <w:szCs w:val="36"/>
    </w:rPr>
  </w:style>
  <w:style w:type="character" w:customStyle="1" w:styleId="SubtitleChar">
    <w:name w:val="Subtitle Char"/>
    <w:basedOn w:val="DefaultParagraphFont"/>
    <w:link w:val="Subtitle"/>
    <w:uiPriority w:val="11"/>
    <w:rsid w:val="00702B7E"/>
    <w:rPr>
      <w:i/>
      <w:sz w:val="36"/>
      <w:szCs w:val="36"/>
      <w:lang w:val="en-GB" w:eastAsia="en-AU"/>
    </w:rPr>
  </w:style>
  <w:style w:type="paragraph" w:customStyle="1" w:styleId="Clause">
    <w:name w:val="Clause"/>
    <w:basedOn w:val="Normal"/>
    <w:qFormat/>
    <w:rsid w:val="00B917E9"/>
    <w:rPr>
      <w:b/>
      <w:i/>
    </w:r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023590"/>
    <w:pPr>
      <w:spacing w:before="0"/>
      <w:jc w:val="left"/>
    </w:pPr>
    <w:rPr>
      <w:sz w:val="28"/>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492715"/>
    <w:pPr>
      <w:keepNext/>
      <w:spacing w:after="120"/>
      <w:jc w:val="center"/>
    </w:pPr>
    <w:rPr>
      <w:b/>
      <w:sz w:val="22"/>
      <w:szCs w:val="22"/>
    </w:r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2F7BE0"/>
    <w:pPr>
      <w:numPr>
        <w:numId w:val="4"/>
      </w:numPr>
      <w:tabs>
        <w:tab w:val="left" w:pos="284"/>
      </w:tabs>
      <w:ind w:left="284" w:hanging="284"/>
    </w:pPr>
    <w:rPr>
      <w:lang w:eastAsia="en-AU"/>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rsid w:val="00B551B4"/>
    <w:pPr>
      <w:pBdr>
        <w:top w:val="single" w:sz="4" w:space="10" w:color="auto"/>
        <w:left w:val="single" w:sz="4" w:space="4" w:color="auto"/>
        <w:bottom w:val="single" w:sz="4" w:space="10" w:color="auto"/>
        <w:right w:val="single" w:sz="4" w:space="4" w:color="auto"/>
      </w:pBdr>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rsid w:val="00B55031"/>
    <w:pPr>
      <w:jc w:val="center"/>
    </w:pPr>
    <w:rPr>
      <w:b/>
    </w:rPr>
  </w:style>
  <w:style w:type="numbering" w:customStyle="1" w:styleId="Table-Bullet10pt">
    <w:name w:val="Table - Bullet 10pt"/>
    <w:basedOn w:val="NoList"/>
    <w:rsid w:val="00D9392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rl.org/nzir-tp/2020-010"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xpolicy.ird.govt.nz/publications/2020-commentary-child-support-bill-supplementary/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A54F-857B-407C-A988-598255E487E6}">
  <ds:schemaRefs>
    <ds:schemaRef ds:uri="http://schemas.microsoft.com/sharepoint/v3/contenttype/forms"/>
  </ds:schemaRefs>
</ds:datastoreItem>
</file>

<file path=customXml/itemProps2.xml><?xml version="1.0" encoding="utf-8"?>
<ds:datastoreItem xmlns:ds="http://schemas.openxmlformats.org/officeDocument/2006/customXml" ds:itemID="{6DA8A2EE-8E12-40FC-9E24-0C20AA121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dc1bb-5b0e-47fe-abe2-b7e0ea38cbdb"/>
    <ds:schemaRef ds:uri="c5a873d1-aea3-4488-bc86-b3aeb44b6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D13D6-D24F-4A3B-9160-96C295D72E56}">
  <ds:schemaRefs>
    <ds:schemaRef ds:uri="http://schemas.openxmlformats.org/package/2006/metadata/core-properties"/>
    <ds:schemaRef ds:uri="http://purl.org/dc/dcmitype/"/>
    <ds:schemaRef ds:uri="c5a873d1-aea3-4488-bc86-b3aeb44b66f3"/>
    <ds:schemaRef ds:uri="http://purl.org/dc/elements/1.1/"/>
    <ds:schemaRef ds:uri="http://schemas.microsoft.com/office/2006/metadata/properties"/>
    <ds:schemaRef ds:uri="http://schemas.microsoft.com/office/2006/documentManagement/types"/>
    <ds:schemaRef ds:uri="a59dc1bb-5b0e-47fe-abe2-b7e0ea38cbdb"/>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D28ED99-10FB-4DDD-8620-B67EBC27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1081</Words>
  <Characters>5893</Characters>
  <Application>Microsoft Office Word</Application>
  <DocSecurity>0</DocSecurity>
  <Lines>240</Lines>
  <Paragraphs>132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Child Support Amendment Bill – Supplementary commentary on proposed amendments to repeal incremental penalties and simplify write-off provisions (July 2020)</vt:lpstr>
      <vt:lpstr>Child support penalties</vt:lpstr>
      <vt:lpstr>    Repeal of child support incremental penalties</vt:lpstr>
      <vt:lpstr>        Summary of proposed amendment</vt:lpstr>
      <vt:lpstr>        Application date</vt:lpstr>
      <vt:lpstr>        Key features</vt:lpstr>
      <vt:lpstr>        Background</vt:lpstr>
      <vt:lpstr>    Simplification of the child support penalties write-off rules</vt:lpstr>
      <vt:lpstr>        Summary of proposed amendment</vt:lpstr>
      <vt:lpstr>        Application date</vt:lpstr>
      <vt:lpstr>        Key features</vt:lpstr>
      <vt:lpstr>        Background</vt:lpstr>
    </vt:vector>
  </TitlesOfParts>
  <Company>Inland Revenue</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Amendment Bill – Supplementary commentary on proposed amendments to repeal incremental penalties and simplify write-off provisions (July 2020)</dc:title>
  <dc:subject/>
  <dc:creator>Policy and Strategy</dc:creator>
  <cp:keywords/>
  <dc:description/>
  <dcterms:created xsi:type="dcterms:W3CDTF">2020-07-07T00:19:00Z</dcterms:created>
  <dcterms:modified xsi:type="dcterms:W3CDTF">2020-07-07T00:30:00Z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TaxKeyword">
    <vt:lpwstr/>
  </property>
  <property fmtid="{D5CDD505-2E9C-101B-9397-08002B2CF9AE}" pid="4" name="ContentTypeId">
    <vt:lpwstr>0x01010051FB5A4D8CB3714A90B797AC39F80CD6</vt:lpwstr>
  </property>
</Properties>
</file>