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3C06B" w14:textId="74CB449F" w:rsidR="00B52067" w:rsidRDefault="00B52067" w:rsidP="00B52067">
      <w:pPr>
        <w:autoSpaceDE w:val="0"/>
        <w:autoSpaceDN w:val="0"/>
        <w:adjustRightInd w:val="0"/>
        <w:jc w:val="left"/>
      </w:pPr>
      <w:bookmarkStart w:id="0" w:name="_Toc135445744"/>
      <w:bookmarkStart w:id="1" w:name="_GoBack"/>
      <w:bookmarkEnd w:id="1"/>
      <w:r>
        <w:t>August 2018</w:t>
      </w:r>
    </w:p>
    <w:p w14:paraId="11E98B1C" w14:textId="77777777" w:rsidR="00B52067" w:rsidRPr="0091475A" w:rsidRDefault="00B52067" w:rsidP="00B52067">
      <w:pPr>
        <w:autoSpaceDE w:val="0"/>
        <w:autoSpaceDN w:val="0"/>
        <w:adjustRightInd w:val="0"/>
        <w:rPr>
          <w:iCs/>
          <w:sz w:val="28"/>
          <w:szCs w:val="28"/>
        </w:rPr>
      </w:pPr>
    </w:p>
    <w:p w14:paraId="478A7A87" w14:textId="77777777" w:rsidR="00B52067" w:rsidRDefault="00B52067" w:rsidP="00B52067">
      <w:pPr>
        <w:autoSpaceDE w:val="0"/>
        <w:autoSpaceDN w:val="0"/>
        <w:adjustRightInd w:val="0"/>
        <w:rPr>
          <w:i/>
          <w:iCs/>
          <w:sz w:val="28"/>
          <w:szCs w:val="28"/>
        </w:rPr>
      </w:pPr>
      <w:r>
        <w:rPr>
          <w:i/>
          <w:iCs/>
          <w:sz w:val="28"/>
          <w:szCs w:val="28"/>
        </w:rPr>
        <w:t>A special report from</w:t>
      </w:r>
    </w:p>
    <w:p w14:paraId="268B6037" w14:textId="77777777" w:rsidR="00B52067" w:rsidRDefault="00B52067" w:rsidP="00B52067">
      <w:pPr>
        <w:rPr>
          <w:sz w:val="28"/>
          <w:szCs w:val="28"/>
        </w:rPr>
      </w:pPr>
      <w:r>
        <w:rPr>
          <w:sz w:val="28"/>
          <w:szCs w:val="28"/>
        </w:rPr>
        <w:t>Policy and Strategy, Inland Revenue</w:t>
      </w:r>
    </w:p>
    <w:p w14:paraId="4BF6E948" w14:textId="77777777" w:rsidR="00B52067" w:rsidRDefault="00B52067" w:rsidP="00B52067">
      <w:pPr>
        <w:rPr>
          <w:sz w:val="28"/>
          <w:szCs w:val="28"/>
        </w:rPr>
      </w:pPr>
    </w:p>
    <w:p w14:paraId="3E04EBF8" w14:textId="77777777" w:rsidR="00B52067" w:rsidRDefault="00B52067" w:rsidP="00B52067">
      <w:pPr>
        <w:rPr>
          <w:sz w:val="28"/>
          <w:szCs w:val="28"/>
        </w:rPr>
      </w:pPr>
    </w:p>
    <w:p w14:paraId="39AAA279" w14:textId="77777777" w:rsidR="00E905BA" w:rsidRPr="00532DB4" w:rsidRDefault="00797440" w:rsidP="00532DB4">
      <w:pPr>
        <w:pStyle w:val="Title-Specialreport"/>
      </w:pPr>
      <w:r w:rsidRPr="00532DB4">
        <w:t>Hybrid and branch mismatch</w:t>
      </w:r>
      <w:r w:rsidR="007862B7" w:rsidRPr="00532DB4">
        <w:t xml:space="preserve"> rules</w:t>
      </w:r>
    </w:p>
    <w:p w14:paraId="6227D27F" w14:textId="77777777" w:rsidR="00FA66F4" w:rsidRDefault="00FA66F4" w:rsidP="00D90911"/>
    <w:p w14:paraId="33A95F13" w14:textId="0E4CB0EB" w:rsidR="00B52067" w:rsidRDefault="00B52067" w:rsidP="0091475A">
      <w:pPr>
        <w:pStyle w:val="Sections"/>
      </w:pPr>
      <w:r>
        <w:t>Sections FH 1</w:t>
      </w:r>
      <w:r w:rsidR="00425958">
        <w:t xml:space="preserve"> to </w:t>
      </w:r>
      <w:r>
        <w:t>FH 15, EX 44(2), EX 46(6)(e), EX 46 (10)(</w:t>
      </w:r>
      <w:proofErr w:type="spellStart"/>
      <w:r>
        <w:t>db</w:t>
      </w:r>
      <w:proofErr w:type="spellEnd"/>
      <w:r>
        <w:t>), EX 47B, EX 52(14C), EX</w:t>
      </w:r>
      <w:r w:rsidR="00C53D74">
        <w:t> </w:t>
      </w:r>
      <w:r>
        <w:t xml:space="preserve">53(16C), RF 2C, FE 6(2), FE 66(3)(a), </w:t>
      </w:r>
      <w:r w:rsidR="00425958">
        <w:t>FE 6(3)(aba), FE 15(1)(a), BH 1(4)</w:t>
      </w:r>
      <w:r w:rsidR="00C53D74">
        <w:t xml:space="preserve"> and</w:t>
      </w:r>
      <w:r w:rsidR="00425958">
        <w:t xml:space="preserve"> RF 11C</w:t>
      </w:r>
      <w:r w:rsidR="00557797">
        <w:t xml:space="preserve"> of the Income Tax Act 2007</w:t>
      </w:r>
    </w:p>
    <w:p w14:paraId="03B13406" w14:textId="77777777" w:rsidR="00B52067" w:rsidRDefault="00B52067" w:rsidP="00E852A0">
      <w:pPr>
        <w:rPr>
          <w:szCs w:val="20"/>
          <w:lang w:eastAsia="en-AU"/>
        </w:rPr>
      </w:pPr>
    </w:p>
    <w:p w14:paraId="2CC34A79" w14:textId="0CB4502F" w:rsidR="00F01896" w:rsidRDefault="00E852A0" w:rsidP="00E852A0">
      <w:pPr>
        <w:rPr>
          <w:szCs w:val="20"/>
          <w:lang w:eastAsia="en-AU"/>
        </w:rPr>
      </w:pPr>
      <w:r w:rsidRPr="00925A3A">
        <w:rPr>
          <w:szCs w:val="20"/>
          <w:lang w:eastAsia="en-AU"/>
        </w:rPr>
        <w:t>Hybrid and branch mismatch arrangements are cross-border arrangements that exploit differences in the tax treatment of an instrument, entity or branch under the laws of two or more countries</w:t>
      </w:r>
      <w:r w:rsidR="007759D8">
        <w:rPr>
          <w:szCs w:val="20"/>
          <w:lang w:eastAsia="en-AU"/>
        </w:rPr>
        <w:t xml:space="preserve"> to </w:t>
      </w:r>
      <w:r w:rsidR="002D7651">
        <w:rPr>
          <w:szCs w:val="20"/>
          <w:lang w:eastAsia="en-AU"/>
        </w:rPr>
        <w:t xml:space="preserve">eliminate, </w:t>
      </w:r>
      <w:r w:rsidR="007759D8">
        <w:rPr>
          <w:szCs w:val="20"/>
          <w:lang w:eastAsia="en-AU"/>
        </w:rPr>
        <w:t>defer or reduce income tax</w:t>
      </w:r>
      <w:r w:rsidR="002D5667">
        <w:rPr>
          <w:szCs w:val="20"/>
          <w:lang w:eastAsia="en-AU"/>
        </w:rPr>
        <w:t xml:space="preserve">. </w:t>
      </w:r>
      <w:r w:rsidR="007759D8">
        <w:rPr>
          <w:szCs w:val="20"/>
          <w:lang w:eastAsia="en-AU"/>
        </w:rPr>
        <w:t xml:space="preserve">This </w:t>
      </w:r>
      <w:r w:rsidR="002D7651">
        <w:rPr>
          <w:szCs w:val="20"/>
          <w:lang w:eastAsia="en-AU"/>
        </w:rPr>
        <w:t xml:space="preserve">is often referred to </w:t>
      </w:r>
      <w:r w:rsidR="000A6F06">
        <w:rPr>
          <w:szCs w:val="20"/>
          <w:lang w:eastAsia="en-AU"/>
        </w:rPr>
        <w:t>as double</w:t>
      </w:r>
      <w:r w:rsidR="007759D8">
        <w:rPr>
          <w:szCs w:val="20"/>
          <w:lang w:eastAsia="en-AU"/>
        </w:rPr>
        <w:t xml:space="preserve"> non-taxation</w:t>
      </w:r>
      <w:r w:rsidR="00BA5297">
        <w:rPr>
          <w:szCs w:val="20"/>
          <w:lang w:eastAsia="en-AU"/>
        </w:rPr>
        <w:t>.</w:t>
      </w:r>
    </w:p>
    <w:p w14:paraId="5B0CD2DB" w14:textId="77777777" w:rsidR="00064CF1" w:rsidRDefault="00064CF1" w:rsidP="00E852A0">
      <w:pPr>
        <w:rPr>
          <w:szCs w:val="20"/>
          <w:lang w:eastAsia="en-AU"/>
        </w:rPr>
      </w:pPr>
    </w:p>
    <w:p w14:paraId="1601FFAA" w14:textId="38F418E3" w:rsidR="00BF53D2" w:rsidRDefault="00BF53D2" w:rsidP="00E852A0">
      <w:pPr>
        <w:rPr>
          <w:szCs w:val="20"/>
          <w:lang w:eastAsia="en-AU"/>
        </w:rPr>
      </w:pPr>
      <w:r>
        <w:rPr>
          <w:szCs w:val="20"/>
          <w:lang w:eastAsia="en-AU"/>
        </w:rPr>
        <w:t xml:space="preserve">The OECD </w:t>
      </w:r>
      <w:r w:rsidR="0007432F">
        <w:rPr>
          <w:szCs w:val="20"/>
          <w:lang w:eastAsia="en-AU"/>
        </w:rPr>
        <w:t>as part of</w:t>
      </w:r>
      <w:r>
        <w:rPr>
          <w:szCs w:val="20"/>
          <w:lang w:eastAsia="en-AU"/>
        </w:rPr>
        <w:t xml:space="preserve"> Action 2 of its BEPS Action Plan has made a number of recommendations </w:t>
      </w:r>
      <w:r w:rsidR="00547BCF">
        <w:rPr>
          <w:szCs w:val="20"/>
          <w:lang w:eastAsia="en-AU"/>
        </w:rPr>
        <w:t xml:space="preserve">for domestic law changes </w:t>
      </w:r>
      <w:r>
        <w:rPr>
          <w:szCs w:val="20"/>
          <w:lang w:eastAsia="en-AU"/>
        </w:rPr>
        <w:t xml:space="preserve">to help countries </w:t>
      </w:r>
      <w:r w:rsidR="00D32819">
        <w:rPr>
          <w:szCs w:val="20"/>
          <w:lang w:eastAsia="en-AU"/>
        </w:rPr>
        <w:t>neutralise the tax advantages from</w:t>
      </w:r>
      <w:r>
        <w:rPr>
          <w:szCs w:val="20"/>
          <w:lang w:eastAsia="en-AU"/>
        </w:rPr>
        <w:t xml:space="preserve"> hybrid and branch mismatches</w:t>
      </w:r>
      <w:r w:rsidR="002D5667">
        <w:rPr>
          <w:szCs w:val="20"/>
          <w:lang w:eastAsia="en-AU"/>
        </w:rPr>
        <w:t xml:space="preserve">. </w:t>
      </w:r>
      <w:r w:rsidR="00C0412B">
        <w:rPr>
          <w:szCs w:val="20"/>
          <w:lang w:eastAsia="en-AU"/>
        </w:rPr>
        <w:t>T</w:t>
      </w:r>
      <w:r>
        <w:rPr>
          <w:szCs w:val="20"/>
          <w:lang w:eastAsia="en-AU"/>
        </w:rPr>
        <w:t>hese recommendations have been</w:t>
      </w:r>
      <w:r w:rsidR="0053354A">
        <w:rPr>
          <w:szCs w:val="20"/>
          <w:lang w:eastAsia="en-AU"/>
        </w:rPr>
        <w:t xml:space="preserve"> </w:t>
      </w:r>
      <w:r>
        <w:rPr>
          <w:szCs w:val="20"/>
          <w:lang w:eastAsia="en-AU"/>
        </w:rPr>
        <w:t xml:space="preserve">picked up </w:t>
      </w:r>
      <w:r w:rsidR="00F01896">
        <w:rPr>
          <w:szCs w:val="20"/>
          <w:lang w:eastAsia="en-AU"/>
        </w:rPr>
        <w:t xml:space="preserve">(or are being picked) </w:t>
      </w:r>
      <w:r w:rsidR="0053354A">
        <w:rPr>
          <w:szCs w:val="20"/>
          <w:lang w:eastAsia="en-AU"/>
        </w:rPr>
        <w:t xml:space="preserve">by a number of </w:t>
      </w:r>
      <w:r w:rsidR="00A12894">
        <w:rPr>
          <w:szCs w:val="20"/>
          <w:lang w:eastAsia="en-AU"/>
        </w:rPr>
        <w:t xml:space="preserve">countries </w:t>
      </w:r>
      <w:r w:rsidR="0053354A">
        <w:rPr>
          <w:szCs w:val="20"/>
          <w:lang w:eastAsia="en-AU"/>
        </w:rPr>
        <w:t xml:space="preserve">including the United Kingdom, Australia, the </w:t>
      </w:r>
      <w:r w:rsidR="00547BCF">
        <w:rPr>
          <w:szCs w:val="20"/>
          <w:lang w:eastAsia="en-AU"/>
        </w:rPr>
        <w:t xml:space="preserve">members of the </w:t>
      </w:r>
      <w:r w:rsidR="0053354A">
        <w:rPr>
          <w:szCs w:val="20"/>
          <w:lang w:eastAsia="en-AU"/>
        </w:rPr>
        <w:t>E</w:t>
      </w:r>
      <w:r w:rsidR="00A415BC">
        <w:rPr>
          <w:szCs w:val="20"/>
          <w:lang w:eastAsia="en-AU"/>
        </w:rPr>
        <w:t>uropean Union</w:t>
      </w:r>
      <w:r w:rsidR="0053354A">
        <w:rPr>
          <w:szCs w:val="20"/>
          <w:lang w:eastAsia="en-AU"/>
        </w:rPr>
        <w:t xml:space="preserve"> and </w:t>
      </w:r>
      <w:r w:rsidR="002D7651">
        <w:rPr>
          <w:szCs w:val="20"/>
          <w:lang w:eastAsia="en-AU"/>
        </w:rPr>
        <w:t xml:space="preserve">(to a more limited extent) </w:t>
      </w:r>
      <w:r w:rsidR="0053354A">
        <w:rPr>
          <w:szCs w:val="20"/>
          <w:lang w:eastAsia="en-AU"/>
        </w:rPr>
        <w:t>the United States.</w:t>
      </w:r>
    </w:p>
    <w:p w14:paraId="65B9EA02" w14:textId="77777777" w:rsidR="00F01896" w:rsidRDefault="00F01896" w:rsidP="00E852A0">
      <w:pPr>
        <w:rPr>
          <w:szCs w:val="20"/>
          <w:lang w:eastAsia="en-AU"/>
        </w:rPr>
      </w:pPr>
    </w:p>
    <w:p w14:paraId="285332FB" w14:textId="20A235BC" w:rsidR="00CF001C" w:rsidRDefault="00547BCF" w:rsidP="00CF001C">
      <w:pPr>
        <w:rPr>
          <w:szCs w:val="20"/>
          <w:lang w:eastAsia="en-AU"/>
        </w:rPr>
      </w:pPr>
      <w:r>
        <w:rPr>
          <w:szCs w:val="20"/>
          <w:lang w:eastAsia="en-AU"/>
        </w:rPr>
        <w:t>S</w:t>
      </w:r>
      <w:r w:rsidR="00CB51D0">
        <w:rPr>
          <w:szCs w:val="20"/>
          <w:lang w:eastAsia="en-AU"/>
        </w:rPr>
        <w:t>ubpart FH</w:t>
      </w:r>
      <w:r>
        <w:rPr>
          <w:szCs w:val="20"/>
          <w:lang w:eastAsia="en-AU"/>
        </w:rPr>
        <w:t xml:space="preserve"> of the </w:t>
      </w:r>
      <w:r w:rsidR="00B52067">
        <w:rPr>
          <w:szCs w:val="20"/>
          <w:lang w:eastAsia="en-AU"/>
        </w:rPr>
        <w:t xml:space="preserve">Income Tax </w:t>
      </w:r>
      <w:r>
        <w:rPr>
          <w:szCs w:val="20"/>
          <w:lang w:eastAsia="en-AU"/>
        </w:rPr>
        <w:t>Act</w:t>
      </w:r>
      <w:r w:rsidR="00B52067">
        <w:rPr>
          <w:szCs w:val="20"/>
          <w:lang w:eastAsia="en-AU"/>
        </w:rPr>
        <w:t xml:space="preserve"> 2007</w:t>
      </w:r>
      <w:r>
        <w:rPr>
          <w:szCs w:val="20"/>
          <w:lang w:eastAsia="en-AU"/>
        </w:rPr>
        <w:t xml:space="preserve"> enacts</w:t>
      </w:r>
      <w:r w:rsidR="00CB51D0">
        <w:rPr>
          <w:szCs w:val="20"/>
          <w:lang w:eastAsia="en-AU"/>
        </w:rPr>
        <w:t xml:space="preserve"> the core aspects of the OECD recommendations</w:t>
      </w:r>
      <w:r w:rsidR="008A1431">
        <w:rPr>
          <w:szCs w:val="20"/>
          <w:lang w:eastAsia="en-AU"/>
        </w:rPr>
        <w:t xml:space="preserve"> with suitable modification for the New Zealand context</w:t>
      </w:r>
      <w:r w:rsidR="002D5667">
        <w:rPr>
          <w:szCs w:val="20"/>
          <w:lang w:eastAsia="en-AU"/>
        </w:rPr>
        <w:t xml:space="preserve">. </w:t>
      </w:r>
      <w:r w:rsidR="00CF001C">
        <w:rPr>
          <w:szCs w:val="20"/>
          <w:lang w:eastAsia="en-AU"/>
        </w:rPr>
        <w:t>There are consequential amendments to other tax regimes including the FIF (foreign investment fund), NRWT (non-resident withholding tax) and thin capitalisation rules.</w:t>
      </w:r>
    </w:p>
    <w:p w14:paraId="1AD7A260" w14:textId="194C9A00" w:rsidR="00CF001C" w:rsidRDefault="00CF001C" w:rsidP="00E852A0">
      <w:pPr>
        <w:rPr>
          <w:szCs w:val="20"/>
          <w:lang w:eastAsia="en-AU"/>
        </w:rPr>
      </w:pPr>
    </w:p>
    <w:p w14:paraId="5D7CF286" w14:textId="77777777" w:rsidR="000E0A26" w:rsidRDefault="000E0A26" w:rsidP="00532DB4">
      <w:pPr>
        <w:rPr>
          <w:lang w:eastAsia="en-AU"/>
        </w:rPr>
      </w:pPr>
    </w:p>
    <w:p w14:paraId="1D70DA9E" w14:textId="11BA341F" w:rsidR="00064CF1" w:rsidRPr="0053354A" w:rsidRDefault="00FE5A61" w:rsidP="0091475A">
      <w:pPr>
        <w:pStyle w:val="Heading2"/>
        <w:rPr>
          <w:lang w:eastAsia="en-AU"/>
        </w:rPr>
      </w:pPr>
      <w:r>
        <w:rPr>
          <w:lang w:eastAsia="en-AU"/>
        </w:rPr>
        <w:t>Background</w:t>
      </w:r>
    </w:p>
    <w:p w14:paraId="0D7FB45F" w14:textId="77777777" w:rsidR="007428DB" w:rsidRDefault="007428DB" w:rsidP="00E852A0">
      <w:pPr>
        <w:rPr>
          <w:szCs w:val="20"/>
          <w:lang w:eastAsia="en-AU"/>
        </w:rPr>
      </w:pPr>
    </w:p>
    <w:p w14:paraId="7737533C" w14:textId="063CF9F8" w:rsidR="0007432F" w:rsidRDefault="00D32819" w:rsidP="00E852A0">
      <w:pPr>
        <w:rPr>
          <w:szCs w:val="20"/>
          <w:lang w:eastAsia="en-AU"/>
        </w:rPr>
      </w:pPr>
      <w:r>
        <w:rPr>
          <w:szCs w:val="20"/>
          <w:lang w:eastAsia="en-AU"/>
        </w:rPr>
        <w:t xml:space="preserve">Hybrid and branch mismatch arrangements exploit the different ways that </w:t>
      </w:r>
      <w:r w:rsidR="008F3F1D">
        <w:rPr>
          <w:szCs w:val="20"/>
          <w:lang w:eastAsia="en-AU"/>
        </w:rPr>
        <w:t xml:space="preserve">countries </w:t>
      </w:r>
      <w:r>
        <w:rPr>
          <w:szCs w:val="20"/>
          <w:lang w:eastAsia="en-AU"/>
        </w:rPr>
        <w:t>treat financial instruments (hybrid instruments) and entities (hybrid entities and branches) to create tax advantages.</w:t>
      </w:r>
    </w:p>
    <w:p w14:paraId="208123E1" w14:textId="77777777" w:rsidR="0007432F" w:rsidRDefault="0007432F" w:rsidP="00E852A0">
      <w:pPr>
        <w:rPr>
          <w:szCs w:val="20"/>
          <w:lang w:eastAsia="en-AU"/>
        </w:rPr>
      </w:pPr>
    </w:p>
    <w:p w14:paraId="154A249D" w14:textId="213C9179" w:rsidR="006162F5" w:rsidRDefault="008F3F1D" w:rsidP="00E852A0">
      <w:pPr>
        <w:rPr>
          <w:szCs w:val="20"/>
          <w:lang w:eastAsia="en-AU"/>
        </w:rPr>
      </w:pPr>
      <w:r>
        <w:rPr>
          <w:szCs w:val="20"/>
          <w:lang w:eastAsia="en-AU"/>
        </w:rPr>
        <w:t>T</w:t>
      </w:r>
      <w:r w:rsidR="006162F5">
        <w:rPr>
          <w:szCs w:val="20"/>
          <w:lang w:eastAsia="en-AU"/>
        </w:rPr>
        <w:t xml:space="preserve">ake the simple example of a hybrid financial instrument issued by a subsidiary to its parent company </w:t>
      </w:r>
      <w:r>
        <w:rPr>
          <w:szCs w:val="20"/>
          <w:lang w:eastAsia="en-AU"/>
        </w:rPr>
        <w:t xml:space="preserve">(resident in another country) </w:t>
      </w:r>
      <w:r w:rsidR="006162F5">
        <w:rPr>
          <w:szCs w:val="20"/>
          <w:lang w:eastAsia="en-AU"/>
        </w:rPr>
        <w:t>that makes a quarterly coupon payment</w:t>
      </w:r>
      <w:r w:rsidR="002D5667">
        <w:rPr>
          <w:szCs w:val="20"/>
          <w:lang w:eastAsia="en-AU"/>
        </w:rPr>
        <w:t xml:space="preserve">. </w:t>
      </w:r>
      <w:r w:rsidR="006162F5">
        <w:rPr>
          <w:szCs w:val="20"/>
          <w:lang w:eastAsia="en-AU"/>
        </w:rPr>
        <w:t>The instrument is treated as debt by the subsidiar</w:t>
      </w:r>
      <w:r w:rsidR="00797440">
        <w:rPr>
          <w:szCs w:val="20"/>
          <w:lang w:eastAsia="en-AU"/>
        </w:rPr>
        <w:t>y and the coupons result in</w:t>
      </w:r>
      <w:r w:rsidR="006162F5">
        <w:rPr>
          <w:szCs w:val="20"/>
          <w:lang w:eastAsia="en-AU"/>
        </w:rPr>
        <w:t xml:space="preserve"> deductible interest</w:t>
      </w:r>
      <w:r w:rsidR="002D5667">
        <w:rPr>
          <w:szCs w:val="20"/>
          <w:lang w:eastAsia="en-AU"/>
        </w:rPr>
        <w:t xml:space="preserve">. </w:t>
      </w:r>
      <w:r w:rsidR="006162F5">
        <w:rPr>
          <w:szCs w:val="20"/>
          <w:lang w:eastAsia="en-AU"/>
        </w:rPr>
        <w:t>The instrument is treated as equity by the parent and the coupons are treated as non-assessable dividend income</w:t>
      </w:r>
      <w:r w:rsidR="002D5667">
        <w:rPr>
          <w:szCs w:val="20"/>
          <w:lang w:eastAsia="en-AU"/>
        </w:rPr>
        <w:t>.</w:t>
      </w:r>
      <w:r w:rsidR="0007432F">
        <w:rPr>
          <w:szCs w:val="20"/>
          <w:lang w:eastAsia="en-AU"/>
        </w:rPr>
        <w:t xml:space="preserve"> The hybrid financial instrument results in double non-taxation as there is a deduction in the subsidiary </w:t>
      </w:r>
      <w:r>
        <w:rPr>
          <w:szCs w:val="20"/>
          <w:lang w:eastAsia="en-AU"/>
        </w:rPr>
        <w:t>country</w:t>
      </w:r>
      <w:r w:rsidR="0007432F">
        <w:rPr>
          <w:szCs w:val="20"/>
          <w:lang w:eastAsia="en-AU"/>
        </w:rPr>
        <w:t xml:space="preserve"> </w:t>
      </w:r>
      <w:r>
        <w:rPr>
          <w:szCs w:val="20"/>
          <w:lang w:eastAsia="en-AU"/>
        </w:rPr>
        <w:t xml:space="preserve">for an amount </w:t>
      </w:r>
      <w:r w:rsidR="0007432F">
        <w:rPr>
          <w:szCs w:val="20"/>
          <w:lang w:eastAsia="en-AU"/>
        </w:rPr>
        <w:t xml:space="preserve">that is not taxed in the parent </w:t>
      </w:r>
      <w:r w:rsidR="003E0163">
        <w:rPr>
          <w:szCs w:val="20"/>
          <w:lang w:eastAsia="en-AU"/>
        </w:rPr>
        <w:t>country</w:t>
      </w:r>
      <w:r w:rsidR="0007432F">
        <w:rPr>
          <w:szCs w:val="20"/>
          <w:lang w:eastAsia="en-AU"/>
        </w:rPr>
        <w:t>.</w:t>
      </w:r>
    </w:p>
    <w:p w14:paraId="586B6583" w14:textId="77777777" w:rsidR="006162F5" w:rsidRDefault="006162F5" w:rsidP="00E852A0">
      <w:pPr>
        <w:rPr>
          <w:szCs w:val="20"/>
          <w:lang w:eastAsia="en-AU"/>
        </w:rPr>
      </w:pPr>
    </w:p>
    <w:p w14:paraId="2B22418F" w14:textId="0C01BA87" w:rsidR="0007432F" w:rsidRDefault="0007432F" w:rsidP="00E852A0">
      <w:pPr>
        <w:rPr>
          <w:szCs w:val="20"/>
          <w:lang w:eastAsia="en-AU"/>
        </w:rPr>
      </w:pPr>
      <w:r>
        <w:rPr>
          <w:szCs w:val="20"/>
          <w:lang w:eastAsia="en-AU"/>
        </w:rPr>
        <w:t xml:space="preserve">Double non-taxation of this kind is difficult to deal with because it arises even though both </w:t>
      </w:r>
      <w:r w:rsidR="008F3F1D">
        <w:rPr>
          <w:szCs w:val="20"/>
          <w:lang w:eastAsia="en-AU"/>
        </w:rPr>
        <w:t>countries</w:t>
      </w:r>
      <w:r>
        <w:rPr>
          <w:szCs w:val="20"/>
          <w:lang w:eastAsia="en-AU"/>
        </w:rPr>
        <w:t>’ tax rules are being complied with</w:t>
      </w:r>
      <w:r w:rsidR="002D5667">
        <w:rPr>
          <w:szCs w:val="20"/>
          <w:lang w:eastAsia="en-AU"/>
        </w:rPr>
        <w:t xml:space="preserve">. </w:t>
      </w:r>
      <w:r>
        <w:rPr>
          <w:szCs w:val="20"/>
          <w:lang w:eastAsia="en-AU"/>
        </w:rPr>
        <w:t>However, causes distortions in investment patterns, results in an unintended reduction in aggregate tax revenues</w:t>
      </w:r>
      <w:r w:rsidR="00B52067">
        <w:rPr>
          <w:szCs w:val="20"/>
          <w:lang w:eastAsia="en-AU"/>
        </w:rPr>
        <w:t>, and generally gives multinationals an unfair competitive advantage over local businesses</w:t>
      </w:r>
      <w:r>
        <w:rPr>
          <w:szCs w:val="20"/>
          <w:lang w:eastAsia="en-AU"/>
        </w:rPr>
        <w:t>.</w:t>
      </w:r>
    </w:p>
    <w:p w14:paraId="5C39E529" w14:textId="77777777" w:rsidR="000E5F04" w:rsidRDefault="000E5F04" w:rsidP="00E852A0">
      <w:pPr>
        <w:rPr>
          <w:szCs w:val="20"/>
          <w:lang w:eastAsia="en-AU"/>
        </w:rPr>
      </w:pPr>
    </w:p>
    <w:p w14:paraId="34194A69" w14:textId="389FB9F0" w:rsidR="005F6E78" w:rsidRDefault="00D80A47" w:rsidP="00E852A0">
      <w:pPr>
        <w:rPr>
          <w:szCs w:val="20"/>
          <w:lang w:eastAsia="en-AU"/>
        </w:rPr>
      </w:pPr>
      <w:r>
        <w:rPr>
          <w:szCs w:val="20"/>
          <w:lang w:eastAsia="en-AU"/>
        </w:rPr>
        <w:lastRenderedPageBreak/>
        <w:t>To counter such double non-taxation</w:t>
      </w:r>
      <w:r w:rsidR="00CF001C">
        <w:rPr>
          <w:szCs w:val="20"/>
          <w:lang w:eastAsia="en-AU"/>
        </w:rPr>
        <w:t>, t</w:t>
      </w:r>
      <w:r w:rsidR="007111C3">
        <w:rPr>
          <w:szCs w:val="20"/>
          <w:lang w:eastAsia="en-AU"/>
        </w:rPr>
        <w:t>he OECD made a number of recommendations to address hybrid and branch mismatches through the release of two reports in 2015 and 2017.</w:t>
      </w:r>
      <w:r w:rsidR="00400D05">
        <w:rPr>
          <w:rStyle w:val="FootnoteReference"/>
          <w:szCs w:val="20"/>
          <w:lang w:eastAsia="en-AU"/>
        </w:rPr>
        <w:footnoteReference w:id="1"/>
      </w:r>
      <w:r w:rsidR="00B52067">
        <w:rPr>
          <w:szCs w:val="20"/>
          <w:lang w:eastAsia="en-AU"/>
        </w:rPr>
        <w:t xml:space="preserve"> </w:t>
      </w:r>
      <w:r w:rsidR="00400D05">
        <w:rPr>
          <w:szCs w:val="20"/>
          <w:lang w:eastAsia="en-AU"/>
        </w:rPr>
        <w:t>The recommendations comprise two</w:t>
      </w:r>
      <w:r w:rsidR="00FE5A61">
        <w:rPr>
          <w:szCs w:val="20"/>
          <w:lang w:eastAsia="en-AU"/>
        </w:rPr>
        <w:t xml:space="preserve"> kinds of rules.</w:t>
      </w:r>
    </w:p>
    <w:p w14:paraId="494862EE" w14:textId="77777777" w:rsidR="005F6E78" w:rsidRDefault="005F6E78" w:rsidP="00E852A0">
      <w:pPr>
        <w:rPr>
          <w:szCs w:val="20"/>
          <w:lang w:eastAsia="en-AU"/>
        </w:rPr>
      </w:pPr>
    </w:p>
    <w:p w14:paraId="7908148E" w14:textId="36CD3E88" w:rsidR="005F6E78" w:rsidRDefault="00797440" w:rsidP="00E852A0">
      <w:pPr>
        <w:rPr>
          <w:szCs w:val="20"/>
          <w:lang w:eastAsia="en-AU"/>
        </w:rPr>
      </w:pPr>
      <w:r>
        <w:rPr>
          <w:szCs w:val="20"/>
          <w:lang w:eastAsia="en-AU"/>
        </w:rPr>
        <w:t xml:space="preserve">The first kind are </w:t>
      </w:r>
      <w:r w:rsidR="00400D05">
        <w:rPr>
          <w:szCs w:val="20"/>
          <w:lang w:eastAsia="en-AU"/>
        </w:rPr>
        <w:t>rules to reduce the likelihood of such mismatches arising</w:t>
      </w:r>
      <w:r w:rsidR="002D5667">
        <w:rPr>
          <w:szCs w:val="20"/>
          <w:lang w:eastAsia="en-AU"/>
        </w:rPr>
        <w:t xml:space="preserve">. </w:t>
      </w:r>
      <w:r>
        <w:rPr>
          <w:szCs w:val="20"/>
          <w:lang w:eastAsia="en-AU"/>
        </w:rPr>
        <w:t>For example, the OECD recommended th</w:t>
      </w:r>
      <w:r w:rsidR="005F6E78">
        <w:rPr>
          <w:szCs w:val="20"/>
          <w:lang w:eastAsia="en-AU"/>
        </w:rPr>
        <w:t xml:space="preserve">at </w:t>
      </w:r>
      <w:r w:rsidR="003E0163">
        <w:rPr>
          <w:szCs w:val="20"/>
          <w:lang w:eastAsia="en-AU"/>
        </w:rPr>
        <w:t>countries</w:t>
      </w:r>
      <w:r w:rsidR="005F6E78">
        <w:rPr>
          <w:szCs w:val="20"/>
          <w:lang w:eastAsia="en-AU"/>
        </w:rPr>
        <w:t xml:space="preserve"> include a rule so that a foreign dividend exemption in the payee </w:t>
      </w:r>
      <w:r w:rsidR="003E0163">
        <w:rPr>
          <w:szCs w:val="20"/>
          <w:lang w:eastAsia="en-AU"/>
        </w:rPr>
        <w:t>country</w:t>
      </w:r>
      <w:r w:rsidR="005F6E78">
        <w:rPr>
          <w:szCs w:val="20"/>
          <w:lang w:eastAsia="en-AU"/>
        </w:rPr>
        <w:t xml:space="preserve"> is not available to the extent the dividend payment is deductible to the payer</w:t>
      </w:r>
      <w:r w:rsidR="002D5667">
        <w:rPr>
          <w:szCs w:val="20"/>
          <w:lang w:eastAsia="en-AU"/>
        </w:rPr>
        <w:t xml:space="preserve">. </w:t>
      </w:r>
      <w:r w:rsidR="005F6E78">
        <w:rPr>
          <w:szCs w:val="20"/>
          <w:lang w:eastAsia="en-AU"/>
        </w:rPr>
        <w:t xml:space="preserve">New Zealand already has </w:t>
      </w:r>
      <w:r w:rsidR="003E0163">
        <w:rPr>
          <w:szCs w:val="20"/>
          <w:lang w:eastAsia="en-AU"/>
        </w:rPr>
        <w:t xml:space="preserve">such </w:t>
      </w:r>
      <w:r w:rsidR="005F6E78">
        <w:rPr>
          <w:szCs w:val="20"/>
          <w:lang w:eastAsia="en-AU"/>
        </w:rPr>
        <w:t>a rule</w:t>
      </w:r>
      <w:r w:rsidR="003E0163">
        <w:rPr>
          <w:szCs w:val="20"/>
          <w:lang w:eastAsia="en-AU"/>
        </w:rPr>
        <w:t xml:space="preserve"> </w:t>
      </w:r>
      <w:r w:rsidR="005F6E78">
        <w:rPr>
          <w:szCs w:val="20"/>
          <w:lang w:eastAsia="en-AU"/>
        </w:rPr>
        <w:t>in section CW 9.</w:t>
      </w:r>
    </w:p>
    <w:p w14:paraId="46099275" w14:textId="77777777" w:rsidR="005F6E78" w:rsidRDefault="005F6E78" w:rsidP="00E852A0">
      <w:pPr>
        <w:rPr>
          <w:szCs w:val="20"/>
          <w:lang w:eastAsia="en-AU"/>
        </w:rPr>
      </w:pPr>
    </w:p>
    <w:p w14:paraId="78446A8B" w14:textId="32A2F8E8" w:rsidR="00400D05" w:rsidRDefault="00400D05" w:rsidP="00E852A0">
      <w:pPr>
        <w:rPr>
          <w:szCs w:val="20"/>
          <w:lang w:eastAsia="en-AU"/>
        </w:rPr>
      </w:pPr>
      <w:r>
        <w:rPr>
          <w:szCs w:val="20"/>
          <w:lang w:eastAsia="en-AU"/>
        </w:rPr>
        <w:t xml:space="preserve">The second </w:t>
      </w:r>
      <w:r w:rsidR="005F6E78">
        <w:rPr>
          <w:szCs w:val="20"/>
          <w:lang w:eastAsia="en-AU"/>
        </w:rPr>
        <w:t xml:space="preserve">kind </w:t>
      </w:r>
      <w:r>
        <w:rPr>
          <w:szCs w:val="20"/>
          <w:lang w:eastAsia="en-AU"/>
        </w:rPr>
        <w:t>are “linking rules” which apply where the mismatch has not been prev</w:t>
      </w:r>
      <w:r w:rsidR="00E55D3D">
        <w:rPr>
          <w:szCs w:val="20"/>
          <w:lang w:eastAsia="en-AU"/>
        </w:rPr>
        <w:t>ented by other domestic rules</w:t>
      </w:r>
      <w:r w:rsidR="002D5667">
        <w:rPr>
          <w:szCs w:val="20"/>
          <w:lang w:eastAsia="en-AU"/>
        </w:rPr>
        <w:t xml:space="preserve">. </w:t>
      </w:r>
      <w:r w:rsidR="00E55D3D">
        <w:rPr>
          <w:szCs w:val="20"/>
          <w:lang w:eastAsia="en-AU"/>
        </w:rPr>
        <w:t xml:space="preserve">The linking rules effectively adjust the tax outcomes under a hybrid or branch mismatch in one </w:t>
      </w:r>
      <w:r w:rsidR="003E0163">
        <w:rPr>
          <w:szCs w:val="20"/>
          <w:lang w:eastAsia="en-AU"/>
        </w:rPr>
        <w:t>country</w:t>
      </w:r>
      <w:r w:rsidR="00E55D3D">
        <w:rPr>
          <w:szCs w:val="20"/>
          <w:lang w:eastAsia="en-AU"/>
        </w:rPr>
        <w:t xml:space="preserve"> in order to align them with the tax outcomes in the other </w:t>
      </w:r>
      <w:r w:rsidR="003E0163">
        <w:rPr>
          <w:szCs w:val="20"/>
          <w:lang w:eastAsia="en-AU"/>
        </w:rPr>
        <w:t>country.</w:t>
      </w:r>
    </w:p>
    <w:p w14:paraId="73B840BE" w14:textId="77777777" w:rsidR="00E55D3D" w:rsidRDefault="00E55D3D" w:rsidP="00E852A0">
      <w:pPr>
        <w:rPr>
          <w:szCs w:val="20"/>
          <w:lang w:eastAsia="en-AU"/>
        </w:rPr>
      </w:pPr>
    </w:p>
    <w:p w14:paraId="7E98A8BD" w14:textId="281DD217" w:rsidR="00A10F73" w:rsidRDefault="00400D05" w:rsidP="00970891">
      <w:pPr>
        <w:rPr>
          <w:szCs w:val="20"/>
          <w:lang w:eastAsia="en-AU"/>
        </w:rPr>
      </w:pPr>
      <w:r>
        <w:rPr>
          <w:szCs w:val="20"/>
          <w:lang w:eastAsia="en-AU"/>
        </w:rPr>
        <w:t xml:space="preserve">Consistent with the approach adopted by several countries around the world, New Zealand has chosen to adopt the OECD recommendations </w:t>
      </w:r>
      <w:r w:rsidR="00E55D3D">
        <w:rPr>
          <w:szCs w:val="20"/>
          <w:lang w:eastAsia="en-AU"/>
        </w:rPr>
        <w:t xml:space="preserve">in a comprehensive manner </w:t>
      </w:r>
      <w:r>
        <w:rPr>
          <w:szCs w:val="20"/>
          <w:lang w:eastAsia="en-AU"/>
        </w:rPr>
        <w:t>with suitable modification for the New Zealand context</w:t>
      </w:r>
      <w:r w:rsidR="002D5667">
        <w:rPr>
          <w:szCs w:val="20"/>
          <w:lang w:eastAsia="en-AU"/>
        </w:rPr>
        <w:t xml:space="preserve">. </w:t>
      </w:r>
      <w:r w:rsidR="00E55D3D">
        <w:rPr>
          <w:szCs w:val="20"/>
          <w:lang w:eastAsia="en-AU"/>
        </w:rPr>
        <w:t xml:space="preserve">The </w:t>
      </w:r>
      <w:r w:rsidR="00D80A47">
        <w:rPr>
          <w:szCs w:val="20"/>
          <w:lang w:eastAsia="en-AU"/>
        </w:rPr>
        <w:t>linkin</w:t>
      </w:r>
      <w:r w:rsidR="005F6E78">
        <w:rPr>
          <w:szCs w:val="20"/>
          <w:lang w:eastAsia="en-AU"/>
        </w:rPr>
        <w:t>g rules are introduced through s</w:t>
      </w:r>
      <w:r w:rsidR="00D80A47">
        <w:rPr>
          <w:szCs w:val="20"/>
          <w:lang w:eastAsia="en-AU"/>
        </w:rPr>
        <w:t xml:space="preserve">ubpart FH </w:t>
      </w:r>
      <w:r w:rsidR="00E55D3D">
        <w:rPr>
          <w:szCs w:val="20"/>
          <w:lang w:eastAsia="en-AU"/>
        </w:rPr>
        <w:t xml:space="preserve">and there are consequential amendments to other tax regimes as well, including </w:t>
      </w:r>
      <w:r w:rsidR="002B0B36">
        <w:rPr>
          <w:szCs w:val="20"/>
          <w:lang w:eastAsia="en-AU"/>
        </w:rPr>
        <w:t>the FIF</w:t>
      </w:r>
      <w:r w:rsidR="002D7651">
        <w:rPr>
          <w:szCs w:val="20"/>
          <w:lang w:eastAsia="en-AU"/>
        </w:rPr>
        <w:t>,</w:t>
      </w:r>
      <w:r w:rsidR="002B0B36">
        <w:rPr>
          <w:szCs w:val="20"/>
          <w:lang w:eastAsia="en-AU"/>
        </w:rPr>
        <w:t xml:space="preserve"> </w:t>
      </w:r>
      <w:r w:rsidR="000A6F06">
        <w:rPr>
          <w:szCs w:val="20"/>
          <w:lang w:eastAsia="en-AU"/>
        </w:rPr>
        <w:t>NRWT and</w:t>
      </w:r>
      <w:r w:rsidR="002B0B36">
        <w:rPr>
          <w:szCs w:val="20"/>
          <w:lang w:eastAsia="en-AU"/>
        </w:rPr>
        <w:t xml:space="preserve"> thin capitalisation rules.</w:t>
      </w:r>
    </w:p>
    <w:p w14:paraId="418E5445" w14:textId="77777777" w:rsidR="00F54CC0" w:rsidRDefault="00F54CC0" w:rsidP="00970891">
      <w:pPr>
        <w:rPr>
          <w:szCs w:val="20"/>
          <w:lang w:eastAsia="en-AU"/>
        </w:rPr>
      </w:pPr>
    </w:p>
    <w:p w14:paraId="0C43AD6B" w14:textId="0A93E6AC" w:rsidR="00F54CC0" w:rsidRDefault="008A1431" w:rsidP="00F54CC0">
      <w:pPr>
        <w:rPr>
          <w:szCs w:val="20"/>
          <w:lang w:eastAsia="en-AU"/>
        </w:rPr>
      </w:pPr>
      <w:r>
        <w:rPr>
          <w:szCs w:val="20"/>
          <w:lang w:eastAsia="en-AU"/>
        </w:rPr>
        <w:t>While the new rules are relatively complex, it is important to bear in mind that they</w:t>
      </w:r>
      <w:r w:rsidR="00F54CC0">
        <w:rPr>
          <w:szCs w:val="20"/>
          <w:lang w:eastAsia="en-AU"/>
        </w:rPr>
        <w:t xml:space="preserve"> will have no impact for</w:t>
      </w:r>
      <w:r>
        <w:rPr>
          <w:szCs w:val="20"/>
          <w:lang w:eastAsia="en-AU"/>
        </w:rPr>
        <w:t xml:space="preserve"> the vast majority of taxpayers</w:t>
      </w:r>
      <w:r w:rsidR="002D5667">
        <w:rPr>
          <w:szCs w:val="20"/>
          <w:lang w:eastAsia="en-AU"/>
        </w:rPr>
        <w:t xml:space="preserve">. </w:t>
      </w:r>
      <w:r w:rsidR="004F026E">
        <w:rPr>
          <w:szCs w:val="20"/>
          <w:lang w:eastAsia="en-AU"/>
        </w:rPr>
        <w:t>T</w:t>
      </w:r>
      <w:r>
        <w:rPr>
          <w:szCs w:val="20"/>
          <w:lang w:eastAsia="en-AU"/>
        </w:rPr>
        <w:t xml:space="preserve">heir impact will be limited to taxpayers that are currently </w:t>
      </w:r>
      <w:r w:rsidR="00F54CC0">
        <w:rPr>
          <w:szCs w:val="20"/>
          <w:lang w:eastAsia="en-AU"/>
        </w:rPr>
        <w:t>benefitting from tax arbitrage because of hybrid or branch mismatches.</w:t>
      </w:r>
    </w:p>
    <w:p w14:paraId="1B6086E3" w14:textId="77777777" w:rsidR="00970891" w:rsidRDefault="00970891" w:rsidP="007862B7">
      <w:pPr>
        <w:rPr>
          <w:szCs w:val="20"/>
          <w:lang w:eastAsia="en-AU"/>
        </w:rPr>
      </w:pPr>
    </w:p>
    <w:p w14:paraId="612381F6" w14:textId="77777777" w:rsidR="000E0A26" w:rsidRDefault="000E0A26" w:rsidP="007862B7">
      <w:pPr>
        <w:rPr>
          <w:b/>
          <w:szCs w:val="20"/>
          <w:lang w:eastAsia="en-AU"/>
        </w:rPr>
      </w:pPr>
    </w:p>
    <w:p w14:paraId="2A3DAFDB" w14:textId="5B53C71C" w:rsidR="004E04D7" w:rsidRPr="006868FB" w:rsidRDefault="00FE5A61" w:rsidP="000772C5">
      <w:pPr>
        <w:pStyle w:val="Heading2"/>
        <w:rPr>
          <w:lang w:eastAsia="en-AU"/>
        </w:rPr>
      </w:pPr>
      <w:r>
        <w:rPr>
          <w:lang w:eastAsia="en-AU"/>
        </w:rPr>
        <w:t>Key features</w:t>
      </w:r>
    </w:p>
    <w:p w14:paraId="1B903735" w14:textId="77777777" w:rsidR="00830D7F" w:rsidRDefault="00830D7F" w:rsidP="007862B7">
      <w:pPr>
        <w:rPr>
          <w:szCs w:val="20"/>
          <w:lang w:eastAsia="en-AU"/>
        </w:rPr>
      </w:pPr>
    </w:p>
    <w:p w14:paraId="06A2AD25" w14:textId="7FB04025" w:rsidR="009139BE" w:rsidRDefault="004F5377" w:rsidP="007862B7">
      <w:pPr>
        <w:rPr>
          <w:szCs w:val="20"/>
          <w:lang w:eastAsia="en-AU"/>
        </w:rPr>
      </w:pPr>
      <w:r>
        <w:rPr>
          <w:szCs w:val="20"/>
          <w:lang w:eastAsia="en-AU"/>
        </w:rPr>
        <w:t xml:space="preserve">Subpart FH includes rules </w:t>
      </w:r>
      <w:r w:rsidR="00581067">
        <w:rPr>
          <w:szCs w:val="20"/>
          <w:lang w:eastAsia="en-AU"/>
        </w:rPr>
        <w:t>to address the hybrid and branch</w:t>
      </w:r>
      <w:r>
        <w:rPr>
          <w:szCs w:val="20"/>
          <w:lang w:eastAsia="en-AU"/>
        </w:rPr>
        <w:t xml:space="preserve"> mismatche</w:t>
      </w:r>
      <w:r w:rsidR="00FE5A61">
        <w:rPr>
          <w:szCs w:val="20"/>
          <w:lang w:eastAsia="en-AU"/>
        </w:rPr>
        <w:t>s arising from the following:</w:t>
      </w:r>
    </w:p>
    <w:p w14:paraId="29D92375" w14:textId="77777777" w:rsidR="004B40A3" w:rsidRDefault="004B40A3" w:rsidP="007862B7">
      <w:pPr>
        <w:rPr>
          <w:szCs w:val="20"/>
          <w:lang w:eastAsia="en-AU"/>
        </w:rPr>
      </w:pPr>
    </w:p>
    <w:p w14:paraId="0A321021" w14:textId="77777777" w:rsidR="004F5377" w:rsidRPr="00824F24" w:rsidRDefault="009139BE" w:rsidP="0091475A">
      <w:pPr>
        <w:pStyle w:val="Bullets"/>
      </w:pPr>
      <w:r w:rsidRPr="00824F24">
        <w:t>hybrid financial instruments</w:t>
      </w:r>
      <w:r w:rsidR="004B40A3">
        <w:t xml:space="preserve"> (sections FH 3 and 4)</w:t>
      </w:r>
      <w:r w:rsidRPr="00824F24">
        <w:t>;</w:t>
      </w:r>
    </w:p>
    <w:p w14:paraId="3DA1868C" w14:textId="77777777" w:rsidR="004F5377" w:rsidRPr="00824F24" w:rsidRDefault="009139BE" w:rsidP="0091475A">
      <w:pPr>
        <w:pStyle w:val="Bullets"/>
      </w:pPr>
      <w:r w:rsidRPr="00824F24">
        <w:t>disregarded hybrid payments</w:t>
      </w:r>
      <w:r w:rsidR="004B40A3">
        <w:t xml:space="preserve"> and deemed branch payments (sections FH 5 and 6)</w:t>
      </w:r>
      <w:r w:rsidRPr="00824F24">
        <w:t>;</w:t>
      </w:r>
    </w:p>
    <w:p w14:paraId="78B38A6A" w14:textId="77777777" w:rsidR="004F5377" w:rsidRDefault="009139BE" w:rsidP="0091475A">
      <w:pPr>
        <w:pStyle w:val="Bullets"/>
      </w:pPr>
      <w:r w:rsidRPr="00824F24">
        <w:t>reverse</w:t>
      </w:r>
      <w:r w:rsidR="004B40A3">
        <w:t xml:space="preserve"> hybrids and branch payee mismatches (section FH 7)</w:t>
      </w:r>
      <w:r w:rsidRPr="00824F24">
        <w:t>;</w:t>
      </w:r>
    </w:p>
    <w:p w14:paraId="1AD1F162" w14:textId="77777777" w:rsidR="004B40A3" w:rsidRPr="004B40A3" w:rsidRDefault="004B40A3" w:rsidP="0091475A">
      <w:pPr>
        <w:pStyle w:val="Bullets"/>
      </w:pPr>
      <w:r>
        <w:t>deductible hybrid and branch payments resulting in double deductions (sections FH 8 and 9)</w:t>
      </w:r>
      <w:r w:rsidRPr="00824F24">
        <w:t>;</w:t>
      </w:r>
    </w:p>
    <w:p w14:paraId="0325ED3C" w14:textId="77777777" w:rsidR="004F5377" w:rsidRPr="00824F24" w:rsidRDefault="004B40A3" w:rsidP="0091475A">
      <w:pPr>
        <w:pStyle w:val="Bullets"/>
      </w:pPr>
      <w:r>
        <w:t>dual resident payers (section FH 10)</w:t>
      </w:r>
      <w:r w:rsidR="009139BE" w:rsidRPr="00824F24">
        <w:t>;</w:t>
      </w:r>
      <w:r>
        <w:t xml:space="preserve"> and</w:t>
      </w:r>
    </w:p>
    <w:p w14:paraId="610AC5DA" w14:textId="1FC5070B" w:rsidR="00824F24" w:rsidRPr="004B40A3" w:rsidRDefault="009139BE" w:rsidP="0091475A">
      <w:pPr>
        <w:pStyle w:val="Bullets"/>
        <w:spacing w:after="0"/>
      </w:pPr>
      <w:r w:rsidRPr="00824F24">
        <w:t>imported mismatches</w:t>
      </w:r>
      <w:r w:rsidR="004B40A3">
        <w:t xml:space="preserve"> (section FH 11).</w:t>
      </w:r>
    </w:p>
    <w:p w14:paraId="69F7DB60" w14:textId="77777777" w:rsidR="004B40A3" w:rsidRDefault="004B40A3" w:rsidP="007862B7">
      <w:pPr>
        <w:rPr>
          <w:szCs w:val="20"/>
          <w:lang w:eastAsia="en-AU"/>
        </w:rPr>
      </w:pPr>
    </w:p>
    <w:p w14:paraId="64A7D561" w14:textId="3EF436E2" w:rsidR="00F9217E" w:rsidRPr="00925A3A" w:rsidRDefault="007862B7" w:rsidP="007862B7">
      <w:pPr>
        <w:rPr>
          <w:szCs w:val="20"/>
          <w:lang w:eastAsia="en-AU"/>
        </w:rPr>
      </w:pPr>
      <w:r w:rsidRPr="00925A3A">
        <w:rPr>
          <w:szCs w:val="20"/>
          <w:lang w:eastAsia="en-AU"/>
        </w:rPr>
        <w:t>Where there are two or more part</w:t>
      </w:r>
      <w:r w:rsidR="00824F24">
        <w:rPr>
          <w:szCs w:val="20"/>
          <w:lang w:eastAsia="en-AU"/>
        </w:rPr>
        <w:t xml:space="preserve">ies to a mismatch, the </w:t>
      </w:r>
      <w:r w:rsidRPr="00925A3A">
        <w:rPr>
          <w:szCs w:val="20"/>
          <w:lang w:eastAsia="en-AU"/>
        </w:rPr>
        <w:t>rules generally only apply if there is some degree of association between the parties to the arrangement, or if the arrangement has been structured to achieve a mismatch.</w:t>
      </w:r>
    </w:p>
    <w:p w14:paraId="15B1CC79" w14:textId="77777777" w:rsidR="009804B2" w:rsidRDefault="009804B2" w:rsidP="00E852A0">
      <w:pPr>
        <w:rPr>
          <w:szCs w:val="20"/>
          <w:lang w:eastAsia="en-AU"/>
        </w:rPr>
      </w:pPr>
    </w:p>
    <w:p w14:paraId="60FDF674" w14:textId="44D613A5" w:rsidR="00F7613C" w:rsidRDefault="00AC600E" w:rsidP="00E852A0">
      <w:pPr>
        <w:rPr>
          <w:szCs w:val="20"/>
          <w:lang w:eastAsia="en-AU"/>
        </w:rPr>
      </w:pPr>
      <w:r>
        <w:rPr>
          <w:szCs w:val="20"/>
          <w:lang w:eastAsia="en-AU"/>
        </w:rPr>
        <w:t>S</w:t>
      </w:r>
      <w:r w:rsidR="00581067">
        <w:rPr>
          <w:szCs w:val="20"/>
          <w:lang w:eastAsia="en-AU"/>
        </w:rPr>
        <w:t xml:space="preserve">ubpart FH provides </w:t>
      </w:r>
      <w:r>
        <w:rPr>
          <w:szCs w:val="20"/>
          <w:lang w:eastAsia="en-AU"/>
        </w:rPr>
        <w:t>some ways for</w:t>
      </w:r>
      <w:r w:rsidR="00581067">
        <w:rPr>
          <w:szCs w:val="20"/>
          <w:lang w:eastAsia="en-AU"/>
        </w:rPr>
        <w:t xml:space="preserve"> taxpayers </w:t>
      </w:r>
      <w:r>
        <w:rPr>
          <w:szCs w:val="20"/>
          <w:lang w:eastAsia="en-AU"/>
        </w:rPr>
        <w:t>to</w:t>
      </w:r>
      <w:r w:rsidR="00581067">
        <w:rPr>
          <w:szCs w:val="20"/>
          <w:lang w:eastAsia="en-AU"/>
        </w:rPr>
        <w:t xml:space="preserve"> simplify</w:t>
      </w:r>
      <w:r w:rsidR="00F7613C">
        <w:rPr>
          <w:szCs w:val="20"/>
          <w:lang w:eastAsia="en-AU"/>
        </w:rPr>
        <w:t xml:space="preserve"> the application of the hybrid </w:t>
      </w:r>
      <w:r w:rsidR="00581067">
        <w:rPr>
          <w:szCs w:val="20"/>
          <w:lang w:eastAsia="en-AU"/>
        </w:rPr>
        <w:t xml:space="preserve">and branch </w:t>
      </w:r>
      <w:r w:rsidR="00F7613C">
        <w:rPr>
          <w:szCs w:val="20"/>
          <w:lang w:eastAsia="en-AU"/>
        </w:rPr>
        <w:t>mismatch rules to</w:t>
      </w:r>
      <w:r>
        <w:rPr>
          <w:szCs w:val="20"/>
          <w:lang w:eastAsia="en-AU"/>
        </w:rPr>
        <w:t xml:space="preserve"> </w:t>
      </w:r>
      <w:r w:rsidR="00F7613C">
        <w:rPr>
          <w:szCs w:val="20"/>
          <w:lang w:eastAsia="en-AU"/>
        </w:rPr>
        <w:t>their arrangements</w:t>
      </w:r>
      <w:r w:rsidR="002D5667">
        <w:rPr>
          <w:szCs w:val="20"/>
          <w:lang w:eastAsia="en-AU"/>
        </w:rPr>
        <w:t xml:space="preserve">. </w:t>
      </w:r>
      <w:r w:rsidR="00F7613C">
        <w:rPr>
          <w:szCs w:val="20"/>
          <w:lang w:eastAsia="en-AU"/>
        </w:rPr>
        <w:t>In particular</w:t>
      </w:r>
      <w:r w:rsidR="00B52067">
        <w:rPr>
          <w:szCs w:val="20"/>
          <w:lang w:eastAsia="en-AU"/>
        </w:rPr>
        <w:t>, in respect of</w:t>
      </w:r>
      <w:r w:rsidR="00FE5A61">
        <w:rPr>
          <w:szCs w:val="20"/>
          <w:lang w:eastAsia="en-AU"/>
        </w:rPr>
        <w:t>:</w:t>
      </w:r>
    </w:p>
    <w:p w14:paraId="58949884" w14:textId="77777777" w:rsidR="000772C5" w:rsidRDefault="000772C5" w:rsidP="00E852A0">
      <w:pPr>
        <w:rPr>
          <w:szCs w:val="20"/>
          <w:lang w:eastAsia="en-AU"/>
        </w:rPr>
      </w:pPr>
    </w:p>
    <w:p w14:paraId="09E49856" w14:textId="4CE1B87E" w:rsidR="00F7613C" w:rsidRPr="00CC49EC" w:rsidRDefault="00F7613C" w:rsidP="0091475A">
      <w:pPr>
        <w:pStyle w:val="Bullets"/>
      </w:pPr>
      <w:r w:rsidRPr="00F7613C">
        <w:lastRenderedPageBreak/>
        <w:t xml:space="preserve">inbound hybrid financial instruments, the taxpayer may elect to treat the instrument as a share for </w:t>
      </w:r>
      <w:r>
        <w:t>New Zealand income tax purposes</w:t>
      </w:r>
      <w:r w:rsidR="00581067">
        <w:t xml:space="preserve"> (section FH 13)</w:t>
      </w:r>
      <w:r>
        <w:t>; and</w:t>
      </w:r>
    </w:p>
    <w:p w14:paraId="21B4C6B4" w14:textId="521C6E69" w:rsidR="00F7613C" w:rsidRPr="00F7613C" w:rsidRDefault="004B40A3" w:rsidP="0091475A">
      <w:pPr>
        <w:pStyle w:val="Bullets"/>
        <w:spacing w:after="0"/>
      </w:pPr>
      <w:r>
        <w:t>wholly-owned</w:t>
      </w:r>
      <w:r w:rsidR="00F7613C" w:rsidRPr="00F7613C">
        <w:t xml:space="preserve"> outbound foreign hybrid entities</w:t>
      </w:r>
      <w:r w:rsidR="00AC600E">
        <w:t xml:space="preserve"> existing on 6 December 2017 (the date</w:t>
      </w:r>
      <w:r w:rsidR="00D05DB4">
        <w:t xml:space="preserve"> the Taxation (Neutralising Base Erosion and Profit Shifting) Bill</w:t>
      </w:r>
      <w:r w:rsidR="00AC600E">
        <w:t xml:space="preserve"> </w:t>
      </w:r>
      <w:r w:rsidR="00D05DB4">
        <w:t>was introduced)</w:t>
      </w:r>
      <w:r w:rsidR="00F7613C" w:rsidRPr="00F7613C">
        <w:t xml:space="preserve">, the taxpayer may </w:t>
      </w:r>
      <w:r w:rsidR="00007CEA">
        <w:t xml:space="preserve">irrevocably </w:t>
      </w:r>
      <w:r w:rsidR="00F7613C" w:rsidRPr="00F7613C">
        <w:t>elect to treat the entity as a company for New Zealand income tax purpos</w:t>
      </w:r>
      <w:r w:rsidR="000F221C">
        <w:t>es</w:t>
      </w:r>
      <w:r w:rsidR="00581067">
        <w:t xml:space="preserve"> (section FH 14)</w:t>
      </w:r>
      <w:r w:rsidR="000F221C">
        <w:t>.</w:t>
      </w:r>
    </w:p>
    <w:p w14:paraId="2F37A85B" w14:textId="77777777" w:rsidR="00F7613C" w:rsidRDefault="00F7613C" w:rsidP="00E852A0">
      <w:pPr>
        <w:rPr>
          <w:szCs w:val="20"/>
          <w:lang w:eastAsia="en-AU"/>
        </w:rPr>
      </w:pPr>
    </w:p>
    <w:p w14:paraId="0542710C" w14:textId="352B1B3B" w:rsidR="000E0A26" w:rsidRPr="00581067" w:rsidRDefault="004C4D10" w:rsidP="00D90911">
      <w:pPr>
        <w:rPr>
          <w:szCs w:val="20"/>
          <w:lang w:eastAsia="en-AU"/>
        </w:rPr>
      </w:pPr>
      <w:r>
        <w:rPr>
          <w:szCs w:val="20"/>
          <w:lang w:eastAsia="en-AU"/>
        </w:rPr>
        <w:t>The introduction of the linking rules in subpart FH of the Act has flow on implications for other N</w:t>
      </w:r>
      <w:r w:rsidR="000F221C">
        <w:rPr>
          <w:szCs w:val="20"/>
          <w:lang w:eastAsia="en-AU"/>
        </w:rPr>
        <w:t>ew Zealand tax regimes, including</w:t>
      </w:r>
      <w:r>
        <w:rPr>
          <w:szCs w:val="20"/>
          <w:lang w:eastAsia="en-AU"/>
        </w:rPr>
        <w:t xml:space="preserve"> the FIF, NRWT</w:t>
      </w:r>
      <w:r w:rsidR="00DC45D8">
        <w:rPr>
          <w:szCs w:val="20"/>
          <w:lang w:eastAsia="en-AU"/>
        </w:rPr>
        <w:t xml:space="preserve"> and thin capitalisation rules.</w:t>
      </w:r>
    </w:p>
    <w:p w14:paraId="60F77F7F" w14:textId="77777777" w:rsidR="00D05DB4" w:rsidRDefault="00D05DB4" w:rsidP="0091475A"/>
    <w:p w14:paraId="11E31670" w14:textId="77777777" w:rsidR="00D05DB4" w:rsidRDefault="00D05DB4" w:rsidP="0091475A"/>
    <w:p w14:paraId="4FE07E5C" w14:textId="77777777" w:rsidR="007759D8" w:rsidRPr="004C4D10" w:rsidRDefault="00957D9A" w:rsidP="000772C5">
      <w:pPr>
        <w:pStyle w:val="Heading2"/>
      </w:pPr>
      <w:r w:rsidRPr="004C4D10">
        <w:t>Application date</w:t>
      </w:r>
      <w:r w:rsidR="00FE48E6" w:rsidRPr="004C4D10">
        <w:t>s</w:t>
      </w:r>
    </w:p>
    <w:p w14:paraId="725C67AF" w14:textId="77777777" w:rsidR="007759D8" w:rsidRPr="004C4D10" w:rsidRDefault="007759D8" w:rsidP="00D90911"/>
    <w:p w14:paraId="5E02A3BA" w14:textId="523A8B42" w:rsidR="000200B3" w:rsidRDefault="000200B3" w:rsidP="00945A7C">
      <w:r>
        <w:t xml:space="preserve">The majority of the </w:t>
      </w:r>
      <w:r w:rsidR="004C4D10" w:rsidRPr="004C4D10">
        <w:t>hybrid and branch mismatc</w:t>
      </w:r>
      <w:r w:rsidR="009167C1">
        <w:t>h rules apply for income years beginning</w:t>
      </w:r>
      <w:r w:rsidR="004C4D10" w:rsidRPr="004C4D10">
        <w:t xml:space="preserve"> on or after 1 July 2018</w:t>
      </w:r>
      <w:r w:rsidR="002D5667">
        <w:t xml:space="preserve">. </w:t>
      </w:r>
      <w:r>
        <w:t>There are two exceptions</w:t>
      </w:r>
      <w:r w:rsidR="009167C1">
        <w:t xml:space="preserve"> to this application date</w:t>
      </w:r>
      <w:r>
        <w:t>.</w:t>
      </w:r>
    </w:p>
    <w:p w14:paraId="264FF9DA" w14:textId="77777777" w:rsidR="000200B3" w:rsidRDefault="000200B3" w:rsidP="00945A7C"/>
    <w:p w14:paraId="6530ED85" w14:textId="4EF93C45" w:rsidR="000200B3" w:rsidRDefault="000200B3" w:rsidP="00945A7C">
      <w:r>
        <w:t xml:space="preserve">The first exception is </w:t>
      </w:r>
      <w:r w:rsidR="009167C1">
        <w:t xml:space="preserve">in respect of the financial instrument rule in sections FH 3 and FH 4 </w:t>
      </w:r>
      <w:r>
        <w:t xml:space="preserve">for </w:t>
      </w:r>
      <w:r w:rsidR="00945A7C">
        <w:t>b</w:t>
      </w:r>
      <w:r w:rsidR="004C4D10">
        <w:t xml:space="preserve">anking </w:t>
      </w:r>
      <w:r w:rsidR="00BB136C">
        <w:t xml:space="preserve">or </w:t>
      </w:r>
      <w:r w:rsidR="004C4D10">
        <w:t xml:space="preserve">insurance regulatory capital </w:t>
      </w:r>
      <w:r w:rsidR="00BB136C">
        <w:t>instruments issued</w:t>
      </w:r>
      <w:r w:rsidR="00007CEA">
        <w:t xml:space="preserve"> on or before 6 September 2016</w:t>
      </w:r>
      <w:r>
        <w:t xml:space="preserve"> (</w:t>
      </w:r>
      <w:r w:rsidR="00D05DB4">
        <w:t>the date</w:t>
      </w:r>
      <w:r w:rsidR="00945A7C">
        <w:t xml:space="preserve"> the Government discussion document on </w:t>
      </w:r>
      <w:r w:rsidR="00945A7C" w:rsidRPr="00945A7C">
        <w:rPr>
          <w:i/>
        </w:rPr>
        <w:t>Addressing hybrid mismatch arrangements</w:t>
      </w:r>
      <w:r w:rsidR="00945A7C">
        <w:t xml:space="preserve"> was released)</w:t>
      </w:r>
      <w:r w:rsidR="002D5667">
        <w:t xml:space="preserve">. </w:t>
      </w:r>
      <w:r w:rsidR="00945A7C">
        <w:t>This regulatory capital</w:t>
      </w:r>
      <w:r w:rsidR="00007CEA">
        <w:t xml:space="preserve"> </w:t>
      </w:r>
      <w:r w:rsidR="00945A7C">
        <w:t>has been grand</w:t>
      </w:r>
      <w:r w:rsidR="009167C1">
        <w:t>-</w:t>
      </w:r>
      <w:r w:rsidR="004C4D10">
        <w:t>pare</w:t>
      </w:r>
      <w:r w:rsidR="00007CEA">
        <w:t xml:space="preserve">nted </w:t>
      </w:r>
      <w:r w:rsidR="00945A7C">
        <w:t>until the first date on which the person has an unconditional right to call or otherwise cancel the financ</w:t>
      </w:r>
      <w:r w:rsidR="00FE5A61">
        <w:t>ial instrument without penalty.</w:t>
      </w:r>
    </w:p>
    <w:p w14:paraId="2114F28A" w14:textId="77777777" w:rsidR="000200B3" w:rsidRDefault="000200B3" w:rsidP="00945A7C"/>
    <w:p w14:paraId="3BA96F33" w14:textId="2DAEFFD0" w:rsidR="009167C1" w:rsidRDefault="000200B3" w:rsidP="00945A7C">
      <w:r>
        <w:t>The second exception is</w:t>
      </w:r>
      <w:r w:rsidR="009167C1">
        <w:t xml:space="preserve"> in respect of the imported mismatch rule in section FH 11 for non-structured imported mismatches</w:t>
      </w:r>
      <w:r w:rsidR="002D5667">
        <w:t xml:space="preserve">. </w:t>
      </w:r>
      <w:r w:rsidR="009167C1">
        <w:t>For payments under non-structured imported mismatches,</w:t>
      </w:r>
      <w:r w:rsidR="00BB136C">
        <w:t xml:space="preserve"> </w:t>
      </w:r>
      <w:r w:rsidR="009167C1">
        <w:t>the rule will apply for income years beginning on or after 1 January 2020.</w:t>
      </w:r>
    </w:p>
    <w:p w14:paraId="3C9D906C" w14:textId="77777777" w:rsidR="009167C1" w:rsidRDefault="009167C1" w:rsidP="00945A7C"/>
    <w:p w14:paraId="03BA65F7" w14:textId="77777777" w:rsidR="00007CEA" w:rsidRDefault="00007CEA" w:rsidP="00007CEA">
      <w:pPr>
        <w:keepNext/>
        <w:pBdr>
          <w:bottom w:val="single" w:sz="4" w:space="6" w:color="auto"/>
        </w:pBdr>
        <w:outlineLvl w:val="0"/>
      </w:pPr>
      <w:bookmarkStart w:id="2" w:name="_Toc500319037"/>
      <w:bookmarkStart w:id="3" w:name="_Toc517169388"/>
      <w:bookmarkEnd w:id="0"/>
      <w:r>
        <w:br w:type="page"/>
      </w:r>
    </w:p>
    <w:p w14:paraId="20E66955" w14:textId="77777777" w:rsidR="00474C8A" w:rsidRDefault="00D17D2E" w:rsidP="000772C5">
      <w:pPr>
        <w:pStyle w:val="Heading1"/>
        <w:rPr>
          <w:lang w:eastAsia="en-AU"/>
        </w:rPr>
      </w:pPr>
      <w:r>
        <w:rPr>
          <w:lang w:eastAsia="en-AU"/>
        </w:rPr>
        <w:lastRenderedPageBreak/>
        <w:t>Core principles and concepts</w:t>
      </w:r>
    </w:p>
    <w:p w14:paraId="4263A8FC" w14:textId="77777777" w:rsidR="00474C8A" w:rsidRPr="00474C8A" w:rsidRDefault="00474C8A" w:rsidP="00474C8A"/>
    <w:p w14:paraId="0456B3DA" w14:textId="77777777" w:rsidR="00443DC1" w:rsidRPr="00443DC1" w:rsidRDefault="00443DC1" w:rsidP="00474C8A">
      <w:pPr>
        <w:rPr>
          <w:b/>
          <w:i/>
        </w:rPr>
      </w:pPr>
      <w:r>
        <w:rPr>
          <w:b/>
          <w:i/>
        </w:rPr>
        <w:t>Section</w:t>
      </w:r>
      <w:r w:rsidR="00F22CCC">
        <w:rPr>
          <w:b/>
          <w:i/>
        </w:rPr>
        <w:t>s</w:t>
      </w:r>
      <w:r>
        <w:rPr>
          <w:b/>
          <w:i/>
        </w:rPr>
        <w:t xml:space="preserve"> FH 1</w:t>
      </w:r>
      <w:r w:rsidR="00F22CCC">
        <w:rPr>
          <w:b/>
          <w:i/>
        </w:rPr>
        <w:t xml:space="preserve"> and FH 2</w:t>
      </w:r>
    </w:p>
    <w:p w14:paraId="0D3E5FAE" w14:textId="77777777" w:rsidR="00443DC1" w:rsidRDefault="00443DC1" w:rsidP="00474C8A"/>
    <w:p w14:paraId="1CC9614F" w14:textId="77777777" w:rsidR="0091475A" w:rsidRDefault="0091475A" w:rsidP="00474C8A"/>
    <w:p w14:paraId="2CE95381" w14:textId="525F21A9" w:rsidR="00457282" w:rsidRDefault="00474C8A" w:rsidP="00474C8A">
      <w:r>
        <w:t>The hybrid and branch mismatch rules introduce a number of new concepts to</w:t>
      </w:r>
      <w:r w:rsidR="00977043">
        <w:t xml:space="preserve"> tax legislation</w:t>
      </w:r>
      <w:r w:rsidR="002D5667">
        <w:t xml:space="preserve">. </w:t>
      </w:r>
      <w:r w:rsidR="00977043">
        <w:t>This section</w:t>
      </w:r>
      <w:r w:rsidR="003224D9">
        <w:t xml:space="preserve"> of the special report</w:t>
      </w:r>
      <w:r w:rsidR="00457282">
        <w:t xml:space="preserve"> highlights a number of the key concepts and principles </w:t>
      </w:r>
      <w:r w:rsidR="00977043">
        <w:t>before considering the specific hybrid and branch mismatch rules introduced in subpart FH</w:t>
      </w:r>
      <w:r w:rsidR="00457282">
        <w:t xml:space="preserve"> and the consequential amendments from those rules</w:t>
      </w:r>
      <w:r w:rsidR="00977043">
        <w:t>.</w:t>
      </w:r>
    </w:p>
    <w:p w14:paraId="0E3545AC" w14:textId="77777777" w:rsidR="0066259A" w:rsidRDefault="0066259A" w:rsidP="00474C8A"/>
    <w:p w14:paraId="2CBE87BD" w14:textId="2BFA7716" w:rsidR="0066259A" w:rsidRDefault="0066259A" w:rsidP="00474C8A">
      <w:r>
        <w:t>For simplicity, the rules will generally be referred to interchangeably as the “hybrid and branch mismatch rules” and the “hybrid rules”</w:t>
      </w:r>
      <w:r w:rsidR="0050048D">
        <w:t xml:space="preserve"> in this special report</w:t>
      </w:r>
      <w:r w:rsidR="002D5667">
        <w:t xml:space="preserve">. </w:t>
      </w:r>
      <w:r>
        <w:t xml:space="preserve">This is consistent with the definition of “hybrid mismatch legislation” in section FH 15 which </w:t>
      </w:r>
      <w:r w:rsidR="0050048D">
        <w:t>covers both the hybrid and branch mismatch rules.</w:t>
      </w:r>
    </w:p>
    <w:p w14:paraId="246A369A" w14:textId="77777777" w:rsidR="00443DC1" w:rsidRDefault="00443DC1" w:rsidP="00474C8A"/>
    <w:p w14:paraId="19BD7CBA" w14:textId="77777777" w:rsidR="00457282" w:rsidRDefault="00457282" w:rsidP="00474C8A"/>
    <w:p w14:paraId="1566A9B0" w14:textId="6F89F29A" w:rsidR="00457282" w:rsidRDefault="00457282" w:rsidP="00532DB4">
      <w:pPr>
        <w:pStyle w:val="Heading2"/>
      </w:pPr>
      <w:r>
        <w:t xml:space="preserve">OECD </w:t>
      </w:r>
      <w:r w:rsidR="00056F92">
        <w:t>hyb</w:t>
      </w:r>
      <w:r w:rsidR="00FE5A61">
        <w:t>rid and branch mismatch reports</w:t>
      </w:r>
    </w:p>
    <w:p w14:paraId="1E888EAB" w14:textId="77777777" w:rsidR="00690AA3" w:rsidRPr="00FE5A61" w:rsidRDefault="00690AA3" w:rsidP="009D7F4B"/>
    <w:p w14:paraId="77D605C4" w14:textId="77BA1769" w:rsidR="00443DC1" w:rsidRDefault="009D7F4B" w:rsidP="009D7F4B">
      <w:pPr>
        <w:rPr>
          <w:szCs w:val="20"/>
          <w:lang w:eastAsia="en-AU"/>
        </w:rPr>
      </w:pPr>
      <w:r>
        <w:rPr>
          <w:szCs w:val="20"/>
          <w:lang w:eastAsia="en-AU"/>
        </w:rPr>
        <w:t xml:space="preserve">The OECD as part of Action 2 of its BEPS Action Plan has made a number of recommendations to help countries </w:t>
      </w:r>
      <w:r w:rsidR="00BB136C">
        <w:rPr>
          <w:szCs w:val="20"/>
          <w:lang w:eastAsia="en-AU"/>
        </w:rPr>
        <w:t xml:space="preserve">change their domestic law so as to </w:t>
      </w:r>
      <w:r>
        <w:rPr>
          <w:szCs w:val="20"/>
          <w:lang w:eastAsia="en-AU"/>
        </w:rPr>
        <w:t>neutralise the tax advantages from hybrid and branch mismatches</w:t>
      </w:r>
      <w:r w:rsidR="00A87854">
        <w:rPr>
          <w:szCs w:val="20"/>
          <w:lang w:eastAsia="en-AU"/>
        </w:rPr>
        <w:t xml:space="preserve"> through two reports issued in 2015 and 2017</w:t>
      </w:r>
      <w:r>
        <w:rPr>
          <w:szCs w:val="20"/>
          <w:lang w:eastAsia="en-AU"/>
        </w:rPr>
        <w:t>.</w:t>
      </w:r>
      <w:r w:rsidR="00443DC1">
        <w:rPr>
          <w:rStyle w:val="FootnoteReference"/>
          <w:szCs w:val="20"/>
          <w:lang w:eastAsia="en-AU"/>
        </w:rPr>
        <w:footnoteReference w:id="2"/>
      </w:r>
    </w:p>
    <w:p w14:paraId="68A833A0" w14:textId="77777777" w:rsidR="00F54CC0" w:rsidRDefault="00F54CC0" w:rsidP="009D7F4B">
      <w:pPr>
        <w:rPr>
          <w:szCs w:val="20"/>
          <w:lang w:eastAsia="en-AU"/>
        </w:rPr>
      </w:pPr>
    </w:p>
    <w:p w14:paraId="17D1720B" w14:textId="304B6F77" w:rsidR="004B6A4B" w:rsidRDefault="00F54CC0" w:rsidP="009D7F4B">
      <w:pPr>
        <w:rPr>
          <w:szCs w:val="20"/>
          <w:lang w:eastAsia="en-AU"/>
        </w:rPr>
      </w:pPr>
      <w:r>
        <w:rPr>
          <w:szCs w:val="20"/>
          <w:lang w:eastAsia="en-AU"/>
        </w:rPr>
        <w:t>The hybrid mismatch report outlined comprehensive recommendations to deal with hybrid mismatch arrangements in October 2015</w:t>
      </w:r>
      <w:r w:rsidR="002D5667">
        <w:rPr>
          <w:szCs w:val="20"/>
          <w:lang w:eastAsia="en-AU"/>
        </w:rPr>
        <w:t xml:space="preserve">. </w:t>
      </w:r>
      <w:r w:rsidR="003224D9">
        <w:rPr>
          <w:szCs w:val="20"/>
          <w:lang w:eastAsia="en-AU"/>
        </w:rPr>
        <w:t>This report considered mismatches that are the result of differences in the tax treatment or characterisation of an instrument or entity</w:t>
      </w:r>
      <w:r w:rsidR="002D5667">
        <w:rPr>
          <w:szCs w:val="20"/>
          <w:lang w:eastAsia="en-AU"/>
        </w:rPr>
        <w:t xml:space="preserve">. </w:t>
      </w:r>
      <w:r w:rsidR="004B6A4B">
        <w:rPr>
          <w:szCs w:val="20"/>
          <w:lang w:eastAsia="en-AU"/>
        </w:rPr>
        <w:t>While some</w:t>
      </w:r>
      <w:r w:rsidR="003224D9">
        <w:rPr>
          <w:szCs w:val="20"/>
          <w:lang w:eastAsia="en-AU"/>
        </w:rPr>
        <w:t xml:space="preserve"> of the hybrid mismatches identified in the report </w:t>
      </w:r>
      <w:r w:rsidR="004B6A4B">
        <w:rPr>
          <w:szCs w:val="20"/>
          <w:lang w:eastAsia="en-AU"/>
        </w:rPr>
        <w:t>involved branches, it did not directly consider similar issues that can arise through the use of branch structures.</w:t>
      </w:r>
    </w:p>
    <w:p w14:paraId="5910DF92" w14:textId="77777777" w:rsidR="004B6A4B" w:rsidRDefault="004B6A4B" w:rsidP="009D7F4B">
      <w:pPr>
        <w:rPr>
          <w:szCs w:val="20"/>
          <w:lang w:eastAsia="en-AU"/>
        </w:rPr>
      </w:pPr>
    </w:p>
    <w:p w14:paraId="775DBA21" w14:textId="7130F4A3" w:rsidR="004B6A4B" w:rsidRDefault="00293284" w:rsidP="009D7F4B">
      <w:pPr>
        <w:rPr>
          <w:szCs w:val="20"/>
          <w:lang w:eastAsia="en-AU"/>
        </w:rPr>
      </w:pPr>
      <w:r>
        <w:rPr>
          <w:szCs w:val="20"/>
          <w:lang w:eastAsia="en-AU"/>
        </w:rPr>
        <w:t>The branch mismatch report considering these issues was issued in 2017</w:t>
      </w:r>
      <w:r w:rsidR="002D5667">
        <w:rPr>
          <w:szCs w:val="20"/>
          <w:lang w:eastAsia="en-AU"/>
        </w:rPr>
        <w:t xml:space="preserve">. </w:t>
      </w:r>
      <w:r>
        <w:rPr>
          <w:szCs w:val="20"/>
          <w:lang w:eastAsia="en-AU"/>
        </w:rPr>
        <w:t xml:space="preserve">The report considered </w:t>
      </w:r>
      <w:r w:rsidR="004B6A4B">
        <w:rPr>
          <w:szCs w:val="20"/>
          <w:lang w:eastAsia="en-AU"/>
        </w:rPr>
        <w:t xml:space="preserve">mismatches </w:t>
      </w:r>
      <w:r>
        <w:rPr>
          <w:szCs w:val="20"/>
          <w:lang w:eastAsia="en-AU"/>
        </w:rPr>
        <w:t xml:space="preserve">that </w:t>
      </w:r>
      <w:r w:rsidR="004B6A4B">
        <w:rPr>
          <w:szCs w:val="20"/>
          <w:lang w:eastAsia="en-AU"/>
        </w:rPr>
        <w:t xml:space="preserve">arise as a result of differences in the allocation of income and expenditure between </w:t>
      </w:r>
      <w:r w:rsidR="004D4155">
        <w:rPr>
          <w:szCs w:val="20"/>
          <w:lang w:eastAsia="en-AU"/>
        </w:rPr>
        <w:t>a</w:t>
      </w:r>
      <w:r w:rsidR="004B6A4B">
        <w:rPr>
          <w:szCs w:val="20"/>
          <w:lang w:eastAsia="en-AU"/>
        </w:rPr>
        <w:t xml:space="preserve"> br</w:t>
      </w:r>
      <w:r>
        <w:rPr>
          <w:szCs w:val="20"/>
          <w:lang w:eastAsia="en-AU"/>
        </w:rPr>
        <w:t>anch and head office, including</w:t>
      </w:r>
      <w:r w:rsidR="004B6A4B">
        <w:rPr>
          <w:szCs w:val="20"/>
          <w:lang w:eastAsia="en-AU"/>
        </w:rPr>
        <w:t xml:space="preserve"> situations where the branch </w:t>
      </w:r>
      <w:r w:rsidR="004D4155">
        <w:rPr>
          <w:szCs w:val="20"/>
          <w:lang w:eastAsia="en-AU"/>
        </w:rPr>
        <w:t xml:space="preserve">country </w:t>
      </w:r>
      <w:r w:rsidR="004B6A4B">
        <w:rPr>
          <w:szCs w:val="20"/>
          <w:lang w:eastAsia="en-AU"/>
        </w:rPr>
        <w:t>does not treat the taxpayer as having a taxabl</w:t>
      </w:r>
      <w:r w:rsidR="001B0174">
        <w:rPr>
          <w:szCs w:val="20"/>
          <w:lang w:eastAsia="en-AU"/>
        </w:rPr>
        <w:t xml:space="preserve">e presence in that </w:t>
      </w:r>
      <w:r w:rsidR="004D4155">
        <w:rPr>
          <w:szCs w:val="20"/>
          <w:lang w:eastAsia="en-AU"/>
        </w:rPr>
        <w:t>country</w:t>
      </w:r>
      <w:r w:rsidR="004B6A4B">
        <w:rPr>
          <w:szCs w:val="20"/>
          <w:lang w:eastAsia="en-AU"/>
        </w:rPr>
        <w:t>.</w:t>
      </w:r>
    </w:p>
    <w:p w14:paraId="61BA78E0" w14:textId="77777777" w:rsidR="004B6A4B" w:rsidRDefault="004B6A4B" w:rsidP="009D7F4B">
      <w:pPr>
        <w:rPr>
          <w:szCs w:val="20"/>
          <w:lang w:eastAsia="en-AU"/>
        </w:rPr>
      </w:pPr>
    </w:p>
    <w:p w14:paraId="49BC1100" w14:textId="19F7B882" w:rsidR="00474C8A" w:rsidRPr="00001B6C" w:rsidRDefault="00690AA3" w:rsidP="00474C8A">
      <w:pPr>
        <w:rPr>
          <w:szCs w:val="20"/>
          <w:lang w:eastAsia="en-AU"/>
        </w:rPr>
      </w:pPr>
      <w:r>
        <w:t xml:space="preserve">The hybrid and branch mismatch rules </w:t>
      </w:r>
      <w:r w:rsidR="00A87854">
        <w:t xml:space="preserve">introduced in subpart FH </w:t>
      </w:r>
      <w:r>
        <w:t>closely follow the OECD recommendations with suitable modification for the New Zealand context</w:t>
      </w:r>
      <w:r w:rsidR="002D5667">
        <w:t xml:space="preserve">. </w:t>
      </w:r>
      <w:r w:rsidR="005A13C3">
        <w:t>While the terminology used in the OECD hybrid and branch reports and the legislation is not necessarily the same, the intent is broadly similar and some of the examples in the special report have been adapted from the OECD reports</w:t>
      </w:r>
      <w:r w:rsidR="002D5667">
        <w:t xml:space="preserve">. </w:t>
      </w:r>
      <w:r>
        <w:t xml:space="preserve">Therefore, in addition to the guidance in this special report, the </w:t>
      </w:r>
      <w:r w:rsidR="00443DC1">
        <w:t>OECD hybrid and branch mismatch reports may generally be used as interpretive aids for the hybrid and branch mismatch rules.</w:t>
      </w:r>
    </w:p>
    <w:p w14:paraId="4EE50EDB" w14:textId="77777777" w:rsidR="00977043" w:rsidRDefault="00977043" w:rsidP="00532DB4">
      <w:pPr>
        <w:rPr>
          <w:lang w:eastAsia="en-AU"/>
        </w:rPr>
      </w:pPr>
    </w:p>
    <w:p w14:paraId="4477C9F1" w14:textId="77777777" w:rsidR="00001B6C" w:rsidRPr="00001B6C" w:rsidRDefault="00001B6C" w:rsidP="00001B6C">
      <w:pPr>
        <w:rPr>
          <w:lang w:eastAsia="en-AU"/>
        </w:rPr>
      </w:pPr>
    </w:p>
    <w:p w14:paraId="428AE8FC" w14:textId="3D6256D2" w:rsidR="00977043" w:rsidRPr="00457282" w:rsidRDefault="00457282" w:rsidP="00532DB4">
      <w:pPr>
        <w:pStyle w:val="Heading2"/>
        <w:rPr>
          <w:lang w:eastAsia="en-AU"/>
        </w:rPr>
      </w:pPr>
      <w:r>
        <w:rPr>
          <w:lang w:eastAsia="en-AU"/>
        </w:rPr>
        <w:t>Hybrid a</w:t>
      </w:r>
      <w:r w:rsidR="00FE5A61">
        <w:rPr>
          <w:lang w:eastAsia="en-AU"/>
        </w:rPr>
        <w:t>nd branch mismatch arrangements</w:t>
      </w:r>
    </w:p>
    <w:p w14:paraId="6618DB7E" w14:textId="77777777" w:rsidR="00443DC1" w:rsidRDefault="00443DC1" w:rsidP="00532DB4">
      <w:pPr>
        <w:rPr>
          <w:lang w:eastAsia="en-AU"/>
        </w:rPr>
      </w:pPr>
    </w:p>
    <w:p w14:paraId="62A969B5" w14:textId="4F090AC3" w:rsidR="00665631" w:rsidRDefault="00665631" w:rsidP="00665631">
      <w:pPr>
        <w:rPr>
          <w:szCs w:val="20"/>
          <w:lang w:eastAsia="en-AU"/>
        </w:rPr>
      </w:pPr>
      <w:r w:rsidRPr="00925A3A">
        <w:rPr>
          <w:szCs w:val="20"/>
          <w:lang w:eastAsia="en-AU"/>
        </w:rPr>
        <w:t xml:space="preserve">Hybrid and branch mismatch arrangements are cross-border arrangements that exploit differences in the tax treatment of an instrument, entity or branch under the laws of two or </w:t>
      </w:r>
      <w:r w:rsidRPr="00925A3A">
        <w:rPr>
          <w:szCs w:val="20"/>
          <w:lang w:eastAsia="en-AU"/>
        </w:rPr>
        <w:lastRenderedPageBreak/>
        <w:t>more countries</w:t>
      </w:r>
      <w:r>
        <w:rPr>
          <w:szCs w:val="20"/>
          <w:lang w:eastAsia="en-AU"/>
        </w:rPr>
        <w:t xml:space="preserve"> to defer or reduce income tax</w:t>
      </w:r>
      <w:r w:rsidR="002D5667">
        <w:rPr>
          <w:szCs w:val="20"/>
          <w:lang w:eastAsia="en-AU"/>
        </w:rPr>
        <w:t xml:space="preserve">. </w:t>
      </w:r>
      <w:r>
        <w:rPr>
          <w:szCs w:val="20"/>
          <w:lang w:eastAsia="en-AU"/>
        </w:rPr>
        <w:t>This can result in double non-taxation, including long term tax deferral.</w:t>
      </w:r>
    </w:p>
    <w:p w14:paraId="1849250A" w14:textId="77777777" w:rsidR="00457282" w:rsidRDefault="00457282" w:rsidP="00532DB4">
      <w:pPr>
        <w:rPr>
          <w:lang w:eastAsia="en-AU"/>
        </w:rPr>
      </w:pPr>
    </w:p>
    <w:p w14:paraId="491EB3C5" w14:textId="77777777" w:rsidR="00665631" w:rsidRDefault="00665631" w:rsidP="00532DB4">
      <w:pPr>
        <w:rPr>
          <w:lang w:eastAsia="en-AU"/>
        </w:rPr>
      </w:pPr>
    </w:p>
    <w:p w14:paraId="39E35CD1" w14:textId="77777777" w:rsidR="00977043" w:rsidRDefault="00977043" w:rsidP="00532DB4">
      <w:pPr>
        <w:pStyle w:val="Heading2"/>
        <w:rPr>
          <w:lang w:eastAsia="en-AU"/>
        </w:rPr>
      </w:pPr>
      <w:r>
        <w:rPr>
          <w:lang w:eastAsia="en-AU"/>
        </w:rPr>
        <w:t>D/NI and DD mismatches</w:t>
      </w:r>
    </w:p>
    <w:p w14:paraId="626C8601" w14:textId="77777777" w:rsidR="00977043" w:rsidRDefault="00977043" w:rsidP="00532DB4">
      <w:pPr>
        <w:rPr>
          <w:lang w:eastAsia="en-AU"/>
        </w:rPr>
      </w:pPr>
    </w:p>
    <w:p w14:paraId="785DCA86" w14:textId="285D1383" w:rsidR="00977043" w:rsidRDefault="00665631" w:rsidP="00532DB4">
      <w:pPr>
        <w:rPr>
          <w:lang w:eastAsia="en-AU"/>
        </w:rPr>
      </w:pPr>
      <w:r>
        <w:rPr>
          <w:lang w:eastAsia="en-AU"/>
        </w:rPr>
        <w:t>There are two broad types of hybrid and branch mismatch arrangements addressed in the OECD hybrid and branch mismatch reports: deduction/non-inclusion (D/NI) arrangements and dou</w:t>
      </w:r>
      <w:r w:rsidR="009B3868">
        <w:rPr>
          <w:lang w:eastAsia="en-AU"/>
        </w:rPr>
        <w:t>ble deduction (DD) arrangements.</w:t>
      </w:r>
    </w:p>
    <w:p w14:paraId="412F61AD" w14:textId="77777777" w:rsidR="009B3868" w:rsidRDefault="009B3868" w:rsidP="00532DB4">
      <w:pPr>
        <w:rPr>
          <w:lang w:eastAsia="en-AU"/>
        </w:rPr>
      </w:pPr>
    </w:p>
    <w:p w14:paraId="51C3125F" w14:textId="74A6D629" w:rsidR="009B3868" w:rsidRDefault="009B3868" w:rsidP="00532DB4">
      <w:pPr>
        <w:rPr>
          <w:lang w:eastAsia="en-AU"/>
        </w:rPr>
      </w:pPr>
      <w:r w:rsidRPr="009B3868">
        <w:rPr>
          <w:lang w:eastAsia="en-AU"/>
        </w:rPr>
        <w:t>D/</w:t>
      </w:r>
      <w:r w:rsidR="00BF3B78">
        <w:rPr>
          <w:lang w:eastAsia="en-AU"/>
        </w:rPr>
        <w:t>NI mismatch arrangements</w:t>
      </w:r>
      <w:r w:rsidRPr="009B3868">
        <w:rPr>
          <w:lang w:eastAsia="en-AU"/>
        </w:rPr>
        <w:t xml:space="preserve"> occur when</w:t>
      </w:r>
      <w:r>
        <w:rPr>
          <w:lang w:eastAsia="en-AU"/>
        </w:rPr>
        <w:t xml:space="preserve"> a payment results in a deduction in one </w:t>
      </w:r>
      <w:r w:rsidR="00273A41">
        <w:rPr>
          <w:lang w:eastAsia="en-AU"/>
        </w:rPr>
        <w:t>country</w:t>
      </w:r>
      <w:r>
        <w:rPr>
          <w:lang w:eastAsia="en-AU"/>
        </w:rPr>
        <w:t xml:space="preserve"> with no corresponding income taxed in the recipient </w:t>
      </w:r>
      <w:r w:rsidR="00273A41">
        <w:rPr>
          <w:lang w:eastAsia="en-AU"/>
        </w:rPr>
        <w:t>country</w:t>
      </w:r>
      <w:r w:rsidR="00EA4CC6">
        <w:rPr>
          <w:lang w:eastAsia="en-AU"/>
        </w:rPr>
        <w:t>, if that outcome is the result of the different tax treatment of an instrument, entity or branch</w:t>
      </w:r>
      <w:r>
        <w:rPr>
          <w:lang w:eastAsia="en-AU"/>
        </w:rPr>
        <w:t>.</w:t>
      </w:r>
    </w:p>
    <w:p w14:paraId="43A4AF43" w14:textId="77777777" w:rsidR="009B3868" w:rsidRDefault="009B3868" w:rsidP="00532DB4">
      <w:pPr>
        <w:rPr>
          <w:lang w:eastAsia="en-AU"/>
        </w:rPr>
      </w:pPr>
    </w:p>
    <w:p w14:paraId="1FE474A2" w14:textId="4887EF42" w:rsidR="009B3868" w:rsidRDefault="009B3868" w:rsidP="00532DB4">
      <w:pPr>
        <w:rPr>
          <w:lang w:eastAsia="en-AU"/>
        </w:rPr>
      </w:pPr>
      <w:r>
        <w:rPr>
          <w:lang w:eastAsia="en-AU"/>
        </w:rPr>
        <w:t xml:space="preserve">DD mismatch arrangements occur when a taxpayer </w:t>
      </w:r>
      <w:r w:rsidR="004C46FB">
        <w:rPr>
          <w:lang w:eastAsia="en-AU"/>
        </w:rPr>
        <w:t>is entitled to</w:t>
      </w:r>
      <w:r>
        <w:rPr>
          <w:lang w:eastAsia="en-AU"/>
        </w:rPr>
        <w:t xml:space="preserve"> a deduction in two </w:t>
      </w:r>
      <w:r w:rsidR="00EA4CC6">
        <w:rPr>
          <w:lang w:eastAsia="en-AU"/>
        </w:rPr>
        <w:t>countries</w:t>
      </w:r>
      <w:r>
        <w:rPr>
          <w:lang w:eastAsia="en-AU"/>
        </w:rPr>
        <w:t xml:space="preserve"> for the same payment.</w:t>
      </w:r>
    </w:p>
    <w:p w14:paraId="1A5B35C8" w14:textId="77777777" w:rsidR="009B3868" w:rsidRDefault="009B3868" w:rsidP="00532DB4">
      <w:pPr>
        <w:rPr>
          <w:lang w:eastAsia="en-AU"/>
        </w:rPr>
      </w:pPr>
    </w:p>
    <w:p w14:paraId="382B05B6" w14:textId="663A8288" w:rsidR="009B3868" w:rsidRDefault="00BF3B78" w:rsidP="00532DB4">
      <w:pPr>
        <w:rPr>
          <w:lang w:eastAsia="en-AU"/>
        </w:rPr>
      </w:pPr>
      <w:r>
        <w:rPr>
          <w:lang w:eastAsia="en-AU"/>
        </w:rPr>
        <w:t>D/NI and DD hybrid and branch mismatches can arise in several ways involving financial instruments, hybrid entities or branches</w:t>
      </w:r>
      <w:r w:rsidR="002D5667">
        <w:rPr>
          <w:lang w:eastAsia="en-AU"/>
        </w:rPr>
        <w:t xml:space="preserve">. </w:t>
      </w:r>
      <w:r w:rsidR="00293284">
        <w:rPr>
          <w:lang w:eastAsia="en-AU"/>
        </w:rPr>
        <w:t>The OECD</w:t>
      </w:r>
      <w:r w:rsidR="00663E50">
        <w:rPr>
          <w:lang w:eastAsia="en-AU"/>
        </w:rPr>
        <w:t xml:space="preserve"> identified a number of ways in which the mismatches can arise and developed recommendations to neutralise the tax advantages they can provide</w:t>
      </w:r>
      <w:r w:rsidR="00293284">
        <w:rPr>
          <w:lang w:eastAsia="en-AU"/>
        </w:rPr>
        <w:t xml:space="preserve"> in the reports noted above</w:t>
      </w:r>
      <w:r w:rsidR="002D5667">
        <w:rPr>
          <w:lang w:eastAsia="en-AU"/>
        </w:rPr>
        <w:t xml:space="preserve">. </w:t>
      </w:r>
      <w:r w:rsidR="00C27386">
        <w:rPr>
          <w:lang w:eastAsia="en-AU"/>
        </w:rPr>
        <w:t>These ways include mismatches that arise through the use of hybrid financial instruments, disregarded hybrid payments, structures producing double deductions, reverse hybrids, dual resident entities, imported mismatches, and deemed branch payments and payee mismatches</w:t>
      </w:r>
      <w:r w:rsidR="002D5667">
        <w:rPr>
          <w:lang w:eastAsia="en-AU"/>
        </w:rPr>
        <w:t xml:space="preserve">. </w:t>
      </w:r>
      <w:r w:rsidR="009E3670">
        <w:rPr>
          <w:lang w:eastAsia="en-AU"/>
        </w:rPr>
        <w:t>Each of these hybrid or branch mismatch arrangements is covered by the rules in subpart FH and discussed in detail later in the special report.</w:t>
      </w:r>
    </w:p>
    <w:p w14:paraId="6586D89A" w14:textId="77777777" w:rsidR="00134F50" w:rsidRDefault="00134F50" w:rsidP="00532DB4">
      <w:pPr>
        <w:rPr>
          <w:lang w:eastAsia="en-AU"/>
        </w:rPr>
      </w:pPr>
    </w:p>
    <w:p w14:paraId="013082B6" w14:textId="77777777" w:rsidR="000E0A26" w:rsidRDefault="000E0A26" w:rsidP="00532DB4">
      <w:pPr>
        <w:rPr>
          <w:lang w:eastAsia="en-AU"/>
        </w:rPr>
      </w:pPr>
    </w:p>
    <w:p w14:paraId="3D132FC6" w14:textId="0722BF5C" w:rsidR="009B3868" w:rsidRDefault="001E521A" w:rsidP="000772C5">
      <w:pPr>
        <w:pStyle w:val="Heading2"/>
        <w:rPr>
          <w:lang w:eastAsia="en-AU"/>
        </w:rPr>
      </w:pPr>
      <w:r>
        <w:rPr>
          <w:lang w:eastAsia="en-AU"/>
        </w:rPr>
        <w:t>OECD recommendations</w:t>
      </w:r>
    </w:p>
    <w:p w14:paraId="241C867D" w14:textId="77777777" w:rsidR="001E521A" w:rsidRDefault="001E521A" w:rsidP="00532DB4">
      <w:pPr>
        <w:rPr>
          <w:lang w:eastAsia="en-AU"/>
        </w:rPr>
      </w:pPr>
    </w:p>
    <w:p w14:paraId="75603A41" w14:textId="722896DE" w:rsidR="00B73682" w:rsidRDefault="00F349E5" w:rsidP="00532DB4">
      <w:pPr>
        <w:rPr>
          <w:lang w:eastAsia="en-AU"/>
        </w:rPr>
      </w:pPr>
      <w:r>
        <w:rPr>
          <w:lang w:eastAsia="en-AU"/>
        </w:rPr>
        <w:t>The OECD recommended</w:t>
      </w:r>
      <w:r w:rsidR="001E521A">
        <w:rPr>
          <w:lang w:eastAsia="en-AU"/>
        </w:rPr>
        <w:t xml:space="preserve"> two kinds of rules to address hybrid and branch mismatches</w:t>
      </w:r>
      <w:r w:rsidR="002D5667">
        <w:rPr>
          <w:lang w:eastAsia="en-AU"/>
        </w:rPr>
        <w:t xml:space="preserve">. </w:t>
      </w:r>
      <w:r w:rsidR="00134F50">
        <w:rPr>
          <w:lang w:eastAsia="en-AU"/>
        </w:rPr>
        <w:t xml:space="preserve">The first kind </w:t>
      </w:r>
      <w:r w:rsidR="00927E72">
        <w:rPr>
          <w:lang w:eastAsia="en-AU"/>
        </w:rPr>
        <w:t>are rules to reduce the likelihood of such mismatches arising</w:t>
      </w:r>
      <w:r w:rsidR="002D5667">
        <w:rPr>
          <w:lang w:eastAsia="en-AU"/>
        </w:rPr>
        <w:t xml:space="preserve">. </w:t>
      </w:r>
      <w:r w:rsidR="00B73682">
        <w:rPr>
          <w:lang w:eastAsia="en-AU"/>
        </w:rPr>
        <w:t xml:space="preserve">For example, the OECD recommended that </w:t>
      </w:r>
      <w:r w:rsidR="00CC4C67">
        <w:rPr>
          <w:lang w:eastAsia="en-AU"/>
        </w:rPr>
        <w:t>jurisdictions</w:t>
      </w:r>
      <w:r w:rsidR="00B73682">
        <w:rPr>
          <w:lang w:eastAsia="en-AU"/>
        </w:rPr>
        <w:t xml:space="preserve"> include a rule so that a foreign dividend exemption in the payee </w:t>
      </w:r>
      <w:r w:rsidR="00EA4CC6">
        <w:rPr>
          <w:lang w:eastAsia="en-AU"/>
        </w:rPr>
        <w:t>country</w:t>
      </w:r>
      <w:r w:rsidR="00B73682">
        <w:rPr>
          <w:lang w:eastAsia="en-AU"/>
        </w:rPr>
        <w:t xml:space="preserve"> is not available to the extent the dividend payment is deductible to the payer</w:t>
      </w:r>
      <w:r w:rsidR="002D5667">
        <w:rPr>
          <w:lang w:eastAsia="en-AU"/>
        </w:rPr>
        <w:t xml:space="preserve">. </w:t>
      </w:r>
      <w:r w:rsidR="00B73682">
        <w:rPr>
          <w:lang w:eastAsia="en-AU"/>
        </w:rPr>
        <w:t>New Zealand already has a rule to cover this circumstance in section CW 9.</w:t>
      </w:r>
    </w:p>
    <w:p w14:paraId="07A7CF72" w14:textId="77777777" w:rsidR="00B73682" w:rsidRDefault="00B73682" w:rsidP="00532DB4">
      <w:pPr>
        <w:rPr>
          <w:lang w:eastAsia="en-AU"/>
        </w:rPr>
      </w:pPr>
    </w:p>
    <w:p w14:paraId="4BCDF765" w14:textId="4A20FF2F" w:rsidR="00E11AB1" w:rsidRDefault="00927E72" w:rsidP="00927E72">
      <w:pPr>
        <w:rPr>
          <w:szCs w:val="20"/>
          <w:lang w:eastAsia="en-AU"/>
        </w:rPr>
      </w:pPr>
      <w:r>
        <w:rPr>
          <w:szCs w:val="20"/>
          <w:lang w:eastAsia="en-AU"/>
        </w:rPr>
        <w:t>The second are “linking rules” which apply where the mismatch has not been prevented by any other domestic rules</w:t>
      </w:r>
      <w:r w:rsidR="002D5667">
        <w:rPr>
          <w:szCs w:val="20"/>
          <w:lang w:eastAsia="en-AU"/>
        </w:rPr>
        <w:t xml:space="preserve">. </w:t>
      </w:r>
      <w:r>
        <w:rPr>
          <w:szCs w:val="20"/>
          <w:lang w:eastAsia="en-AU"/>
        </w:rPr>
        <w:t xml:space="preserve">The linking rules effectively adjust the tax outcomes under a hybrid or branch mismatch in one </w:t>
      </w:r>
      <w:r w:rsidR="00EA4CC6">
        <w:rPr>
          <w:szCs w:val="20"/>
          <w:lang w:eastAsia="en-AU"/>
        </w:rPr>
        <w:t>country</w:t>
      </w:r>
      <w:r>
        <w:rPr>
          <w:szCs w:val="20"/>
          <w:lang w:eastAsia="en-AU"/>
        </w:rPr>
        <w:t xml:space="preserve"> in order to align them with the tax outcomes in the other </w:t>
      </w:r>
      <w:r w:rsidR="00EA4CC6">
        <w:rPr>
          <w:szCs w:val="20"/>
          <w:lang w:eastAsia="en-AU"/>
        </w:rPr>
        <w:t>country</w:t>
      </w:r>
      <w:r w:rsidR="002D5667">
        <w:rPr>
          <w:szCs w:val="20"/>
          <w:lang w:eastAsia="en-AU"/>
        </w:rPr>
        <w:t xml:space="preserve">. </w:t>
      </w:r>
      <w:r>
        <w:rPr>
          <w:szCs w:val="20"/>
          <w:lang w:eastAsia="en-AU"/>
        </w:rPr>
        <w:t xml:space="preserve">Since both </w:t>
      </w:r>
      <w:r w:rsidR="00EA4CC6">
        <w:rPr>
          <w:szCs w:val="20"/>
          <w:lang w:eastAsia="en-AU"/>
        </w:rPr>
        <w:t>countries</w:t>
      </w:r>
      <w:r>
        <w:rPr>
          <w:szCs w:val="20"/>
          <w:lang w:eastAsia="en-AU"/>
        </w:rPr>
        <w:t xml:space="preserve"> may </w:t>
      </w:r>
      <w:r w:rsidR="00EA4CC6">
        <w:rPr>
          <w:szCs w:val="20"/>
          <w:lang w:eastAsia="en-AU"/>
        </w:rPr>
        <w:t>have a provision</w:t>
      </w:r>
      <w:r>
        <w:rPr>
          <w:szCs w:val="20"/>
          <w:lang w:eastAsia="en-AU"/>
        </w:rPr>
        <w:t xml:space="preserve"> to adjust the tax outcomes under a particular hybrid or branch mismatch arrangement, in a number of cases, there is an order </w:t>
      </w:r>
      <w:r w:rsidR="00EA4CC6">
        <w:rPr>
          <w:szCs w:val="20"/>
          <w:lang w:eastAsia="en-AU"/>
        </w:rPr>
        <w:t xml:space="preserve">of application </w:t>
      </w:r>
      <w:r>
        <w:rPr>
          <w:szCs w:val="20"/>
          <w:lang w:eastAsia="en-AU"/>
        </w:rPr>
        <w:t>throu</w:t>
      </w:r>
      <w:r w:rsidR="00E11AB1">
        <w:rPr>
          <w:szCs w:val="20"/>
          <w:lang w:eastAsia="en-AU"/>
        </w:rPr>
        <w:t xml:space="preserve">gh “primary” and </w:t>
      </w:r>
      <w:r>
        <w:rPr>
          <w:szCs w:val="20"/>
          <w:lang w:eastAsia="en-AU"/>
        </w:rPr>
        <w:t>“defensive” rules</w:t>
      </w:r>
      <w:r w:rsidR="002D5667">
        <w:rPr>
          <w:szCs w:val="20"/>
          <w:lang w:eastAsia="en-AU"/>
        </w:rPr>
        <w:t xml:space="preserve">. </w:t>
      </w:r>
      <w:r>
        <w:rPr>
          <w:szCs w:val="20"/>
          <w:lang w:eastAsia="en-AU"/>
        </w:rPr>
        <w:t>This ensures that</w:t>
      </w:r>
      <w:r w:rsidR="00293284">
        <w:rPr>
          <w:szCs w:val="20"/>
          <w:lang w:eastAsia="en-AU"/>
        </w:rPr>
        <w:t xml:space="preserve">, in situations where both </w:t>
      </w:r>
      <w:r w:rsidR="00EA4CC6">
        <w:rPr>
          <w:szCs w:val="20"/>
          <w:lang w:eastAsia="en-AU"/>
        </w:rPr>
        <w:t>countries</w:t>
      </w:r>
      <w:r w:rsidR="00293284">
        <w:rPr>
          <w:szCs w:val="20"/>
          <w:lang w:eastAsia="en-AU"/>
        </w:rPr>
        <w:t xml:space="preserve"> have implemented hybrid and branch mismatch rules that would counter a particular arrangement, </w:t>
      </w:r>
      <w:r>
        <w:rPr>
          <w:szCs w:val="20"/>
          <w:lang w:eastAsia="en-AU"/>
        </w:rPr>
        <w:t xml:space="preserve">only one </w:t>
      </w:r>
      <w:r w:rsidR="00EA4CC6">
        <w:rPr>
          <w:szCs w:val="20"/>
          <w:lang w:eastAsia="en-AU"/>
        </w:rPr>
        <w:t>country</w:t>
      </w:r>
      <w:r>
        <w:rPr>
          <w:szCs w:val="20"/>
          <w:lang w:eastAsia="en-AU"/>
        </w:rPr>
        <w:t xml:space="preserve"> </w:t>
      </w:r>
      <w:r w:rsidR="00293284">
        <w:rPr>
          <w:szCs w:val="20"/>
          <w:lang w:eastAsia="en-AU"/>
        </w:rPr>
        <w:t xml:space="preserve">will </w:t>
      </w:r>
      <w:r>
        <w:rPr>
          <w:szCs w:val="20"/>
          <w:lang w:eastAsia="en-AU"/>
        </w:rPr>
        <w:t>co</w:t>
      </w:r>
      <w:r w:rsidR="00293284">
        <w:rPr>
          <w:szCs w:val="20"/>
          <w:lang w:eastAsia="en-AU"/>
        </w:rPr>
        <w:t>unter the mismatch</w:t>
      </w:r>
      <w:r>
        <w:rPr>
          <w:szCs w:val="20"/>
          <w:lang w:eastAsia="en-AU"/>
        </w:rPr>
        <w:t>.</w:t>
      </w:r>
    </w:p>
    <w:p w14:paraId="3798B343" w14:textId="77777777" w:rsidR="00E11AB1" w:rsidRDefault="00E11AB1" w:rsidP="00927E72">
      <w:pPr>
        <w:rPr>
          <w:szCs w:val="20"/>
          <w:lang w:eastAsia="en-AU"/>
        </w:rPr>
      </w:pPr>
    </w:p>
    <w:p w14:paraId="7821D572" w14:textId="58A703E5" w:rsidR="00E11AB1" w:rsidRDefault="00E11AB1" w:rsidP="00927E72">
      <w:pPr>
        <w:rPr>
          <w:szCs w:val="20"/>
          <w:lang w:eastAsia="en-AU"/>
        </w:rPr>
      </w:pPr>
      <w:r>
        <w:rPr>
          <w:szCs w:val="20"/>
          <w:lang w:eastAsia="en-AU"/>
        </w:rPr>
        <w:t xml:space="preserve">The primary rule is broadly that the payer </w:t>
      </w:r>
      <w:r w:rsidR="00CC4C67">
        <w:rPr>
          <w:szCs w:val="20"/>
          <w:lang w:eastAsia="en-AU"/>
        </w:rPr>
        <w:t>country</w:t>
      </w:r>
      <w:r>
        <w:rPr>
          <w:szCs w:val="20"/>
          <w:lang w:eastAsia="en-AU"/>
        </w:rPr>
        <w:t xml:space="preserve"> should deny a</w:t>
      </w:r>
      <w:r w:rsidR="00FE5A61">
        <w:rPr>
          <w:szCs w:val="20"/>
          <w:lang w:eastAsia="en-AU"/>
        </w:rPr>
        <w:t xml:space="preserve"> deduction to the extent it is:</w:t>
      </w:r>
    </w:p>
    <w:p w14:paraId="3F72CCA8" w14:textId="77777777" w:rsidR="0091475A" w:rsidRDefault="0091475A" w:rsidP="00927E72">
      <w:pPr>
        <w:rPr>
          <w:szCs w:val="20"/>
          <w:lang w:eastAsia="en-AU"/>
        </w:rPr>
      </w:pPr>
    </w:p>
    <w:p w14:paraId="45067AE3" w14:textId="5609E96D" w:rsidR="001E521A" w:rsidRDefault="00E11AB1" w:rsidP="0091475A">
      <w:pPr>
        <w:pStyle w:val="Bullets"/>
      </w:pPr>
      <w:r w:rsidRPr="00E11AB1">
        <w:t xml:space="preserve">not included in the taxable income of the recipient </w:t>
      </w:r>
      <w:r w:rsidR="00CC4C67">
        <w:t>country</w:t>
      </w:r>
      <w:r w:rsidR="00FE33CE">
        <w:t xml:space="preserve"> (for a D/NI mismatch); and</w:t>
      </w:r>
    </w:p>
    <w:p w14:paraId="24A535B3" w14:textId="46CF44F1" w:rsidR="00E11AB1" w:rsidRDefault="004C46FB" w:rsidP="0091475A">
      <w:pPr>
        <w:pStyle w:val="Bullets"/>
        <w:spacing w:after="0"/>
      </w:pPr>
      <w:r>
        <w:t>claimed with respect to expenditure of a resident that is also deductible in another country</w:t>
      </w:r>
      <w:r w:rsidR="00E11AB1">
        <w:t xml:space="preserve"> (for a DD mismatch).</w:t>
      </w:r>
    </w:p>
    <w:p w14:paraId="7109E8B2" w14:textId="77777777" w:rsidR="00E11AB1" w:rsidRDefault="00E11AB1" w:rsidP="00E11AB1">
      <w:pPr>
        <w:rPr>
          <w:szCs w:val="20"/>
          <w:lang w:eastAsia="en-AU"/>
        </w:rPr>
      </w:pPr>
    </w:p>
    <w:p w14:paraId="2430D83F" w14:textId="1CF570AE" w:rsidR="00E11AB1" w:rsidRDefault="00E11AB1" w:rsidP="00E11AB1">
      <w:pPr>
        <w:rPr>
          <w:szCs w:val="20"/>
          <w:lang w:eastAsia="en-AU"/>
        </w:rPr>
      </w:pPr>
      <w:r>
        <w:rPr>
          <w:szCs w:val="20"/>
          <w:lang w:eastAsia="en-AU"/>
        </w:rPr>
        <w:t xml:space="preserve">If the primary rule is not applied because the payer </w:t>
      </w:r>
      <w:r w:rsidR="00CC4C67">
        <w:rPr>
          <w:szCs w:val="20"/>
          <w:lang w:eastAsia="en-AU"/>
        </w:rPr>
        <w:t>country</w:t>
      </w:r>
      <w:r>
        <w:rPr>
          <w:szCs w:val="20"/>
          <w:lang w:eastAsia="en-AU"/>
        </w:rPr>
        <w:t xml:space="preserve"> has not implemented the hybrid and branch mismatch rules, then the defensive rule</w:t>
      </w:r>
      <w:r w:rsidR="004C46FB">
        <w:rPr>
          <w:szCs w:val="20"/>
          <w:lang w:eastAsia="en-AU"/>
        </w:rPr>
        <w:t xml:space="preserve"> can apply</w:t>
      </w:r>
      <w:r w:rsidR="00FE5A61">
        <w:rPr>
          <w:szCs w:val="20"/>
          <w:lang w:eastAsia="en-AU"/>
        </w:rPr>
        <w:t>:</w:t>
      </w:r>
    </w:p>
    <w:p w14:paraId="7D29B45A" w14:textId="77777777" w:rsidR="0091475A" w:rsidRDefault="0091475A" w:rsidP="00E11AB1">
      <w:pPr>
        <w:rPr>
          <w:szCs w:val="20"/>
          <w:lang w:eastAsia="en-AU"/>
        </w:rPr>
      </w:pPr>
    </w:p>
    <w:p w14:paraId="00E4ABCD" w14:textId="3CAF50F6" w:rsidR="00E11AB1" w:rsidRDefault="00E11AB1" w:rsidP="0091475A">
      <w:pPr>
        <w:pStyle w:val="Bullets"/>
      </w:pPr>
      <w:r>
        <w:t xml:space="preserve">requiring the deductible payment to be included in taxable income </w:t>
      </w:r>
      <w:r w:rsidR="004C46FB">
        <w:t xml:space="preserve">of the recipient </w:t>
      </w:r>
      <w:r w:rsidR="00FE5A61">
        <w:t>(for a D/NI mismatch); or</w:t>
      </w:r>
    </w:p>
    <w:p w14:paraId="5F9F92D0" w14:textId="634D66D6" w:rsidR="00E11AB1" w:rsidRDefault="00E11AB1" w:rsidP="0091475A">
      <w:pPr>
        <w:pStyle w:val="Bullets"/>
        <w:spacing w:after="0"/>
      </w:pPr>
      <w:r>
        <w:t>denying the deduction</w:t>
      </w:r>
      <w:r w:rsidR="004C46FB">
        <w:t xml:space="preserve"> in the country where the payment is made</w:t>
      </w:r>
      <w:r>
        <w:t xml:space="preserve"> (for a DD mismatch).</w:t>
      </w:r>
    </w:p>
    <w:p w14:paraId="07D03060" w14:textId="77777777" w:rsidR="00CC4C67" w:rsidRDefault="00CC4C67" w:rsidP="00547BCF">
      <w:pPr>
        <w:rPr>
          <w:szCs w:val="20"/>
          <w:lang w:eastAsia="en-AU"/>
        </w:rPr>
      </w:pPr>
    </w:p>
    <w:p w14:paraId="0D10251B" w14:textId="55620852" w:rsidR="00BA5297" w:rsidRDefault="00B73682" w:rsidP="00547BCF">
      <w:pPr>
        <w:rPr>
          <w:szCs w:val="20"/>
          <w:lang w:eastAsia="en-AU"/>
        </w:rPr>
      </w:pPr>
      <w:r>
        <w:rPr>
          <w:szCs w:val="20"/>
          <w:lang w:eastAsia="en-AU"/>
        </w:rPr>
        <w:t>Table 1 summarises how the OECD recommendations have been implemented into domestic law</w:t>
      </w:r>
      <w:r w:rsidR="002D5667">
        <w:rPr>
          <w:szCs w:val="20"/>
          <w:lang w:eastAsia="en-AU"/>
        </w:rPr>
        <w:t xml:space="preserve">. </w:t>
      </w:r>
      <w:r>
        <w:rPr>
          <w:szCs w:val="20"/>
          <w:lang w:eastAsia="en-AU"/>
        </w:rPr>
        <w:t xml:space="preserve">The recommendations are numbered in accordance with the OECD hybrid mismatch report with the corresponding branch mismatch </w:t>
      </w:r>
      <w:r w:rsidR="00CC4C67">
        <w:rPr>
          <w:szCs w:val="20"/>
          <w:lang w:eastAsia="en-AU"/>
        </w:rPr>
        <w:t xml:space="preserve">recommendation </w:t>
      </w:r>
      <w:r>
        <w:rPr>
          <w:szCs w:val="20"/>
          <w:lang w:eastAsia="en-AU"/>
        </w:rPr>
        <w:t>(if any) showed separately alongside the hybrid recommendations.</w:t>
      </w:r>
    </w:p>
    <w:p w14:paraId="44388682" w14:textId="77777777" w:rsidR="00BA5297" w:rsidRDefault="00BA5297" w:rsidP="00547BCF">
      <w:pPr>
        <w:rPr>
          <w:szCs w:val="20"/>
          <w:lang w:eastAsia="en-AU"/>
        </w:rPr>
      </w:pPr>
    </w:p>
    <w:p w14:paraId="25739790" w14:textId="77777777" w:rsidR="0091475A" w:rsidRDefault="0091475A" w:rsidP="00547BCF">
      <w:pPr>
        <w:rPr>
          <w:szCs w:val="20"/>
          <w:lang w:eastAsia="en-AU"/>
        </w:rPr>
      </w:pPr>
    </w:p>
    <w:p w14:paraId="142AC315" w14:textId="77777777" w:rsidR="00BA5297" w:rsidRDefault="00BA5297" w:rsidP="00BA5297">
      <w:pPr>
        <w:pStyle w:val="Heading2"/>
        <w:rPr>
          <w:lang w:eastAsia="en-AU"/>
        </w:rPr>
      </w:pPr>
      <w:r>
        <w:rPr>
          <w:lang w:eastAsia="en-AU"/>
        </w:rPr>
        <w:t>Restructuring considerations</w:t>
      </w:r>
    </w:p>
    <w:p w14:paraId="478ABEA4" w14:textId="77777777" w:rsidR="00BA5297" w:rsidRDefault="00BA5297" w:rsidP="00BA5297">
      <w:pPr>
        <w:rPr>
          <w:lang w:eastAsia="en-AU"/>
        </w:rPr>
      </w:pPr>
    </w:p>
    <w:p w14:paraId="30C07464" w14:textId="5D63840A" w:rsidR="00BA5297" w:rsidRDefault="00BA5297" w:rsidP="00BA5297">
      <w:pPr>
        <w:rPr>
          <w:lang w:eastAsia="en-AU"/>
        </w:rPr>
      </w:pPr>
      <w:r>
        <w:rPr>
          <w:lang w:eastAsia="en-AU"/>
        </w:rPr>
        <w:t>The intended outcome of the introduction of hybrid and branch mismatch rules is that less hybrid and branch mismatch arrangements will be used by taxpayers. Generally, if a taxpayer chooses an ordinary arrangement or structure over one that exploits a mismatch the tax advantage will be removed. Even if this does not result in additional tax revenue for the New Zealand Government, this is a desirable outcome. Taxpayers should be able to restructure out of hybrid and branch mismatch arrangements into ordinary structures without at</w:t>
      </w:r>
      <w:r w:rsidR="00FE5A61">
        <w:rPr>
          <w:lang w:eastAsia="en-AU"/>
        </w:rPr>
        <w:t>tracting tax avoidance risks.</w:t>
      </w:r>
    </w:p>
    <w:p w14:paraId="623DFFDC" w14:textId="77777777" w:rsidR="00BA5297" w:rsidRDefault="00BA5297" w:rsidP="00BA5297">
      <w:pPr>
        <w:rPr>
          <w:lang w:eastAsia="en-AU"/>
        </w:rPr>
      </w:pPr>
    </w:p>
    <w:p w14:paraId="7F8D8B76" w14:textId="400D1549" w:rsidR="00BA5297" w:rsidRDefault="00BA5297" w:rsidP="00BA5297">
      <w:pPr>
        <w:rPr>
          <w:lang w:eastAsia="en-AU"/>
        </w:rPr>
      </w:pPr>
      <w:r>
        <w:rPr>
          <w:lang w:eastAsia="en-AU"/>
        </w:rPr>
        <w:t>Take the example of a foreign company (resident in a country without hybrid rules) that funds a New Zealand subsidiary company with the use of a hybrid financial instrument. Interest paid by the New Zealand subsidiary under the instrument would be subject to deduction denial under section FH 3 of the hybrid rules (see below for discussion of this rule). The foreign company decides to refinance its New Zealand investment in response to the introduction of New Zealand hybrid rules. The replacement financing might be an ordinary debt arrangement under which the New Zealand subsidiary would pay interest not subject to deduction denial under FH 3, and taxable in the foreign country. This type of refinancing should not be considered tax avoidance despite the possibility that a valid deduction could have replaced a denied deduction, thereby reducing New Zealand taxable income.</w:t>
      </w:r>
    </w:p>
    <w:p w14:paraId="742C2753" w14:textId="77777777" w:rsidR="00BA5297" w:rsidRDefault="00BA5297" w:rsidP="00BA5297">
      <w:pPr>
        <w:rPr>
          <w:lang w:eastAsia="en-AU"/>
        </w:rPr>
      </w:pPr>
    </w:p>
    <w:p w14:paraId="5CED85EC" w14:textId="3DA3CF97" w:rsidR="00BA5297" w:rsidRPr="002635C3" w:rsidRDefault="00BA5297" w:rsidP="00BA5297">
      <w:pPr>
        <w:rPr>
          <w:lang w:eastAsia="en-AU"/>
        </w:rPr>
      </w:pPr>
      <w:r>
        <w:rPr>
          <w:lang w:eastAsia="en-AU"/>
        </w:rPr>
        <w:t>Similarly, a foreign company that owns a hybrid entity in New Zealand (such as an unlimited liability company) may wish to restructure its New Zealand operations in response to the introduction of New Zealand hybrid rules. A replacement structure may be a limited liability company with expenditure that is not subject to deduction denial under sections FH 5 and FH</w:t>
      </w:r>
      <w:r w:rsidR="0001110F">
        <w:rPr>
          <w:lang w:eastAsia="en-AU"/>
        </w:rPr>
        <w:t> </w:t>
      </w:r>
      <w:r>
        <w:rPr>
          <w:lang w:eastAsia="en-AU"/>
        </w:rPr>
        <w:t>9 (see below for discussion of these rules). This type of restructure should not be considered tax avoidance even if denied deductions of a hybrid entity in New Zealand would be replaced by valid deductions that are not part of a hybrid mismatch arrangement.</w:t>
      </w:r>
    </w:p>
    <w:p w14:paraId="226A231A" w14:textId="77777777" w:rsidR="00F349E5" w:rsidRPr="00DA324C" w:rsidRDefault="00F349E5" w:rsidP="00DA324C">
      <w:pPr>
        <w:sectPr w:rsidR="00F349E5" w:rsidRPr="00DA324C" w:rsidSect="0050054A">
          <w:footerReference w:type="even" r:id="rId8"/>
          <w:footerReference w:type="default" r:id="rId9"/>
          <w:headerReference w:type="first" r:id="rId10"/>
          <w:footerReference w:type="first" r:id="rId11"/>
          <w:type w:val="nextColumn"/>
          <w:pgSz w:w="11906" w:h="16838" w:code="9"/>
          <w:pgMar w:top="1134" w:right="1418" w:bottom="1134" w:left="1418" w:header="720" w:footer="567" w:gutter="0"/>
          <w:cols w:space="720"/>
          <w:titlePg/>
        </w:sectPr>
      </w:pPr>
      <w:r w:rsidRPr="00DA324C">
        <w:br w:type="page"/>
      </w:r>
    </w:p>
    <w:p w14:paraId="5CD16C2B" w14:textId="77777777" w:rsidR="00F349E5" w:rsidRPr="008667C7" w:rsidRDefault="00F349E5" w:rsidP="009E3670">
      <w:pPr>
        <w:jc w:val="left"/>
        <w:rPr>
          <w:b/>
          <w:sz w:val="22"/>
          <w:szCs w:val="22"/>
          <w:lang w:eastAsia="en-AU"/>
        </w:rPr>
      </w:pPr>
      <w:r w:rsidRPr="008667C7">
        <w:rPr>
          <w:b/>
          <w:sz w:val="22"/>
          <w:szCs w:val="22"/>
          <w:lang w:eastAsia="en-AU"/>
        </w:rPr>
        <w:lastRenderedPageBreak/>
        <w:t xml:space="preserve">Table 1: </w:t>
      </w:r>
      <w:r w:rsidR="00CC1F37" w:rsidRPr="008667C7">
        <w:rPr>
          <w:b/>
          <w:sz w:val="22"/>
          <w:szCs w:val="22"/>
          <w:lang w:eastAsia="en-AU"/>
        </w:rPr>
        <w:t>New Zealand’s implementation of the OECD recommendations</w:t>
      </w:r>
    </w:p>
    <w:p w14:paraId="60F379F3" w14:textId="04AE47A1" w:rsidR="00F349E5" w:rsidRPr="008667C7" w:rsidRDefault="001B761F" w:rsidP="008667C7">
      <w:pPr>
        <w:spacing w:before="120" w:after="120"/>
        <w:rPr>
          <w:b/>
          <w:sz w:val="20"/>
          <w:szCs w:val="20"/>
          <w:lang w:eastAsia="en-AU"/>
        </w:rPr>
      </w:pPr>
      <w:r>
        <w:rPr>
          <w:b/>
          <w:sz w:val="20"/>
          <w:szCs w:val="20"/>
          <w:lang w:eastAsia="en-AU"/>
        </w:rPr>
        <w:t>Linking rule recommendations</w:t>
      </w:r>
    </w:p>
    <w:tbl>
      <w:tblPr>
        <w:tblStyle w:val="TableGrid2"/>
        <w:tblW w:w="14742" w:type="dxa"/>
        <w:tblInd w:w="108" w:type="dxa"/>
        <w:tblLayout w:type="fixed"/>
        <w:tblLook w:val="04A0" w:firstRow="1" w:lastRow="0" w:firstColumn="1" w:lastColumn="0" w:noHBand="0" w:noVBand="1"/>
      </w:tblPr>
      <w:tblGrid>
        <w:gridCol w:w="993"/>
        <w:gridCol w:w="708"/>
        <w:gridCol w:w="1843"/>
        <w:gridCol w:w="2126"/>
        <w:gridCol w:w="2835"/>
        <w:gridCol w:w="3686"/>
        <w:gridCol w:w="2551"/>
      </w:tblGrid>
      <w:tr w:rsidR="00CC1F37" w:rsidRPr="00DD36D5" w14:paraId="06B90152" w14:textId="77777777" w:rsidTr="001B761F">
        <w:tc>
          <w:tcPr>
            <w:tcW w:w="993" w:type="dxa"/>
            <w:shd w:val="clear" w:color="auto" w:fill="F2F2F2" w:themeFill="background1" w:themeFillShade="F2"/>
          </w:tcPr>
          <w:p w14:paraId="779A47A6" w14:textId="77777777" w:rsidR="00CC1F37" w:rsidRPr="00DD36D5" w:rsidRDefault="00CC1F37" w:rsidP="00DD36D5">
            <w:pPr>
              <w:spacing w:before="80" w:after="80"/>
              <w:jc w:val="left"/>
              <w:rPr>
                <w:b/>
                <w:sz w:val="16"/>
                <w:szCs w:val="16"/>
              </w:rPr>
            </w:pPr>
            <w:r w:rsidRPr="00DD36D5">
              <w:rPr>
                <w:b/>
                <w:sz w:val="16"/>
                <w:szCs w:val="16"/>
              </w:rPr>
              <w:t>Section</w:t>
            </w:r>
          </w:p>
        </w:tc>
        <w:tc>
          <w:tcPr>
            <w:tcW w:w="708" w:type="dxa"/>
            <w:shd w:val="clear" w:color="auto" w:fill="F2F2F2" w:themeFill="background1" w:themeFillShade="F2"/>
          </w:tcPr>
          <w:p w14:paraId="74BBAC7A" w14:textId="77777777" w:rsidR="00CC1F37" w:rsidRPr="00DD36D5" w:rsidRDefault="00CC1F37" w:rsidP="00DD36D5">
            <w:pPr>
              <w:spacing w:before="80" w:after="80"/>
              <w:jc w:val="center"/>
              <w:rPr>
                <w:b/>
                <w:sz w:val="16"/>
                <w:szCs w:val="16"/>
              </w:rPr>
            </w:pPr>
            <w:r w:rsidRPr="00DD36D5">
              <w:rPr>
                <w:b/>
                <w:sz w:val="16"/>
                <w:szCs w:val="16"/>
              </w:rPr>
              <w:t>Rec.</w:t>
            </w:r>
          </w:p>
        </w:tc>
        <w:tc>
          <w:tcPr>
            <w:tcW w:w="1843" w:type="dxa"/>
            <w:shd w:val="clear" w:color="auto" w:fill="F2F2F2" w:themeFill="background1" w:themeFillShade="F2"/>
          </w:tcPr>
          <w:p w14:paraId="5ED4CA37" w14:textId="77777777" w:rsidR="00CC1F37" w:rsidRPr="00DD36D5" w:rsidRDefault="00CC1F37" w:rsidP="00DD36D5">
            <w:pPr>
              <w:spacing w:before="80" w:after="80"/>
              <w:jc w:val="left"/>
              <w:rPr>
                <w:b/>
                <w:sz w:val="16"/>
                <w:szCs w:val="16"/>
              </w:rPr>
            </w:pPr>
            <w:r w:rsidRPr="00DD36D5">
              <w:rPr>
                <w:b/>
                <w:sz w:val="16"/>
                <w:szCs w:val="16"/>
              </w:rPr>
              <w:t>Hybrid mismatch</w:t>
            </w:r>
          </w:p>
        </w:tc>
        <w:tc>
          <w:tcPr>
            <w:tcW w:w="2126" w:type="dxa"/>
            <w:shd w:val="clear" w:color="auto" w:fill="F2F2F2" w:themeFill="background1" w:themeFillShade="F2"/>
          </w:tcPr>
          <w:p w14:paraId="245E909A" w14:textId="77777777" w:rsidR="00CC1F37" w:rsidRPr="00DD36D5" w:rsidRDefault="00CC1F37" w:rsidP="00DD36D5">
            <w:pPr>
              <w:spacing w:before="80" w:after="80"/>
              <w:jc w:val="left"/>
              <w:rPr>
                <w:b/>
                <w:sz w:val="16"/>
                <w:szCs w:val="16"/>
              </w:rPr>
            </w:pPr>
            <w:r w:rsidRPr="00DD36D5">
              <w:rPr>
                <w:b/>
                <w:sz w:val="16"/>
                <w:szCs w:val="16"/>
              </w:rPr>
              <w:t>Hybrid arrangement</w:t>
            </w:r>
          </w:p>
        </w:tc>
        <w:tc>
          <w:tcPr>
            <w:tcW w:w="2835" w:type="dxa"/>
            <w:shd w:val="clear" w:color="auto" w:fill="F2F2F2" w:themeFill="background1" w:themeFillShade="F2"/>
          </w:tcPr>
          <w:p w14:paraId="5ADE17A5" w14:textId="77777777" w:rsidR="00CC1F37" w:rsidRPr="00DD36D5" w:rsidRDefault="00CC1F37" w:rsidP="00DD36D5">
            <w:pPr>
              <w:spacing w:before="80" w:after="80"/>
              <w:jc w:val="left"/>
              <w:rPr>
                <w:b/>
                <w:sz w:val="16"/>
                <w:szCs w:val="16"/>
              </w:rPr>
            </w:pPr>
            <w:r w:rsidRPr="00DD36D5">
              <w:rPr>
                <w:b/>
                <w:sz w:val="16"/>
                <w:szCs w:val="16"/>
              </w:rPr>
              <w:t>Corresponding branch arrangement</w:t>
            </w:r>
          </w:p>
        </w:tc>
        <w:tc>
          <w:tcPr>
            <w:tcW w:w="3686" w:type="dxa"/>
            <w:shd w:val="clear" w:color="auto" w:fill="F2F2F2" w:themeFill="background1" w:themeFillShade="F2"/>
          </w:tcPr>
          <w:p w14:paraId="153DFB85" w14:textId="77777777" w:rsidR="00CC1F37" w:rsidRPr="00DD36D5" w:rsidRDefault="00CC1F37" w:rsidP="00DD36D5">
            <w:pPr>
              <w:spacing w:before="80" w:after="80"/>
              <w:jc w:val="left"/>
              <w:rPr>
                <w:b/>
                <w:sz w:val="16"/>
                <w:szCs w:val="16"/>
              </w:rPr>
            </w:pPr>
            <w:r w:rsidRPr="00DD36D5">
              <w:rPr>
                <w:b/>
                <w:sz w:val="16"/>
                <w:szCs w:val="16"/>
              </w:rPr>
              <w:t>Counteraction</w:t>
            </w:r>
          </w:p>
        </w:tc>
        <w:tc>
          <w:tcPr>
            <w:tcW w:w="2551" w:type="dxa"/>
            <w:shd w:val="clear" w:color="auto" w:fill="F2F2F2" w:themeFill="background1" w:themeFillShade="F2"/>
          </w:tcPr>
          <w:p w14:paraId="05E6EA59" w14:textId="77777777" w:rsidR="00CC1F37" w:rsidRPr="00DD36D5" w:rsidRDefault="00CC1F37" w:rsidP="00DD36D5">
            <w:pPr>
              <w:spacing w:before="80" w:after="80"/>
              <w:jc w:val="left"/>
              <w:rPr>
                <w:b/>
                <w:sz w:val="16"/>
                <w:szCs w:val="16"/>
              </w:rPr>
            </w:pPr>
            <w:r w:rsidRPr="00DD36D5">
              <w:rPr>
                <w:b/>
                <w:sz w:val="16"/>
                <w:szCs w:val="16"/>
              </w:rPr>
              <w:t>Scope</w:t>
            </w:r>
          </w:p>
        </w:tc>
      </w:tr>
      <w:tr w:rsidR="00CC1F37" w:rsidRPr="00DD36D5" w14:paraId="000F6AA0" w14:textId="77777777" w:rsidTr="001B761F">
        <w:tc>
          <w:tcPr>
            <w:tcW w:w="993" w:type="dxa"/>
          </w:tcPr>
          <w:p w14:paraId="027467FB" w14:textId="77777777" w:rsidR="00CC1F37" w:rsidRPr="00DD36D5" w:rsidRDefault="009E3670" w:rsidP="00DD36D5">
            <w:pPr>
              <w:spacing w:before="60" w:after="60"/>
              <w:jc w:val="left"/>
              <w:rPr>
                <w:sz w:val="16"/>
                <w:szCs w:val="16"/>
                <w:lang w:eastAsia="en-AU"/>
              </w:rPr>
            </w:pPr>
            <w:r w:rsidRPr="00DD36D5">
              <w:rPr>
                <w:sz w:val="16"/>
                <w:szCs w:val="16"/>
                <w:lang w:eastAsia="en-AU"/>
              </w:rPr>
              <w:t xml:space="preserve">FH </w:t>
            </w:r>
            <w:r w:rsidR="00CC1F37" w:rsidRPr="00DD36D5">
              <w:rPr>
                <w:sz w:val="16"/>
                <w:szCs w:val="16"/>
                <w:lang w:eastAsia="en-AU"/>
              </w:rPr>
              <w:t>3 and 4</w:t>
            </w:r>
          </w:p>
        </w:tc>
        <w:tc>
          <w:tcPr>
            <w:tcW w:w="708" w:type="dxa"/>
          </w:tcPr>
          <w:p w14:paraId="46C5BCB5" w14:textId="77777777" w:rsidR="00CC1F37" w:rsidRPr="00DD36D5" w:rsidRDefault="00CC1F37" w:rsidP="00DD36D5">
            <w:pPr>
              <w:spacing w:before="60" w:after="60"/>
              <w:jc w:val="center"/>
              <w:rPr>
                <w:sz w:val="16"/>
                <w:szCs w:val="16"/>
                <w:lang w:eastAsia="en-AU"/>
              </w:rPr>
            </w:pPr>
            <w:r w:rsidRPr="00DD36D5">
              <w:rPr>
                <w:sz w:val="16"/>
                <w:szCs w:val="16"/>
                <w:lang w:eastAsia="en-AU"/>
              </w:rPr>
              <w:t>1</w:t>
            </w:r>
          </w:p>
        </w:tc>
        <w:tc>
          <w:tcPr>
            <w:tcW w:w="1843" w:type="dxa"/>
          </w:tcPr>
          <w:p w14:paraId="2AE55242" w14:textId="77777777" w:rsidR="00CC1F37" w:rsidRPr="00DD36D5" w:rsidRDefault="00CC1F37" w:rsidP="00DD36D5">
            <w:pPr>
              <w:spacing w:before="60" w:after="60"/>
              <w:jc w:val="left"/>
              <w:rPr>
                <w:sz w:val="16"/>
                <w:szCs w:val="16"/>
                <w:lang w:eastAsia="en-AU"/>
              </w:rPr>
            </w:pPr>
            <w:r w:rsidRPr="00DD36D5">
              <w:rPr>
                <w:sz w:val="16"/>
                <w:szCs w:val="16"/>
                <w:lang w:eastAsia="en-AU"/>
              </w:rPr>
              <w:t>D/NI (deduction/ no inclusion)</w:t>
            </w:r>
          </w:p>
        </w:tc>
        <w:tc>
          <w:tcPr>
            <w:tcW w:w="2126" w:type="dxa"/>
          </w:tcPr>
          <w:p w14:paraId="3A918B0A" w14:textId="77777777" w:rsidR="00CC1F37" w:rsidRPr="00DD36D5" w:rsidRDefault="00CC1F37" w:rsidP="00DD36D5">
            <w:pPr>
              <w:spacing w:before="60" w:after="60"/>
              <w:jc w:val="left"/>
              <w:rPr>
                <w:sz w:val="16"/>
                <w:szCs w:val="16"/>
                <w:lang w:eastAsia="en-AU"/>
              </w:rPr>
            </w:pPr>
            <w:r w:rsidRPr="00DD36D5">
              <w:rPr>
                <w:sz w:val="16"/>
                <w:szCs w:val="16"/>
                <w:lang w:eastAsia="en-AU"/>
              </w:rPr>
              <w:t>Hybrid financial instruments (includes timing)</w:t>
            </w:r>
          </w:p>
        </w:tc>
        <w:tc>
          <w:tcPr>
            <w:tcW w:w="2835" w:type="dxa"/>
          </w:tcPr>
          <w:p w14:paraId="7C8FC909" w14:textId="77777777" w:rsidR="00CC1F37" w:rsidRPr="00DD36D5" w:rsidRDefault="00CC1F37" w:rsidP="00DD36D5">
            <w:pPr>
              <w:spacing w:before="60" w:after="60"/>
              <w:jc w:val="left"/>
              <w:rPr>
                <w:sz w:val="16"/>
                <w:szCs w:val="16"/>
                <w:lang w:eastAsia="en-AU"/>
              </w:rPr>
            </w:pPr>
          </w:p>
        </w:tc>
        <w:tc>
          <w:tcPr>
            <w:tcW w:w="3686" w:type="dxa"/>
          </w:tcPr>
          <w:p w14:paraId="33204645" w14:textId="77777777" w:rsidR="00CC1F37" w:rsidRPr="00DD36D5" w:rsidRDefault="00CC1F37" w:rsidP="00DD36D5">
            <w:pPr>
              <w:spacing w:before="60" w:after="60"/>
              <w:jc w:val="left"/>
              <w:rPr>
                <w:sz w:val="16"/>
                <w:szCs w:val="16"/>
                <w:lang w:eastAsia="en-AU"/>
              </w:rPr>
            </w:pPr>
            <w:r w:rsidRPr="00DD36D5">
              <w:rPr>
                <w:sz w:val="16"/>
                <w:szCs w:val="16"/>
                <w:lang w:eastAsia="en-AU"/>
              </w:rPr>
              <w:t>Primary: deny deduction for payment</w:t>
            </w:r>
          </w:p>
          <w:p w14:paraId="7834A366" w14:textId="77777777" w:rsidR="00CC1F37" w:rsidRPr="00DD36D5" w:rsidRDefault="00CC1F37" w:rsidP="00DD36D5">
            <w:pPr>
              <w:spacing w:before="60" w:after="60"/>
              <w:jc w:val="left"/>
              <w:rPr>
                <w:sz w:val="16"/>
                <w:szCs w:val="16"/>
                <w:lang w:eastAsia="en-AU"/>
              </w:rPr>
            </w:pPr>
            <w:r w:rsidRPr="00DD36D5">
              <w:rPr>
                <w:sz w:val="16"/>
                <w:szCs w:val="16"/>
                <w:lang w:eastAsia="en-AU"/>
              </w:rPr>
              <w:t>Defensive: include payment in income</w:t>
            </w:r>
          </w:p>
        </w:tc>
        <w:tc>
          <w:tcPr>
            <w:tcW w:w="2551" w:type="dxa"/>
          </w:tcPr>
          <w:p w14:paraId="166D7432" w14:textId="08A3D0A9" w:rsidR="00CC1F37" w:rsidRPr="00DD36D5" w:rsidRDefault="00CC1F37" w:rsidP="00C53D74">
            <w:pPr>
              <w:spacing w:before="60" w:after="60"/>
              <w:jc w:val="left"/>
              <w:rPr>
                <w:sz w:val="16"/>
                <w:szCs w:val="16"/>
                <w:lang w:eastAsia="en-AU"/>
              </w:rPr>
            </w:pPr>
            <w:r w:rsidRPr="00DD36D5">
              <w:rPr>
                <w:sz w:val="16"/>
                <w:szCs w:val="16"/>
                <w:lang w:eastAsia="en-AU"/>
              </w:rPr>
              <w:t>Related parties (</w:t>
            </w:r>
            <w:r w:rsidR="00B73682" w:rsidRPr="00DD36D5">
              <w:rPr>
                <w:sz w:val="16"/>
                <w:szCs w:val="16"/>
                <w:lang w:eastAsia="en-AU"/>
              </w:rPr>
              <w:t xml:space="preserve">generally </w:t>
            </w:r>
            <w:r w:rsidR="00C53D74">
              <w:rPr>
                <w:sz w:val="16"/>
                <w:szCs w:val="16"/>
                <w:lang w:eastAsia="en-AU"/>
              </w:rPr>
              <w:t>twenty five percent</w:t>
            </w:r>
            <w:r w:rsidRPr="00DD36D5">
              <w:rPr>
                <w:sz w:val="16"/>
                <w:szCs w:val="16"/>
                <w:lang w:eastAsia="en-AU"/>
              </w:rPr>
              <w:t>) or structured arrangements</w:t>
            </w:r>
          </w:p>
        </w:tc>
      </w:tr>
      <w:tr w:rsidR="00CC1F37" w:rsidRPr="00DD36D5" w14:paraId="15DFD544" w14:textId="77777777" w:rsidTr="001B761F">
        <w:trPr>
          <w:trHeight w:val="525"/>
        </w:trPr>
        <w:tc>
          <w:tcPr>
            <w:tcW w:w="993" w:type="dxa"/>
          </w:tcPr>
          <w:p w14:paraId="6A7A2209" w14:textId="77777777" w:rsidR="00CC1F37" w:rsidRPr="00DD36D5" w:rsidRDefault="00F610CE" w:rsidP="00DD36D5">
            <w:pPr>
              <w:spacing w:before="60" w:after="60"/>
              <w:jc w:val="left"/>
              <w:rPr>
                <w:sz w:val="16"/>
                <w:szCs w:val="16"/>
                <w:lang w:eastAsia="en-AU"/>
              </w:rPr>
            </w:pPr>
            <w:r w:rsidRPr="00DD36D5">
              <w:rPr>
                <w:sz w:val="16"/>
                <w:szCs w:val="16"/>
                <w:lang w:eastAsia="en-AU"/>
              </w:rPr>
              <w:t>FH 5 and 6</w:t>
            </w:r>
          </w:p>
        </w:tc>
        <w:tc>
          <w:tcPr>
            <w:tcW w:w="708" w:type="dxa"/>
          </w:tcPr>
          <w:p w14:paraId="6A78B006" w14:textId="77777777" w:rsidR="00CC1F37" w:rsidRPr="00DD36D5" w:rsidRDefault="00CC1F37" w:rsidP="00DD36D5">
            <w:pPr>
              <w:spacing w:before="60" w:after="60"/>
              <w:jc w:val="center"/>
              <w:rPr>
                <w:sz w:val="16"/>
                <w:szCs w:val="16"/>
                <w:lang w:eastAsia="en-AU"/>
              </w:rPr>
            </w:pPr>
            <w:r w:rsidRPr="00DD36D5">
              <w:rPr>
                <w:sz w:val="16"/>
                <w:szCs w:val="16"/>
                <w:lang w:eastAsia="en-AU"/>
              </w:rPr>
              <w:t>3</w:t>
            </w:r>
          </w:p>
        </w:tc>
        <w:tc>
          <w:tcPr>
            <w:tcW w:w="1843" w:type="dxa"/>
          </w:tcPr>
          <w:p w14:paraId="3305CE37" w14:textId="77777777" w:rsidR="00CC1F37" w:rsidRPr="00DD36D5" w:rsidRDefault="00CC1F37" w:rsidP="00DD36D5">
            <w:pPr>
              <w:spacing w:before="60" w:after="60"/>
              <w:jc w:val="left"/>
              <w:rPr>
                <w:sz w:val="16"/>
                <w:szCs w:val="16"/>
                <w:lang w:eastAsia="en-AU"/>
              </w:rPr>
            </w:pPr>
            <w:r w:rsidRPr="00DD36D5">
              <w:rPr>
                <w:sz w:val="16"/>
                <w:szCs w:val="16"/>
                <w:lang w:eastAsia="en-AU"/>
              </w:rPr>
              <w:t>D/NI</w:t>
            </w:r>
          </w:p>
        </w:tc>
        <w:tc>
          <w:tcPr>
            <w:tcW w:w="2126" w:type="dxa"/>
          </w:tcPr>
          <w:p w14:paraId="00C4ED60" w14:textId="77777777" w:rsidR="00CC1F37" w:rsidRPr="00DD36D5" w:rsidRDefault="00CC1F37" w:rsidP="00DD36D5">
            <w:pPr>
              <w:spacing w:before="60" w:after="60"/>
              <w:jc w:val="left"/>
              <w:rPr>
                <w:sz w:val="16"/>
                <w:szCs w:val="16"/>
                <w:lang w:eastAsia="en-AU"/>
              </w:rPr>
            </w:pPr>
            <w:r w:rsidRPr="00DD36D5">
              <w:rPr>
                <w:sz w:val="16"/>
                <w:szCs w:val="16"/>
                <w:lang w:eastAsia="en-AU"/>
              </w:rPr>
              <w:t>Disregarded payments</w:t>
            </w:r>
          </w:p>
        </w:tc>
        <w:tc>
          <w:tcPr>
            <w:tcW w:w="2835" w:type="dxa"/>
          </w:tcPr>
          <w:p w14:paraId="1DD323BD" w14:textId="77777777" w:rsidR="00CC1F37" w:rsidRPr="00DD36D5" w:rsidRDefault="00CC1F37" w:rsidP="00DD36D5">
            <w:pPr>
              <w:spacing w:before="60" w:after="60"/>
              <w:jc w:val="left"/>
              <w:rPr>
                <w:sz w:val="16"/>
                <w:szCs w:val="16"/>
                <w:lang w:eastAsia="en-AU"/>
              </w:rPr>
            </w:pPr>
            <w:r w:rsidRPr="00DD36D5">
              <w:rPr>
                <w:sz w:val="16"/>
                <w:szCs w:val="16"/>
                <w:lang w:eastAsia="en-AU"/>
              </w:rPr>
              <w:t>Deemed branch payments</w:t>
            </w:r>
          </w:p>
        </w:tc>
        <w:tc>
          <w:tcPr>
            <w:tcW w:w="3686" w:type="dxa"/>
          </w:tcPr>
          <w:p w14:paraId="480ED56A" w14:textId="77777777" w:rsidR="00CC1F37" w:rsidRPr="00DD36D5" w:rsidRDefault="00CC1F37" w:rsidP="00DD36D5">
            <w:pPr>
              <w:spacing w:before="60" w:after="60"/>
              <w:jc w:val="left"/>
              <w:rPr>
                <w:sz w:val="16"/>
                <w:szCs w:val="16"/>
                <w:lang w:eastAsia="en-AU"/>
              </w:rPr>
            </w:pPr>
            <w:r w:rsidRPr="00DD36D5">
              <w:rPr>
                <w:sz w:val="16"/>
                <w:szCs w:val="16"/>
                <w:lang w:eastAsia="en-AU"/>
              </w:rPr>
              <w:t>Primary: deny deduction for payment to th</w:t>
            </w:r>
            <w:r w:rsidR="004E4FBA" w:rsidRPr="00DD36D5">
              <w:rPr>
                <w:sz w:val="16"/>
                <w:szCs w:val="16"/>
                <w:lang w:eastAsia="en-AU"/>
              </w:rPr>
              <w:t>e extent expenditure exceeds DII/SAI</w:t>
            </w:r>
            <w:r w:rsidR="00335C94" w:rsidRPr="00DD36D5">
              <w:rPr>
                <w:sz w:val="16"/>
                <w:szCs w:val="16"/>
                <w:lang w:eastAsia="en-AU"/>
              </w:rPr>
              <w:t>*</w:t>
            </w:r>
          </w:p>
          <w:p w14:paraId="7C1E1AFC" w14:textId="77777777" w:rsidR="00CC1F37" w:rsidRPr="00DD36D5" w:rsidRDefault="00CC1F37" w:rsidP="00DD36D5">
            <w:pPr>
              <w:spacing w:before="60" w:after="60"/>
              <w:jc w:val="left"/>
              <w:rPr>
                <w:sz w:val="16"/>
                <w:szCs w:val="16"/>
                <w:lang w:eastAsia="en-AU"/>
              </w:rPr>
            </w:pPr>
            <w:r w:rsidRPr="00DD36D5">
              <w:rPr>
                <w:sz w:val="16"/>
                <w:szCs w:val="16"/>
                <w:lang w:eastAsia="en-AU"/>
              </w:rPr>
              <w:t>Defensive: include payment in income to th</w:t>
            </w:r>
            <w:r w:rsidR="004E4FBA" w:rsidRPr="00DD36D5">
              <w:rPr>
                <w:sz w:val="16"/>
                <w:szCs w:val="16"/>
                <w:lang w:eastAsia="en-AU"/>
              </w:rPr>
              <w:t>e extent exceeds DII/SAI</w:t>
            </w:r>
            <w:r w:rsidR="00335C94" w:rsidRPr="00DD36D5">
              <w:rPr>
                <w:sz w:val="16"/>
                <w:szCs w:val="16"/>
                <w:lang w:eastAsia="en-AU"/>
              </w:rPr>
              <w:t>*</w:t>
            </w:r>
          </w:p>
        </w:tc>
        <w:tc>
          <w:tcPr>
            <w:tcW w:w="2551" w:type="dxa"/>
          </w:tcPr>
          <w:p w14:paraId="29FE250B" w14:textId="4C9E6BEC" w:rsidR="00CC1F37" w:rsidRPr="00DD36D5" w:rsidRDefault="00CC1F37" w:rsidP="00C53D74">
            <w:pPr>
              <w:spacing w:before="60" w:after="60"/>
              <w:jc w:val="left"/>
              <w:rPr>
                <w:sz w:val="16"/>
                <w:szCs w:val="16"/>
                <w:lang w:eastAsia="en-AU"/>
              </w:rPr>
            </w:pPr>
            <w:r w:rsidRPr="00DD36D5">
              <w:rPr>
                <w:sz w:val="16"/>
                <w:szCs w:val="16"/>
                <w:lang w:eastAsia="en-AU"/>
              </w:rPr>
              <w:t xml:space="preserve">Control group (generally </w:t>
            </w:r>
            <w:r w:rsidR="00C53D74">
              <w:rPr>
                <w:sz w:val="16"/>
                <w:szCs w:val="16"/>
                <w:lang w:eastAsia="en-AU"/>
              </w:rPr>
              <w:t>fifty percent</w:t>
            </w:r>
            <w:r w:rsidRPr="00DD36D5">
              <w:rPr>
                <w:sz w:val="16"/>
                <w:szCs w:val="16"/>
                <w:lang w:eastAsia="en-AU"/>
              </w:rPr>
              <w:t>) or structured arrangements</w:t>
            </w:r>
          </w:p>
        </w:tc>
      </w:tr>
      <w:tr w:rsidR="00CC1F37" w:rsidRPr="00DD36D5" w14:paraId="5BB91C56" w14:textId="77777777" w:rsidTr="001B761F">
        <w:trPr>
          <w:trHeight w:val="155"/>
        </w:trPr>
        <w:tc>
          <w:tcPr>
            <w:tcW w:w="993" w:type="dxa"/>
          </w:tcPr>
          <w:p w14:paraId="47054301" w14:textId="77777777" w:rsidR="00CC1F37" w:rsidRPr="00DD36D5" w:rsidRDefault="00F610CE" w:rsidP="00DD36D5">
            <w:pPr>
              <w:spacing w:before="60" w:after="60"/>
              <w:jc w:val="left"/>
              <w:rPr>
                <w:sz w:val="16"/>
                <w:szCs w:val="16"/>
                <w:lang w:eastAsia="en-AU"/>
              </w:rPr>
            </w:pPr>
            <w:r w:rsidRPr="00DD36D5">
              <w:rPr>
                <w:sz w:val="16"/>
                <w:szCs w:val="16"/>
                <w:lang w:eastAsia="en-AU"/>
              </w:rPr>
              <w:t>FH 7</w:t>
            </w:r>
          </w:p>
        </w:tc>
        <w:tc>
          <w:tcPr>
            <w:tcW w:w="708" w:type="dxa"/>
          </w:tcPr>
          <w:p w14:paraId="2FE86B22" w14:textId="77777777" w:rsidR="00CC1F37" w:rsidRPr="00DD36D5" w:rsidRDefault="00CC1F37" w:rsidP="00DD36D5">
            <w:pPr>
              <w:spacing w:before="60" w:after="60"/>
              <w:jc w:val="center"/>
              <w:rPr>
                <w:sz w:val="16"/>
                <w:szCs w:val="16"/>
                <w:lang w:eastAsia="en-AU"/>
              </w:rPr>
            </w:pPr>
            <w:r w:rsidRPr="00DD36D5">
              <w:rPr>
                <w:sz w:val="16"/>
                <w:szCs w:val="16"/>
                <w:lang w:eastAsia="en-AU"/>
              </w:rPr>
              <w:t>4</w:t>
            </w:r>
          </w:p>
        </w:tc>
        <w:tc>
          <w:tcPr>
            <w:tcW w:w="1843" w:type="dxa"/>
          </w:tcPr>
          <w:p w14:paraId="0262D52A" w14:textId="77777777" w:rsidR="00CC1F37" w:rsidRPr="00DD36D5" w:rsidRDefault="00CC1F37" w:rsidP="00DD36D5">
            <w:pPr>
              <w:spacing w:before="60" w:after="60"/>
              <w:jc w:val="left"/>
              <w:rPr>
                <w:sz w:val="16"/>
                <w:szCs w:val="16"/>
                <w:lang w:eastAsia="en-AU"/>
              </w:rPr>
            </w:pPr>
            <w:r w:rsidRPr="00DD36D5">
              <w:rPr>
                <w:sz w:val="16"/>
                <w:szCs w:val="16"/>
                <w:lang w:eastAsia="en-AU"/>
              </w:rPr>
              <w:t>D/NI</w:t>
            </w:r>
          </w:p>
        </w:tc>
        <w:tc>
          <w:tcPr>
            <w:tcW w:w="2126" w:type="dxa"/>
          </w:tcPr>
          <w:p w14:paraId="24986F9F" w14:textId="77777777" w:rsidR="00CC1F37" w:rsidRPr="00DD36D5" w:rsidRDefault="00CC1F37" w:rsidP="00DD36D5">
            <w:pPr>
              <w:spacing w:before="60" w:after="60"/>
              <w:jc w:val="left"/>
              <w:rPr>
                <w:sz w:val="16"/>
                <w:szCs w:val="16"/>
                <w:lang w:eastAsia="en-AU"/>
              </w:rPr>
            </w:pPr>
            <w:r w:rsidRPr="00DD36D5">
              <w:rPr>
                <w:sz w:val="16"/>
                <w:szCs w:val="16"/>
                <w:lang w:eastAsia="en-AU"/>
              </w:rPr>
              <w:t>Reverse hybrids – linking rule</w:t>
            </w:r>
          </w:p>
        </w:tc>
        <w:tc>
          <w:tcPr>
            <w:tcW w:w="2835" w:type="dxa"/>
          </w:tcPr>
          <w:p w14:paraId="06FEE58F" w14:textId="77777777" w:rsidR="00CC1F37" w:rsidRPr="00DD36D5" w:rsidRDefault="00CC1F37" w:rsidP="00DD36D5">
            <w:pPr>
              <w:spacing w:before="60" w:after="60"/>
              <w:jc w:val="left"/>
              <w:rPr>
                <w:sz w:val="16"/>
                <w:szCs w:val="16"/>
                <w:lang w:eastAsia="en-AU"/>
              </w:rPr>
            </w:pPr>
            <w:r w:rsidRPr="00DD36D5">
              <w:rPr>
                <w:sz w:val="16"/>
                <w:szCs w:val="16"/>
                <w:lang w:eastAsia="en-AU"/>
              </w:rPr>
              <w:t>Disregarded branch structure and diverted branch payments</w:t>
            </w:r>
          </w:p>
        </w:tc>
        <w:tc>
          <w:tcPr>
            <w:tcW w:w="3686" w:type="dxa"/>
          </w:tcPr>
          <w:p w14:paraId="7BB94B4E" w14:textId="77777777" w:rsidR="00CC1F37" w:rsidRPr="00DD36D5" w:rsidRDefault="00CC1F37" w:rsidP="00DD36D5">
            <w:pPr>
              <w:spacing w:before="60" w:after="60"/>
              <w:jc w:val="left"/>
              <w:rPr>
                <w:sz w:val="16"/>
                <w:szCs w:val="16"/>
                <w:lang w:eastAsia="en-AU"/>
              </w:rPr>
            </w:pPr>
            <w:r w:rsidRPr="00DD36D5">
              <w:rPr>
                <w:sz w:val="16"/>
                <w:szCs w:val="16"/>
                <w:lang w:eastAsia="en-AU"/>
              </w:rPr>
              <w:t>Primary: deny deduction</w:t>
            </w:r>
          </w:p>
          <w:p w14:paraId="0E8ADD8F" w14:textId="77777777" w:rsidR="00CC1F37" w:rsidRPr="00DD36D5" w:rsidRDefault="00CC1F37" w:rsidP="00DD36D5">
            <w:pPr>
              <w:spacing w:before="60" w:after="60"/>
              <w:jc w:val="left"/>
              <w:rPr>
                <w:sz w:val="16"/>
                <w:szCs w:val="16"/>
                <w:lang w:eastAsia="en-AU"/>
              </w:rPr>
            </w:pPr>
            <w:r w:rsidRPr="00DD36D5">
              <w:rPr>
                <w:sz w:val="16"/>
                <w:szCs w:val="16"/>
                <w:lang w:eastAsia="en-AU"/>
              </w:rPr>
              <w:t>Defensive: None</w:t>
            </w:r>
            <w:r w:rsidR="004E4FBA" w:rsidRPr="00DD36D5">
              <w:rPr>
                <w:sz w:val="16"/>
                <w:szCs w:val="16"/>
                <w:lang w:eastAsia="en-AU"/>
              </w:rPr>
              <w:t xml:space="preserve"> </w:t>
            </w:r>
          </w:p>
        </w:tc>
        <w:tc>
          <w:tcPr>
            <w:tcW w:w="2551" w:type="dxa"/>
          </w:tcPr>
          <w:p w14:paraId="006271EC" w14:textId="77777777" w:rsidR="00CC1F37" w:rsidRPr="00DD36D5" w:rsidRDefault="00CC1F37" w:rsidP="00DD36D5">
            <w:pPr>
              <w:spacing w:before="60" w:after="60"/>
              <w:jc w:val="left"/>
              <w:rPr>
                <w:sz w:val="16"/>
                <w:szCs w:val="16"/>
                <w:lang w:eastAsia="en-AU"/>
              </w:rPr>
            </w:pPr>
            <w:r w:rsidRPr="00DD36D5">
              <w:rPr>
                <w:sz w:val="16"/>
                <w:szCs w:val="16"/>
                <w:lang w:eastAsia="en-AU"/>
              </w:rPr>
              <w:t>Control group or structured arrangements</w:t>
            </w:r>
          </w:p>
        </w:tc>
      </w:tr>
      <w:tr w:rsidR="00CC1F37" w:rsidRPr="00DD36D5" w14:paraId="35977062" w14:textId="77777777" w:rsidTr="001B761F">
        <w:trPr>
          <w:trHeight w:val="446"/>
        </w:trPr>
        <w:tc>
          <w:tcPr>
            <w:tcW w:w="993" w:type="dxa"/>
          </w:tcPr>
          <w:p w14:paraId="6780F286" w14:textId="77777777" w:rsidR="00CC1F37" w:rsidRPr="00DD36D5" w:rsidRDefault="00F610CE" w:rsidP="00DD36D5">
            <w:pPr>
              <w:spacing w:before="60" w:after="60"/>
              <w:jc w:val="left"/>
              <w:rPr>
                <w:sz w:val="16"/>
                <w:szCs w:val="16"/>
                <w:lang w:eastAsia="en-AU"/>
              </w:rPr>
            </w:pPr>
            <w:r w:rsidRPr="00DD36D5">
              <w:rPr>
                <w:sz w:val="16"/>
                <w:szCs w:val="16"/>
                <w:lang w:eastAsia="en-AU"/>
              </w:rPr>
              <w:t>FH 8 and 9</w:t>
            </w:r>
          </w:p>
        </w:tc>
        <w:tc>
          <w:tcPr>
            <w:tcW w:w="708" w:type="dxa"/>
          </w:tcPr>
          <w:p w14:paraId="58E4DA64" w14:textId="77777777" w:rsidR="00CC1F37" w:rsidRPr="00DD36D5" w:rsidRDefault="00CC1F37" w:rsidP="00DD36D5">
            <w:pPr>
              <w:spacing w:before="60" w:after="60"/>
              <w:jc w:val="center"/>
              <w:rPr>
                <w:sz w:val="16"/>
                <w:szCs w:val="16"/>
                <w:lang w:eastAsia="en-AU"/>
              </w:rPr>
            </w:pPr>
            <w:r w:rsidRPr="00DD36D5">
              <w:rPr>
                <w:sz w:val="16"/>
                <w:szCs w:val="16"/>
                <w:lang w:eastAsia="en-AU"/>
              </w:rPr>
              <w:t>6</w:t>
            </w:r>
          </w:p>
        </w:tc>
        <w:tc>
          <w:tcPr>
            <w:tcW w:w="1843" w:type="dxa"/>
          </w:tcPr>
          <w:p w14:paraId="5E9B14C1" w14:textId="77777777" w:rsidR="00CC1F37" w:rsidRPr="00DD36D5" w:rsidRDefault="00CC1F37" w:rsidP="00DD36D5">
            <w:pPr>
              <w:spacing w:before="60" w:after="60"/>
              <w:jc w:val="left"/>
              <w:rPr>
                <w:sz w:val="16"/>
                <w:szCs w:val="16"/>
                <w:lang w:eastAsia="en-AU"/>
              </w:rPr>
            </w:pPr>
            <w:r w:rsidRPr="00DD36D5">
              <w:rPr>
                <w:sz w:val="16"/>
                <w:szCs w:val="16"/>
                <w:lang w:eastAsia="en-AU"/>
              </w:rPr>
              <w:t>DD (double deduction)</w:t>
            </w:r>
          </w:p>
        </w:tc>
        <w:tc>
          <w:tcPr>
            <w:tcW w:w="2126" w:type="dxa"/>
          </w:tcPr>
          <w:p w14:paraId="7E781590" w14:textId="77777777" w:rsidR="00CC1F37" w:rsidRPr="00DD36D5" w:rsidRDefault="00CC1F37" w:rsidP="00DD36D5">
            <w:pPr>
              <w:spacing w:before="60" w:after="60"/>
              <w:jc w:val="left"/>
              <w:rPr>
                <w:sz w:val="16"/>
                <w:szCs w:val="16"/>
                <w:lang w:eastAsia="en-AU"/>
              </w:rPr>
            </w:pPr>
            <w:r w:rsidRPr="00DD36D5">
              <w:rPr>
                <w:sz w:val="16"/>
                <w:szCs w:val="16"/>
                <w:lang w:eastAsia="en-AU"/>
              </w:rPr>
              <w:t>Double deductions (including those arising by virtue of a foreign branch)</w:t>
            </w:r>
          </w:p>
        </w:tc>
        <w:tc>
          <w:tcPr>
            <w:tcW w:w="2835" w:type="dxa"/>
          </w:tcPr>
          <w:p w14:paraId="5FE03344" w14:textId="77777777" w:rsidR="00CC1F37" w:rsidRPr="00DD36D5" w:rsidRDefault="00CC1F37" w:rsidP="00DD36D5">
            <w:pPr>
              <w:spacing w:before="60" w:after="60"/>
              <w:jc w:val="left"/>
              <w:rPr>
                <w:sz w:val="16"/>
                <w:szCs w:val="16"/>
                <w:lang w:eastAsia="en-AU"/>
              </w:rPr>
            </w:pPr>
            <w:r w:rsidRPr="00DD36D5">
              <w:rPr>
                <w:sz w:val="16"/>
                <w:szCs w:val="16"/>
                <w:lang w:eastAsia="en-AU"/>
              </w:rPr>
              <w:t>(Recommendation 6 already applies to double deduction branch outcomes)</w:t>
            </w:r>
          </w:p>
        </w:tc>
        <w:tc>
          <w:tcPr>
            <w:tcW w:w="3686" w:type="dxa"/>
          </w:tcPr>
          <w:p w14:paraId="371B9E95" w14:textId="77777777" w:rsidR="00CC1F37" w:rsidRPr="00DD36D5" w:rsidRDefault="00CC1F37" w:rsidP="00DD36D5">
            <w:pPr>
              <w:spacing w:before="60" w:after="60"/>
              <w:jc w:val="left"/>
              <w:rPr>
                <w:sz w:val="16"/>
                <w:szCs w:val="16"/>
                <w:lang w:eastAsia="en-AU"/>
              </w:rPr>
            </w:pPr>
            <w:r w:rsidRPr="00DD36D5">
              <w:rPr>
                <w:sz w:val="16"/>
                <w:szCs w:val="16"/>
                <w:lang w:eastAsia="en-AU"/>
              </w:rPr>
              <w:t>Primary: parent/head office country denies deduction to the extent exceeds DII</w:t>
            </w:r>
            <w:r w:rsidR="004E4FBA" w:rsidRPr="00DD36D5">
              <w:rPr>
                <w:sz w:val="16"/>
                <w:szCs w:val="16"/>
                <w:lang w:eastAsia="en-AU"/>
              </w:rPr>
              <w:t>/SAI</w:t>
            </w:r>
            <w:r w:rsidR="00335C94" w:rsidRPr="00DD36D5">
              <w:rPr>
                <w:sz w:val="16"/>
                <w:szCs w:val="16"/>
                <w:lang w:eastAsia="en-AU"/>
              </w:rPr>
              <w:t>*</w:t>
            </w:r>
          </w:p>
          <w:p w14:paraId="399F7CAA" w14:textId="77777777" w:rsidR="00CC1F37" w:rsidRPr="00DD36D5" w:rsidRDefault="00CC1F37" w:rsidP="00DD36D5">
            <w:pPr>
              <w:spacing w:before="60" w:after="60"/>
              <w:jc w:val="left"/>
              <w:rPr>
                <w:sz w:val="16"/>
                <w:szCs w:val="16"/>
                <w:lang w:eastAsia="en-AU"/>
              </w:rPr>
            </w:pPr>
            <w:r w:rsidRPr="00DD36D5">
              <w:rPr>
                <w:sz w:val="16"/>
                <w:szCs w:val="16"/>
                <w:lang w:eastAsia="en-AU"/>
              </w:rPr>
              <w:t>Defensive: subsidiary/branch country denies deduction to the extent exceeds DII</w:t>
            </w:r>
            <w:r w:rsidR="004E4FBA" w:rsidRPr="00DD36D5">
              <w:rPr>
                <w:sz w:val="16"/>
                <w:szCs w:val="16"/>
                <w:lang w:eastAsia="en-AU"/>
              </w:rPr>
              <w:t>/SAI</w:t>
            </w:r>
            <w:r w:rsidR="00335C94" w:rsidRPr="00DD36D5">
              <w:rPr>
                <w:sz w:val="16"/>
                <w:szCs w:val="16"/>
                <w:lang w:eastAsia="en-AU"/>
              </w:rPr>
              <w:t>*</w:t>
            </w:r>
          </w:p>
        </w:tc>
        <w:tc>
          <w:tcPr>
            <w:tcW w:w="2551" w:type="dxa"/>
          </w:tcPr>
          <w:p w14:paraId="367E6AFD" w14:textId="4885CB01" w:rsidR="00CC1F37" w:rsidRPr="00DD36D5" w:rsidRDefault="002F53DC" w:rsidP="00DD36D5">
            <w:pPr>
              <w:spacing w:before="60" w:after="60"/>
              <w:jc w:val="left"/>
              <w:rPr>
                <w:sz w:val="16"/>
                <w:szCs w:val="16"/>
                <w:lang w:eastAsia="en-AU"/>
              </w:rPr>
            </w:pPr>
            <w:r w:rsidRPr="00DD36D5">
              <w:rPr>
                <w:sz w:val="16"/>
                <w:szCs w:val="16"/>
                <w:lang w:eastAsia="en-AU"/>
              </w:rPr>
              <w:t xml:space="preserve">Primary rule limited to related parties (generally </w:t>
            </w:r>
            <w:r w:rsidR="00C53D74">
              <w:rPr>
                <w:sz w:val="16"/>
                <w:szCs w:val="16"/>
                <w:lang w:eastAsia="en-AU"/>
              </w:rPr>
              <w:t>twenty five percent</w:t>
            </w:r>
            <w:r w:rsidRPr="00DD36D5">
              <w:rPr>
                <w:sz w:val="16"/>
                <w:szCs w:val="16"/>
                <w:lang w:eastAsia="en-AU"/>
              </w:rPr>
              <w:t>)</w:t>
            </w:r>
          </w:p>
          <w:p w14:paraId="2ADB2E99" w14:textId="036B7841" w:rsidR="00CC1F37" w:rsidRPr="00DD36D5" w:rsidRDefault="00CC1F37" w:rsidP="00C53D74">
            <w:pPr>
              <w:spacing w:before="60" w:after="60"/>
              <w:jc w:val="left"/>
              <w:rPr>
                <w:sz w:val="16"/>
                <w:szCs w:val="16"/>
                <w:lang w:eastAsia="en-AU"/>
              </w:rPr>
            </w:pPr>
            <w:r w:rsidRPr="00DD36D5">
              <w:rPr>
                <w:sz w:val="16"/>
                <w:szCs w:val="16"/>
                <w:lang w:eastAsia="en-AU"/>
              </w:rPr>
              <w:t>Defensive rule limited to control group</w:t>
            </w:r>
            <w:r w:rsidR="002F53DC" w:rsidRPr="00DD36D5">
              <w:rPr>
                <w:sz w:val="16"/>
                <w:szCs w:val="16"/>
                <w:lang w:eastAsia="en-AU"/>
              </w:rPr>
              <w:t xml:space="preserve"> (generally </w:t>
            </w:r>
            <w:r w:rsidR="00C53D74">
              <w:rPr>
                <w:sz w:val="16"/>
                <w:szCs w:val="16"/>
                <w:lang w:eastAsia="en-AU"/>
              </w:rPr>
              <w:t>fifty percent</w:t>
            </w:r>
            <w:r w:rsidR="002F53DC" w:rsidRPr="00DD36D5">
              <w:rPr>
                <w:sz w:val="16"/>
                <w:szCs w:val="16"/>
                <w:lang w:eastAsia="en-AU"/>
              </w:rPr>
              <w:t>)</w:t>
            </w:r>
          </w:p>
        </w:tc>
      </w:tr>
      <w:tr w:rsidR="00CC1F37" w:rsidRPr="00DD36D5" w14:paraId="2419938B" w14:textId="77777777" w:rsidTr="001B761F">
        <w:trPr>
          <w:trHeight w:val="60"/>
        </w:trPr>
        <w:tc>
          <w:tcPr>
            <w:tcW w:w="993" w:type="dxa"/>
          </w:tcPr>
          <w:p w14:paraId="0DBF406A" w14:textId="77777777" w:rsidR="00CC1F37" w:rsidRPr="00DD36D5" w:rsidRDefault="00F610CE" w:rsidP="00DD36D5">
            <w:pPr>
              <w:spacing w:before="60" w:after="60"/>
              <w:jc w:val="left"/>
              <w:rPr>
                <w:sz w:val="16"/>
                <w:szCs w:val="16"/>
                <w:lang w:eastAsia="en-AU"/>
              </w:rPr>
            </w:pPr>
            <w:r w:rsidRPr="00DD36D5">
              <w:rPr>
                <w:sz w:val="16"/>
                <w:szCs w:val="16"/>
                <w:lang w:eastAsia="en-AU"/>
              </w:rPr>
              <w:t>FH 10</w:t>
            </w:r>
          </w:p>
        </w:tc>
        <w:tc>
          <w:tcPr>
            <w:tcW w:w="708" w:type="dxa"/>
          </w:tcPr>
          <w:p w14:paraId="7D16C9B1" w14:textId="77777777" w:rsidR="00CC1F37" w:rsidRPr="00DD36D5" w:rsidRDefault="00CC1F37" w:rsidP="00DD36D5">
            <w:pPr>
              <w:spacing w:before="60" w:after="60"/>
              <w:jc w:val="center"/>
              <w:rPr>
                <w:sz w:val="16"/>
                <w:szCs w:val="16"/>
                <w:lang w:eastAsia="en-AU"/>
              </w:rPr>
            </w:pPr>
            <w:r w:rsidRPr="00DD36D5">
              <w:rPr>
                <w:sz w:val="16"/>
                <w:szCs w:val="16"/>
                <w:lang w:eastAsia="en-AU"/>
              </w:rPr>
              <w:t>7</w:t>
            </w:r>
          </w:p>
        </w:tc>
        <w:tc>
          <w:tcPr>
            <w:tcW w:w="1843" w:type="dxa"/>
          </w:tcPr>
          <w:p w14:paraId="6E448B6D" w14:textId="77777777" w:rsidR="00CC1F37" w:rsidRPr="00DD36D5" w:rsidRDefault="00CC1F37" w:rsidP="00DD36D5">
            <w:pPr>
              <w:spacing w:before="60" w:after="60"/>
              <w:jc w:val="left"/>
              <w:rPr>
                <w:sz w:val="16"/>
                <w:szCs w:val="16"/>
                <w:lang w:eastAsia="en-AU"/>
              </w:rPr>
            </w:pPr>
            <w:r w:rsidRPr="00DD36D5">
              <w:rPr>
                <w:sz w:val="16"/>
                <w:szCs w:val="16"/>
                <w:lang w:eastAsia="en-AU"/>
              </w:rPr>
              <w:t>DD</w:t>
            </w:r>
          </w:p>
        </w:tc>
        <w:tc>
          <w:tcPr>
            <w:tcW w:w="2126" w:type="dxa"/>
          </w:tcPr>
          <w:p w14:paraId="56A5C5D0" w14:textId="77777777" w:rsidR="00CC1F37" w:rsidRPr="00DD36D5" w:rsidRDefault="00CC1F37" w:rsidP="00DD36D5">
            <w:pPr>
              <w:spacing w:before="60" w:after="60"/>
              <w:jc w:val="left"/>
              <w:rPr>
                <w:sz w:val="16"/>
                <w:szCs w:val="16"/>
                <w:lang w:eastAsia="en-AU"/>
              </w:rPr>
            </w:pPr>
            <w:r w:rsidRPr="00DD36D5">
              <w:rPr>
                <w:sz w:val="16"/>
                <w:szCs w:val="16"/>
                <w:lang w:eastAsia="en-AU"/>
              </w:rPr>
              <w:t>Payments by dual resident company</w:t>
            </w:r>
          </w:p>
        </w:tc>
        <w:tc>
          <w:tcPr>
            <w:tcW w:w="2835" w:type="dxa"/>
          </w:tcPr>
          <w:p w14:paraId="30A2A816" w14:textId="77777777" w:rsidR="00CC1F37" w:rsidRPr="00DD36D5" w:rsidRDefault="00CC1F37" w:rsidP="00DD36D5">
            <w:pPr>
              <w:spacing w:before="60" w:after="60"/>
              <w:jc w:val="left"/>
              <w:rPr>
                <w:sz w:val="16"/>
                <w:szCs w:val="16"/>
                <w:lang w:eastAsia="en-AU"/>
              </w:rPr>
            </w:pPr>
          </w:p>
        </w:tc>
        <w:tc>
          <w:tcPr>
            <w:tcW w:w="3686" w:type="dxa"/>
          </w:tcPr>
          <w:p w14:paraId="6B172091" w14:textId="77777777" w:rsidR="00CC1F37" w:rsidRPr="00DD36D5" w:rsidRDefault="00CC1F37" w:rsidP="00DD36D5">
            <w:pPr>
              <w:spacing w:before="60" w:after="60"/>
              <w:jc w:val="left"/>
              <w:rPr>
                <w:sz w:val="16"/>
                <w:szCs w:val="16"/>
                <w:lang w:eastAsia="en-AU"/>
              </w:rPr>
            </w:pPr>
            <w:r w:rsidRPr="00DD36D5">
              <w:rPr>
                <w:sz w:val="16"/>
                <w:szCs w:val="16"/>
                <w:lang w:eastAsia="en-AU"/>
              </w:rPr>
              <w:t>Deny deduction in both jurisdi</w:t>
            </w:r>
            <w:r w:rsidR="004E4FBA" w:rsidRPr="00DD36D5">
              <w:rPr>
                <w:sz w:val="16"/>
                <w:szCs w:val="16"/>
                <w:lang w:eastAsia="en-AU"/>
              </w:rPr>
              <w:t>ctions to the extent exceeds DII/SAI</w:t>
            </w:r>
          </w:p>
        </w:tc>
        <w:tc>
          <w:tcPr>
            <w:tcW w:w="2551" w:type="dxa"/>
          </w:tcPr>
          <w:p w14:paraId="71494CF0" w14:textId="77777777" w:rsidR="00CC1F37" w:rsidRPr="00DD36D5" w:rsidRDefault="00CC1F37" w:rsidP="00DD36D5">
            <w:pPr>
              <w:spacing w:before="60" w:after="60"/>
              <w:jc w:val="left"/>
              <w:rPr>
                <w:sz w:val="16"/>
                <w:szCs w:val="16"/>
                <w:lang w:eastAsia="en-AU"/>
              </w:rPr>
            </w:pPr>
            <w:r w:rsidRPr="00DD36D5">
              <w:rPr>
                <w:sz w:val="16"/>
                <w:szCs w:val="16"/>
                <w:lang w:eastAsia="en-AU"/>
              </w:rPr>
              <w:t>No limit</w:t>
            </w:r>
          </w:p>
        </w:tc>
      </w:tr>
      <w:tr w:rsidR="00CC1F37" w:rsidRPr="00DD36D5" w14:paraId="6A4EE0A7" w14:textId="77777777" w:rsidTr="001B761F">
        <w:trPr>
          <w:trHeight w:val="595"/>
        </w:trPr>
        <w:tc>
          <w:tcPr>
            <w:tcW w:w="993" w:type="dxa"/>
          </w:tcPr>
          <w:p w14:paraId="043DF4D2" w14:textId="77777777" w:rsidR="00CC1F37" w:rsidRPr="00DD36D5" w:rsidRDefault="00F610CE" w:rsidP="00DD36D5">
            <w:pPr>
              <w:spacing w:before="60" w:after="60"/>
              <w:jc w:val="left"/>
              <w:rPr>
                <w:sz w:val="16"/>
                <w:szCs w:val="16"/>
                <w:lang w:eastAsia="en-AU"/>
              </w:rPr>
            </w:pPr>
            <w:r w:rsidRPr="00DD36D5">
              <w:rPr>
                <w:sz w:val="16"/>
                <w:szCs w:val="16"/>
                <w:lang w:eastAsia="en-AU"/>
              </w:rPr>
              <w:t>FH 11</w:t>
            </w:r>
          </w:p>
        </w:tc>
        <w:tc>
          <w:tcPr>
            <w:tcW w:w="708" w:type="dxa"/>
          </w:tcPr>
          <w:p w14:paraId="57E5CE0A" w14:textId="77777777" w:rsidR="00CC1F37" w:rsidRPr="00DD36D5" w:rsidRDefault="00CC1F37" w:rsidP="00DD36D5">
            <w:pPr>
              <w:spacing w:before="60" w:after="60"/>
              <w:jc w:val="center"/>
              <w:rPr>
                <w:sz w:val="16"/>
                <w:szCs w:val="16"/>
                <w:lang w:eastAsia="en-AU"/>
              </w:rPr>
            </w:pPr>
            <w:r w:rsidRPr="00DD36D5">
              <w:rPr>
                <w:sz w:val="16"/>
                <w:szCs w:val="16"/>
                <w:lang w:eastAsia="en-AU"/>
              </w:rPr>
              <w:t>8</w:t>
            </w:r>
          </w:p>
        </w:tc>
        <w:tc>
          <w:tcPr>
            <w:tcW w:w="1843" w:type="dxa"/>
          </w:tcPr>
          <w:p w14:paraId="261E46DA" w14:textId="77777777" w:rsidR="00CC1F37" w:rsidRPr="00DD36D5" w:rsidRDefault="00CC1F37" w:rsidP="00DD36D5">
            <w:pPr>
              <w:spacing w:before="60" w:after="60"/>
              <w:jc w:val="left"/>
              <w:rPr>
                <w:sz w:val="16"/>
                <w:szCs w:val="16"/>
                <w:lang w:eastAsia="en-AU"/>
              </w:rPr>
            </w:pPr>
            <w:r w:rsidRPr="00DD36D5">
              <w:rPr>
                <w:sz w:val="16"/>
                <w:szCs w:val="16"/>
                <w:lang w:eastAsia="en-AU"/>
              </w:rPr>
              <w:t>Indirect D/NI</w:t>
            </w:r>
          </w:p>
        </w:tc>
        <w:tc>
          <w:tcPr>
            <w:tcW w:w="2126" w:type="dxa"/>
          </w:tcPr>
          <w:p w14:paraId="7290DE47" w14:textId="77777777" w:rsidR="00CC1F37" w:rsidRPr="00DD36D5" w:rsidRDefault="00CC1F37" w:rsidP="00DD36D5">
            <w:pPr>
              <w:spacing w:before="60" w:after="60"/>
              <w:jc w:val="left"/>
              <w:rPr>
                <w:sz w:val="16"/>
                <w:szCs w:val="16"/>
                <w:lang w:eastAsia="en-AU"/>
              </w:rPr>
            </w:pPr>
            <w:r w:rsidRPr="00DD36D5">
              <w:rPr>
                <w:sz w:val="16"/>
                <w:szCs w:val="16"/>
                <w:lang w:eastAsia="en-AU"/>
              </w:rPr>
              <w:t>Imported mismatches</w:t>
            </w:r>
          </w:p>
        </w:tc>
        <w:tc>
          <w:tcPr>
            <w:tcW w:w="2835" w:type="dxa"/>
          </w:tcPr>
          <w:p w14:paraId="3AAC35C4" w14:textId="77777777" w:rsidR="00CC1F37" w:rsidRPr="00DD36D5" w:rsidRDefault="00CC1F37" w:rsidP="00DD36D5">
            <w:pPr>
              <w:spacing w:before="60" w:after="60"/>
              <w:jc w:val="left"/>
              <w:rPr>
                <w:sz w:val="16"/>
                <w:szCs w:val="16"/>
                <w:lang w:eastAsia="en-AU"/>
              </w:rPr>
            </w:pPr>
            <w:r w:rsidRPr="00DD36D5">
              <w:rPr>
                <w:sz w:val="16"/>
                <w:szCs w:val="16"/>
                <w:lang w:eastAsia="en-AU"/>
              </w:rPr>
              <w:t>Imported branch mismatches</w:t>
            </w:r>
          </w:p>
        </w:tc>
        <w:tc>
          <w:tcPr>
            <w:tcW w:w="3686" w:type="dxa"/>
          </w:tcPr>
          <w:p w14:paraId="7B97704C" w14:textId="77777777" w:rsidR="00CC1F37" w:rsidRPr="00DD36D5" w:rsidRDefault="00CC1F37" w:rsidP="00DD36D5">
            <w:pPr>
              <w:spacing w:before="60" w:after="60"/>
              <w:jc w:val="left"/>
              <w:rPr>
                <w:sz w:val="16"/>
                <w:szCs w:val="16"/>
                <w:lang w:eastAsia="en-AU"/>
              </w:rPr>
            </w:pPr>
            <w:r w:rsidRPr="00DD36D5">
              <w:rPr>
                <w:sz w:val="16"/>
                <w:szCs w:val="16"/>
                <w:lang w:eastAsia="en-AU"/>
              </w:rPr>
              <w:t>Primary: deny deduction for payment to the extent it funds the hybrid or branch mismatch payment</w:t>
            </w:r>
          </w:p>
          <w:p w14:paraId="7A50B8B9" w14:textId="0279FE83" w:rsidR="00CC1F37" w:rsidRPr="00DD36D5" w:rsidRDefault="00CC1F37" w:rsidP="00DD36D5">
            <w:pPr>
              <w:spacing w:before="60" w:after="60"/>
              <w:jc w:val="left"/>
              <w:rPr>
                <w:sz w:val="16"/>
                <w:szCs w:val="16"/>
                <w:lang w:eastAsia="en-AU"/>
              </w:rPr>
            </w:pPr>
            <w:r w:rsidRPr="00DD36D5">
              <w:rPr>
                <w:sz w:val="16"/>
                <w:szCs w:val="16"/>
                <w:lang w:eastAsia="en-AU"/>
              </w:rPr>
              <w:t>Defensive: None</w:t>
            </w:r>
          </w:p>
        </w:tc>
        <w:tc>
          <w:tcPr>
            <w:tcW w:w="2551" w:type="dxa"/>
          </w:tcPr>
          <w:p w14:paraId="05CB7B89" w14:textId="77777777" w:rsidR="00CC1F37" w:rsidRPr="00DD36D5" w:rsidRDefault="00CC1F37" w:rsidP="00DD36D5">
            <w:pPr>
              <w:spacing w:before="60" w:after="60"/>
              <w:jc w:val="left"/>
              <w:rPr>
                <w:sz w:val="16"/>
                <w:szCs w:val="16"/>
                <w:lang w:eastAsia="en-AU"/>
              </w:rPr>
            </w:pPr>
            <w:r w:rsidRPr="00DD36D5">
              <w:rPr>
                <w:sz w:val="16"/>
                <w:szCs w:val="16"/>
                <w:lang w:eastAsia="en-AU"/>
              </w:rPr>
              <w:t>Control group or structured arrangements. Does not apply if payee subject to hybrid rules</w:t>
            </w:r>
          </w:p>
        </w:tc>
      </w:tr>
    </w:tbl>
    <w:p w14:paraId="6D870955" w14:textId="16E6BA8A" w:rsidR="00F349E5" w:rsidRPr="008667C7" w:rsidRDefault="001B761F" w:rsidP="008667C7">
      <w:pPr>
        <w:spacing w:before="120" w:after="120"/>
        <w:rPr>
          <w:b/>
          <w:sz w:val="20"/>
          <w:szCs w:val="20"/>
          <w:lang w:eastAsia="en-AU"/>
        </w:rPr>
      </w:pPr>
      <w:r>
        <w:rPr>
          <w:b/>
          <w:sz w:val="20"/>
          <w:szCs w:val="20"/>
          <w:lang w:eastAsia="en-AU"/>
        </w:rPr>
        <w:t>Specific rule recommendations</w:t>
      </w:r>
    </w:p>
    <w:tbl>
      <w:tblPr>
        <w:tblStyle w:val="TableGrid2"/>
        <w:tblW w:w="14742" w:type="dxa"/>
        <w:tblInd w:w="108" w:type="dxa"/>
        <w:tblLayout w:type="fixed"/>
        <w:tblLook w:val="04A0" w:firstRow="1" w:lastRow="0" w:firstColumn="1" w:lastColumn="0" w:noHBand="0" w:noVBand="1"/>
      </w:tblPr>
      <w:tblGrid>
        <w:gridCol w:w="993"/>
        <w:gridCol w:w="708"/>
        <w:gridCol w:w="1843"/>
        <w:gridCol w:w="2126"/>
        <w:gridCol w:w="2835"/>
        <w:gridCol w:w="3686"/>
        <w:gridCol w:w="2551"/>
      </w:tblGrid>
      <w:tr w:rsidR="009E3670" w:rsidRPr="00DD36D5" w14:paraId="60E7C4C3" w14:textId="77777777" w:rsidTr="001B761F">
        <w:tc>
          <w:tcPr>
            <w:tcW w:w="993" w:type="dxa"/>
            <w:shd w:val="clear" w:color="auto" w:fill="F2F2F2" w:themeFill="background1" w:themeFillShade="F2"/>
          </w:tcPr>
          <w:p w14:paraId="707DECF3" w14:textId="77777777" w:rsidR="009E3670" w:rsidRPr="00DD36D5" w:rsidRDefault="004E4FBA" w:rsidP="00DD36D5">
            <w:pPr>
              <w:spacing w:before="60" w:after="60"/>
              <w:jc w:val="left"/>
              <w:rPr>
                <w:b/>
                <w:sz w:val="16"/>
                <w:szCs w:val="16"/>
                <w:lang w:eastAsia="en-AU"/>
              </w:rPr>
            </w:pPr>
            <w:r w:rsidRPr="00DD36D5">
              <w:rPr>
                <w:b/>
                <w:sz w:val="16"/>
                <w:szCs w:val="16"/>
                <w:lang w:eastAsia="en-AU"/>
              </w:rPr>
              <w:t>Section</w:t>
            </w:r>
          </w:p>
        </w:tc>
        <w:tc>
          <w:tcPr>
            <w:tcW w:w="708" w:type="dxa"/>
            <w:shd w:val="clear" w:color="auto" w:fill="F2F2F2" w:themeFill="background1" w:themeFillShade="F2"/>
          </w:tcPr>
          <w:p w14:paraId="29F815D9" w14:textId="77777777" w:rsidR="009E3670" w:rsidRPr="00DD36D5" w:rsidRDefault="009E3670" w:rsidP="00DD36D5">
            <w:pPr>
              <w:spacing w:before="60" w:after="60"/>
              <w:jc w:val="center"/>
              <w:rPr>
                <w:b/>
                <w:sz w:val="16"/>
                <w:szCs w:val="16"/>
                <w:lang w:eastAsia="en-AU"/>
              </w:rPr>
            </w:pPr>
            <w:r w:rsidRPr="00DD36D5">
              <w:rPr>
                <w:b/>
                <w:sz w:val="16"/>
                <w:szCs w:val="16"/>
                <w:lang w:eastAsia="en-AU"/>
              </w:rPr>
              <w:t>Rec.</w:t>
            </w:r>
          </w:p>
        </w:tc>
        <w:tc>
          <w:tcPr>
            <w:tcW w:w="1843" w:type="dxa"/>
            <w:shd w:val="clear" w:color="auto" w:fill="F2F2F2" w:themeFill="background1" w:themeFillShade="F2"/>
          </w:tcPr>
          <w:p w14:paraId="2D6AEB24" w14:textId="77777777" w:rsidR="009E3670" w:rsidRPr="00DD36D5" w:rsidRDefault="009E3670" w:rsidP="00DD36D5">
            <w:pPr>
              <w:spacing w:before="60" w:after="60"/>
              <w:jc w:val="left"/>
              <w:rPr>
                <w:b/>
                <w:sz w:val="16"/>
                <w:szCs w:val="16"/>
                <w:lang w:eastAsia="en-AU"/>
              </w:rPr>
            </w:pPr>
            <w:r w:rsidRPr="00DD36D5">
              <w:rPr>
                <w:b/>
                <w:sz w:val="16"/>
                <w:szCs w:val="16"/>
                <w:lang w:eastAsia="en-AU"/>
              </w:rPr>
              <w:t>Hybrid mismatch</w:t>
            </w:r>
          </w:p>
        </w:tc>
        <w:tc>
          <w:tcPr>
            <w:tcW w:w="2126" w:type="dxa"/>
            <w:shd w:val="clear" w:color="auto" w:fill="F2F2F2" w:themeFill="background1" w:themeFillShade="F2"/>
          </w:tcPr>
          <w:p w14:paraId="79CB9E97" w14:textId="77777777" w:rsidR="009E3670" w:rsidRPr="00DD36D5" w:rsidRDefault="009E3670" w:rsidP="00DD36D5">
            <w:pPr>
              <w:spacing w:before="60" w:after="60"/>
              <w:jc w:val="left"/>
              <w:rPr>
                <w:b/>
                <w:sz w:val="16"/>
                <w:szCs w:val="16"/>
                <w:lang w:eastAsia="en-AU"/>
              </w:rPr>
            </w:pPr>
            <w:r w:rsidRPr="00DD36D5">
              <w:rPr>
                <w:b/>
                <w:sz w:val="16"/>
                <w:szCs w:val="16"/>
                <w:lang w:eastAsia="en-AU"/>
              </w:rPr>
              <w:t>Hybrid arrangement</w:t>
            </w:r>
          </w:p>
        </w:tc>
        <w:tc>
          <w:tcPr>
            <w:tcW w:w="2835" w:type="dxa"/>
            <w:shd w:val="clear" w:color="auto" w:fill="F2F2F2" w:themeFill="background1" w:themeFillShade="F2"/>
          </w:tcPr>
          <w:p w14:paraId="138FF0E2" w14:textId="77777777" w:rsidR="009E3670" w:rsidRPr="00DD36D5" w:rsidRDefault="009E3670" w:rsidP="00DD36D5">
            <w:pPr>
              <w:spacing w:before="60" w:after="60"/>
              <w:jc w:val="left"/>
              <w:rPr>
                <w:b/>
                <w:sz w:val="16"/>
                <w:szCs w:val="16"/>
                <w:lang w:eastAsia="en-AU"/>
              </w:rPr>
            </w:pPr>
            <w:r w:rsidRPr="00DD36D5">
              <w:rPr>
                <w:b/>
                <w:sz w:val="16"/>
                <w:szCs w:val="16"/>
                <w:lang w:eastAsia="en-AU"/>
              </w:rPr>
              <w:t>Corresponding branch arrangement</w:t>
            </w:r>
          </w:p>
        </w:tc>
        <w:tc>
          <w:tcPr>
            <w:tcW w:w="3686" w:type="dxa"/>
            <w:shd w:val="clear" w:color="auto" w:fill="F2F2F2" w:themeFill="background1" w:themeFillShade="F2"/>
          </w:tcPr>
          <w:p w14:paraId="1418C27B" w14:textId="77777777" w:rsidR="009E3670" w:rsidRPr="00DD36D5" w:rsidRDefault="009E3670" w:rsidP="00DD36D5">
            <w:pPr>
              <w:spacing w:before="60" w:after="60"/>
              <w:jc w:val="left"/>
              <w:rPr>
                <w:b/>
                <w:sz w:val="16"/>
                <w:szCs w:val="16"/>
                <w:lang w:eastAsia="en-AU"/>
              </w:rPr>
            </w:pPr>
            <w:r w:rsidRPr="00DD36D5">
              <w:rPr>
                <w:b/>
                <w:sz w:val="16"/>
                <w:szCs w:val="16"/>
                <w:lang w:eastAsia="en-AU"/>
              </w:rPr>
              <w:t>Counteraction</w:t>
            </w:r>
          </w:p>
        </w:tc>
        <w:tc>
          <w:tcPr>
            <w:tcW w:w="2551" w:type="dxa"/>
            <w:shd w:val="clear" w:color="auto" w:fill="F2F2F2" w:themeFill="background1" w:themeFillShade="F2"/>
          </w:tcPr>
          <w:p w14:paraId="14E99AE3" w14:textId="77777777" w:rsidR="009E3670" w:rsidRPr="00DD36D5" w:rsidRDefault="009E3670" w:rsidP="00DD36D5">
            <w:pPr>
              <w:spacing w:before="60" w:after="60"/>
              <w:jc w:val="left"/>
              <w:rPr>
                <w:b/>
                <w:sz w:val="16"/>
                <w:szCs w:val="16"/>
                <w:lang w:eastAsia="en-AU"/>
              </w:rPr>
            </w:pPr>
            <w:r w:rsidRPr="00DD36D5">
              <w:rPr>
                <w:b/>
                <w:sz w:val="16"/>
                <w:szCs w:val="16"/>
                <w:lang w:eastAsia="en-AU"/>
              </w:rPr>
              <w:t>Scope</w:t>
            </w:r>
          </w:p>
        </w:tc>
      </w:tr>
      <w:tr w:rsidR="009E3670" w:rsidRPr="004E4FBA" w14:paraId="1C9E598D" w14:textId="77777777" w:rsidTr="001B761F">
        <w:trPr>
          <w:trHeight w:val="572"/>
        </w:trPr>
        <w:tc>
          <w:tcPr>
            <w:tcW w:w="993" w:type="dxa"/>
          </w:tcPr>
          <w:p w14:paraId="367465ED" w14:textId="77777777" w:rsidR="009E3670" w:rsidRPr="00547BCF" w:rsidRDefault="004E4FBA" w:rsidP="00DD36D5">
            <w:pPr>
              <w:spacing w:before="60" w:after="60"/>
              <w:jc w:val="left"/>
              <w:rPr>
                <w:sz w:val="16"/>
                <w:szCs w:val="16"/>
                <w:lang w:eastAsia="en-AU"/>
              </w:rPr>
            </w:pPr>
            <w:r w:rsidRPr="00547BCF">
              <w:rPr>
                <w:sz w:val="16"/>
                <w:szCs w:val="16"/>
                <w:lang w:eastAsia="en-AU"/>
              </w:rPr>
              <w:t xml:space="preserve">CW 9 </w:t>
            </w:r>
          </w:p>
        </w:tc>
        <w:tc>
          <w:tcPr>
            <w:tcW w:w="708" w:type="dxa"/>
          </w:tcPr>
          <w:p w14:paraId="2A76FCF5" w14:textId="77777777" w:rsidR="009E3670" w:rsidRPr="00547BCF" w:rsidRDefault="009E3670" w:rsidP="00DD36D5">
            <w:pPr>
              <w:spacing w:before="60" w:after="60"/>
              <w:jc w:val="center"/>
              <w:rPr>
                <w:sz w:val="16"/>
                <w:szCs w:val="16"/>
                <w:lang w:eastAsia="en-AU"/>
              </w:rPr>
            </w:pPr>
            <w:r w:rsidRPr="00547BCF">
              <w:rPr>
                <w:sz w:val="16"/>
                <w:szCs w:val="16"/>
                <w:lang w:eastAsia="en-AU"/>
              </w:rPr>
              <w:t>2</w:t>
            </w:r>
          </w:p>
        </w:tc>
        <w:tc>
          <w:tcPr>
            <w:tcW w:w="1843" w:type="dxa"/>
          </w:tcPr>
          <w:p w14:paraId="31D2FDE6" w14:textId="77777777" w:rsidR="009E3670" w:rsidRPr="00547BCF" w:rsidRDefault="009E3670" w:rsidP="00DD36D5">
            <w:pPr>
              <w:spacing w:before="60" w:after="60"/>
              <w:jc w:val="left"/>
              <w:rPr>
                <w:sz w:val="16"/>
                <w:szCs w:val="16"/>
                <w:lang w:eastAsia="en-AU"/>
              </w:rPr>
            </w:pPr>
            <w:r w:rsidRPr="00547BCF">
              <w:rPr>
                <w:sz w:val="16"/>
                <w:szCs w:val="16"/>
                <w:lang w:eastAsia="en-AU"/>
              </w:rPr>
              <w:t>D/NI</w:t>
            </w:r>
          </w:p>
        </w:tc>
        <w:tc>
          <w:tcPr>
            <w:tcW w:w="2126" w:type="dxa"/>
          </w:tcPr>
          <w:p w14:paraId="0663318E" w14:textId="77777777" w:rsidR="009E3670" w:rsidRPr="00547BCF" w:rsidRDefault="009E3670" w:rsidP="00DD36D5">
            <w:pPr>
              <w:spacing w:before="60" w:after="60"/>
              <w:jc w:val="left"/>
              <w:rPr>
                <w:sz w:val="16"/>
                <w:szCs w:val="16"/>
                <w:lang w:eastAsia="en-AU"/>
              </w:rPr>
            </w:pPr>
            <w:r w:rsidRPr="00547BCF">
              <w:rPr>
                <w:sz w:val="16"/>
                <w:szCs w:val="16"/>
                <w:lang w:eastAsia="en-AU"/>
              </w:rPr>
              <w:t>Hybrid financial instruments – specific rules</w:t>
            </w:r>
            <w:r w:rsidR="00335C94">
              <w:rPr>
                <w:sz w:val="16"/>
                <w:szCs w:val="16"/>
                <w:lang w:eastAsia="en-AU"/>
              </w:rPr>
              <w:t>**</w:t>
            </w:r>
          </w:p>
        </w:tc>
        <w:tc>
          <w:tcPr>
            <w:tcW w:w="2835" w:type="dxa"/>
          </w:tcPr>
          <w:p w14:paraId="2670D5A0" w14:textId="77777777" w:rsidR="009E3670" w:rsidRPr="00547BCF" w:rsidRDefault="009E3670" w:rsidP="00DD36D5">
            <w:pPr>
              <w:spacing w:before="60" w:after="60"/>
              <w:jc w:val="left"/>
              <w:rPr>
                <w:sz w:val="16"/>
                <w:szCs w:val="16"/>
                <w:lang w:eastAsia="en-AU"/>
              </w:rPr>
            </w:pPr>
          </w:p>
        </w:tc>
        <w:tc>
          <w:tcPr>
            <w:tcW w:w="3686" w:type="dxa"/>
          </w:tcPr>
          <w:p w14:paraId="51C02813" w14:textId="77777777" w:rsidR="009E3670" w:rsidRDefault="009E3670" w:rsidP="00DD36D5">
            <w:pPr>
              <w:spacing w:before="60" w:after="60"/>
              <w:jc w:val="left"/>
              <w:rPr>
                <w:sz w:val="16"/>
                <w:szCs w:val="16"/>
                <w:lang w:eastAsia="en-AU"/>
              </w:rPr>
            </w:pPr>
            <w:r w:rsidRPr="00547BCF">
              <w:rPr>
                <w:sz w:val="16"/>
                <w:szCs w:val="16"/>
                <w:lang w:eastAsia="en-AU"/>
              </w:rPr>
              <w:t>2.1 Payee country should turn off any exemption</w:t>
            </w:r>
          </w:p>
          <w:p w14:paraId="53CE4FA5" w14:textId="77777777" w:rsidR="009E3670" w:rsidRPr="00547BCF" w:rsidRDefault="009E3670" w:rsidP="00DD36D5">
            <w:pPr>
              <w:spacing w:before="60" w:after="60"/>
              <w:jc w:val="left"/>
              <w:rPr>
                <w:sz w:val="16"/>
                <w:szCs w:val="16"/>
                <w:lang w:eastAsia="en-AU"/>
              </w:rPr>
            </w:pPr>
            <w:r w:rsidRPr="00547BCF">
              <w:rPr>
                <w:sz w:val="16"/>
                <w:szCs w:val="16"/>
                <w:lang w:eastAsia="en-AU"/>
              </w:rPr>
              <w:t>2</w:t>
            </w:r>
            <w:r w:rsidR="00335C94">
              <w:rPr>
                <w:sz w:val="16"/>
                <w:szCs w:val="16"/>
                <w:lang w:eastAsia="en-AU"/>
              </w:rPr>
              <w:t>.2 Restrict foreign tax credits to hybrid arrangement</w:t>
            </w:r>
          </w:p>
        </w:tc>
        <w:tc>
          <w:tcPr>
            <w:tcW w:w="2551" w:type="dxa"/>
          </w:tcPr>
          <w:p w14:paraId="2CD2589D" w14:textId="77777777" w:rsidR="009E3670" w:rsidRPr="00547BCF" w:rsidRDefault="009E3670" w:rsidP="00DD36D5">
            <w:pPr>
              <w:spacing w:before="60" w:after="60"/>
              <w:jc w:val="left"/>
              <w:rPr>
                <w:sz w:val="16"/>
                <w:szCs w:val="16"/>
                <w:lang w:eastAsia="en-AU"/>
              </w:rPr>
            </w:pPr>
            <w:r w:rsidRPr="00547BCF">
              <w:rPr>
                <w:sz w:val="16"/>
                <w:szCs w:val="16"/>
                <w:lang w:eastAsia="en-AU"/>
              </w:rPr>
              <w:t>No limit</w:t>
            </w:r>
          </w:p>
        </w:tc>
      </w:tr>
      <w:tr w:rsidR="009E3670" w:rsidRPr="004E4FBA" w14:paraId="19F659AA" w14:textId="77777777" w:rsidTr="001B761F">
        <w:tc>
          <w:tcPr>
            <w:tcW w:w="993" w:type="dxa"/>
          </w:tcPr>
          <w:p w14:paraId="01DE39E3" w14:textId="77777777" w:rsidR="009E3670" w:rsidRPr="00547BCF" w:rsidRDefault="004E4FBA" w:rsidP="00DD36D5">
            <w:pPr>
              <w:spacing w:before="60" w:after="60"/>
              <w:jc w:val="left"/>
              <w:rPr>
                <w:sz w:val="16"/>
                <w:szCs w:val="16"/>
                <w:lang w:eastAsia="en-AU"/>
              </w:rPr>
            </w:pPr>
            <w:r w:rsidRPr="00547BCF">
              <w:rPr>
                <w:sz w:val="16"/>
                <w:szCs w:val="16"/>
                <w:lang w:eastAsia="en-AU"/>
              </w:rPr>
              <w:t xml:space="preserve">Subpart EX </w:t>
            </w:r>
          </w:p>
        </w:tc>
        <w:tc>
          <w:tcPr>
            <w:tcW w:w="708" w:type="dxa"/>
          </w:tcPr>
          <w:p w14:paraId="455F6DC4" w14:textId="77777777" w:rsidR="009E3670" w:rsidRPr="00547BCF" w:rsidRDefault="009E3670" w:rsidP="00DD36D5">
            <w:pPr>
              <w:spacing w:before="60" w:after="60"/>
              <w:jc w:val="center"/>
              <w:rPr>
                <w:sz w:val="16"/>
                <w:szCs w:val="16"/>
                <w:lang w:eastAsia="en-AU"/>
              </w:rPr>
            </w:pPr>
            <w:r w:rsidRPr="00547BCF">
              <w:rPr>
                <w:sz w:val="16"/>
                <w:szCs w:val="16"/>
                <w:lang w:eastAsia="en-AU"/>
              </w:rPr>
              <w:t>5</w:t>
            </w:r>
          </w:p>
        </w:tc>
        <w:tc>
          <w:tcPr>
            <w:tcW w:w="1843" w:type="dxa"/>
          </w:tcPr>
          <w:p w14:paraId="7902C9CD" w14:textId="77777777" w:rsidR="009E3670" w:rsidRPr="00547BCF" w:rsidRDefault="009E3670" w:rsidP="00DD36D5">
            <w:pPr>
              <w:spacing w:before="60" w:after="60"/>
              <w:jc w:val="left"/>
              <w:rPr>
                <w:sz w:val="16"/>
                <w:szCs w:val="16"/>
                <w:lang w:eastAsia="en-AU"/>
              </w:rPr>
            </w:pPr>
            <w:r w:rsidRPr="00547BCF">
              <w:rPr>
                <w:sz w:val="16"/>
                <w:szCs w:val="16"/>
                <w:lang w:eastAsia="en-AU"/>
              </w:rPr>
              <w:t>D/NI</w:t>
            </w:r>
          </w:p>
        </w:tc>
        <w:tc>
          <w:tcPr>
            <w:tcW w:w="2126" w:type="dxa"/>
          </w:tcPr>
          <w:p w14:paraId="7B04A6E5" w14:textId="77777777" w:rsidR="009E3670" w:rsidRPr="00547BCF" w:rsidRDefault="009E3670" w:rsidP="00DD36D5">
            <w:pPr>
              <w:spacing w:before="60" w:after="60"/>
              <w:jc w:val="left"/>
              <w:rPr>
                <w:sz w:val="16"/>
                <w:szCs w:val="16"/>
                <w:lang w:eastAsia="en-AU"/>
              </w:rPr>
            </w:pPr>
            <w:r w:rsidRPr="00547BCF">
              <w:rPr>
                <w:sz w:val="16"/>
                <w:szCs w:val="16"/>
                <w:lang w:eastAsia="en-AU"/>
              </w:rPr>
              <w:t>Reverse hybrids – specific rules</w:t>
            </w:r>
            <w:r w:rsidR="00335C94" w:rsidRPr="00547BCF">
              <w:rPr>
                <w:sz w:val="16"/>
                <w:szCs w:val="16"/>
                <w:lang w:eastAsia="en-AU"/>
              </w:rPr>
              <w:t>**</w:t>
            </w:r>
          </w:p>
        </w:tc>
        <w:tc>
          <w:tcPr>
            <w:tcW w:w="2835" w:type="dxa"/>
          </w:tcPr>
          <w:p w14:paraId="7C838EE8" w14:textId="77777777" w:rsidR="009E3670" w:rsidRPr="00547BCF" w:rsidRDefault="009E3670" w:rsidP="00DD36D5">
            <w:pPr>
              <w:spacing w:before="60" w:after="60"/>
              <w:jc w:val="left"/>
              <w:rPr>
                <w:sz w:val="16"/>
                <w:szCs w:val="16"/>
                <w:lang w:eastAsia="en-AU"/>
              </w:rPr>
            </w:pPr>
            <w:r w:rsidRPr="00547BCF">
              <w:rPr>
                <w:sz w:val="16"/>
                <w:szCs w:val="16"/>
                <w:lang w:eastAsia="en-AU"/>
              </w:rPr>
              <w:t>Disregarded branch structure and diverted branch payments</w:t>
            </w:r>
          </w:p>
        </w:tc>
        <w:tc>
          <w:tcPr>
            <w:tcW w:w="3686" w:type="dxa"/>
          </w:tcPr>
          <w:p w14:paraId="5E0E53E3" w14:textId="77777777" w:rsidR="009E3670" w:rsidRPr="00547BCF" w:rsidRDefault="009E3670" w:rsidP="00DD36D5">
            <w:pPr>
              <w:spacing w:before="60" w:after="60"/>
              <w:jc w:val="left"/>
              <w:rPr>
                <w:sz w:val="16"/>
                <w:szCs w:val="16"/>
                <w:lang w:eastAsia="en-AU"/>
              </w:rPr>
            </w:pPr>
            <w:r w:rsidRPr="00547BCF">
              <w:rPr>
                <w:sz w:val="16"/>
                <w:szCs w:val="16"/>
                <w:lang w:eastAsia="en-AU"/>
              </w:rPr>
              <w:t>5.1 Improve CFC and other offshore rules</w:t>
            </w:r>
            <w:r w:rsidR="00335C94">
              <w:rPr>
                <w:sz w:val="16"/>
                <w:szCs w:val="16"/>
                <w:lang w:eastAsia="en-AU"/>
              </w:rPr>
              <w:t>***</w:t>
            </w:r>
          </w:p>
          <w:p w14:paraId="66B5242C" w14:textId="77777777" w:rsidR="009E3670" w:rsidRPr="00547BCF" w:rsidRDefault="009E3670" w:rsidP="00DD36D5">
            <w:pPr>
              <w:spacing w:before="60" w:after="60"/>
              <w:jc w:val="left"/>
              <w:rPr>
                <w:sz w:val="16"/>
                <w:szCs w:val="16"/>
                <w:lang w:eastAsia="en-AU"/>
              </w:rPr>
            </w:pPr>
            <w:r w:rsidRPr="00547BCF">
              <w:rPr>
                <w:sz w:val="16"/>
                <w:szCs w:val="16"/>
                <w:lang w:eastAsia="en-AU"/>
              </w:rPr>
              <w:t>5.2 Turn off transparency/non-taxation</w:t>
            </w:r>
          </w:p>
          <w:p w14:paraId="4E399DBA" w14:textId="77777777" w:rsidR="009E3670" w:rsidRPr="00547BCF" w:rsidRDefault="009E3670" w:rsidP="00DD36D5">
            <w:pPr>
              <w:spacing w:before="60" w:after="60"/>
              <w:jc w:val="left"/>
              <w:rPr>
                <w:sz w:val="16"/>
                <w:szCs w:val="16"/>
                <w:lang w:eastAsia="en-AU"/>
              </w:rPr>
            </w:pPr>
            <w:r w:rsidRPr="00547BCF">
              <w:rPr>
                <w:sz w:val="16"/>
                <w:szCs w:val="16"/>
                <w:lang w:eastAsia="en-AU"/>
              </w:rPr>
              <w:t>5.3 Improved disclosure</w:t>
            </w:r>
          </w:p>
        </w:tc>
        <w:tc>
          <w:tcPr>
            <w:tcW w:w="2551" w:type="dxa"/>
          </w:tcPr>
          <w:p w14:paraId="1364B813" w14:textId="77777777" w:rsidR="009E3670" w:rsidRPr="00547BCF" w:rsidRDefault="009E3670" w:rsidP="00DD36D5">
            <w:pPr>
              <w:spacing w:before="60" w:after="60"/>
              <w:jc w:val="left"/>
              <w:rPr>
                <w:sz w:val="16"/>
                <w:szCs w:val="16"/>
                <w:lang w:eastAsia="en-AU"/>
              </w:rPr>
            </w:pPr>
            <w:r w:rsidRPr="00547BCF">
              <w:rPr>
                <w:sz w:val="16"/>
                <w:szCs w:val="16"/>
                <w:lang w:eastAsia="en-AU"/>
              </w:rPr>
              <w:t xml:space="preserve">Specific to </w:t>
            </w:r>
            <w:r w:rsidR="00335C94" w:rsidRPr="00547BCF">
              <w:rPr>
                <w:sz w:val="16"/>
                <w:szCs w:val="16"/>
                <w:lang w:eastAsia="en-AU"/>
              </w:rPr>
              <w:t>NZ’s</w:t>
            </w:r>
            <w:r w:rsidRPr="00547BCF">
              <w:rPr>
                <w:sz w:val="16"/>
                <w:szCs w:val="16"/>
                <w:lang w:eastAsia="en-AU"/>
              </w:rPr>
              <w:t xml:space="preserve"> domestic law</w:t>
            </w:r>
          </w:p>
        </w:tc>
      </w:tr>
    </w:tbl>
    <w:p w14:paraId="1ADAA168" w14:textId="77777777" w:rsidR="00F349E5" w:rsidRPr="00DD36D5" w:rsidRDefault="00F349E5" w:rsidP="00DD36D5">
      <w:pPr>
        <w:rPr>
          <w:sz w:val="16"/>
          <w:szCs w:val="16"/>
        </w:rPr>
      </w:pPr>
    </w:p>
    <w:p w14:paraId="506ED3AB" w14:textId="33174221" w:rsidR="0066259A" w:rsidRPr="00DD36D5" w:rsidRDefault="007C6EAA" w:rsidP="001B761F">
      <w:pPr>
        <w:tabs>
          <w:tab w:val="left" w:pos="426"/>
        </w:tabs>
        <w:rPr>
          <w:sz w:val="16"/>
          <w:szCs w:val="16"/>
          <w:lang w:eastAsia="en-AU"/>
        </w:rPr>
      </w:pPr>
      <w:r w:rsidRPr="00DD36D5">
        <w:rPr>
          <w:sz w:val="16"/>
          <w:szCs w:val="16"/>
          <w:lang w:eastAsia="en-AU"/>
        </w:rPr>
        <w:t>*</w:t>
      </w:r>
      <w:r w:rsidR="001B761F">
        <w:rPr>
          <w:sz w:val="16"/>
          <w:szCs w:val="16"/>
          <w:lang w:eastAsia="en-AU"/>
        </w:rPr>
        <w:tab/>
      </w:r>
      <w:r w:rsidRPr="00DD36D5">
        <w:rPr>
          <w:sz w:val="16"/>
          <w:szCs w:val="16"/>
          <w:lang w:eastAsia="en-AU"/>
        </w:rPr>
        <w:t>Surplus assessable income (SAI) performs the same function as dual inclusion income (DII) in the hybrid mismatch report.</w:t>
      </w:r>
    </w:p>
    <w:p w14:paraId="46BB2C80" w14:textId="319B5B32" w:rsidR="0066259A" w:rsidRPr="00DD36D5" w:rsidRDefault="0066259A" w:rsidP="001B761F">
      <w:pPr>
        <w:tabs>
          <w:tab w:val="left" w:pos="426"/>
        </w:tabs>
        <w:rPr>
          <w:sz w:val="16"/>
          <w:szCs w:val="16"/>
          <w:lang w:eastAsia="en-AU"/>
        </w:rPr>
      </w:pPr>
      <w:r w:rsidRPr="00DD36D5">
        <w:rPr>
          <w:sz w:val="16"/>
          <w:szCs w:val="16"/>
          <w:lang w:eastAsia="en-AU"/>
        </w:rPr>
        <w:t>**</w:t>
      </w:r>
      <w:r w:rsidR="001B761F">
        <w:rPr>
          <w:sz w:val="16"/>
          <w:szCs w:val="16"/>
          <w:lang w:eastAsia="en-AU"/>
        </w:rPr>
        <w:tab/>
      </w:r>
      <w:r w:rsidRPr="00DD36D5">
        <w:rPr>
          <w:sz w:val="16"/>
          <w:szCs w:val="16"/>
          <w:lang w:eastAsia="en-AU"/>
        </w:rPr>
        <w:t>There have b</w:t>
      </w:r>
      <w:r w:rsidR="001B761F">
        <w:rPr>
          <w:sz w:val="16"/>
          <w:szCs w:val="16"/>
          <w:lang w:eastAsia="en-AU"/>
        </w:rPr>
        <w:t>een no legislative changes for r</w:t>
      </w:r>
      <w:r w:rsidRPr="00DD36D5">
        <w:rPr>
          <w:sz w:val="16"/>
          <w:szCs w:val="16"/>
          <w:lang w:eastAsia="en-AU"/>
        </w:rPr>
        <w:t>ec</w:t>
      </w:r>
      <w:r w:rsidR="001B761F">
        <w:rPr>
          <w:sz w:val="16"/>
          <w:szCs w:val="16"/>
          <w:lang w:eastAsia="en-AU"/>
        </w:rPr>
        <w:t>ommendation</w:t>
      </w:r>
      <w:r w:rsidRPr="00DD36D5">
        <w:rPr>
          <w:sz w:val="16"/>
          <w:szCs w:val="16"/>
          <w:lang w:eastAsia="en-AU"/>
        </w:rPr>
        <w:t xml:space="preserve"> 2</w:t>
      </w:r>
      <w:r w:rsidR="002D5667" w:rsidRPr="00DD36D5">
        <w:rPr>
          <w:sz w:val="16"/>
          <w:szCs w:val="16"/>
          <w:lang w:eastAsia="en-AU"/>
        </w:rPr>
        <w:t xml:space="preserve">. </w:t>
      </w:r>
      <w:r w:rsidRPr="00DD36D5">
        <w:rPr>
          <w:sz w:val="16"/>
          <w:szCs w:val="16"/>
          <w:lang w:eastAsia="en-AU"/>
        </w:rPr>
        <w:t xml:space="preserve">Section CW 9 addresses </w:t>
      </w:r>
      <w:r w:rsidR="001B761F">
        <w:rPr>
          <w:sz w:val="16"/>
          <w:szCs w:val="16"/>
          <w:lang w:eastAsia="en-AU"/>
        </w:rPr>
        <w:t>r</w:t>
      </w:r>
      <w:r w:rsidRPr="00DD36D5">
        <w:rPr>
          <w:sz w:val="16"/>
          <w:szCs w:val="16"/>
          <w:lang w:eastAsia="en-AU"/>
        </w:rPr>
        <w:t>e</w:t>
      </w:r>
      <w:r w:rsidR="001B761F">
        <w:rPr>
          <w:sz w:val="16"/>
          <w:szCs w:val="16"/>
          <w:lang w:eastAsia="en-AU"/>
        </w:rPr>
        <w:t>commendation</w:t>
      </w:r>
      <w:r w:rsidRPr="00DD36D5">
        <w:rPr>
          <w:sz w:val="16"/>
          <w:szCs w:val="16"/>
          <w:lang w:eastAsia="en-AU"/>
        </w:rPr>
        <w:t xml:space="preserve"> 2.1.</w:t>
      </w:r>
    </w:p>
    <w:p w14:paraId="15A6FB20" w14:textId="596C7A44" w:rsidR="00335C94" w:rsidRPr="00DD36D5" w:rsidRDefault="0066259A" w:rsidP="001B761F">
      <w:pPr>
        <w:tabs>
          <w:tab w:val="left" w:pos="426"/>
        </w:tabs>
        <w:jc w:val="left"/>
        <w:rPr>
          <w:sz w:val="16"/>
          <w:szCs w:val="16"/>
          <w:lang w:eastAsia="en-AU"/>
        </w:rPr>
        <w:sectPr w:rsidR="00335C94" w:rsidRPr="00DD36D5" w:rsidSect="00F349E5">
          <w:pgSz w:w="16838" w:h="11906" w:orient="landscape" w:code="9"/>
          <w:pgMar w:top="1418" w:right="1134" w:bottom="1418" w:left="1134" w:header="720" w:footer="567" w:gutter="0"/>
          <w:cols w:space="720"/>
          <w:titlePg/>
          <w:docGrid w:linePitch="326"/>
        </w:sectPr>
      </w:pPr>
      <w:r w:rsidRPr="00DD36D5">
        <w:rPr>
          <w:sz w:val="16"/>
          <w:szCs w:val="16"/>
          <w:lang w:eastAsia="en-AU"/>
        </w:rPr>
        <w:t>***</w:t>
      </w:r>
      <w:r w:rsidR="001B761F">
        <w:rPr>
          <w:sz w:val="16"/>
          <w:szCs w:val="16"/>
          <w:lang w:eastAsia="en-AU"/>
        </w:rPr>
        <w:tab/>
      </w:r>
      <w:r w:rsidRPr="00DD36D5">
        <w:rPr>
          <w:sz w:val="16"/>
          <w:szCs w:val="16"/>
          <w:lang w:eastAsia="en-AU"/>
        </w:rPr>
        <w:t xml:space="preserve">There have been no legislative changes for </w:t>
      </w:r>
      <w:r w:rsidR="001B761F">
        <w:rPr>
          <w:sz w:val="16"/>
          <w:szCs w:val="16"/>
          <w:lang w:eastAsia="en-AU"/>
        </w:rPr>
        <w:t>recommendation</w:t>
      </w:r>
      <w:r w:rsidRPr="00DD36D5">
        <w:rPr>
          <w:sz w:val="16"/>
          <w:szCs w:val="16"/>
          <w:lang w:eastAsia="en-AU"/>
        </w:rPr>
        <w:t xml:space="preserve"> 5.</w:t>
      </w:r>
    </w:p>
    <w:p w14:paraId="41FCBF2F" w14:textId="7C660C1F" w:rsidR="00F349E5" w:rsidRDefault="007C6EAA" w:rsidP="000772C5">
      <w:pPr>
        <w:pStyle w:val="Heading2"/>
        <w:rPr>
          <w:lang w:eastAsia="en-AU"/>
        </w:rPr>
      </w:pPr>
      <w:r>
        <w:rPr>
          <w:lang w:eastAsia="en-AU"/>
        </w:rPr>
        <w:lastRenderedPageBreak/>
        <w:t>Scope of the linking rules</w:t>
      </w:r>
    </w:p>
    <w:p w14:paraId="183F4FA2" w14:textId="77777777" w:rsidR="0006054C" w:rsidRDefault="0006054C" w:rsidP="00F349E5">
      <w:pPr>
        <w:rPr>
          <w:szCs w:val="20"/>
          <w:lang w:eastAsia="en-AU"/>
        </w:rPr>
      </w:pPr>
    </w:p>
    <w:p w14:paraId="4FDEC05C" w14:textId="5C9D4E6C" w:rsidR="0006054C" w:rsidRDefault="0006054C" w:rsidP="00F349E5">
      <w:pPr>
        <w:rPr>
          <w:szCs w:val="20"/>
          <w:lang w:eastAsia="en-AU"/>
        </w:rPr>
      </w:pPr>
      <w:r>
        <w:rPr>
          <w:szCs w:val="20"/>
          <w:lang w:eastAsia="en-AU"/>
        </w:rPr>
        <w:t>Where there are two or more parties to a mismatch, the rules generally only apply if there is some degree of association between the relevant parties to the arrangement, or if the arrangement has been structured to achieve a mismatch.</w:t>
      </w:r>
    </w:p>
    <w:p w14:paraId="2F866057" w14:textId="77777777" w:rsidR="0006054C" w:rsidRDefault="0006054C" w:rsidP="00F349E5">
      <w:pPr>
        <w:rPr>
          <w:szCs w:val="20"/>
          <w:lang w:eastAsia="en-AU"/>
        </w:rPr>
      </w:pPr>
    </w:p>
    <w:p w14:paraId="512AB80E" w14:textId="2C3EE090" w:rsidR="0006054C" w:rsidRDefault="00936F9B" w:rsidP="00F349E5">
      <w:pPr>
        <w:rPr>
          <w:szCs w:val="20"/>
          <w:lang w:eastAsia="en-AU"/>
        </w:rPr>
      </w:pPr>
      <w:r>
        <w:rPr>
          <w:szCs w:val="20"/>
          <w:lang w:eastAsia="en-AU"/>
        </w:rPr>
        <w:t>There are four</w:t>
      </w:r>
      <w:r w:rsidR="0006054C">
        <w:rPr>
          <w:szCs w:val="20"/>
          <w:lang w:eastAsia="en-AU"/>
        </w:rPr>
        <w:t xml:space="preserve"> key definitions that determine whether the rules potentially apply: </w:t>
      </w:r>
      <w:r>
        <w:rPr>
          <w:szCs w:val="20"/>
          <w:lang w:eastAsia="en-AU"/>
        </w:rPr>
        <w:t>“act together”, “control group”, “related” and “structured arrangement”</w:t>
      </w:r>
      <w:r w:rsidR="002D5667">
        <w:rPr>
          <w:szCs w:val="20"/>
          <w:lang w:eastAsia="en-AU"/>
        </w:rPr>
        <w:t xml:space="preserve">. </w:t>
      </w:r>
      <w:r w:rsidR="003026B8">
        <w:rPr>
          <w:szCs w:val="20"/>
          <w:lang w:eastAsia="en-AU"/>
        </w:rPr>
        <w:t xml:space="preserve">We discuss these terms individually in the following section </w:t>
      </w:r>
      <w:r w:rsidR="0066259A">
        <w:rPr>
          <w:szCs w:val="20"/>
          <w:lang w:eastAsia="en-AU"/>
        </w:rPr>
        <w:t>on key definitions</w:t>
      </w:r>
      <w:r w:rsidR="003026B8">
        <w:rPr>
          <w:szCs w:val="20"/>
          <w:lang w:eastAsia="en-AU"/>
        </w:rPr>
        <w:t>.</w:t>
      </w:r>
    </w:p>
    <w:p w14:paraId="6EE3D1BE" w14:textId="77777777" w:rsidR="008A3689" w:rsidRDefault="008A3689" w:rsidP="0091475A">
      <w:pPr>
        <w:rPr>
          <w:lang w:eastAsia="en-AU"/>
        </w:rPr>
      </w:pPr>
    </w:p>
    <w:p w14:paraId="34F24C00" w14:textId="77777777" w:rsidR="000E0A26" w:rsidRDefault="000E0A26" w:rsidP="0091475A">
      <w:pPr>
        <w:rPr>
          <w:lang w:eastAsia="en-AU"/>
        </w:rPr>
      </w:pPr>
    </w:p>
    <w:p w14:paraId="4E5A7E15" w14:textId="77777777" w:rsidR="00F22CCC" w:rsidRPr="00F22CCC" w:rsidRDefault="00F22CCC" w:rsidP="000772C5">
      <w:pPr>
        <w:pStyle w:val="Heading2"/>
        <w:rPr>
          <w:lang w:eastAsia="en-AU"/>
        </w:rPr>
      </w:pPr>
      <w:r w:rsidRPr="00F22CCC">
        <w:rPr>
          <w:lang w:eastAsia="en-AU"/>
        </w:rPr>
        <w:t>Ordering of the linking rules</w:t>
      </w:r>
    </w:p>
    <w:p w14:paraId="00A3BC8E" w14:textId="77777777" w:rsidR="003026B8" w:rsidRDefault="003026B8" w:rsidP="00F349E5">
      <w:pPr>
        <w:rPr>
          <w:szCs w:val="20"/>
          <w:lang w:eastAsia="en-AU"/>
        </w:rPr>
      </w:pPr>
    </w:p>
    <w:p w14:paraId="24854DA8" w14:textId="70CBD925" w:rsidR="000E0A26" w:rsidRDefault="003A1CA0" w:rsidP="00F349E5">
      <w:pPr>
        <w:rPr>
          <w:szCs w:val="20"/>
          <w:lang w:eastAsia="en-AU"/>
        </w:rPr>
      </w:pPr>
      <w:r>
        <w:rPr>
          <w:szCs w:val="20"/>
          <w:lang w:eastAsia="en-AU"/>
        </w:rPr>
        <w:t>Hybrid and branch mismatch arrangements can arise in several ways and, it is possible, that more than one of the hybrid mismatch rules in subpart FH may apply to a taxpayer</w:t>
      </w:r>
      <w:r w:rsidR="002D5667">
        <w:rPr>
          <w:szCs w:val="20"/>
          <w:lang w:eastAsia="en-AU"/>
        </w:rPr>
        <w:t xml:space="preserve">. </w:t>
      </w:r>
      <w:r>
        <w:rPr>
          <w:szCs w:val="20"/>
          <w:lang w:eastAsia="en-AU"/>
        </w:rPr>
        <w:t>Section</w:t>
      </w:r>
      <w:r w:rsidR="000D26C0">
        <w:rPr>
          <w:szCs w:val="20"/>
          <w:lang w:eastAsia="en-AU"/>
        </w:rPr>
        <w:t> </w:t>
      </w:r>
      <w:r>
        <w:rPr>
          <w:szCs w:val="20"/>
          <w:lang w:eastAsia="en-AU"/>
        </w:rPr>
        <w:t>FH</w:t>
      </w:r>
      <w:r w:rsidR="000D26C0">
        <w:rPr>
          <w:szCs w:val="20"/>
          <w:lang w:eastAsia="en-AU"/>
        </w:rPr>
        <w:t> </w:t>
      </w:r>
      <w:r>
        <w:rPr>
          <w:szCs w:val="20"/>
          <w:lang w:eastAsia="en-AU"/>
        </w:rPr>
        <w:t>2 outlines the order in which the hybrid mismatch rules in sections FH 3 to FH 11 should be applied by a taxpayer.</w:t>
      </w:r>
    </w:p>
    <w:p w14:paraId="2900F71B" w14:textId="77777777" w:rsidR="000E0A26" w:rsidRDefault="000E0A26" w:rsidP="00F349E5">
      <w:pPr>
        <w:rPr>
          <w:szCs w:val="20"/>
          <w:lang w:eastAsia="en-AU"/>
        </w:rPr>
      </w:pPr>
    </w:p>
    <w:p w14:paraId="25149A51" w14:textId="298787AE" w:rsidR="00BF0A9A" w:rsidRDefault="00662A47" w:rsidP="00F349E5">
      <w:pPr>
        <w:rPr>
          <w:szCs w:val="20"/>
          <w:lang w:eastAsia="en-AU"/>
        </w:rPr>
      </w:pPr>
      <w:r>
        <w:rPr>
          <w:szCs w:val="20"/>
          <w:lang w:eastAsia="en-AU"/>
        </w:rPr>
        <w:t>Subs</w:t>
      </w:r>
      <w:r w:rsidR="000E0A26">
        <w:rPr>
          <w:szCs w:val="20"/>
          <w:lang w:eastAsia="en-AU"/>
        </w:rPr>
        <w:t>ection FH 2(1) outlines the order of the application of the s</w:t>
      </w:r>
      <w:r w:rsidR="00BF0A9A">
        <w:rPr>
          <w:szCs w:val="20"/>
          <w:lang w:eastAsia="en-AU"/>
        </w:rPr>
        <w:t>ections that disallow deduction</w:t>
      </w:r>
      <w:r w:rsidR="00E06A80">
        <w:rPr>
          <w:szCs w:val="20"/>
          <w:lang w:eastAsia="en-AU"/>
        </w:rPr>
        <w:t>. These are set out in table 2.</w:t>
      </w:r>
    </w:p>
    <w:p w14:paraId="4F6CEADD" w14:textId="77777777" w:rsidR="00E06A80" w:rsidRDefault="00E06A80" w:rsidP="00F349E5">
      <w:pPr>
        <w:rPr>
          <w:szCs w:val="20"/>
          <w:lang w:eastAsia="en-AU"/>
        </w:rPr>
      </w:pPr>
    </w:p>
    <w:p w14:paraId="2270ECE8" w14:textId="447B1357" w:rsidR="00BF0A9A" w:rsidRPr="00E06A80" w:rsidRDefault="000D26C0" w:rsidP="000D26C0">
      <w:pPr>
        <w:spacing w:after="120"/>
        <w:jc w:val="left"/>
        <w:rPr>
          <w:b/>
          <w:sz w:val="22"/>
          <w:szCs w:val="22"/>
          <w:lang w:eastAsia="en-AU"/>
        </w:rPr>
      </w:pPr>
      <w:r>
        <w:rPr>
          <w:b/>
          <w:sz w:val="22"/>
          <w:szCs w:val="22"/>
          <w:lang w:eastAsia="en-AU"/>
        </w:rPr>
        <w:t xml:space="preserve">Table 2:  </w:t>
      </w:r>
      <w:r w:rsidR="00E06A80" w:rsidRPr="00E06A80">
        <w:rPr>
          <w:b/>
          <w:sz w:val="22"/>
          <w:szCs w:val="22"/>
          <w:lang w:eastAsia="en-AU"/>
        </w:rPr>
        <w:t xml:space="preserve">The order </w:t>
      </w:r>
      <w:r>
        <w:rPr>
          <w:b/>
          <w:sz w:val="22"/>
          <w:szCs w:val="22"/>
          <w:lang w:eastAsia="en-AU"/>
        </w:rPr>
        <w:t>for applying the rules that disallow deduction</w:t>
      </w:r>
    </w:p>
    <w:tbl>
      <w:tblPr>
        <w:tblStyle w:val="TableGrid"/>
        <w:tblW w:w="0" w:type="auto"/>
        <w:tblInd w:w="108" w:type="dxa"/>
        <w:tblLook w:val="04A0" w:firstRow="1" w:lastRow="0" w:firstColumn="1" w:lastColumn="0" w:noHBand="0" w:noVBand="1"/>
      </w:tblPr>
      <w:tblGrid>
        <w:gridCol w:w="993"/>
        <w:gridCol w:w="1275"/>
        <w:gridCol w:w="6910"/>
      </w:tblGrid>
      <w:tr w:rsidR="00E06A80" w:rsidRPr="00E06A80" w14:paraId="7AB8438D" w14:textId="77777777" w:rsidTr="000D26C0">
        <w:tc>
          <w:tcPr>
            <w:tcW w:w="993" w:type="dxa"/>
          </w:tcPr>
          <w:p w14:paraId="05B6342B" w14:textId="50DC973C" w:rsidR="00E06A80" w:rsidRPr="00E06A80" w:rsidRDefault="00E06A80" w:rsidP="00E06A80">
            <w:pPr>
              <w:spacing w:before="80" w:after="80"/>
              <w:jc w:val="center"/>
              <w:rPr>
                <w:b/>
                <w:sz w:val="20"/>
                <w:szCs w:val="20"/>
                <w:lang w:eastAsia="en-AU"/>
              </w:rPr>
            </w:pPr>
            <w:r w:rsidRPr="00E06A80">
              <w:rPr>
                <w:b/>
                <w:sz w:val="20"/>
                <w:szCs w:val="20"/>
                <w:lang w:eastAsia="en-AU"/>
              </w:rPr>
              <w:t>Order</w:t>
            </w:r>
          </w:p>
        </w:tc>
        <w:tc>
          <w:tcPr>
            <w:tcW w:w="1275" w:type="dxa"/>
          </w:tcPr>
          <w:p w14:paraId="39FC14B6" w14:textId="39A2B14A" w:rsidR="00E06A80" w:rsidRPr="00E06A80" w:rsidRDefault="00E06A80" w:rsidP="00E06A80">
            <w:pPr>
              <w:spacing w:before="80" w:after="80"/>
              <w:rPr>
                <w:b/>
                <w:sz w:val="20"/>
                <w:szCs w:val="20"/>
                <w:lang w:eastAsia="en-AU"/>
              </w:rPr>
            </w:pPr>
            <w:r w:rsidRPr="00E06A80">
              <w:rPr>
                <w:b/>
                <w:sz w:val="20"/>
                <w:szCs w:val="20"/>
                <w:lang w:eastAsia="en-AU"/>
              </w:rPr>
              <w:t>Section</w:t>
            </w:r>
          </w:p>
        </w:tc>
        <w:tc>
          <w:tcPr>
            <w:tcW w:w="6910" w:type="dxa"/>
          </w:tcPr>
          <w:p w14:paraId="16B361B6" w14:textId="3379AFBA" w:rsidR="00E06A80" w:rsidRPr="00E06A80" w:rsidRDefault="000D26C0" w:rsidP="00E06A80">
            <w:pPr>
              <w:spacing w:before="80" w:after="80"/>
              <w:rPr>
                <w:b/>
                <w:sz w:val="20"/>
                <w:szCs w:val="20"/>
                <w:lang w:eastAsia="en-AU"/>
              </w:rPr>
            </w:pPr>
            <w:r>
              <w:rPr>
                <w:b/>
                <w:sz w:val="20"/>
                <w:szCs w:val="20"/>
                <w:lang w:eastAsia="en-AU"/>
              </w:rPr>
              <w:t>R</w:t>
            </w:r>
            <w:r w:rsidR="00E06A80" w:rsidRPr="00E06A80">
              <w:rPr>
                <w:b/>
                <w:sz w:val="20"/>
                <w:szCs w:val="20"/>
                <w:lang w:eastAsia="en-AU"/>
              </w:rPr>
              <w:t>ule</w:t>
            </w:r>
          </w:p>
        </w:tc>
      </w:tr>
      <w:tr w:rsidR="00BF0A9A" w14:paraId="48801128" w14:textId="77777777" w:rsidTr="000D26C0">
        <w:tc>
          <w:tcPr>
            <w:tcW w:w="993" w:type="dxa"/>
          </w:tcPr>
          <w:p w14:paraId="613D4972" w14:textId="77777777" w:rsidR="00BF0A9A" w:rsidRPr="00E06A80" w:rsidRDefault="00F412CC" w:rsidP="00E06A80">
            <w:pPr>
              <w:spacing w:before="60" w:after="60"/>
              <w:jc w:val="center"/>
              <w:rPr>
                <w:sz w:val="20"/>
                <w:szCs w:val="20"/>
                <w:lang w:eastAsia="en-AU"/>
              </w:rPr>
            </w:pPr>
            <w:r w:rsidRPr="00E06A80">
              <w:rPr>
                <w:sz w:val="20"/>
                <w:szCs w:val="20"/>
                <w:lang w:eastAsia="en-AU"/>
              </w:rPr>
              <w:t>1</w:t>
            </w:r>
          </w:p>
        </w:tc>
        <w:tc>
          <w:tcPr>
            <w:tcW w:w="1275" w:type="dxa"/>
          </w:tcPr>
          <w:p w14:paraId="073795B6" w14:textId="31782B37" w:rsidR="00BF0A9A" w:rsidRPr="00E06A80" w:rsidRDefault="00BF0A9A" w:rsidP="000D26C0">
            <w:pPr>
              <w:spacing w:before="60" w:after="60"/>
              <w:ind w:left="175"/>
              <w:rPr>
                <w:sz w:val="20"/>
                <w:szCs w:val="20"/>
                <w:lang w:eastAsia="en-AU"/>
              </w:rPr>
            </w:pPr>
            <w:r w:rsidRPr="00E06A80">
              <w:rPr>
                <w:sz w:val="20"/>
                <w:szCs w:val="20"/>
                <w:lang w:eastAsia="en-AU"/>
              </w:rPr>
              <w:t>FH 3</w:t>
            </w:r>
          </w:p>
        </w:tc>
        <w:tc>
          <w:tcPr>
            <w:tcW w:w="6910" w:type="dxa"/>
          </w:tcPr>
          <w:p w14:paraId="7A772980" w14:textId="301B6C91" w:rsidR="00BF0A9A" w:rsidRPr="00E06A80" w:rsidRDefault="00BF0A9A" w:rsidP="00E06A80">
            <w:pPr>
              <w:spacing w:before="60" w:after="60"/>
              <w:rPr>
                <w:sz w:val="20"/>
                <w:szCs w:val="20"/>
                <w:lang w:eastAsia="en-AU"/>
              </w:rPr>
            </w:pPr>
            <w:r w:rsidRPr="00E06A80">
              <w:rPr>
                <w:sz w:val="20"/>
                <w:szCs w:val="20"/>
                <w:lang w:eastAsia="en-AU"/>
              </w:rPr>
              <w:t>Hybrid financial instrument mismatch – primary rule</w:t>
            </w:r>
          </w:p>
        </w:tc>
      </w:tr>
      <w:tr w:rsidR="00BF0A9A" w14:paraId="2B41864F" w14:textId="77777777" w:rsidTr="000D26C0">
        <w:tc>
          <w:tcPr>
            <w:tcW w:w="993" w:type="dxa"/>
          </w:tcPr>
          <w:p w14:paraId="741EF688" w14:textId="77777777" w:rsidR="00BF0A9A" w:rsidRPr="00E06A80" w:rsidRDefault="00F412CC" w:rsidP="00E06A80">
            <w:pPr>
              <w:spacing w:before="60" w:after="60"/>
              <w:jc w:val="center"/>
              <w:rPr>
                <w:sz w:val="20"/>
                <w:szCs w:val="20"/>
                <w:lang w:eastAsia="en-AU"/>
              </w:rPr>
            </w:pPr>
            <w:r w:rsidRPr="00E06A80">
              <w:rPr>
                <w:sz w:val="20"/>
                <w:szCs w:val="20"/>
                <w:lang w:eastAsia="en-AU"/>
              </w:rPr>
              <w:t>2</w:t>
            </w:r>
          </w:p>
        </w:tc>
        <w:tc>
          <w:tcPr>
            <w:tcW w:w="1275" w:type="dxa"/>
          </w:tcPr>
          <w:p w14:paraId="62E4B8CA" w14:textId="47B35F99" w:rsidR="00BF0A9A" w:rsidRPr="00E06A80" w:rsidRDefault="00BF0A9A" w:rsidP="000D26C0">
            <w:pPr>
              <w:spacing w:before="60" w:after="60"/>
              <w:ind w:left="175"/>
              <w:rPr>
                <w:sz w:val="20"/>
                <w:szCs w:val="20"/>
                <w:lang w:eastAsia="en-AU"/>
              </w:rPr>
            </w:pPr>
            <w:r w:rsidRPr="00E06A80">
              <w:rPr>
                <w:sz w:val="20"/>
                <w:szCs w:val="20"/>
                <w:lang w:eastAsia="en-AU"/>
              </w:rPr>
              <w:t>FH 5</w:t>
            </w:r>
          </w:p>
        </w:tc>
        <w:tc>
          <w:tcPr>
            <w:tcW w:w="6910" w:type="dxa"/>
          </w:tcPr>
          <w:p w14:paraId="7B92011C" w14:textId="56525889" w:rsidR="00BF0A9A" w:rsidRPr="00E06A80" w:rsidRDefault="00BF0A9A" w:rsidP="00E06A80">
            <w:pPr>
              <w:spacing w:before="60" w:after="60"/>
              <w:rPr>
                <w:sz w:val="20"/>
                <w:szCs w:val="20"/>
                <w:lang w:eastAsia="en-AU"/>
              </w:rPr>
            </w:pPr>
            <w:r w:rsidRPr="00E06A80">
              <w:rPr>
                <w:sz w:val="20"/>
                <w:szCs w:val="20"/>
                <w:lang w:eastAsia="en-AU"/>
              </w:rPr>
              <w:t>Disregarded hybrid payment mismatch – primary rule</w:t>
            </w:r>
          </w:p>
        </w:tc>
      </w:tr>
      <w:tr w:rsidR="00BF0A9A" w14:paraId="521CD0E7" w14:textId="77777777" w:rsidTr="000D26C0">
        <w:tc>
          <w:tcPr>
            <w:tcW w:w="993" w:type="dxa"/>
          </w:tcPr>
          <w:p w14:paraId="0BCA5759" w14:textId="77777777" w:rsidR="00BF0A9A" w:rsidRPr="00E06A80" w:rsidRDefault="00F412CC" w:rsidP="00E06A80">
            <w:pPr>
              <w:spacing w:before="60" w:after="60"/>
              <w:jc w:val="center"/>
              <w:rPr>
                <w:sz w:val="20"/>
                <w:szCs w:val="20"/>
                <w:lang w:eastAsia="en-AU"/>
              </w:rPr>
            </w:pPr>
            <w:r w:rsidRPr="00E06A80">
              <w:rPr>
                <w:sz w:val="20"/>
                <w:szCs w:val="20"/>
                <w:lang w:eastAsia="en-AU"/>
              </w:rPr>
              <w:t>3</w:t>
            </w:r>
          </w:p>
        </w:tc>
        <w:tc>
          <w:tcPr>
            <w:tcW w:w="1275" w:type="dxa"/>
          </w:tcPr>
          <w:p w14:paraId="6C85B238" w14:textId="787B1093" w:rsidR="00BF0A9A" w:rsidRPr="00E06A80" w:rsidRDefault="00BF0A9A" w:rsidP="000D26C0">
            <w:pPr>
              <w:spacing w:before="60" w:after="60"/>
              <w:ind w:left="175"/>
              <w:rPr>
                <w:sz w:val="20"/>
                <w:szCs w:val="20"/>
                <w:lang w:eastAsia="en-AU"/>
              </w:rPr>
            </w:pPr>
            <w:r w:rsidRPr="00E06A80">
              <w:rPr>
                <w:sz w:val="20"/>
                <w:szCs w:val="20"/>
                <w:lang w:eastAsia="en-AU"/>
              </w:rPr>
              <w:t>FH 7</w:t>
            </w:r>
          </w:p>
        </w:tc>
        <w:tc>
          <w:tcPr>
            <w:tcW w:w="6910" w:type="dxa"/>
          </w:tcPr>
          <w:p w14:paraId="6012F3B8" w14:textId="77777777" w:rsidR="00BF0A9A" w:rsidRPr="00E06A80" w:rsidRDefault="00F412CC" w:rsidP="00E06A80">
            <w:pPr>
              <w:spacing w:before="60" w:after="60"/>
              <w:rPr>
                <w:sz w:val="20"/>
                <w:szCs w:val="20"/>
                <w:lang w:eastAsia="en-AU"/>
              </w:rPr>
            </w:pPr>
            <w:r w:rsidRPr="00E06A80">
              <w:rPr>
                <w:sz w:val="20"/>
                <w:szCs w:val="20"/>
                <w:lang w:eastAsia="en-AU"/>
              </w:rPr>
              <w:t>Payments made to a reverse hybrid</w:t>
            </w:r>
          </w:p>
        </w:tc>
      </w:tr>
      <w:tr w:rsidR="00BF0A9A" w14:paraId="047683A2" w14:textId="77777777" w:rsidTr="000D26C0">
        <w:tc>
          <w:tcPr>
            <w:tcW w:w="993" w:type="dxa"/>
          </w:tcPr>
          <w:p w14:paraId="36871FCF" w14:textId="77777777" w:rsidR="00BF0A9A" w:rsidRPr="00E06A80" w:rsidRDefault="00F412CC" w:rsidP="00E06A80">
            <w:pPr>
              <w:spacing w:before="60" w:after="60"/>
              <w:jc w:val="center"/>
              <w:rPr>
                <w:sz w:val="20"/>
                <w:szCs w:val="20"/>
                <w:lang w:eastAsia="en-AU"/>
              </w:rPr>
            </w:pPr>
            <w:r w:rsidRPr="00E06A80">
              <w:rPr>
                <w:sz w:val="20"/>
                <w:szCs w:val="20"/>
                <w:lang w:eastAsia="en-AU"/>
              </w:rPr>
              <w:t>4</w:t>
            </w:r>
          </w:p>
        </w:tc>
        <w:tc>
          <w:tcPr>
            <w:tcW w:w="1275" w:type="dxa"/>
          </w:tcPr>
          <w:p w14:paraId="78DC25A2" w14:textId="7685E3D5" w:rsidR="00BF0A9A" w:rsidRPr="00E06A80" w:rsidRDefault="00BF0A9A" w:rsidP="000D26C0">
            <w:pPr>
              <w:spacing w:before="60" w:after="60"/>
              <w:ind w:left="175"/>
              <w:rPr>
                <w:sz w:val="20"/>
                <w:szCs w:val="20"/>
                <w:lang w:eastAsia="en-AU"/>
              </w:rPr>
            </w:pPr>
            <w:r w:rsidRPr="00E06A80">
              <w:rPr>
                <w:sz w:val="20"/>
                <w:szCs w:val="20"/>
                <w:lang w:eastAsia="en-AU"/>
              </w:rPr>
              <w:t>FH 11</w:t>
            </w:r>
          </w:p>
        </w:tc>
        <w:tc>
          <w:tcPr>
            <w:tcW w:w="6910" w:type="dxa"/>
          </w:tcPr>
          <w:p w14:paraId="309CA519" w14:textId="2720D217" w:rsidR="00BF0A9A" w:rsidRPr="00E06A80" w:rsidRDefault="00F412CC" w:rsidP="00E06A80">
            <w:pPr>
              <w:spacing w:before="60" w:after="60"/>
              <w:rPr>
                <w:sz w:val="20"/>
                <w:szCs w:val="20"/>
                <w:lang w:eastAsia="en-AU"/>
              </w:rPr>
            </w:pPr>
            <w:r w:rsidRPr="00E06A80">
              <w:rPr>
                <w:sz w:val="20"/>
                <w:szCs w:val="20"/>
                <w:lang w:eastAsia="en-AU"/>
              </w:rPr>
              <w:t>Imported mismatch</w:t>
            </w:r>
          </w:p>
        </w:tc>
      </w:tr>
      <w:tr w:rsidR="00BF0A9A" w14:paraId="1D523160" w14:textId="77777777" w:rsidTr="000D26C0">
        <w:tc>
          <w:tcPr>
            <w:tcW w:w="993" w:type="dxa"/>
          </w:tcPr>
          <w:p w14:paraId="51A47F45" w14:textId="77777777" w:rsidR="00BF0A9A" w:rsidRPr="00E06A80" w:rsidRDefault="00F412CC" w:rsidP="00E06A80">
            <w:pPr>
              <w:spacing w:before="60" w:after="60"/>
              <w:jc w:val="center"/>
              <w:rPr>
                <w:sz w:val="20"/>
                <w:szCs w:val="20"/>
                <w:lang w:eastAsia="en-AU"/>
              </w:rPr>
            </w:pPr>
            <w:r w:rsidRPr="00E06A80">
              <w:rPr>
                <w:sz w:val="20"/>
                <w:szCs w:val="20"/>
                <w:lang w:eastAsia="en-AU"/>
              </w:rPr>
              <w:t>5</w:t>
            </w:r>
          </w:p>
        </w:tc>
        <w:tc>
          <w:tcPr>
            <w:tcW w:w="1275" w:type="dxa"/>
          </w:tcPr>
          <w:p w14:paraId="2EB3545B" w14:textId="220E43FB" w:rsidR="00BF0A9A" w:rsidRPr="00E06A80" w:rsidRDefault="00BF0A9A" w:rsidP="000D26C0">
            <w:pPr>
              <w:spacing w:before="60" w:after="60"/>
              <w:ind w:left="175"/>
              <w:rPr>
                <w:sz w:val="20"/>
                <w:szCs w:val="20"/>
                <w:lang w:eastAsia="en-AU"/>
              </w:rPr>
            </w:pPr>
            <w:r w:rsidRPr="00E06A80">
              <w:rPr>
                <w:sz w:val="20"/>
                <w:szCs w:val="20"/>
                <w:lang w:eastAsia="en-AU"/>
              </w:rPr>
              <w:t>FH 8</w:t>
            </w:r>
          </w:p>
        </w:tc>
        <w:tc>
          <w:tcPr>
            <w:tcW w:w="6910" w:type="dxa"/>
          </w:tcPr>
          <w:p w14:paraId="30B7FC2E" w14:textId="77777777" w:rsidR="00BF0A9A" w:rsidRPr="00E06A80" w:rsidRDefault="00053C27" w:rsidP="00E06A80">
            <w:pPr>
              <w:spacing w:before="60" w:after="60"/>
              <w:rPr>
                <w:sz w:val="20"/>
                <w:szCs w:val="20"/>
                <w:lang w:eastAsia="en-AU"/>
              </w:rPr>
            </w:pPr>
            <w:r w:rsidRPr="00E06A80">
              <w:rPr>
                <w:sz w:val="20"/>
                <w:szCs w:val="20"/>
                <w:lang w:eastAsia="en-AU"/>
              </w:rPr>
              <w:t xml:space="preserve">Deductible payment made by a hybrid </w:t>
            </w:r>
            <w:r w:rsidR="004D40F8" w:rsidRPr="00E06A80">
              <w:rPr>
                <w:sz w:val="20"/>
                <w:szCs w:val="20"/>
                <w:lang w:eastAsia="en-AU"/>
              </w:rPr>
              <w:t xml:space="preserve">entity </w:t>
            </w:r>
            <w:r w:rsidRPr="00E06A80">
              <w:rPr>
                <w:sz w:val="20"/>
                <w:szCs w:val="20"/>
                <w:lang w:eastAsia="en-AU"/>
              </w:rPr>
              <w:t>mismatch – primary rule</w:t>
            </w:r>
          </w:p>
        </w:tc>
      </w:tr>
      <w:tr w:rsidR="00BF0A9A" w14:paraId="498A1AB3" w14:textId="77777777" w:rsidTr="000D26C0">
        <w:tc>
          <w:tcPr>
            <w:tcW w:w="993" w:type="dxa"/>
          </w:tcPr>
          <w:p w14:paraId="753D0058" w14:textId="77777777" w:rsidR="00BF0A9A" w:rsidRPr="00E06A80" w:rsidRDefault="00F412CC" w:rsidP="00E06A80">
            <w:pPr>
              <w:spacing w:before="60" w:after="60"/>
              <w:jc w:val="center"/>
              <w:rPr>
                <w:sz w:val="20"/>
                <w:szCs w:val="20"/>
                <w:lang w:eastAsia="en-AU"/>
              </w:rPr>
            </w:pPr>
            <w:r w:rsidRPr="00E06A80">
              <w:rPr>
                <w:sz w:val="20"/>
                <w:szCs w:val="20"/>
                <w:lang w:eastAsia="en-AU"/>
              </w:rPr>
              <w:t>6</w:t>
            </w:r>
          </w:p>
        </w:tc>
        <w:tc>
          <w:tcPr>
            <w:tcW w:w="1275" w:type="dxa"/>
          </w:tcPr>
          <w:p w14:paraId="40433351" w14:textId="2C852CB5" w:rsidR="00BF0A9A" w:rsidRPr="00E06A80" w:rsidRDefault="00BF0A9A" w:rsidP="000D26C0">
            <w:pPr>
              <w:spacing w:before="60" w:after="60"/>
              <w:ind w:left="175"/>
              <w:rPr>
                <w:sz w:val="20"/>
                <w:szCs w:val="20"/>
                <w:lang w:eastAsia="en-AU"/>
              </w:rPr>
            </w:pPr>
            <w:r w:rsidRPr="00E06A80">
              <w:rPr>
                <w:sz w:val="20"/>
                <w:szCs w:val="20"/>
                <w:lang w:eastAsia="en-AU"/>
              </w:rPr>
              <w:t>FH 9</w:t>
            </w:r>
          </w:p>
        </w:tc>
        <w:tc>
          <w:tcPr>
            <w:tcW w:w="6910" w:type="dxa"/>
          </w:tcPr>
          <w:p w14:paraId="6D14944C" w14:textId="77777777" w:rsidR="00BF0A9A" w:rsidRPr="00E06A80" w:rsidRDefault="00053C27" w:rsidP="00E06A80">
            <w:pPr>
              <w:spacing w:before="60" w:after="60"/>
              <w:rPr>
                <w:sz w:val="20"/>
                <w:szCs w:val="20"/>
                <w:lang w:eastAsia="en-AU"/>
              </w:rPr>
            </w:pPr>
            <w:r w:rsidRPr="00E06A80">
              <w:rPr>
                <w:sz w:val="20"/>
                <w:szCs w:val="20"/>
                <w:lang w:eastAsia="en-AU"/>
              </w:rPr>
              <w:t xml:space="preserve">Deductible payment made by a hybrid </w:t>
            </w:r>
            <w:r w:rsidR="004D40F8" w:rsidRPr="00E06A80">
              <w:rPr>
                <w:sz w:val="20"/>
                <w:szCs w:val="20"/>
                <w:lang w:eastAsia="en-AU"/>
              </w:rPr>
              <w:t xml:space="preserve">entity </w:t>
            </w:r>
            <w:r w:rsidRPr="00E06A80">
              <w:rPr>
                <w:sz w:val="20"/>
                <w:szCs w:val="20"/>
                <w:lang w:eastAsia="en-AU"/>
              </w:rPr>
              <w:t>mismatch – defensive rule</w:t>
            </w:r>
          </w:p>
        </w:tc>
      </w:tr>
      <w:tr w:rsidR="00BF0A9A" w14:paraId="1A304603" w14:textId="77777777" w:rsidTr="000D26C0">
        <w:tc>
          <w:tcPr>
            <w:tcW w:w="993" w:type="dxa"/>
          </w:tcPr>
          <w:p w14:paraId="522F1EDE" w14:textId="77777777" w:rsidR="00BF0A9A" w:rsidRPr="00E06A80" w:rsidRDefault="00F412CC" w:rsidP="00E06A80">
            <w:pPr>
              <w:spacing w:before="60" w:after="60"/>
              <w:jc w:val="center"/>
              <w:rPr>
                <w:sz w:val="20"/>
                <w:szCs w:val="20"/>
                <w:lang w:eastAsia="en-AU"/>
              </w:rPr>
            </w:pPr>
            <w:r w:rsidRPr="00E06A80">
              <w:rPr>
                <w:sz w:val="20"/>
                <w:szCs w:val="20"/>
                <w:lang w:eastAsia="en-AU"/>
              </w:rPr>
              <w:t>7</w:t>
            </w:r>
          </w:p>
        </w:tc>
        <w:tc>
          <w:tcPr>
            <w:tcW w:w="1275" w:type="dxa"/>
          </w:tcPr>
          <w:p w14:paraId="74BFFC51" w14:textId="65D9D7CA" w:rsidR="00BF0A9A" w:rsidRPr="00E06A80" w:rsidRDefault="00BF0A9A" w:rsidP="000D26C0">
            <w:pPr>
              <w:spacing w:before="60" w:after="60"/>
              <w:ind w:left="175"/>
              <w:rPr>
                <w:sz w:val="20"/>
                <w:szCs w:val="20"/>
                <w:lang w:eastAsia="en-AU"/>
              </w:rPr>
            </w:pPr>
            <w:r w:rsidRPr="00E06A80">
              <w:rPr>
                <w:sz w:val="20"/>
                <w:szCs w:val="20"/>
                <w:lang w:eastAsia="en-AU"/>
              </w:rPr>
              <w:t>FH 10</w:t>
            </w:r>
          </w:p>
        </w:tc>
        <w:tc>
          <w:tcPr>
            <w:tcW w:w="6910" w:type="dxa"/>
          </w:tcPr>
          <w:p w14:paraId="043FAF2F" w14:textId="01A29C49" w:rsidR="00BF0A9A" w:rsidRPr="00E06A80" w:rsidRDefault="00F412CC" w:rsidP="00E06A80">
            <w:pPr>
              <w:spacing w:before="60" w:after="60"/>
              <w:rPr>
                <w:sz w:val="20"/>
                <w:szCs w:val="20"/>
                <w:lang w:eastAsia="en-AU"/>
              </w:rPr>
            </w:pPr>
            <w:r w:rsidRPr="00E06A80">
              <w:rPr>
                <w:sz w:val="20"/>
                <w:szCs w:val="20"/>
                <w:lang w:eastAsia="en-AU"/>
              </w:rPr>
              <w:t>Deductible payment made by dual resident payer</w:t>
            </w:r>
            <w:r w:rsidR="00053C27" w:rsidRPr="00E06A80">
              <w:rPr>
                <w:sz w:val="20"/>
                <w:szCs w:val="20"/>
                <w:lang w:eastAsia="en-AU"/>
              </w:rPr>
              <w:t xml:space="preserve"> mismatch</w:t>
            </w:r>
          </w:p>
        </w:tc>
      </w:tr>
    </w:tbl>
    <w:p w14:paraId="48FAB3CF" w14:textId="77777777" w:rsidR="000E0A26" w:rsidRDefault="000E0A26" w:rsidP="00F349E5">
      <w:pPr>
        <w:rPr>
          <w:szCs w:val="20"/>
          <w:lang w:eastAsia="en-AU"/>
        </w:rPr>
      </w:pPr>
    </w:p>
    <w:p w14:paraId="54D0FA6B" w14:textId="124BDDBA" w:rsidR="003A1CA0" w:rsidRDefault="00662A47" w:rsidP="00F349E5">
      <w:pPr>
        <w:rPr>
          <w:szCs w:val="20"/>
          <w:lang w:eastAsia="en-AU"/>
        </w:rPr>
      </w:pPr>
      <w:r>
        <w:rPr>
          <w:szCs w:val="20"/>
          <w:lang w:eastAsia="en-AU"/>
        </w:rPr>
        <w:t>Subs</w:t>
      </w:r>
      <w:r w:rsidR="000E0A26">
        <w:rPr>
          <w:szCs w:val="20"/>
          <w:lang w:eastAsia="en-AU"/>
        </w:rPr>
        <w:t>ection FH 2(2) outlines the order of the application of the sections that treat receipts as assessable income.</w:t>
      </w:r>
      <w:r w:rsidR="00E06A80">
        <w:rPr>
          <w:szCs w:val="20"/>
          <w:lang w:eastAsia="en-AU"/>
        </w:rPr>
        <w:t xml:space="preserve"> These are set out in table 3.</w:t>
      </w:r>
    </w:p>
    <w:p w14:paraId="0ABA9DFA" w14:textId="77777777" w:rsidR="00E06A80" w:rsidRDefault="00E06A80" w:rsidP="00F349E5">
      <w:pPr>
        <w:rPr>
          <w:szCs w:val="20"/>
          <w:lang w:eastAsia="en-AU"/>
        </w:rPr>
      </w:pPr>
    </w:p>
    <w:p w14:paraId="7023BC20" w14:textId="2A5DC279" w:rsidR="003A1CA0" w:rsidRPr="00E06A80" w:rsidRDefault="00E06A80" w:rsidP="000D26C0">
      <w:pPr>
        <w:spacing w:after="120"/>
        <w:jc w:val="left"/>
        <w:rPr>
          <w:b/>
          <w:sz w:val="22"/>
          <w:szCs w:val="22"/>
          <w:lang w:eastAsia="en-AU"/>
        </w:rPr>
      </w:pPr>
      <w:r w:rsidRPr="00E06A80">
        <w:rPr>
          <w:b/>
          <w:sz w:val="22"/>
          <w:szCs w:val="22"/>
          <w:lang w:eastAsia="en-AU"/>
        </w:rPr>
        <w:t>Table</w:t>
      </w:r>
      <w:r w:rsidR="000D26C0">
        <w:rPr>
          <w:b/>
          <w:sz w:val="22"/>
          <w:szCs w:val="22"/>
          <w:lang w:eastAsia="en-AU"/>
        </w:rPr>
        <w:t xml:space="preserve"> 3:  </w:t>
      </w:r>
      <w:r w:rsidRPr="00E06A80">
        <w:rPr>
          <w:b/>
          <w:sz w:val="22"/>
          <w:szCs w:val="22"/>
          <w:lang w:eastAsia="en-AU"/>
        </w:rPr>
        <w:t xml:space="preserve">The order </w:t>
      </w:r>
      <w:r w:rsidR="000D26C0">
        <w:rPr>
          <w:b/>
          <w:sz w:val="22"/>
          <w:szCs w:val="22"/>
          <w:lang w:eastAsia="en-AU"/>
        </w:rPr>
        <w:t>for applying the rules that treat receipts as assessable income</w:t>
      </w:r>
    </w:p>
    <w:tbl>
      <w:tblPr>
        <w:tblStyle w:val="TableGrid"/>
        <w:tblW w:w="0" w:type="auto"/>
        <w:tblInd w:w="108" w:type="dxa"/>
        <w:tblLook w:val="04A0" w:firstRow="1" w:lastRow="0" w:firstColumn="1" w:lastColumn="0" w:noHBand="0" w:noVBand="1"/>
      </w:tblPr>
      <w:tblGrid>
        <w:gridCol w:w="993"/>
        <w:gridCol w:w="1275"/>
        <w:gridCol w:w="6910"/>
      </w:tblGrid>
      <w:tr w:rsidR="00E06A80" w:rsidRPr="00E06A80" w14:paraId="2F4B1317" w14:textId="77777777" w:rsidTr="000D26C0">
        <w:tc>
          <w:tcPr>
            <w:tcW w:w="993" w:type="dxa"/>
          </w:tcPr>
          <w:p w14:paraId="7AB85073" w14:textId="77777777" w:rsidR="00E06A80" w:rsidRPr="00E06A80" w:rsidRDefault="00E06A80" w:rsidP="00E06A80">
            <w:pPr>
              <w:spacing w:before="80" w:after="80"/>
              <w:jc w:val="center"/>
              <w:rPr>
                <w:b/>
                <w:sz w:val="20"/>
                <w:szCs w:val="20"/>
                <w:lang w:eastAsia="en-AU"/>
              </w:rPr>
            </w:pPr>
            <w:r w:rsidRPr="00E06A80">
              <w:rPr>
                <w:b/>
                <w:sz w:val="20"/>
                <w:szCs w:val="20"/>
                <w:lang w:eastAsia="en-AU"/>
              </w:rPr>
              <w:t>Order</w:t>
            </w:r>
          </w:p>
        </w:tc>
        <w:tc>
          <w:tcPr>
            <w:tcW w:w="1275" w:type="dxa"/>
          </w:tcPr>
          <w:p w14:paraId="0BF34876" w14:textId="77777777" w:rsidR="00E06A80" w:rsidRPr="00E06A80" w:rsidRDefault="00E06A80" w:rsidP="000D26C0">
            <w:pPr>
              <w:spacing w:before="80" w:after="80"/>
              <w:jc w:val="left"/>
              <w:rPr>
                <w:b/>
                <w:sz w:val="20"/>
                <w:szCs w:val="20"/>
                <w:lang w:eastAsia="en-AU"/>
              </w:rPr>
            </w:pPr>
            <w:r w:rsidRPr="00E06A80">
              <w:rPr>
                <w:b/>
                <w:sz w:val="20"/>
                <w:szCs w:val="20"/>
                <w:lang w:eastAsia="en-AU"/>
              </w:rPr>
              <w:t>Section</w:t>
            </w:r>
          </w:p>
        </w:tc>
        <w:tc>
          <w:tcPr>
            <w:tcW w:w="6910" w:type="dxa"/>
          </w:tcPr>
          <w:p w14:paraId="0F2F93F0" w14:textId="0686983B" w:rsidR="00E06A80" w:rsidRPr="00E06A80" w:rsidRDefault="000D26C0" w:rsidP="000D26C0">
            <w:pPr>
              <w:spacing w:before="80" w:after="80"/>
              <w:jc w:val="left"/>
              <w:rPr>
                <w:b/>
                <w:sz w:val="20"/>
                <w:szCs w:val="20"/>
                <w:lang w:eastAsia="en-AU"/>
              </w:rPr>
            </w:pPr>
            <w:r>
              <w:rPr>
                <w:b/>
                <w:sz w:val="20"/>
                <w:szCs w:val="20"/>
                <w:lang w:eastAsia="en-AU"/>
              </w:rPr>
              <w:t>R</w:t>
            </w:r>
            <w:r w:rsidR="00E06A80" w:rsidRPr="00E06A80">
              <w:rPr>
                <w:b/>
                <w:sz w:val="20"/>
                <w:szCs w:val="20"/>
                <w:lang w:eastAsia="en-AU"/>
              </w:rPr>
              <w:t>ule</w:t>
            </w:r>
          </w:p>
        </w:tc>
      </w:tr>
      <w:tr w:rsidR="00053C27" w:rsidRPr="00E06A80" w14:paraId="0B69C4B5" w14:textId="77777777" w:rsidTr="000D26C0">
        <w:tc>
          <w:tcPr>
            <w:tcW w:w="993" w:type="dxa"/>
          </w:tcPr>
          <w:p w14:paraId="25F50EFD" w14:textId="77777777" w:rsidR="00053C27" w:rsidRPr="00E06A80" w:rsidRDefault="00053C27" w:rsidP="00E06A80">
            <w:pPr>
              <w:spacing w:before="60" w:after="60"/>
              <w:jc w:val="center"/>
              <w:rPr>
                <w:sz w:val="20"/>
                <w:szCs w:val="20"/>
                <w:lang w:eastAsia="en-AU"/>
              </w:rPr>
            </w:pPr>
            <w:r w:rsidRPr="00E06A80">
              <w:rPr>
                <w:sz w:val="20"/>
                <w:szCs w:val="20"/>
                <w:lang w:eastAsia="en-AU"/>
              </w:rPr>
              <w:t>1</w:t>
            </w:r>
          </w:p>
        </w:tc>
        <w:tc>
          <w:tcPr>
            <w:tcW w:w="1275" w:type="dxa"/>
          </w:tcPr>
          <w:p w14:paraId="454CC106" w14:textId="5E574E22" w:rsidR="00053C27" w:rsidRPr="00E06A80" w:rsidRDefault="00053C27" w:rsidP="000D26C0">
            <w:pPr>
              <w:spacing w:before="60" w:after="60"/>
              <w:ind w:left="175"/>
              <w:rPr>
                <w:sz w:val="20"/>
                <w:szCs w:val="20"/>
                <w:lang w:eastAsia="en-AU"/>
              </w:rPr>
            </w:pPr>
            <w:r w:rsidRPr="00E06A80">
              <w:rPr>
                <w:sz w:val="20"/>
                <w:szCs w:val="20"/>
                <w:lang w:eastAsia="en-AU"/>
              </w:rPr>
              <w:t>FH 4</w:t>
            </w:r>
          </w:p>
        </w:tc>
        <w:tc>
          <w:tcPr>
            <w:tcW w:w="6910" w:type="dxa"/>
          </w:tcPr>
          <w:p w14:paraId="2C95D71A" w14:textId="77777777" w:rsidR="00053C27" w:rsidRPr="00E06A80" w:rsidRDefault="00053C27" w:rsidP="000D26C0">
            <w:pPr>
              <w:spacing w:before="60" w:after="60"/>
              <w:jc w:val="left"/>
              <w:rPr>
                <w:sz w:val="20"/>
                <w:szCs w:val="20"/>
                <w:lang w:eastAsia="en-AU"/>
              </w:rPr>
            </w:pPr>
            <w:r w:rsidRPr="00E06A80">
              <w:rPr>
                <w:sz w:val="20"/>
                <w:szCs w:val="20"/>
                <w:lang w:eastAsia="en-AU"/>
              </w:rPr>
              <w:t>Hybrid financial instrument mismatch – defensive rule</w:t>
            </w:r>
          </w:p>
        </w:tc>
      </w:tr>
      <w:tr w:rsidR="00053C27" w:rsidRPr="00E06A80" w14:paraId="594378E5" w14:textId="77777777" w:rsidTr="000D26C0">
        <w:tc>
          <w:tcPr>
            <w:tcW w:w="993" w:type="dxa"/>
          </w:tcPr>
          <w:p w14:paraId="73AC196F" w14:textId="77777777" w:rsidR="00053C27" w:rsidRPr="00E06A80" w:rsidRDefault="00053C27" w:rsidP="00E06A80">
            <w:pPr>
              <w:spacing w:before="60" w:after="60"/>
              <w:jc w:val="center"/>
              <w:rPr>
                <w:sz w:val="20"/>
                <w:szCs w:val="20"/>
                <w:lang w:eastAsia="en-AU"/>
              </w:rPr>
            </w:pPr>
            <w:r w:rsidRPr="00E06A80">
              <w:rPr>
                <w:sz w:val="20"/>
                <w:szCs w:val="20"/>
                <w:lang w:eastAsia="en-AU"/>
              </w:rPr>
              <w:t>2</w:t>
            </w:r>
          </w:p>
        </w:tc>
        <w:tc>
          <w:tcPr>
            <w:tcW w:w="1275" w:type="dxa"/>
          </w:tcPr>
          <w:p w14:paraId="2C58B4AE" w14:textId="518A79B3" w:rsidR="00053C27" w:rsidRPr="00E06A80" w:rsidRDefault="00053C27" w:rsidP="000D26C0">
            <w:pPr>
              <w:spacing w:before="60" w:after="60"/>
              <w:ind w:left="175"/>
              <w:rPr>
                <w:sz w:val="20"/>
                <w:szCs w:val="20"/>
                <w:lang w:eastAsia="en-AU"/>
              </w:rPr>
            </w:pPr>
            <w:r w:rsidRPr="00E06A80">
              <w:rPr>
                <w:sz w:val="20"/>
                <w:szCs w:val="20"/>
                <w:lang w:eastAsia="en-AU"/>
              </w:rPr>
              <w:t>FH 6</w:t>
            </w:r>
          </w:p>
        </w:tc>
        <w:tc>
          <w:tcPr>
            <w:tcW w:w="6910" w:type="dxa"/>
          </w:tcPr>
          <w:p w14:paraId="62184CB4" w14:textId="20088352" w:rsidR="00053C27" w:rsidRPr="00E06A80" w:rsidRDefault="00053C27" w:rsidP="000D26C0">
            <w:pPr>
              <w:spacing w:before="60" w:after="60"/>
              <w:jc w:val="left"/>
              <w:rPr>
                <w:sz w:val="20"/>
                <w:szCs w:val="20"/>
                <w:lang w:eastAsia="en-AU"/>
              </w:rPr>
            </w:pPr>
            <w:r w:rsidRPr="00E06A80">
              <w:rPr>
                <w:sz w:val="20"/>
                <w:szCs w:val="20"/>
                <w:lang w:eastAsia="en-AU"/>
              </w:rPr>
              <w:t>Disregarded hybrid payment mismatch – defensive rule</w:t>
            </w:r>
          </w:p>
        </w:tc>
      </w:tr>
    </w:tbl>
    <w:p w14:paraId="0C81CB6D" w14:textId="77777777" w:rsidR="003A1CA0" w:rsidRDefault="003A1CA0" w:rsidP="00F349E5">
      <w:pPr>
        <w:rPr>
          <w:szCs w:val="20"/>
          <w:lang w:eastAsia="en-AU"/>
        </w:rPr>
      </w:pPr>
    </w:p>
    <w:p w14:paraId="6A65CD17" w14:textId="77777777" w:rsidR="0006054C" w:rsidRPr="0006054C" w:rsidRDefault="0006054C" w:rsidP="00F349E5">
      <w:pPr>
        <w:rPr>
          <w:szCs w:val="20"/>
          <w:lang w:eastAsia="en-AU"/>
        </w:rPr>
      </w:pPr>
    </w:p>
    <w:p w14:paraId="5E79E9E8" w14:textId="77777777" w:rsidR="0006054C" w:rsidRDefault="00D935E6" w:rsidP="000772C5">
      <w:pPr>
        <w:pStyle w:val="Heading2"/>
        <w:rPr>
          <w:lang w:eastAsia="en-AU"/>
        </w:rPr>
      </w:pPr>
      <w:r>
        <w:rPr>
          <w:lang w:eastAsia="en-AU"/>
        </w:rPr>
        <w:t xml:space="preserve">Elections </w:t>
      </w:r>
    </w:p>
    <w:p w14:paraId="060F6178" w14:textId="77777777" w:rsidR="00D935E6" w:rsidRPr="000772C5" w:rsidRDefault="00D935E6" w:rsidP="00F349E5">
      <w:pPr>
        <w:rPr>
          <w:szCs w:val="20"/>
          <w:lang w:eastAsia="en-AU"/>
        </w:rPr>
      </w:pPr>
    </w:p>
    <w:p w14:paraId="171AF98F" w14:textId="1E89BFA7" w:rsidR="006B6A41" w:rsidRDefault="003A1CA0" w:rsidP="00F349E5">
      <w:pPr>
        <w:rPr>
          <w:szCs w:val="20"/>
          <w:lang w:eastAsia="en-AU"/>
        </w:rPr>
      </w:pPr>
      <w:r>
        <w:rPr>
          <w:szCs w:val="20"/>
          <w:lang w:eastAsia="en-AU"/>
        </w:rPr>
        <w:t>Section</w:t>
      </w:r>
      <w:r w:rsidR="00A44F31">
        <w:rPr>
          <w:szCs w:val="20"/>
          <w:lang w:eastAsia="en-AU"/>
        </w:rPr>
        <w:t>s</w:t>
      </w:r>
      <w:r w:rsidR="00CC49EC">
        <w:rPr>
          <w:szCs w:val="20"/>
          <w:lang w:eastAsia="en-AU"/>
        </w:rPr>
        <w:t xml:space="preserve"> FH</w:t>
      </w:r>
      <w:r w:rsidR="00F22CCC">
        <w:rPr>
          <w:szCs w:val="20"/>
          <w:lang w:eastAsia="en-AU"/>
        </w:rPr>
        <w:t xml:space="preserve"> 13 and </w:t>
      </w:r>
      <w:r w:rsidR="00A44F31">
        <w:rPr>
          <w:szCs w:val="20"/>
          <w:lang w:eastAsia="en-AU"/>
        </w:rPr>
        <w:t xml:space="preserve">FH </w:t>
      </w:r>
      <w:r w:rsidR="00F22CCC">
        <w:rPr>
          <w:szCs w:val="20"/>
          <w:lang w:eastAsia="en-AU"/>
        </w:rPr>
        <w:t>14 provide</w:t>
      </w:r>
      <w:r w:rsidR="00CC49EC">
        <w:rPr>
          <w:szCs w:val="20"/>
          <w:lang w:eastAsia="en-AU"/>
        </w:rPr>
        <w:t xml:space="preserve"> that, in some circumstances, taxpayers may opt out of the potential application of the hybrid and branch mismatch rules to some of their arrangements</w:t>
      </w:r>
      <w:r w:rsidR="002D5667">
        <w:rPr>
          <w:szCs w:val="20"/>
          <w:lang w:eastAsia="en-AU"/>
        </w:rPr>
        <w:t xml:space="preserve">. </w:t>
      </w:r>
      <w:r w:rsidR="0091475A">
        <w:rPr>
          <w:szCs w:val="20"/>
          <w:lang w:eastAsia="en-AU"/>
        </w:rPr>
        <w:t>In particular:</w:t>
      </w:r>
    </w:p>
    <w:p w14:paraId="00E4A8F0" w14:textId="77777777" w:rsidR="00F22CCC" w:rsidRDefault="00F22CCC" w:rsidP="00F349E5">
      <w:pPr>
        <w:rPr>
          <w:szCs w:val="20"/>
          <w:lang w:eastAsia="en-AU"/>
        </w:rPr>
      </w:pPr>
    </w:p>
    <w:p w14:paraId="5F31A553" w14:textId="2CD363A4" w:rsidR="006B6A41" w:rsidRDefault="00DA324C" w:rsidP="0091475A">
      <w:pPr>
        <w:pStyle w:val="Bullets"/>
      </w:pPr>
      <w:r>
        <w:t>For</w:t>
      </w:r>
      <w:r w:rsidR="00CC49EC">
        <w:t xml:space="preserve"> inbound hybrid financial instruments, the taxpayer may elect to treat the instrument as a share for New Zealand income tax purposes (section FH 13); and</w:t>
      </w:r>
    </w:p>
    <w:p w14:paraId="36A1C147" w14:textId="0ACEAD53" w:rsidR="00D321C6" w:rsidRPr="00CC49EC" w:rsidRDefault="00DA324C" w:rsidP="0091475A">
      <w:pPr>
        <w:pStyle w:val="Bullets"/>
        <w:spacing w:after="0"/>
      </w:pPr>
      <w:r>
        <w:lastRenderedPageBreak/>
        <w:t>For</w:t>
      </w:r>
      <w:r w:rsidR="00CC49EC">
        <w:t xml:space="preserve"> </w:t>
      </w:r>
      <w:r w:rsidR="00A44F31">
        <w:t xml:space="preserve">a </w:t>
      </w:r>
      <w:r w:rsidR="00CC49EC">
        <w:t>foreign hybrid entit</w:t>
      </w:r>
      <w:r w:rsidR="00753AED">
        <w:t>y</w:t>
      </w:r>
      <w:r w:rsidR="00753AED">
        <w:rPr>
          <w:rStyle w:val="FootnoteReference"/>
        </w:rPr>
        <w:footnoteReference w:id="3"/>
      </w:r>
      <w:r w:rsidR="00753AED">
        <w:t xml:space="preserve"> wholly-owned by a person on 6 December 2017 (the date of the introduction of the Bill)</w:t>
      </w:r>
      <w:r w:rsidR="00CC49EC">
        <w:t xml:space="preserve">, the </w:t>
      </w:r>
      <w:r w:rsidR="00753AED">
        <w:t>owner</w:t>
      </w:r>
      <w:r w:rsidR="00CC49EC">
        <w:t xml:space="preserve"> may irrevocably elect to treat the entity as a company for New Zealand income tax purposes</w:t>
      </w:r>
      <w:r w:rsidR="0050048D">
        <w:t xml:space="preserve"> (section FH 14)</w:t>
      </w:r>
      <w:r w:rsidR="002D5667">
        <w:t xml:space="preserve">. </w:t>
      </w:r>
      <w:r w:rsidR="00753AED">
        <w:t>This election must be made by the time the owner files their tax return for the first year in which the hybrid rules apply to the owner.</w:t>
      </w:r>
    </w:p>
    <w:p w14:paraId="7680910A" w14:textId="77777777" w:rsidR="00CC49EC" w:rsidRDefault="00CC49EC">
      <w:pPr>
        <w:jc w:val="left"/>
        <w:rPr>
          <w:b/>
          <w:caps/>
          <w:szCs w:val="20"/>
          <w:lang w:eastAsia="en-AU"/>
        </w:rPr>
      </w:pPr>
      <w:r>
        <w:rPr>
          <w:b/>
          <w:caps/>
          <w:szCs w:val="20"/>
          <w:lang w:eastAsia="en-AU"/>
        </w:rPr>
        <w:br w:type="page"/>
      </w:r>
    </w:p>
    <w:p w14:paraId="3D491B14" w14:textId="77777777" w:rsidR="00397E54" w:rsidRDefault="00D17D2E" w:rsidP="00397E54">
      <w:pPr>
        <w:pStyle w:val="Heading1"/>
        <w:rPr>
          <w:lang w:eastAsia="en-AU"/>
        </w:rPr>
      </w:pPr>
      <w:r>
        <w:rPr>
          <w:lang w:eastAsia="en-AU"/>
        </w:rPr>
        <w:lastRenderedPageBreak/>
        <w:t>Key definitions</w:t>
      </w:r>
    </w:p>
    <w:p w14:paraId="38A09E37" w14:textId="77777777" w:rsidR="00397E54" w:rsidRPr="0091475A" w:rsidRDefault="00397E54" w:rsidP="0091475A">
      <w:pPr>
        <w:rPr>
          <w:lang w:eastAsia="en-AU"/>
        </w:rPr>
      </w:pPr>
    </w:p>
    <w:p w14:paraId="04E2768E" w14:textId="77777777" w:rsidR="00EC6BC0" w:rsidRPr="00EC6BC0" w:rsidRDefault="002722D4" w:rsidP="00397E54">
      <w:pPr>
        <w:rPr>
          <w:b/>
          <w:i/>
          <w:szCs w:val="20"/>
          <w:lang w:eastAsia="en-AU"/>
        </w:rPr>
      </w:pPr>
      <w:r>
        <w:rPr>
          <w:b/>
          <w:i/>
          <w:szCs w:val="20"/>
          <w:lang w:eastAsia="en-AU"/>
        </w:rPr>
        <w:t>Section FH 15</w:t>
      </w:r>
    </w:p>
    <w:p w14:paraId="7EEADF81" w14:textId="77777777" w:rsidR="00EC6BC0" w:rsidRDefault="00EC6BC0" w:rsidP="00397E54">
      <w:pPr>
        <w:rPr>
          <w:szCs w:val="20"/>
          <w:lang w:eastAsia="en-AU"/>
        </w:rPr>
      </w:pPr>
    </w:p>
    <w:p w14:paraId="0AF44643" w14:textId="77777777" w:rsidR="0091475A" w:rsidRDefault="0091475A" w:rsidP="00397E54">
      <w:pPr>
        <w:rPr>
          <w:szCs w:val="20"/>
          <w:lang w:eastAsia="en-AU"/>
        </w:rPr>
      </w:pPr>
    </w:p>
    <w:p w14:paraId="138D415E" w14:textId="0352D1B2" w:rsidR="00EC6BC0" w:rsidRDefault="00397E54" w:rsidP="00397E54">
      <w:pPr>
        <w:rPr>
          <w:szCs w:val="20"/>
          <w:lang w:eastAsia="en-AU"/>
        </w:rPr>
      </w:pPr>
      <w:r>
        <w:rPr>
          <w:szCs w:val="20"/>
          <w:lang w:eastAsia="en-AU"/>
        </w:rPr>
        <w:t>The hybrid and branch mismatch rules introduce a number of new concepts to</w:t>
      </w:r>
      <w:r w:rsidR="00437664">
        <w:rPr>
          <w:szCs w:val="20"/>
          <w:lang w:eastAsia="en-AU"/>
        </w:rPr>
        <w:t xml:space="preserve"> the</w:t>
      </w:r>
      <w:r>
        <w:rPr>
          <w:szCs w:val="20"/>
          <w:lang w:eastAsia="en-AU"/>
        </w:rPr>
        <w:t xml:space="preserve"> New Zealand tax lexicon</w:t>
      </w:r>
      <w:r w:rsidR="002D5667">
        <w:rPr>
          <w:szCs w:val="20"/>
          <w:lang w:eastAsia="en-AU"/>
        </w:rPr>
        <w:t xml:space="preserve">. </w:t>
      </w:r>
      <w:r>
        <w:rPr>
          <w:szCs w:val="20"/>
          <w:lang w:eastAsia="en-AU"/>
        </w:rPr>
        <w:t xml:space="preserve">We outline the key definitions </w:t>
      </w:r>
      <w:r w:rsidR="0030676E">
        <w:rPr>
          <w:szCs w:val="20"/>
          <w:lang w:eastAsia="en-AU"/>
        </w:rPr>
        <w:t xml:space="preserve">that apply </w:t>
      </w:r>
      <w:r w:rsidR="00FE5A61">
        <w:rPr>
          <w:szCs w:val="20"/>
          <w:lang w:eastAsia="en-AU"/>
        </w:rPr>
        <w:t>broadly across the rules below.</w:t>
      </w:r>
    </w:p>
    <w:p w14:paraId="2D115D09" w14:textId="77777777" w:rsidR="00EC6BC0" w:rsidRDefault="00EC6BC0" w:rsidP="00397E54">
      <w:pPr>
        <w:rPr>
          <w:szCs w:val="20"/>
          <w:lang w:eastAsia="en-AU"/>
        </w:rPr>
      </w:pPr>
    </w:p>
    <w:p w14:paraId="0E2AEA5B" w14:textId="77777777" w:rsidR="00F915C2" w:rsidRDefault="00F915C2" w:rsidP="00397E54">
      <w:pPr>
        <w:rPr>
          <w:szCs w:val="20"/>
          <w:lang w:eastAsia="en-AU"/>
        </w:rPr>
      </w:pPr>
    </w:p>
    <w:p w14:paraId="1F6D4E7F" w14:textId="7596BC8B" w:rsidR="00B41FE7" w:rsidRPr="000D26C0" w:rsidRDefault="000D26C0" w:rsidP="000D26C0">
      <w:pPr>
        <w:pStyle w:val="Heading2"/>
      </w:pPr>
      <w:r w:rsidRPr="000D26C0">
        <w:t>Financial instrument, hybrid entities and deducting branches</w:t>
      </w:r>
    </w:p>
    <w:p w14:paraId="3F6922C5" w14:textId="77777777" w:rsidR="00B41FE7" w:rsidRDefault="00B41FE7" w:rsidP="00397E54">
      <w:pPr>
        <w:rPr>
          <w:szCs w:val="20"/>
          <w:lang w:eastAsia="en-AU"/>
        </w:rPr>
      </w:pPr>
    </w:p>
    <w:p w14:paraId="3F67C817" w14:textId="01EC3C4A" w:rsidR="00EC6BC0" w:rsidRPr="00925A3A" w:rsidRDefault="00EC6BC0" w:rsidP="000D26C0">
      <w:pPr>
        <w:pStyle w:val="Heading3"/>
      </w:pPr>
      <w:r w:rsidRPr="00925A3A">
        <w:t>Financial instrument</w:t>
      </w:r>
    </w:p>
    <w:p w14:paraId="0B74031C" w14:textId="77777777" w:rsidR="00EC6BC0" w:rsidRPr="00925A3A" w:rsidRDefault="00EC6BC0" w:rsidP="00EC6BC0">
      <w:pPr>
        <w:rPr>
          <w:szCs w:val="20"/>
          <w:lang w:eastAsia="en-AU"/>
        </w:rPr>
      </w:pPr>
    </w:p>
    <w:p w14:paraId="7CA7FA19" w14:textId="40F78E18" w:rsidR="00EC6BC0" w:rsidRPr="00925A3A" w:rsidRDefault="0044740B" w:rsidP="00EC6BC0">
      <w:pPr>
        <w:rPr>
          <w:szCs w:val="20"/>
          <w:lang w:eastAsia="en-AU"/>
        </w:rPr>
      </w:pPr>
      <w:r>
        <w:rPr>
          <w:szCs w:val="20"/>
          <w:lang w:eastAsia="en-AU"/>
        </w:rPr>
        <w:t>“Financial instrument” is defined in section FH 15</w:t>
      </w:r>
      <w:r w:rsidR="002D5667">
        <w:rPr>
          <w:szCs w:val="20"/>
          <w:lang w:eastAsia="en-AU"/>
        </w:rPr>
        <w:t xml:space="preserve">. </w:t>
      </w:r>
      <w:r w:rsidR="00753AED">
        <w:rPr>
          <w:szCs w:val="20"/>
          <w:lang w:eastAsia="en-AU"/>
        </w:rPr>
        <w:t>It</w:t>
      </w:r>
      <w:r>
        <w:rPr>
          <w:szCs w:val="20"/>
          <w:lang w:eastAsia="en-AU"/>
        </w:rPr>
        <w:t xml:space="preserve"> </w:t>
      </w:r>
      <w:r w:rsidR="00EC6BC0" w:rsidRPr="00925A3A">
        <w:rPr>
          <w:szCs w:val="20"/>
          <w:lang w:eastAsia="en-AU"/>
        </w:rPr>
        <w:t>i</w:t>
      </w:r>
      <w:r w:rsidR="002C4BDD">
        <w:rPr>
          <w:szCs w:val="20"/>
          <w:lang w:eastAsia="en-AU"/>
        </w:rPr>
        <w:t>s</w:t>
      </w:r>
      <w:r w:rsidR="00EC6BC0" w:rsidRPr="00925A3A">
        <w:rPr>
          <w:szCs w:val="20"/>
          <w:lang w:eastAsia="en-AU"/>
        </w:rPr>
        <w:t xml:space="preserve"> relevant for sections FH 3 and FH 4</w:t>
      </w:r>
      <w:r w:rsidR="00853696">
        <w:rPr>
          <w:szCs w:val="20"/>
          <w:lang w:eastAsia="en-AU"/>
        </w:rPr>
        <w:t xml:space="preserve"> (</w:t>
      </w:r>
      <w:r w:rsidR="009454AC">
        <w:rPr>
          <w:szCs w:val="20"/>
          <w:lang w:eastAsia="en-AU"/>
        </w:rPr>
        <w:t>and the borrower election</w:t>
      </w:r>
      <w:r w:rsidR="005502FE">
        <w:rPr>
          <w:szCs w:val="20"/>
          <w:lang w:eastAsia="en-AU"/>
        </w:rPr>
        <w:t xml:space="preserve"> to treat a hybrid financial instrument as a share</w:t>
      </w:r>
      <w:r w:rsidR="009454AC">
        <w:rPr>
          <w:szCs w:val="20"/>
          <w:lang w:eastAsia="en-AU"/>
        </w:rPr>
        <w:t xml:space="preserve"> in section FH 13</w:t>
      </w:r>
      <w:r w:rsidR="002D5667">
        <w:rPr>
          <w:szCs w:val="20"/>
          <w:lang w:eastAsia="en-AU"/>
        </w:rPr>
        <w:t xml:space="preserve">. </w:t>
      </w:r>
      <w:r w:rsidR="00DF4081">
        <w:rPr>
          <w:szCs w:val="20"/>
          <w:lang w:eastAsia="en-AU"/>
        </w:rPr>
        <w:t>The definition</w:t>
      </w:r>
      <w:r w:rsidR="00EC6BC0" w:rsidRPr="00925A3A">
        <w:rPr>
          <w:szCs w:val="20"/>
          <w:lang w:eastAsia="en-AU"/>
        </w:rPr>
        <w:t xml:space="preserve"> is intended to encompass</w:t>
      </w:r>
      <w:r w:rsidR="008409E3">
        <w:rPr>
          <w:szCs w:val="20"/>
          <w:lang w:eastAsia="en-AU"/>
        </w:rPr>
        <w:t xml:space="preserve"> all forms of debt and equity</w:t>
      </w:r>
      <w:r w:rsidR="002D5667">
        <w:rPr>
          <w:szCs w:val="20"/>
          <w:lang w:eastAsia="en-AU"/>
        </w:rPr>
        <w:t xml:space="preserve">. </w:t>
      </w:r>
      <w:r w:rsidR="00DF4081">
        <w:rPr>
          <w:szCs w:val="20"/>
          <w:lang w:eastAsia="en-AU"/>
        </w:rPr>
        <w:t>It</w:t>
      </w:r>
      <w:r w:rsidR="00EC6BC0" w:rsidRPr="00925A3A">
        <w:rPr>
          <w:szCs w:val="20"/>
          <w:lang w:eastAsia="en-AU"/>
        </w:rPr>
        <w:t xml:space="preserve"> builds on the </w:t>
      </w:r>
      <w:r w:rsidR="00753AED">
        <w:rPr>
          <w:szCs w:val="20"/>
          <w:lang w:eastAsia="en-AU"/>
        </w:rPr>
        <w:t xml:space="preserve">existing </w:t>
      </w:r>
      <w:r w:rsidR="00EC6BC0" w:rsidRPr="00925A3A">
        <w:rPr>
          <w:szCs w:val="20"/>
          <w:lang w:eastAsia="en-AU"/>
        </w:rPr>
        <w:t>financial arrangement definition, which is deliberately very broad</w:t>
      </w:r>
      <w:r w:rsidR="002D5667">
        <w:rPr>
          <w:szCs w:val="20"/>
          <w:lang w:eastAsia="en-AU"/>
        </w:rPr>
        <w:t xml:space="preserve">. </w:t>
      </w:r>
      <w:r w:rsidR="008409E3">
        <w:rPr>
          <w:szCs w:val="20"/>
          <w:lang w:eastAsia="en-AU"/>
        </w:rPr>
        <w:t>There are then a number of additions including for</w:t>
      </w:r>
      <w:r w:rsidR="00EC6BC0" w:rsidRPr="00925A3A">
        <w:rPr>
          <w:szCs w:val="20"/>
          <w:lang w:eastAsia="en-AU"/>
        </w:rPr>
        <w:t>:</w:t>
      </w:r>
    </w:p>
    <w:p w14:paraId="5332825F" w14:textId="77777777" w:rsidR="00EC6BC0" w:rsidRPr="00925A3A" w:rsidRDefault="00EC6BC0" w:rsidP="00EC6BC0">
      <w:pPr>
        <w:rPr>
          <w:szCs w:val="20"/>
          <w:lang w:eastAsia="en-AU"/>
        </w:rPr>
      </w:pPr>
    </w:p>
    <w:p w14:paraId="53C068ED" w14:textId="77777777" w:rsidR="00EC6BC0" w:rsidRPr="00925A3A" w:rsidRDefault="007D2426" w:rsidP="0091475A">
      <w:pPr>
        <w:pStyle w:val="Bullets"/>
      </w:pPr>
      <w:r>
        <w:t>s</w:t>
      </w:r>
      <w:r w:rsidR="00EC6BC0" w:rsidRPr="00925A3A">
        <w:t>hares</w:t>
      </w:r>
      <w:r>
        <w:t>;</w:t>
      </w:r>
      <w:r w:rsidR="00EC6BC0" w:rsidRPr="00925A3A">
        <w:t xml:space="preserve"> this inclusion may be of less significance</w:t>
      </w:r>
      <w:r w:rsidR="00DF4081">
        <w:t xml:space="preserve"> </w:t>
      </w:r>
      <w:r w:rsidR="00EC6BC0" w:rsidRPr="00925A3A">
        <w:t>given the deducti</w:t>
      </w:r>
      <w:r w:rsidR="008409E3">
        <w:t>ble foreign equity dividend exclusion in section CW 9</w:t>
      </w:r>
      <w:r w:rsidR="00EC6BC0" w:rsidRPr="00925A3A">
        <w:t>, but it would be odd to leave shares out of the definition;</w:t>
      </w:r>
    </w:p>
    <w:p w14:paraId="178633F3" w14:textId="5ED1A245" w:rsidR="00EC6BC0" w:rsidRDefault="00DF6E18" w:rsidP="0091475A">
      <w:pPr>
        <w:pStyle w:val="Bullets"/>
      </w:pPr>
      <w:r>
        <w:t xml:space="preserve">annuities: which are </w:t>
      </w:r>
      <w:r w:rsidR="00EC6BC0" w:rsidRPr="00925A3A">
        <w:t xml:space="preserve">excluded from the financial arrangement rules </w:t>
      </w:r>
      <w:r w:rsidR="007D2426">
        <w:t xml:space="preserve">only </w:t>
      </w:r>
      <w:r w:rsidR="00EC6BC0" w:rsidRPr="00925A3A">
        <w:t>because they are taxed under their own regime;</w:t>
      </w:r>
    </w:p>
    <w:p w14:paraId="1283C1AE" w14:textId="7CC562B9" w:rsidR="008409E3" w:rsidRPr="008409E3" w:rsidRDefault="00FE5A61" w:rsidP="0091475A">
      <w:pPr>
        <w:pStyle w:val="Bullets"/>
      </w:pPr>
      <w:r>
        <w:t>farm-out arrangements;</w:t>
      </w:r>
    </w:p>
    <w:p w14:paraId="63A9DFDD" w14:textId="6A700793" w:rsidR="00EC6BC0" w:rsidRDefault="00EC6BC0" w:rsidP="0091475A">
      <w:pPr>
        <w:pStyle w:val="Bullets"/>
      </w:pPr>
      <w:r w:rsidRPr="00925A3A">
        <w:t>share lending arrangements:</w:t>
      </w:r>
      <w:r w:rsidR="00B52067">
        <w:t xml:space="preserve"> </w:t>
      </w:r>
      <w:r w:rsidRPr="00925A3A">
        <w:t>share repurchase agreements (share repos), and share lending arrangements which do not meet the statutory definition</w:t>
      </w:r>
      <w:r w:rsidR="00DF6E18">
        <w:t xml:space="preserve"> </w:t>
      </w:r>
      <w:r w:rsidR="007D2426">
        <w:t xml:space="preserve">of a share lending arrangement </w:t>
      </w:r>
      <w:r w:rsidR="00DF6E18">
        <w:t>in section YA 1, are</w:t>
      </w:r>
      <w:r w:rsidRPr="00925A3A">
        <w:t xml:space="preserve"> financial arrangements</w:t>
      </w:r>
      <w:r w:rsidR="002D5667">
        <w:t xml:space="preserve">. </w:t>
      </w:r>
      <w:r w:rsidRPr="00925A3A">
        <w:t xml:space="preserve">Share lending arrangements which do meet the statutory definition are excluded from the financial </w:t>
      </w:r>
      <w:r w:rsidR="00DF6E18">
        <w:t xml:space="preserve">arrangement definition, but should be included as “financial instruments” </w:t>
      </w:r>
      <w:r w:rsidRPr="00925A3A">
        <w:t xml:space="preserve">for </w:t>
      </w:r>
      <w:r w:rsidR="00DF6E18">
        <w:t xml:space="preserve">the </w:t>
      </w:r>
      <w:r w:rsidRPr="00925A3A">
        <w:t xml:space="preserve">purposes of the hybrid </w:t>
      </w:r>
      <w:r w:rsidR="00DF6E18">
        <w:t xml:space="preserve">and branch mismatch </w:t>
      </w:r>
      <w:r w:rsidRPr="00925A3A">
        <w:t xml:space="preserve">rules, as they may be hybrid financial transfers, subject </w:t>
      </w:r>
      <w:r w:rsidR="008409E3">
        <w:t>to either sect</w:t>
      </w:r>
      <w:r w:rsidR="00FE5A61">
        <w:t>ions FH 3 or FH 4; and</w:t>
      </w:r>
    </w:p>
    <w:p w14:paraId="5B9A29A3" w14:textId="0AB41A1F" w:rsidR="008409E3" w:rsidRDefault="00DF6E18" w:rsidP="0091475A">
      <w:pPr>
        <w:pStyle w:val="Bullets"/>
        <w:spacing w:after="0"/>
      </w:pPr>
      <w:r>
        <w:t>loans in New Zealand currency described in section EW 5(10): these are interest-free, repayable on demand loan</w:t>
      </w:r>
      <w:r w:rsidR="007D2426">
        <w:t>s</w:t>
      </w:r>
      <w:r>
        <w:t xml:space="preserve"> that are excluded from the financial arrangement definition for the lender.</w:t>
      </w:r>
    </w:p>
    <w:p w14:paraId="54981991" w14:textId="77777777" w:rsidR="00F915C2" w:rsidRPr="00925A3A" w:rsidRDefault="00F915C2" w:rsidP="00EC6BC0">
      <w:pPr>
        <w:rPr>
          <w:szCs w:val="20"/>
          <w:lang w:eastAsia="en-AU"/>
        </w:rPr>
      </w:pPr>
    </w:p>
    <w:p w14:paraId="6A19AAB6" w14:textId="3A5ADE25" w:rsidR="00EC6BC0" w:rsidRPr="000D26C0" w:rsidRDefault="00EC6BC0" w:rsidP="000D26C0">
      <w:pPr>
        <w:pStyle w:val="Heading3"/>
      </w:pPr>
      <w:r w:rsidRPr="000D26C0">
        <w:t>Hybrid entity</w:t>
      </w:r>
    </w:p>
    <w:p w14:paraId="75B6FC8E" w14:textId="77777777" w:rsidR="00EC6BC0" w:rsidRPr="00925A3A" w:rsidRDefault="00EC6BC0" w:rsidP="00EC6BC0">
      <w:pPr>
        <w:rPr>
          <w:szCs w:val="20"/>
          <w:lang w:eastAsia="en-AU"/>
        </w:rPr>
      </w:pPr>
    </w:p>
    <w:p w14:paraId="0803B7C5" w14:textId="5CDAD958" w:rsidR="00E169CC" w:rsidRDefault="009454AC" w:rsidP="00EC6BC0">
      <w:pPr>
        <w:rPr>
          <w:szCs w:val="20"/>
          <w:lang w:eastAsia="en-AU"/>
        </w:rPr>
      </w:pPr>
      <w:r w:rsidRPr="00925A3A">
        <w:rPr>
          <w:szCs w:val="20"/>
          <w:lang w:eastAsia="en-AU"/>
        </w:rPr>
        <w:t>No entity is inherently a hybrid entity</w:t>
      </w:r>
      <w:r w:rsidR="002D5667">
        <w:rPr>
          <w:szCs w:val="20"/>
          <w:lang w:eastAsia="en-AU"/>
        </w:rPr>
        <w:t xml:space="preserve">. </w:t>
      </w:r>
      <w:r w:rsidRPr="00925A3A">
        <w:rPr>
          <w:szCs w:val="20"/>
          <w:lang w:eastAsia="en-AU"/>
        </w:rPr>
        <w:t xml:space="preserve">Hybridity exists only as a result of the inconsistent tax classification of the entity </w:t>
      </w:r>
      <w:r>
        <w:rPr>
          <w:szCs w:val="20"/>
          <w:lang w:eastAsia="en-AU"/>
        </w:rPr>
        <w:t xml:space="preserve">by two </w:t>
      </w:r>
      <w:r w:rsidR="007D2426">
        <w:rPr>
          <w:szCs w:val="20"/>
          <w:lang w:eastAsia="en-AU"/>
        </w:rPr>
        <w:t xml:space="preserve">countries’ </w:t>
      </w:r>
      <w:r>
        <w:rPr>
          <w:szCs w:val="20"/>
          <w:lang w:eastAsia="en-AU"/>
        </w:rPr>
        <w:t>tax systems</w:t>
      </w:r>
      <w:r w:rsidR="002D5667">
        <w:rPr>
          <w:szCs w:val="20"/>
          <w:lang w:eastAsia="en-AU"/>
        </w:rPr>
        <w:t xml:space="preserve">. </w:t>
      </w:r>
      <w:r w:rsidR="00E169CC">
        <w:rPr>
          <w:szCs w:val="20"/>
          <w:lang w:eastAsia="en-AU"/>
        </w:rPr>
        <w:t>This is reflected in the definition of a “hybrid entity” in section FH 15 which provides that i</w:t>
      </w:r>
      <w:r w:rsidR="005502FE">
        <w:rPr>
          <w:szCs w:val="20"/>
          <w:lang w:eastAsia="en-AU"/>
        </w:rPr>
        <w:t>t</w:t>
      </w:r>
      <w:r w:rsidR="00E169CC">
        <w:rPr>
          <w:szCs w:val="20"/>
          <w:lang w:eastAsia="en-AU"/>
        </w:rPr>
        <w:t xml:space="preserve"> means a person or other entity that is </w:t>
      </w:r>
      <w:r w:rsidR="00EC6BC0" w:rsidRPr="00925A3A">
        <w:rPr>
          <w:szCs w:val="20"/>
          <w:lang w:eastAsia="en-AU"/>
        </w:rPr>
        <w:t xml:space="preserve">recognised as a person subject to tax (that is, </w:t>
      </w:r>
      <w:r w:rsidR="007D2426">
        <w:rPr>
          <w:szCs w:val="20"/>
          <w:lang w:eastAsia="en-AU"/>
        </w:rPr>
        <w:t xml:space="preserve">is </w:t>
      </w:r>
      <w:r w:rsidR="00EC6BC0" w:rsidRPr="00925A3A">
        <w:rPr>
          <w:szCs w:val="20"/>
          <w:lang w:eastAsia="en-AU"/>
        </w:rPr>
        <w:t xml:space="preserve">taxed like a company) in a country that treats it as a tax resident, and not recognised as a person that is subject to tax (that is, </w:t>
      </w:r>
      <w:r w:rsidR="007D2426">
        <w:rPr>
          <w:szCs w:val="20"/>
          <w:lang w:eastAsia="en-AU"/>
        </w:rPr>
        <w:t xml:space="preserve">is </w:t>
      </w:r>
      <w:r w:rsidR="00EC6BC0" w:rsidRPr="00925A3A">
        <w:rPr>
          <w:szCs w:val="20"/>
          <w:lang w:eastAsia="en-AU"/>
        </w:rPr>
        <w:t>taxed like a partnership</w:t>
      </w:r>
      <w:r w:rsidR="00635501">
        <w:rPr>
          <w:szCs w:val="20"/>
          <w:lang w:eastAsia="en-AU"/>
        </w:rPr>
        <w:t xml:space="preserve"> or a branch</w:t>
      </w:r>
      <w:r w:rsidR="00EC6BC0" w:rsidRPr="00925A3A">
        <w:rPr>
          <w:szCs w:val="20"/>
          <w:lang w:eastAsia="en-AU"/>
        </w:rPr>
        <w:t>) in another country</w:t>
      </w:r>
      <w:r w:rsidR="002D5667">
        <w:rPr>
          <w:szCs w:val="20"/>
          <w:lang w:eastAsia="en-AU"/>
        </w:rPr>
        <w:t xml:space="preserve">. </w:t>
      </w:r>
      <w:r w:rsidR="00E169CC">
        <w:rPr>
          <w:szCs w:val="20"/>
          <w:lang w:eastAsia="en-AU"/>
        </w:rPr>
        <w:t xml:space="preserve">For example, a limited partnership may be taxed as a resident entity in the </w:t>
      </w:r>
      <w:r w:rsidR="007D2426">
        <w:rPr>
          <w:szCs w:val="20"/>
          <w:lang w:eastAsia="en-AU"/>
        </w:rPr>
        <w:t>country</w:t>
      </w:r>
      <w:r w:rsidR="00E169CC">
        <w:rPr>
          <w:szCs w:val="20"/>
          <w:lang w:eastAsia="en-AU"/>
        </w:rPr>
        <w:t xml:space="preserve"> in which it was incorporated, but taxed as a disregarded (or flow-through) entity in a partner (investor) </w:t>
      </w:r>
      <w:r w:rsidR="007D2426">
        <w:rPr>
          <w:szCs w:val="20"/>
          <w:lang w:eastAsia="en-AU"/>
        </w:rPr>
        <w:t>country</w:t>
      </w:r>
      <w:r w:rsidR="00E169CC">
        <w:rPr>
          <w:szCs w:val="20"/>
          <w:lang w:eastAsia="en-AU"/>
        </w:rPr>
        <w:t>.</w:t>
      </w:r>
    </w:p>
    <w:p w14:paraId="11ADAE80" w14:textId="77777777" w:rsidR="00E169CC" w:rsidRDefault="00E169CC" w:rsidP="00EC6BC0">
      <w:pPr>
        <w:rPr>
          <w:szCs w:val="20"/>
          <w:lang w:eastAsia="en-AU"/>
        </w:rPr>
      </w:pPr>
    </w:p>
    <w:p w14:paraId="4F0C253D" w14:textId="753D982C" w:rsidR="00EC6BC0" w:rsidRDefault="00EC6BC0" w:rsidP="00EC6BC0">
      <w:pPr>
        <w:rPr>
          <w:szCs w:val="20"/>
          <w:lang w:eastAsia="en-AU"/>
        </w:rPr>
      </w:pPr>
      <w:r w:rsidRPr="00925A3A">
        <w:rPr>
          <w:szCs w:val="20"/>
          <w:lang w:eastAsia="en-AU"/>
        </w:rPr>
        <w:t>The hyb</w:t>
      </w:r>
      <w:r w:rsidR="00E169CC">
        <w:rPr>
          <w:szCs w:val="20"/>
          <w:lang w:eastAsia="en-AU"/>
        </w:rPr>
        <w:t>rid entity definition i</w:t>
      </w:r>
      <w:r w:rsidR="002C4BDD">
        <w:rPr>
          <w:szCs w:val="20"/>
          <w:lang w:eastAsia="en-AU"/>
        </w:rPr>
        <w:t>s</w:t>
      </w:r>
      <w:r w:rsidR="00E169CC">
        <w:rPr>
          <w:szCs w:val="20"/>
          <w:lang w:eastAsia="en-AU"/>
        </w:rPr>
        <w:t xml:space="preserve"> relevant for</w:t>
      </w:r>
      <w:r w:rsidRPr="00925A3A">
        <w:rPr>
          <w:szCs w:val="20"/>
          <w:lang w:eastAsia="en-AU"/>
        </w:rPr>
        <w:t xml:space="preserve"> sections FH 8 and FH 9 </w:t>
      </w:r>
      <w:r w:rsidR="004D40F8" w:rsidRPr="00925A3A">
        <w:rPr>
          <w:szCs w:val="20"/>
          <w:lang w:eastAsia="en-AU"/>
        </w:rPr>
        <w:t xml:space="preserve">(primary and defensive rules applying to </w:t>
      </w:r>
      <w:r w:rsidR="005502FE">
        <w:rPr>
          <w:szCs w:val="20"/>
          <w:lang w:eastAsia="en-AU"/>
        </w:rPr>
        <w:t>payments resulting in double deductions</w:t>
      </w:r>
      <w:r w:rsidR="004D40F8">
        <w:rPr>
          <w:szCs w:val="20"/>
          <w:lang w:eastAsia="en-AU"/>
        </w:rPr>
        <w:t xml:space="preserve">) </w:t>
      </w:r>
      <w:r w:rsidRPr="00925A3A">
        <w:rPr>
          <w:szCs w:val="20"/>
          <w:lang w:eastAsia="en-AU"/>
        </w:rPr>
        <w:t xml:space="preserve">to help to define when those rules </w:t>
      </w:r>
      <w:r w:rsidR="00E169CC">
        <w:rPr>
          <w:szCs w:val="20"/>
          <w:lang w:eastAsia="en-AU"/>
        </w:rPr>
        <w:lastRenderedPageBreak/>
        <w:t>apply, and section FH 14 to define the kind of entity in respect of which an opaque election can be made</w:t>
      </w:r>
      <w:r w:rsidR="002D5667">
        <w:rPr>
          <w:szCs w:val="20"/>
          <w:lang w:eastAsia="en-AU"/>
        </w:rPr>
        <w:t xml:space="preserve">. </w:t>
      </w:r>
      <w:r w:rsidR="00E169CC">
        <w:rPr>
          <w:szCs w:val="20"/>
          <w:lang w:eastAsia="en-AU"/>
        </w:rPr>
        <w:t>The term is also used in sections FH 6</w:t>
      </w:r>
      <w:r w:rsidR="005A548C">
        <w:rPr>
          <w:szCs w:val="20"/>
          <w:lang w:eastAsia="en-AU"/>
        </w:rPr>
        <w:t xml:space="preserve"> (defensive rule </w:t>
      </w:r>
      <w:r w:rsidR="00C65D57">
        <w:rPr>
          <w:szCs w:val="20"/>
          <w:lang w:eastAsia="en-AU"/>
        </w:rPr>
        <w:t xml:space="preserve">for </w:t>
      </w:r>
      <w:r w:rsidR="005A548C">
        <w:rPr>
          <w:szCs w:val="20"/>
          <w:lang w:eastAsia="en-AU"/>
        </w:rPr>
        <w:t>disregarded hybrid payments</w:t>
      </w:r>
      <w:r w:rsidR="004D40F8">
        <w:rPr>
          <w:szCs w:val="20"/>
          <w:lang w:eastAsia="en-AU"/>
        </w:rPr>
        <w:t xml:space="preserve"> mismatches</w:t>
      </w:r>
      <w:r w:rsidR="005A548C">
        <w:rPr>
          <w:szCs w:val="20"/>
          <w:lang w:eastAsia="en-AU"/>
        </w:rPr>
        <w:t>)</w:t>
      </w:r>
      <w:r w:rsidR="00E169CC">
        <w:rPr>
          <w:szCs w:val="20"/>
          <w:lang w:eastAsia="en-AU"/>
        </w:rPr>
        <w:t xml:space="preserve"> and FH 12 (</w:t>
      </w:r>
      <w:r w:rsidR="005A548C">
        <w:rPr>
          <w:szCs w:val="20"/>
          <w:lang w:eastAsia="en-AU"/>
        </w:rPr>
        <w:t>which is concerned with surplus assessable income</w:t>
      </w:r>
      <w:r w:rsidR="00E169CC">
        <w:rPr>
          <w:szCs w:val="20"/>
          <w:lang w:eastAsia="en-AU"/>
        </w:rPr>
        <w:t>)</w:t>
      </w:r>
      <w:r w:rsidR="002D5667">
        <w:rPr>
          <w:szCs w:val="20"/>
          <w:lang w:eastAsia="en-AU"/>
        </w:rPr>
        <w:t xml:space="preserve">. </w:t>
      </w:r>
      <w:r w:rsidR="00635501">
        <w:rPr>
          <w:szCs w:val="20"/>
          <w:lang w:eastAsia="en-AU"/>
        </w:rPr>
        <w:t>Although the term is not used in sections FH 5 and FH 6, those sections will often apply to payments made by hybrid entities.</w:t>
      </w:r>
    </w:p>
    <w:p w14:paraId="583C28CF" w14:textId="77777777" w:rsidR="00F915C2" w:rsidRPr="00925A3A" w:rsidRDefault="00F915C2" w:rsidP="00EC6BC0">
      <w:pPr>
        <w:rPr>
          <w:szCs w:val="20"/>
          <w:lang w:eastAsia="en-AU"/>
        </w:rPr>
      </w:pPr>
    </w:p>
    <w:p w14:paraId="16F67760" w14:textId="2912547C" w:rsidR="00EC6BC0" w:rsidRPr="000D26C0" w:rsidRDefault="00EC6BC0" w:rsidP="000D26C0">
      <w:pPr>
        <w:pStyle w:val="Heading3"/>
      </w:pPr>
      <w:r w:rsidRPr="000D26C0">
        <w:t>Deducting branch</w:t>
      </w:r>
    </w:p>
    <w:p w14:paraId="084E601E" w14:textId="77777777" w:rsidR="00EC6BC0" w:rsidRDefault="00EC6BC0" w:rsidP="00397E54">
      <w:pPr>
        <w:rPr>
          <w:szCs w:val="20"/>
          <w:lang w:eastAsia="en-AU"/>
        </w:rPr>
      </w:pPr>
    </w:p>
    <w:p w14:paraId="41CA01E4" w14:textId="48E9FBE1" w:rsidR="00EC6BC0" w:rsidRDefault="002722D4" w:rsidP="00397E54">
      <w:pPr>
        <w:rPr>
          <w:szCs w:val="20"/>
          <w:lang w:eastAsia="en-AU"/>
        </w:rPr>
      </w:pPr>
      <w:r>
        <w:rPr>
          <w:szCs w:val="20"/>
          <w:lang w:eastAsia="en-AU"/>
        </w:rPr>
        <w:t>“Deducting branch” is defined in section FH 15</w:t>
      </w:r>
      <w:r w:rsidR="002D5667">
        <w:rPr>
          <w:szCs w:val="20"/>
          <w:lang w:eastAsia="en-AU"/>
        </w:rPr>
        <w:t xml:space="preserve">. </w:t>
      </w:r>
      <w:r w:rsidR="00C65D57">
        <w:rPr>
          <w:szCs w:val="20"/>
          <w:lang w:eastAsia="en-AU"/>
        </w:rPr>
        <w:t xml:space="preserve">It </w:t>
      </w:r>
      <w:r w:rsidR="00853696">
        <w:rPr>
          <w:szCs w:val="20"/>
          <w:lang w:eastAsia="en-AU"/>
        </w:rPr>
        <w:t xml:space="preserve">is relevant for </w:t>
      </w:r>
      <w:r w:rsidR="002126F9">
        <w:rPr>
          <w:szCs w:val="20"/>
          <w:lang w:eastAsia="en-AU"/>
        </w:rPr>
        <w:t>sections FH 5 and 6 (primary and defensive rules for disregarded</w:t>
      </w:r>
      <w:r w:rsidR="004D40F8">
        <w:rPr>
          <w:szCs w:val="20"/>
          <w:lang w:eastAsia="en-AU"/>
        </w:rPr>
        <w:t xml:space="preserve"> hybrid paym</w:t>
      </w:r>
      <w:r w:rsidR="00C7152E">
        <w:rPr>
          <w:szCs w:val="20"/>
          <w:lang w:eastAsia="en-AU"/>
        </w:rPr>
        <w:t>ent</w:t>
      </w:r>
      <w:r w:rsidR="004D40F8">
        <w:rPr>
          <w:szCs w:val="20"/>
          <w:lang w:eastAsia="en-AU"/>
        </w:rPr>
        <w:t xml:space="preserve"> mismatches), sections FH</w:t>
      </w:r>
      <w:r w:rsidR="0001110F">
        <w:rPr>
          <w:szCs w:val="20"/>
          <w:lang w:eastAsia="en-AU"/>
        </w:rPr>
        <w:t> </w:t>
      </w:r>
      <w:r w:rsidR="004D40F8">
        <w:rPr>
          <w:szCs w:val="20"/>
          <w:lang w:eastAsia="en-AU"/>
        </w:rPr>
        <w:t>8</w:t>
      </w:r>
      <w:r w:rsidR="0001110F">
        <w:rPr>
          <w:szCs w:val="20"/>
          <w:lang w:eastAsia="en-AU"/>
        </w:rPr>
        <w:t> and </w:t>
      </w:r>
      <w:r w:rsidR="004D40F8">
        <w:rPr>
          <w:szCs w:val="20"/>
          <w:lang w:eastAsia="en-AU"/>
        </w:rPr>
        <w:t xml:space="preserve">9 (primary and defensive </w:t>
      </w:r>
      <w:r w:rsidR="0046501F">
        <w:rPr>
          <w:szCs w:val="20"/>
          <w:lang w:eastAsia="en-AU"/>
        </w:rPr>
        <w:t xml:space="preserve">rules </w:t>
      </w:r>
      <w:r w:rsidR="00C7152E">
        <w:rPr>
          <w:szCs w:val="20"/>
          <w:lang w:eastAsia="en-AU"/>
        </w:rPr>
        <w:t xml:space="preserve">applying to </w:t>
      </w:r>
      <w:r w:rsidR="005502FE">
        <w:rPr>
          <w:szCs w:val="20"/>
          <w:lang w:eastAsia="en-AU"/>
        </w:rPr>
        <w:t>payments resulting in double deductions</w:t>
      </w:r>
      <w:r w:rsidR="00C7152E">
        <w:rPr>
          <w:szCs w:val="20"/>
          <w:lang w:eastAsia="en-AU"/>
        </w:rPr>
        <w:t>) and section FH 11 (imported mismatches).</w:t>
      </w:r>
    </w:p>
    <w:p w14:paraId="7DB75AFF" w14:textId="77777777" w:rsidR="00EC6BC0" w:rsidRDefault="00EC6BC0" w:rsidP="00397E54">
      <w:pPr>
        <w:rPr>
          <w:szCs w:val="20"/>
          <w:lang w:eastAsia="en-AU"/>
        </w:rPr>
      </w:pPr>
    </w:p>
    <w:p w14:paraId="7E2ADA4D" w14:textId="446405D7" w:rsidR="00EC6BC0" w:rsidRDefault="00973BB0" w:rsidP="00397E54">
      <w:pPr>
        <w:rPr>
          <w:szCs w:val="20"/>
          <w:lang w:eastAsia="en-AU"/>
        </w:rPr>
      </w:pPr>
      <w:r>
        <w:rPr>
          <w:szCs w:val="20"/>
          <w:lang w:eastAsia="en-AU"/>
        </w:rPr>
        <w:t xml:space="preserve">A </w:t>
      </w:r>
      <w:r w:rsidR="00B41FE7">
        <w:rPr>
          <w:szCs w:val="20"/>
          <w:lang w:eastAsia="en-AU"/>
        </w:rPr>
        <w:t xml:space="preserve">deducting branch </w:t>
      </w:r>
      <w:r>
        <w:rPr>
          <w:szCs w:val="20"/>
          <w:lang w:eastAsia="en-AU"/>
        </w:rPr>
        <w:t>is</w:t>
      </w:r>
      <w:r w:rsidR="00B41FE7">
        <w:rPr>
          <w:szCs w:val="20"/>
          <w:lang w:eastAsia="en-AU"/>
        </w:rPr>
        <w:t xml:space="preserve"> a branch, permanent establishment or other activity of a person in a country or territory </w:t>
      </w:r>
      <w:r w:rsidR="00A76BF8">
        <w:rPr>
          <w:szCs w:val="20"/>
          <w:lang w:eastAsia="en-AU"/>
        </w:rPr>
        <w:t>where the</w:t>
      </w:r>
      <w:r w:rsidR="00B41FE7">
        <w:rPr>
          <w:szCs w:val="20"/>
          <w:lang w:eastAsia="en-AU"/>
        </w:rPr>
        <w:t xml:space="preserve"> expenditure or loss attributed by the person to the branch i</w:t>
      </w:r>
      <w:r w:rsidR="00A76BF8">
        <w:rPr>
          <w:szCs w:val="20"/>
          <w:lang w:eastAsia="en-AU"/>
        </w:rPr>
        <w:t>s</w:t>
      </w:r>
      <w:r w:rsidR="00B41FE7">
        <w:rPr>
          <w:szCs w:val="20"/>
          <w:lang w:eastAsia="en-AU"/>
        </w:rPr>
        <w:t xml:space="preserve"> deductible (or gives rise to other tax relief) in that country or territory against income of the person</w:t>
      </w:r>
      <w:r w:rsidR="002D5667">
        <w:rPr>
          <w:szCs w:val="20"/>
          <w:lang w:eastAsia="en-AU"/>
        </w:rPr>
        <w:t xml:space="preserve">. </w:t>
      </w:r>
      <w:r w:rsidR="0095335F">
        <w:rPr>
          <w:szCs w:val="20"/>
          <w:lang w:eastAsia="en-AU"/>
        </w:rPr>
        <w:t>This include</w:t>
      </w:r>
      <w:r w:rsidR="00A76BF8">
        <w:rPr>
          <w:szCs w:val="20"/>
          <w:lang w:eastAsia="en-AU"/>
        </w:rPr>
        <w:t>s</w:t>
      </w:r>
      <w:r w:rsidR="0095335F">
        <w:rPr>
          <w:szCs w:val="20"/>
          <w:lang w:eastAsia="en-AU"/>
        </w:rPr>
        <w:t xml:space="preserve"> a deemed permanent establishment under the new rules in respect of permanent establishments</w:t>
      </w:r>
      <w:r w:rsidR="0046501F">
        <w:rPr>
          <w:szCs w:val="20"/>
          <w:lang w:eastAsia="en-AU"/>
        </w:rPr>
        <w:t>.</w:t>
      </w:r>
    </w:p>
    <w:p w14:paraId="4D05AAF1" w14:textId="77777777" w:rsidR="00F915C2" w:rsidRDefault="00F915C2" w:rsidP="00397E54">
      <w:pPr>
        <w:rPr>
          <w:szCs w:val="20"/>
          <w:lang w:eastAsia="en-AU"/>
        </w:rPr>
      </w:pPr>
    </w:p>
    <w:p w14:paraId="6D7BB9D6" w14:textId="40B12679" w:rsidR="0030676E" w:rsidRDefault="0030676E" w:rsidP="00397E54">
      <w:pPr>
        <w:rPr>
          <w:szCs w:val="20"/>
          <w:lang w:eastAsia="en-AU"/>
        </w:rPr>
      </w:pPr>
    </w:p>
    <w:p w14:paraId="3E954239" w14:textId="794DD806" w:rsidR="00B41FE7" w:rsidRPr="000D26C0" w:rsidRDefault="000D26C0" w:rsidP="000D26C0">
      <w:pPr>
        <w:pStyle w:val="Heading2"/>
      </w:pPr>
      <w:r w:rsidRPr="000D26C0">
        <w:t>Control groups, related parties and structured arrangements</w:t>
      </w:r>
    </w:p>
    <w:p w14:paraId="7F1A6BBB" w14:textId="77777777" w:rsidR="00B41FE7" w:rsidRDefault="00B41FE7" w:rsidP="00397E54">
      <w:pPr>
        <w:rPr>
          <w:szCs w:val="20"/>
          <w:lang w:eastAsia="en-AU"/>
        </w:rPr>
      </w:pPr>
    </w:p>
    <w:p w14:paraId="33A3DBC5" w14:textId="630BB11D" w:rsidR="00B1305F" w:rsidRDefault="00B1305F" w:rsidP="00397E54">
      <w:pPr>
        <w:rPr>
          <w:szCs w:val="20"/>
          <w:lang w:eastAsia="en-AU"/>
        </w:rPr>
      </w:pPr>
      <w:r>
        <w:rPr>
          <w:szCs w:val="20"/>
          <w:lang w:eastAsia="en-AU"/>
        </w:rPr>
        <w:t xml:space="preserve">The hybrid and branch mismatch rules generally apply when the mismatch is between related parties (broadly </w:t>
      </w:r>
      <w:r w:rsidR="00C53D74">
        <w:rPr>
          <w:szCs w:val="20"/>
          <w:lang w:eastAsia="en-AU"/>
        </w:rPr>
        <w:t>twenty five percent</w:t>
      </w:r>
      <w:r>
        <w:rPr>
          <w:szCs w:val="20"/>
          <w:lang w:eastAsia="en-AU"/>
        </w:rPr>
        <w:t xml:space="preserve"> common ownership) or control groups (broadly </w:t>
      </w:r>
      <w:r w:rsidR="00C53D74">
        <w:rPr>
          <w:szCs w:val="20"/>
          <w:lang w:eastAsia="en-AU"/>
        </w:rPr>
        <w:t>fifty percent</w:t>
      </w:r>
      <w:r>
        <w:rPr>
          <w:szCs w:val="20"/>
          <w:lang w:eastAsia="en-AU"/>
        </w:rPr>
        <w:t xml:space="preserve"> common ownership), or the mismatch </w:t>
      </w:r>
      <w:r w:rsidR="00635501">
        <w:rPr>
          <w:szCs w:val="20"/>
          <w:lang w:eastAsia="en-AU"/>
        </w:rPr>
        <w:t xml:space="preserve">arises from a payment </w:t>
      </w:r>
      <w:r w:rsidR="000A6F06">
        <w:rPr>
          <w:szCs w:val="20"/>
          <w:lang w:eastAsia="en-AU"/>
        </w:rPr>
        <w:t>under a</w:t>
      </w:r>
      <w:r>
        <w:rPr>
          <w:szCs w:val="20"/>
          <w:lang w:eastAsia="en-AU"/>
        </w:rPr>
        <w:t xml:space="preserve"> structured arrangement</w:t>
      </w:r>
      <w:r w:rsidR="002D5667">
        <w:rPr>
          <w:szCs w:val="20"/>
          <w:lang w:eastAsia="en-AU"/>
        </w:rPr>
        <w:t xml:space="preserve">. </w:t>
      </w:r>
      <w:r>
        <w:rPr>
          <w:szCs w:val="20"/>
          <w:lang w:eastAsia="en-AU"/>
        </w:rPr>
        <w:t>These terms are defined in section FH 15.</w:t>
      </w:r>
    </w:p>
    <w:p w14:paraId="2D6F57C4" w14:textId="77777777" w:rsidR="00F915C2" w:rsidRDefault="00F915C2" w:rsidP="00397E54">
      <w:pPr>
        <w:rPr>
          <w:szCs w:val="20"/>
          <w:lang w:eastAsia="en-AU"/>
        </w:rPr>
      </w:pPr>
    </w:p>
    <w:p w14:paraId="2386B7B9" w14:textId="77777777" w:rsidR="00B1305F" w:rsidRPr="000D26C0" w:rsidRDefault="00B1305F" w:rsidP="000D26C0">
      <w:pPr>
        <w:pStyle w:val="Heading3"/>
      </w:pPr>
      <w:r w:rsidRPr="000D26C0">
        <w:t>Related</w:t>
      </w:r>
    </w:p>
    <w:p w14:paraId="0242EC8F" w14:textId="77777777" w:rsidR="00B1305F" w:rsidRPr="00925A3A" w:rsidRDefault="00B1305F" w:rsidP="00B1305F">
      <w:pPr>
        <w:rPr>
          <w:szCs w:val="20"/>
          <w:lang w:eastAsia="en-AU"/>
        </w:rPr>
      </w:pPr>
    </w:p>
    <w:p w14:paraId="5C79CDD7" w14:textId="398777EF" w:rsidR="00ED1E3F" w:rsidRDefault="005478A3" w:rsidP="00B1305F">
      <w:pPr>
        <w:rPr>
          <w:szCs w:val="20"/>
          <w:lang w:eastAsia="en-AU"/>
        </w:rPr>
      </w:pPr>
      <w:r>
        <w:rPr>
          <w:szCs w:val="20"/>
          <w:lang w:eastAsia="en-AU"/>
        </w:rPr>
        <w:t>The</w:t>
      </w:r>
      <w:r w:rsidR="00B1305F" w:rsidRPr="00925A3A">
        <w:rPr>
          <w:szCs w:val="20"/>
          <w:lang w:eastAsia="en-AU"/>
        </w:rPr>
        <w:t xml:space="preserve"> definition </w:t>
      </w:r>
      <w:r>
        <w:rPr>
          <w:szCs w:val="20"/>
          <w:lang w:eastAsia="en-AU"/>
        </w:rPr>
        <w:t xml:space="preserve">of “related” </w:t>
      </w:r>
      <w:r w:rsidR="00B1305F" w:rsidRPr="00925A3A">
        <w:rPr>
          <w:szCs w:val="20"/>
          <w:lang w:eastAsia="en-AU"/>
        </w:rPr>
        <w:t>is important for sections FH 3 and FH 4</w:t>
      </w:r>
      <w:r>
        <w:rPr>
          <w:szCs w:val="20"/>
          <w:lang w:eastAsia="en-AU"/>
        </w:rPr>
        <w:t xml:space="preserve"> (primary and defensive rules applying to hybrid financial instrument mismatches)</w:t>
      </w:r>
      <w:r w:rsidR="002D5667">
        <w:rPr>
          <w:szCs w:val="20"/>
          <w:lang w:eastAsia="en-AU"/>
        </w:rPr>
        <w:t xml:space="preserve">. </w:t>
      </w:r>
      <w:r>
        <w:rPr>
          <w:szCs w:val="20"/>
          <w:lang w:eastAsia="en-AU"/>
        </w:rPr>
        <w:t>It is</w:t>
      </w:r>
      <w:r w:rsidR="00ED1E3F">
        <w:rPr>
          <w:szCs w:val="20"/>
          <w:lang w:eastAsia="en-AU"/>
        </w:rPr>
        <w:t xml:space="preserve"> also relevant to section FH 8 (primary rule applying to payments resulting in double deductions).</w:t>
      </w:r>
    </w:p>
    <w:p w14:paraId="47DA8B2C" w14:textId="77777777" w:rsidR="005478A3" w:rsidRDefault="005478A3" w:rsidP="00B1305F">
      <w:pPr>
        <w:rPr>
          <w:szCs w:val="20"/>
          <w:lang w:eastAsia="en-AU"/>
        </w:rPr>
      </w:pPr>
    </w:p>
    <w:p w14:paraId="2619EE34" w14:textId="77777777" w:rsidR="00B1305F" w:rsidRPr="00925A3A" w:rsidRDefault="006052B9" w:rsidP="00B1305F">
      <w:pPr>
        <w:rPr>
          <w:szCs w:val="20"/>
          <w:lang w:eastAsia="en-AU"/>
        </w:rPr>
      </w:pPr>
      <w:r>
        <w:rPr>
          <w:szCs w:val="20"/>
          <w:lang w:eastAsia="en-AU"/>
        </w:rPr>
        <w:t>The definition</w:t>
      </w:r>
      <w:r w:rsidR="00B1305F" w:rsidRPr="00925A3A">
        <w:rPr>
          <w:szCs w:val="20"/>
          <w:lang w:eastAsia="en-AU"/>
        </w:rPr>
        <w:t xml:space="preserve"> </w:t>
      </w:r>
      <w:r>
        <w:rPr>
          <w:szCs w:val="20"/>
          <w:lang w:eastAsia="en-AU"/>
        </w:rPr>
        <w:t xml:space="preserve">of related </w:t>
      </w:r>
      <w:r w:rsidR="00B1305F" w:rsidRPr="00925A3A">
        <w:rPr>
          <w:szCs w:val="20"/>
          <w:lang w:eastAsia="en-AU"/>
        </w:rPr>
        <w:t>is closely based on the associated person definition</w:t>
      </w:r>
      <w:r>
        <w:rPr>
          <w:szCs w:val="20"/>
          <w:lang w:eastAsia="en-AU"/>
        </w:rPr>
        <w:t>s in subpart YB</w:t>
      </w:r>
      <w:r w:rsidR="00B1305F" w:rsidRPr="00925A3A">
        <w:rPr>
          <w:szCs w:val="20"/>
          <w:lang w:eastAsia="en-AU"/>
        </w:rPr>
        <w:t>, except that:</w:t>
      </w:r>
    </w:p>
    <w:p w14:paraId="4BD404DA" w14:textId="77777777" w:rsidR="00B1305F" w:rsidRPr="00925A3A" w:rsidRDefault="00B1305F" w:rsidP="00B1305F">
      <w:pPr>
        <w:rPr>
          <w:szCs w:val="20"/>
          <w:lang w:eastAsia="en-AU"/>
        </w:rPr>
      </w:pPr>
    </w:p>
    <w:p w14:paraId="1FCAEF5F" w14:textId="42E727FD" w:rsidR="00B1305F" w:rsidRPr="00925A3A" w:rsidRDefault="00B1305F" w:rsidP="0091475A">
      <w:pPr>
        <w:pStyle w:val="Bullets"/>
      </w:pPr>
      <w:r w:rsidRPr="00925A3A">
        <w:t xml:space="preserve">for two companies, it imposes a </w:t>
      </w:r>
      <w:r w:rsidR="00A415BC">
        <w:t>twenty five</w:t>
      </w:r>
      <w:r w:rsidRPr="00925A3A">
        <w:t xml:space="preserve"> percent common ownership test</w:t>
      </w:r>
      <w:r w:rsidR="006052B9">
        <w:t xml:space="preserve"> (rather than a </w:t>
      </w:r>
      <w:r w:rsidR="00A415BC">
        <w:t>fifty</w:t>
      </w:r>
      <w:r w:rsidR="006052B9">
        <w:t xml:space="preserve"> percent common ownership test)</w:t>
      </w:r>
      <w:r w:rsidRPr="00925A3A">
        <w:t>;</w:t>
      </w:r>
    </w:p>
    <w:p w14:paraId="474DD0A0" w14:textId="46EDDD99" w:rsidR="00B1305F" w:rsidRPr="00925A3A" w:rsidRDefault="00B1305F" w:rsidP="0091475A">
      <w:pPr>
        <w:pStyle w:val="Bullets"/>
      </w:pPr>
      <w:r w:rsidRPr="00925A3A">
        <w:t xml:space="preserve">it applies the same </w:t>
      </w:r>
      <w:r w:rsidR="00A415BC">
        <w:t>twenty five</w:t>
      </w:r>
      <w:r w:rsidRPr="00925A3A">
        <w:t xml:space="preserve"> percent rule to a general partnership as for a limited partnership</w:t>
      </w:r>
      <w:r w:rsidR="009C0E72">
        <w:t xml:space="preserve"> (which means that a partner in a general partnership is not automatically ‘related’ to that partnership as would be the case for the “associated persons” definition)</w:t>
      </w:r>
      <w:r w:rsidRPr="00925A3A">
        <w:t>; and</w:t>
      </w:r>
    </w:p>
    <w:p w14:paraId="0F495E0C" w14:textId="77777777" w:rsidR="00B1305F" w:rsidRPr="00B41FE7" w:rsidRDefault="00B1305F" w:rsidP="0091475A">
      <w:pPr>
        <w:pStyle w:val="Bullets"/>
        <w:spacing w:after="0"/>
        <w:rPr>
          <w:b/>
        </w:rPr>
      </w:pPr>
      <w:r w:rsidRPr="00925A3A">
        <w:t>there is a common control test, which also aggregates interests of p</w:t>
      </w:r>
      <w:r w:rsidR="00F0682F">
        <w:t xml:space="preserve">ersons who act together, </w:t>
      </w:r>
      <w:r w:rsidRPr="00925A3A">
        <w:t>as defined in section FH 15.</w:t>
      </w:r>
    </w:p>
    <w:p w14:paraId="0CA9B69F" w14:textId="77777777" w:rsidR="00EC6BC0" w:rsidRDefault="00EC6BC0" w:rsidP="00EC6BC0">
      <w:pPr>
        <w:rPr>
          <w:szCs w:val="20"/>
          <w:lang w:eastAsia="en-AU"/>
        </w:rPr>
      </w:pPr>
    </w:p>
    <w:p w14:paraId="6CBD6767" w14:textId="77777777" w:rsidR="00EC6BC0" w:rsidRPr="000D26C0" w:rsidRDefault="00EC6BC0" w:rsidP="000D26C0">
      <w:pPr>
        <w:pStyle w:val="Heading3"/>
      </w:pPr>
      <w:r w:rsidRPr="000D26C0">
        <w:t>Control group</w:t>
      </w:r>
    </w:p>
    <w:p w14:paraId="3934D633" w14:textId="77777777" w:rsidR="00EC6BC0" w:rsidRPr="00925A3A" w:rsidRDefault="00EC6BC0" w:rsidP="00EC6BC0">
      <w:pPr>
        <w:rPr>
          <w:szCs w:val="20"/>
          <w:lang w:eastAsia="en-AU"/>
        </w:rPr>
      </w:pPr>
    </w:p>
    <w:p w14:paraId="3B0A3F10" w14:textId="6AF2E466" w:rsidR="00F915C2" w:rsidRDefault="00F915C2" w:rsidP="00EC6BC0">
      <w:pPr>
        <w:rPr>
          <w:szCs w:val="20"/>
          <w:lang w:eastAsia="en-AU"/>
        </w:rPr>
      </w:pPr>
      <w:r>
        <w:rPr>
          <w:szCs w:val="20"/>
          <w:lang w:eastAsia="en-AU"/>
        </w:rPr>
        <w:t>Many</w:t>
      </w:r>
      <w:r w:rsidR="00EC6BC0" w:rsidRPr="00925A3A">
        <w:rPr>
          <w:szCs w:val="20"/>
          <w:lang w:eastAsia="en-AU"/>
        </w:rPr>
        <w:t xml:space="preserve"> of the hybrid </w:t>
      </w:r>
      <w:r>
        <w:rPr>
          <w:szCs w:val="20"/>
          <w:lang w:eastAsia="en-AU"/>
        </w:rPr>
        <w:t xml:space="preserve">and branch mismatch </w:t>
      </w:r>
      <w:r w:rsidR="00EC6BC0" w:rsidRPr="00925A3A">
        <w:rPr>
          <w:szCs w:val="20"/>
          <w:lang w:eastAsia="en-AU"/>
        </w:rPr>
        <w:t>provisions only apply to payments between members of a control group (unless there is a structured arrangement)</w:t>
      </w:r>
      <w:r w:rsidR="002D5667">
        <w:rPr>
          <w:szCs w:val="20"/>
          <w:lang w:eastAsia="en-AU"/>
        </w:rPr>
        <w:t xml:space="preserve">. </w:t>
      </w:r>
      <w:r w:rsidR="00EC6BC0" w:rsidRPr="00925A3A">
        <w:rPr>
          <w:szCs w:val="20"/>
          <w:lang w:eastAsia="en-AU"/>
        </w:rPr>
        <w:t xml:space="preserve">The </w:t>
      </w:r>
      <w:r w:rsidR="00314D58">
        <w:rPr>
          <w:szCs w:val="20"/>
          <w:lang w:eastAsia="en-AU"/>
        </w:rPr>
        <w:t>“</w:t>
      </w:r>
      <w:r w:rsidR="00EC6BC0" w:rsidRPr="00925A3A">
        <w:rPr>
          <w:szCs w:val="20"/>
          <w:lang w:eastAsia="en-AU"/>
        </w:rPr>
        <w:t>control group</w:t>
      </w:r>
      <w:r w:rsidR="00314D58">
        <w:rPr>
          <w:szCs w:val="20"/>
          <w:lang w:eastAsia="en-AU"/>
        </w:rPr>
        <w:t>”</w:t>
      </w:r>
      <w:r w:rsidR="00EC6BC0" w:rsidRPr="00925A3A">
        <w:rPr>
          <w:szCs w:val="20"/>
          <w:lang w:eastAsia="en-AU"/>
        </w:rPr>
        <w:t xml:space="preserve"> definition </w:t>
      </w:r>
      <w:r w:rsidR="00314D58">
        <w:rPr>
          <w:szCs w:val="20"/>
          <w:lang w:eastAsia="en-AU"/>
        </w:rPr>
        <w:t xml:space="preserve">in section FH 15 </w:t>
      </w:r>
      <w:r w:rsidR="00EC6BC0" w:rsidRPr="00925A3A">
        <w:rPr>
          <w:szCs w:val="20"/>
          <w:lang w:eastAsia="en-AU"/>
        </w:rPr>
        <w:t xml:space="preserve">is generally intended to include persons who are commonly controlled or meet a </w:t>
      </w:r>
      <w:r w:rsidR="00A415BC">
        <w:rPr>
          <w:szCs w:val="20"/>
          <w:lang w:eastAsia="en-AU"/>
        </w:rPr>
        <w:t xml:space="preserve">fifty </w:t>
      </w:r>
      <w:r w:rsidR="00EC6BC0" w:rsidRPr="00925A3A">
        <w:rPr>
          <w:szCs w:val="20"/>
          <w:lang w:eastAsia="en-AU"/>
        </w:rPr>
        <w:t>percent common ownership threshold.</w:t>
      </w:r>
    </w:p>
    <w:p w14:paraId="13222F2B" w14:textId="77777777" w:rsidR="00F915C2" w:rsidRDefault="00F915C2" w:rsidP="00EC6BC0">
      <w:pPr>
        <w:rPr>
          <w:szCs w:val="20"/>
          <w:lang w:eastAsia="en-AU"/>
        </w:rPr>
      </w:pPr>
    </w:p>
    <w:p w14:paraId="21783CBF" w14:textId="0CAC4822" w:rsidR="00F915C2" w:rsidRDefault="00EC6BC0" w:rsidP="00EC6BC0">
      <w:pPr>
        <w:rPr>
          <w:szCs w:val="20"/>
          <w:lang w:eastAsia="en-AU"/>
        </w:rPr>
      </w:pPr>
      <w:r w:rsidRPr="00925A3A">
        <w:rPr>
          <w:szCs w:val="20"/>
          <w:lang w:eastAsia="en-AU"/>
        </w:rPr>
        <w:t xml:space="preserve">For companies and partnerships (whether formed under New Zealand or foreign law) these tests are well established for other purposes, and the definition used in the hybrid </w:t>
      </w:r>
      <w:r w:rsidR="00151DA5">
        <w:rPr>
          <w:szCs w:val="20"/>
          <w:lang w:eastAsia="en-AU"/>
        </w:rPr>
        <w:t xml:space="preserve">and branch mismatch </w:t>
      </w:r>
      <w:r w:rsidRPr="00925A3A">
        <w:rPr>
          <w:szCs w:val="20"/>
          <w:lang w:eastAsia="en-AU"/>
        </w:rPr>
        <w:t>rules incorporates these other definitions.</w:t>
      </w:r>
    </w:p>
    <w:p w14:paraId="1CBF20BD" w14:textId="77777777" w:rsidR="00F915C2" w:rsidRDefault="00F915C2" w:rsidP="00EC6BC0">
      <w:pPr>
        <w:rPr>
          <w:szCs w:val="20"/>
          <w:lang w:eastAsia="en-AU"/>
        </w:rPr>
      </w:pPr>
    </w:p>
    <w:p w14:paraId="6B57B2B9" w14:textId="7587516C" w:rsidR="00EC6BC0" w:rsidRDefault="00EC6BC0" w:rsidP="00EC6BC0">
      <w:pPr>
        <w:rPr>
          <w:szCs w:val="20"/>
          <w:lang w:eastAsia="en-AU"/>
        </w:rPr>
      </w:pPr>
      <w:r w:rsidRPr="00925A3A">
        <w:rPr>
          <w:szCs w:val="20"/>
          <w:lang w:eastAsia="en-AU"/>
        </w:rPr>
        <w:t>For trusts, it is more difficult to determine ownership (whether by reason of control or economic interests), and accordingly the legislation uses the same tests that apply to determine whether or not parties are associated</w:t>
      </w:r>
      <w:r w:rsidR="00151DA5">
        <w:rPr>
          <w:szCs w:val="20"/>
          <w:lang w:eastAsia="en-AU"/>
        </w:rPr>
        <w:t xml:space="preserve"> in sections YB 5 to 11</w:t>
      </w:r>
      <w:r w:rsidRPr="00925A3A">
        <w:rPr>
          <w:szCs w:val="20"/>
          <w:lang w:eastAsia="en-AU"/>
        </w:rPr>
        <w:t>.</w:t>
      </w:r>
    </w:p>
    <w:p w14:paraId="1E7048AA" w14:textId="77777777" w:rsidR="00151DA5" w:rsidRDefault="00151DA5" w:rsidP="00EC6BC0">
      <w:pPr>
        <w:rPr>
          <w:szCs w:val="20"/>
          <w:lang w:eastAsia="en-AU"/>
        </w:rPr>
      </w:pPr>
    </w:p>
    <w:p w14:paraId="54A05322" w14:textId="65E2D043" w:rsidR="00151DA5" w:rsidRDefault="00151DA5" w:rsidP="00EC6BC0">
      <w:pPr>
        <w:rPr>
          <w:szCs w:val="20"/>
          <w:lang w:eastAsia="en-AU"/>
        </w:rPr>
      </w:pPr>
      <w:r>
        <w:rPr>
          <w:szCs w:val="20"/>
          <w:lang w:eastAsia="en-AU"/>
        </w:rPr>
        <w:t>In addition</w:t>
      </w:r>
      <w:r w:rsidR="00002571">
        <w:rPr>
          <w:szCs w:val="20"/>
          <w:lang w:eastAsia="en-AU"/>
        </w:rPr>
        <w:t>, the meaning of control group has been defined to include</w:t>
      </w:r>
      <w:r w:rsidR="00FE5A61">
        <w:rPr>
          <w:szCs w:val="20"/>
          <w:lang w:eastAsia="en-AU"/>
        </w:rPr>
        <w:t>:</w:t>
      </w:r>
    </w:p>
    <w:p w14:paraId="25A23417" w14:textId="77777777" w:rsidR="00151DA5" w:rsidRDefault="00151DA5" w:rsidP="00EC6BC0">
      <w:pPr>
        <w:rPr>
          <w:szCs w:val="20"/>
          <w:lang w:eastAsia="en-AU"/>
        </w:rPr>
      </w:pPr>
    </w:p>
    <w:p w14:paraId="5AB5300B" w14:textId="7CCD6444" w:rsidR="00151DA5" w:rsidRPr="00002571" w:rsidRDefault="00002571" w:rsidP="0091475A">
      <w:pPr>
        <w:pStyle w:val="Bullets"/>
      </w:pPr>
      <w:r>
        <w:t xml:space="preserve">members that are consolidated for accounting purposes and/or prepare </w:t>
      </w:r>
      <w:r w:rsidR="00FE5A61">
        <w:t>group financial statements; and</w:t>
      </w:r>
    </w:p>
    <w:p w14:paraId="74010017" w14:textId="2EDADC77" w:rsidR="00151DA5" w:rsidRPr="00151DA5" w:rsidRDefault="00151DA5" w:rsidP="0091475A">
      <w:pPr>
        <w:pStyle w:val="Bullets"/>
        <w:spacing w:after="0"/>
      </w:pPr>
      <w:r w:rsidRPr="00151DA5">
        <w:t>a common control test, which aggregates the interests of persons who act together, as defined in section F</w:t>
      </w:r>
      <w:r>
        <w:t>H 15.</w:t>
      </w:r>
    </w:p>
    <w:p w14:paraId="33FB9C3F" w14:textId="77777777" w:rsidR="00F915C2" w:rsidRPr="00925A3A" w:rsidRDefault="00F915C2" w:rsidP="00EC6BC0">
      <w:pPr>
        <w:rPr>
          <w:szCs w:val="20"/>
          <w:lang w:eastAsia="en-AU"/>
        </w:rPr>
      </w:pPr>
    </w:p>
    <w:p w14:paraId="56A5F6A6" w14:textId="77777777" w:rsidR="00B1305F" w:rsidRPr="000D26C0" w:rsidRDefault="00B1305F" w:rsidP="000D26C0">
      <w:pPr>
        <w:pStyle w:val="Heading3"/>
      </w:pPr>
      <w:r w:rsidRPr="000D26C0">
        <w:t>Act together</w:t>
      </w:r>
    </w:p>
    <w:p w14:paraId="37F42F5F" w14:textId="77777777" w:rsidR="00B1305F" w:rsidRPr="00925A3A" w:rsidRDefault="00B1305F" w:rsidP="00B1305F">
      <w:pPr>
        <w:rPr>
          <w:szCs w:val="20"/>
          <w:lang w:eastAsia="en-AU"/>
        </w:rPr>
      </w:pPr>
    </w:p>
    <w:p w14:paraId="2DCA2D06" w14:textId="55E2FC27" w:rsidR="00F0682F" w:rsidRDefault="00F47D1E" w:rsidP="00B1305F">
      <w:pPr>
        <w:rPr>
          <w:szCs w:val="20"/>
          <w:lang w:eastAsia="en-AU"/>
        </w:rPr>
      </w:pPr>
      <w:r>
        <w:rPr>
          <w:szCs w:val="20"/>
          <w:lang w:eastAsia="en-AU"/>
        </w:rPr>
        <w:t>The “act together”</w:t>
      </w:r>
      <w:r w:rsidR="00B1305F" w:rsidRPr="00925A3A">
        <w:rPr>
          <w:szCs w:val="20"/>
          <w:lang w:eastAsia="en-AU"/>
        </w:rPr>
        <w:t xml:space="preserve"> definition is relevant for determining whether two persons are in a control group or are related persons by virtue of paragraphs (g) or (h) of the c</w:t>
      </w:r>
      <w:r>
        <w:rPr>
          <w:szCs w:val="20"/>
          <w:lang w:eastAsia="en-AU"/>
        </w:rPr>
        <w:t xml:space="preserve">ontrol group and related </w:t>
      </w:r>
      <w:r w:rsidR="00B1305F" w:rsidRPr="00925A3A">
        <w:rPr>
          <w:szCs w:val="20"/>
          <w:lang w:eastAsia="en-AU"/>
        </w:rPr>
        <w:t>definitions.</w:t>
      </w:r>
    </w:p>
    <w:p w14:paraId="402E0D08" w14:textId="77777777" w:rsidR="00F47D1E" w:rsidRDefault="00F47D1E" w:rsidP="00B1305F">
      <w:pPr>
        <w:rPr>
          <w:szCs w:val="20"/>
          <w:lang w:eastAsia="en-AU"/>
        </w:rPr>
      </w:pPr>
    </w:p>
    <w:p w14:paraId="41B6BB2E" w14:textId="0DCFCBE8" w:rsidR="00F47D1E" w:rsidRDefault="00B1305F" w:rsidP="00B1305F">
      <w:pPr>
        <w:rPr>
          <w:szCs w:val="20"/>
          <w:lang w:eastAsia="en-AU"/>
        </w:rPr>
      </w:pPr>
      <w:r w:rsidRPr="00925A3A">
        <w:rPr>
          <w:szCs w:val="20"/>
          <w:lang w:eastAsia="en-AU"/>
        </w:rPr>
        <w:t>Paragraphs (g) and (h) include two persons in a control group if one effectively controls the other or the same group of persons effectively controls both</w:t>
      </w:r>
      <w:r w:rsidR="002D5667">
        <w:rPr>
          <w:szCs w:val="20"/>
          <w:lang w:eastAsia="en-AU"/>
        </w:rPr>
        <w:t xml:space="preserve">. </w:t>
      </w:r>
      <w:r w:rsidRPr="00925A3A">
        <w:rPr>
          <w:szCs w:val="20"/>
          <w:lang w:eastAsia="en-AU"/>
        </w:rPr>
        <w:t>In both cases, interests held by persons who are related or who act together are aggregated.</w:t>
      </w:r>
    </w:p>
    <w:p w14:paraId="1A37B44C" w14:textId="77777777" w:rsidR="00146A29" w:rsidRDefault="00146A29" w:rsidP="00B1305F">
      <w:pPr>
        <w:rPr>
          <w:szCs w:val="20"/>
          <w:lang w:eastAsia="en-AU"/>
        </w:rPr>
      </w:pPr>
    </w:p>
    <w:p w14:paraId="660C8041" w14:textId="77777777" w:rsidR="00473EC5" w:rsidRDefault="00146A29" w:rsidP="00473EC5">
      <w:pPr>
        <w:rPr>
          <w:szCs w:val="20"/>
          <w:lang w:eastAsia="en-AU"/>
        </w:rPr>
      </w:pPr>
      <w:r>
        <w:rPr>
          <w:szCs w:val="20"/>
          <w:lang w:eastAsia="en-AU"/>
        </w:rPr>
        <w:t>The intent of the acting together test</w:t>
      </w:r>
      <w:r w:rsidR="00473EC5">
        <w:rPr>
          <w:szCs w:val="20"/>
          <w:lang w:eastAsia="en-AU"/>
        </w:rPr>
        <w:t xml:space="preserve"> is to:</w:t>
      </w:r>
    </w:p>
    <w:p w14:paraId="08A123BF" w14:textId="77777777" w:rsidR="00473EC5" w:rsidRDefault="00473EC5" w:rsidP="00473EC5">
      <w:pPr>
        <w:rPr>
          <w:szCs w:val="20"/>
          <w:lang w:eastAsia="en-AU"/>
        </w:rPr>
      </w:pPr>
      <w:r>
        <w:rPr>
          <w:szCs w:val="20"/>
          <w:lang w:eastAsia="en-AU"/>
        </w:rPr>
        <w:t xml:space="preserve"> </w:t>
      </w:r>
    </w:p>
    <w:p w14:paraId="28E4F99B" w14:textId="52DF1C07" w:rsidR="00473EC5" w:rsidRPr="00473EC5" w:rsidRDefault="00473EC5" w:rsidP="0091475A">
      <w:pPr>
        <w:pStyle w:val="Bullets"/>
      </w:pPr>
      <w:r>
        <w:t xml:space="preserve">prevent </w:t>
      </w:r>
      <w:r w:rsidR="00146A29" w:rsidRPr="00473EC5">
        <w:t xml:space="preserve">taxpayers from avoiding the related party or control group tests </w:t>
      </w:r>
      <w:r w:rsidRPr="00473EC5">
        <w:t>by transferring their rights or</w:t>
      </w:r>
      <w:r w:rsidR="00146A29" w:rsidRPr="00473EC5">
        <w:t xml:space="preserve"> interests to another person that continues to act under their directio</w:t>
      </w:r>
      <w:r w:rsidRPr="00473EC5">
        <w:t xml:space="preserve">n in respect of those interests; </w:t>
      </w:r>
      <w:r>
        <w:t>and</w:t>
      </w:r>
    </w:p>
    <w:p w14:paraId="3D24B21F" w14:textId="70DE0749" w:rsidR="00146A29" w:rsidRPr="00473EC5" w:rsidRDefault="003F3F64" w:rsidP="0091475A">
      <w:pPr>
        <w:pStyle w:val="Bullets"/>
        <w:spacing w:after="0"/>
      </w:pPr>
      <w:r>
        <w:t>target</w:t>
      </w:r>
      <w:r w:rsidR="00473EC5">
        <w:t xml:space="preserve"> taxpayers who individually hold minority stakes in an entity, but enter into arrangements that would allow them to act together (or under the direction of a single controlling mind) to enter into hybrid mismatch arrangements in respect of one or more of them.</w:t>
      </w:r>
    </w:p>
    <w:p w14:paraId="43D218EB" w14:textId="77777777" w:rsidR="00E635F5" w:rsidRDefault="00E635F5" w:rsidP="00B1305F">
      <w:pPr>
        <w:rPr>
          <w:szCs w:val="20"/>
          <w:lang w:eastAsia="en-AU"/>
        </w:rPr>
      </w:pPr>
    </w:p>
    <w:p w14:paraId="6E12B80D" w14:textId="3BF80F15" w:rsidR="00A85213" w:rsidRDefault="00A85213" w:rsidP="00B1305F">
      <w:pPr>
        <w:rPr>
          <w:szCs w:val="20"/>
          <w:lang w:eastAsia="en-AU"/>
        </w:rPr>
      </w:pPr>
      <w:r w:rsidRPr="00925A3A">
        <w:rPr>
          <w:szCs w:val="20"/>
          <w:lang w:eastAsia="en-AU"/>
        </w:rPr>
        <w:t>The definition of “act together” is highly fact dependent</w:t>
      </w:r>
      <w:r w:rsidR="002D5667">
        <w:rPr>
          <w:szCs w:val="20"/>
          <w:lang w:eastAsia="en-AU"/>
        </w:rPr>
        <w:t xml:space="preserve">. </w:t>
      </w:r>
      <w:r w:rsidRPr="00925A3A">
        <w:rPr>
          <w:szCs w:val="20"/>
          <w:lang w:eastAsia="en-AU"/>
        </w:rPr>
        <w:t>For instance, two persons will act together if one typically acts in accordance with the wishes of the other, or if their actions are typically controlled by a third p</w:t>
      </w:r>
      <w:r>
        <w:rPr>
          <w:szCs w:val="20"/>
          <w:lang w:eastAsia="en-AU"/>
        </w:rPr>
        <w:t>erson</w:t>
      </w:r>
      <w:r w:rsidRPr="00925A3A">
        <w:rPr>
          <w:szCs w:val="20"/>
          <w:lang w:eastAsia="en-AU"/>
        </w:rPr>
        <w:t>.</w:t>
      </w:r>
    </w:p>
    <w:p w14:paraId="5F2BABE7" w14:textId="77777777" w:rsidR="00534896" w:rsidRDefault="00534896" w:rsidP="00B1305F">
      <w:pPr>
        <w:rPr>
          <w:szCs w:val="20"/>
          <w:lang w:eastAsia="en-AU"/>
        </w:rPr>
      </w:pPr>
    </w:p>
    <w:p w14:paraId="296EAD63" w14:textId="3812891D" w:rsidR="00E635F5" w:rsidRDefault="00534896" w:rsidP="00B1305F">
      <w:pPr>
        <w:rPr>
          <w:szCs w:val="20"/>
          <w:lang w:eastAsia="en-AU"/>
        </w:rPr>
      </w:pPr>
      <w:r>
        <w:rPr>
          <w:szCs w:val="20"/>
          <w:lang w:eastAsia="en-AU"/>
        </w:rPr>
        <w:t>There are</w:t>
      </w:r>
      <w:r w:rsidR="0067528C">
        <w:rPr>
          <w:szCs w:val="20"/>
          <w:lang w:eastAsia="en-AU"/>
        </w:rPr>
        <w:t xml:space="preserve"> </w:t>
      </w:r>
      <w:r w:rsidR="007B054B" w:rsidRPr="0067528C">
        <w:rPr>
          <w:szCs w:val="20"/>
          <w:lang w:eastAsia="en-AU"/>
        </w:rPr>
        <w:t>a</w:t>
      </w:r>
      <w:r w:rsidR="0067528C">
        <w:rPr>
          <w:szCs w:val="20"/>
          <w:lang w:eastAsia="en-AU"/>
        </w:rPr>
        <w:t xml:space="preserve"> number of limbs that determine whether two parties are acting together</w:t>
      </w:r>
      <w:r w:rsidR="002D5667">
        <w:rPr>
          <w:szCs w:val="20"/>
          <w:lang w:eastAsia="en-AU"/>
        </w:rPr>
        <w:t xml:space="preserve">. </w:t>
      </w:r>
      <w:r w:rsidR="0067528C">
        <w:rPr>
          <w:szCs w:val="20"/>
          <w:lang w:eastAsia="en-AU"/>
        </w:rPr>
        <w:t xml:space="preserve">The definition is met </w:t>
      </w:r>
      <w:r w:rsidR="007B054B" w:rsidRPr="0067528C">
        <w:rPr>
          <w:szCs w:val="20"/>
          <w:lang w:eastAsia="en-AU"/>
        </w:rPr>
        <w:t xml:space="preserve">where two persons (the holders) each have </w:t>
      </w:r>
      <w:r w:rsidR="0009476E">
        <w:rPr>
          <w:szCs w:val="20"/>
          <w:lang w:eastAsia="en-AU"/>
        </w:rPr>
        <w:t xml:space="preserve">voting </w:t>
      </w:r>
      <w:r w:rsidR="007B054B" w:rsidRPr="0067528C">
        <w:rPr>
          <w:szCs w:val="20"/>
          <w:lang w:eastAsia="en-AU"/>
        </w:rPr>
        <w:t xml:space="preserve">rights or </w:t>
      </w:r>
      <w:r w:rsidR="0009476E">
        <w:rPr>
          <w:szCs w:val="20"/>
          <w:lang w:eastAsia="en-AU"/>
        </w:rPr>
        <w:t xml:space="preserve">equity </w:t>
      </w:r>
      <w:r w:rsidR="007B054B" w:rsidRPr="0067528C">
        <w:rPr>
          <w:szCs w:val="20"/>
          <w:lang w:eastAsia="en-AU"/>
        </w:rPr>
        <w:t>interests in a person or other entity and at least one of the</w:t>
      </w:r>
      <w:r w:rsidR="00FE5A61">
        <w:rPr>
          <w:szCs w:val="20"/>
          <w:lang w:eastAsia="en-AU"/>
        </w:rPr>
        <w:t xml:space="preserve"> criteria below are met:</w:t>
      </w:r>
    </w:p>
    <w:p w14:paraId="15FE7B18" w14:textId="77777777" w:rsidR="007B054B" w:rsidRDefault="007B054B" w:rsidP="00B1305F">
      <w:pPr>
        <w:rPr>
          <w:szCs w:val="20"/>
          <w:lang w:eastAsia="en-AU"/>
        </w:rPr>
      </w:pPr>
    </w:p>
    <w:p w14:paraId="5EC5102C" w14:textId="38C596C5" w:rsidR="007B054B" w:rsidRDefault="007B054B" w:rsidP="0091475A">
      <w:pPr>
        <w:pStyle w:val="Bullets"/>
      </w:pPr>
      <w:r>
        <w:t>the holders are associated under section YB 4 (</w:t>
      </w:r>
      <w:r w:rsidR="00DA324C">
        <w:t>t</w:t>
      </w:r>
      <w:r>
        <w:t>wo relatives);</w:t>
      </w:r>
    </w:p>
    <w:p w14:paraId="2D438285" w14:textId="620E82C4" w:rsidR="007B054B" w:rsidRDefault="007B054B" w:rsidP="0091475A">
      <w:pPr>
        <w:pStyle w:val="Bullets"/>
      </w:pPr>
      <w:r>
        <w:t xml:space="preserve">a holder typically acts in the way preferred by the other holder because of </w:t>
      </w:r>
      <w:r w:rsidR="00FE5A61">
        <w:t>the other holder’s preferences;</w:t>
      </w:r>
    </w:p>
    <w:p w14:paraId="2F620FD7" w14:textId="72B176B4" w:rsidR="007B054B" w:rsidRDefault="007B054B" w:rsidP="0091475A">
      <w:pPr>
        <w:pStyle w:val="Bullets"/>
      </w:pPr>
      <w:r>
        <w:t>the holders have entered into an arrangement that has an effect on the value or control of the rights or interests that is more than incidental and does not arise from a restriction on the s</w:t>
      </w:r>
      <w:r w:rsidR="00FE5A61">
        <w:t>ale of the rights or interests;</w:t>
      </w:r>
    </w:p>
    <w:p w14:paraId="70D45B60" w14:textId="01E4E179" w:rsidR="007B054B" w:rsidRDefault="007B054B" w:rsidP="0091475A">
      <w:pPr>
        <w:pStyle w:val="Bullets"/>
      </w:pPr>
      <w:r>
        <w:lastRenderedPageBreak/>
        <w:t>the actions of the holder are controlled or expected to be controlled, whether that be legally or typically, by a third person or group</w:t>
      </w:r>
      <w:r w:rsidR="00FE5A61">
        <w:t xml:space="preserve"> of persons (the co-ordinator);</w:t>
      </w:r>
    </w:p>
    <w:p w14:paraId="43DC4643" w14:textId="77777777" w:rsidR="007B054B" w:rsidRDefault="007B054B" w:rsidP="0091475A">
      <w:pPr>
        <w:pStyle w:val="Bullets"/>
      </w:pPr>
      <w:r>
        <w:t>the holders and a co-ordinator enter an arrangement affecting the ownership or control of the rights and interests and having an effect on the value or control of the rights and interests that is more than incidental; or</w:t>
      </w:r>
    </w:p>
    <w:p w14:paraId="79B82210" w14:textId="1CAF33D9" w:rsidR="00146A29" w:rsidRPr="00146A29" w:rsidRDefault="007B054B" w:rsidP="0091475A">
      <w:pPr>
        <w:pStyle w:val="Bullets"/>
        <w:spacing w:after="0"/>
      </w:pPr>
      <w:r>
        <w:t>the holders agree with a co-ordinator that the co-ordinator can act on behalf of the holders in relation to the rights and interests.</w:t>
      </w:r>
    </w:p>
    <w:p w14:paraId="27FFA87D" w14:textId="77777777" w:rsidR="00C641AE" w:rsidRDefault="00C641AE" w:rsidP="00146A29">
      <w:pPr>
        <w:rPr>
          <w:szCs w:val="20"/>
          <w:lang w:eastAsia="en-AU"/>
        </w:rPr>
      </w:pPr>
    </w:p>
    <w:p w14:paraId="15EF93D0" w14:textId="501DA087" w:rsidR="00146A29" w:rsidRDefault="00146A29" w:rsidP="00146A29">
      <w:pPr>
        <w:rPr>
          <w:szCs w:val="20"/>
          <w:lang w:eastAsia="en-AU"/>
        </w:rPr>
      </w:pPr>
      <w:r>
        <w:rPr>
          <w:szCs w:val="20"/>
          <w:lang w:eastAsia="en-AU"/>
        </w:rPr>
        <w:t>S</w:t>
      </w:r>
      <w:r w:rsidR="00534896">
        <w:rPr>
          <w:szCs w:val="20"/>
          <w:lang w:eastAsia="en-AU"/>
        </w:rPr>
        <w:t>ubs</w:t>
      </w:r>
      <w:r>
        <w:rPr>
          <w:szCs w:val="20"/>
          <w:lang w:eastAsia="en-AU"/>
        </w:rPr>
        <w:t xml:space="preserve">ection FH 15(2) provides an exclusion from the “act together” definition for the last three limbs above where the co-ordinator manages two investment funds that hold </w:t>
      </w:r>
      <w:r w:rsidR="0009476E">
        <w:rPr>
          <w:szCs w:val="20"/>
          <w:lang w:eastAsia="en-AU"/>
        </w:rPr>
        <w:t xml:space="preserve">voting </w:t>
      </w:r>
      <w:r>
        <w:rPr>
          <w:szCs w:val="20"/>
          <w:lang w:eastAsia="en-AU"/>
        </w:rPr>
        <w:t xml:space="preserve">rights or </w:t>
      </w:r>
      <w:r w:rsidR="0009476E">
        <w:rPr>
          <w:szCs w:val="20"/>
          <w:lang w:eastAsia="en-AU"/>
        </w:rPr>
        <w:t xml:space="preserve">equity </w:t>
      </w:r>
      <w:r>
        <w:rPr>
          <w:szCs w:val="20"/>
          <w:lang w:eastAsia="en-AU"/>
        </w:rPr>
        <w:t>interests in the same person or entity, but the two funds do not act together in relation to their rights and interests.</w:t>
      </w:r>
    </w:p>
    <w:p w14:paraId="23064238" w14:textId="77777777" w:rsidR="00146A29" w:rsidRDefault="00146A29" w:rsidP="00146A29">
      <w:pPr>
        <w:rPr>
          <w:szCs w:val="20"/>
          <w:lang w:eastAsia="en-AU"/>
        </w:rPr>
      </w:pPr>
    </w:p>
    <w:p w14:paraId="422725E7" w14:textId="18CCA506" w:rsidR="00146A29" w:rsidRDefault="00146A29" w:rsidP="00146A29">
      <w:pPr>
        <w:rPr>
          <w:szCs w:val="20"/>
          <w:lang w:eastAsia="en-AU"/>
        </w:rPr>
      </w:pPr>
      <w:r>
        <w:rPr>
          <w:szCs w:val="20"/>
          <w:lang w:eastAsia="en-AU"/>
        </w:rPr>
        <w:t>We comment on these limbs below.</w:t>
      </w:r>
    </w:p>
    <w:p w14:paraId="72E5D44C" w14:textId="77777777" w:rsidR="00146A29" w:rsidRDefault="00146A29" w:rsidP="00146A29">
      <w:pPr>
        <w:rPr>
          <w:szCs w:val="20"/>
          <w:lang w:eastAsia="en-AU"/>
        </w:rPr>
      </w:pPr>
    </w:p>
    <w:p w14:paraId="760E6F74" w14:textId="1F7BA77D" w:rsidR="00146A29" w:rsidRPr="005D604F" w:rsidRDefault="00FE5A61" w:rsidP="005D604F">
      <w:pPr>
        <w:pStyle w:val="Heading4"/>
      </w:pPr>
      <w:r w:rsidRPr="005D604F">
        <w:t>Relatives</w:t>
      </w:r>
    </w:p>
    <w:p w14:paraId="22D69B1F" w14:textId="77777777" w:rsidR="00C641AE" w:rsidRDefault="00C641AE" w:rsidP="0091475A">
      <w:pPr>
        <w:rPr>
          <w:lang w:eastAsia="en-AU"/>
        </w:rPr>
      </w:pPr>
    </w:p>
    <w:p w14:paraId="1E09AFFB" w14:textId="57AC90B3" w:rsidR="0009476E" w:rsidRPr="00C641AE" w:rsidRDefault="00534896" w:rsidP="00146A29">
      <w:pPr>
        <w:rPr>
          <w:szCs w:val="20"/>
          <w:lang w:eastAsia="en-AU"/>
        </w:rPr>
      </w:pPr>
      <w:r>
        <w:rPr>
          <w:szCs w:val="20"/>
          <w:lang w:eastAsia="en-AU"/>
        </w:rPr>
        <w:t>L</w:t>
      </w:r>
      <w:r w:rsidR="00A85213">
        <w:rPr>
          <w:szCs w:val="20"/>
          <w:lang w:eastAsia="en-AU"/>
        </w:rPr>
        <w:t>imb (a) of the definition</w:t>
      </w:r>
      <w:r>
        <w:rPr>
          <w:szCs w:val="20"/>
          <w:lang w:eastAsia="en-AU"/>
        </w:rPr>
        <w:t xml:space="preserve"> focuses on natural persons and deems a person</w:t>
      </w:r>
      <w:r w:rsidR="0009476E">
        <w:rPr>
          <w:szCs w:val="20"/>
          <w:lang w:eastAsia="en-AU"/>
        </w:rPr>
        <w:t xml:space="preserve"> to hold any voting rights or equity interests that are held by members of that person’s family as determined under section YB 4 (Relatives).</w:t>
      </w:r>
    </w:p>
    <w:p w14:paraId="74B1011A" w14:textId="77777777" w:rsidR="00146A29" w:rsidRPr="00AB33AA" w:rsidRDefault="00146A29" w:rsidP="00146A29">
      <w:pPr>
        <w:rPr>
          <w:szCs w:val="20"/>
          <w:lang w:eastAsia="en-AU"/>
        </w:rPr>
      </w:pPr>
    </w:p>
    <w:p w14:paraId="4584493E" w14:textId="086B4825" w:rsidR="00AB33AA" w:rsidRPr="005D604F" w:rsidRDefault="00AB33AA" w:rsidP="005D604F">
      <w:pPr>
        <w:pStyle w:val="Heading4"/>
      </w:pPr>
      <w:r w:rsidRPr="005D604F">
        <w:t xml:space="preserve">Typically acts in the way preferred </w:t>
      </w:r>
      <w:r w:rsidR="00FE5A61" w:rsidRPr="005D604F">
        <w:t>by the other holder</w:t>
      </w:r>
    </w:p>
    <w:p w14:paraId="7EFAA0AB" w14:textId="77777777" w:rsidR="00AB33AA" w:rsidRDefault="00AB33AA" w:rsidP="00AB33AA">
      <w:pPr>
        <w:rPr>
          <w:szCs w:val="20"/>
          <w:lang w:eastAsia="en-AU"/>
        </w:rPr>
      </w:pPr>
    </w:p>
    <w:p w14:paraId="6FF2B575" w14:textId="6964FBF6" w:rsidR="00B03FAD" w:rsidRDefault="00A85213" w:rsidP="00AB33AA">
      <w:pPr>
        <w:rPr>
          <w:szCs w:val="20"/>
          <w:lang w:eastAsia="en-AU"/>
        </w:rPr>
      </w:pPr>
      <w:r>
        <w:rPr>
          <w:szCs w:val="20"/>
          <w:lang w:eastAsia="en-AU"/>
        </w:rPr>
        <w:t>Under limb (b) of the definition, a</w:t>
      </w:r>
      <w:r w:rsidR="0009476E">
        <w:rPr>
          <w:szCs w:val="20"/>
          <w:lang w:eastAsia="en-AU"/>
        </w:rPr>
        <w:t xml:space="preserve"> person will be treated as acting in the way preferred by another holder where the person is legally bound to act in accordance with the other holder’s instructions or if it can be established that the person is expected to act, or typically acts, in accordance with the other holder’s instructions</w:t>
      </w:r>
      <w:r w:rsidR="002D5667">
        <w:rPr>
          <w:szCs w:val="20"/>
          <w:lang w:eastAsia="en-AU"/>
        </w:rPr>
        <w:t xml:space="preserve">. </w:t>
      </w:r>
      <w:r w:rsidR="0009476E">
        <w:rPr>
          <w:szCs w:val="20"/>
          <w:lang w:eastAsia="en-AU"/>
        </w:rPr>
        <w:t>The focus of the test is on the actions of that person in relation to the voting rights or equity interests.</w:t>
      </w:r>
    </w:p>
    <w:p w14:paraId="4D2834BA" w14:textId="77777777" w:rsidR="00B03FAD" w:rsidRDefault="00B03FAD" w:rsidP="00AB33AA">
      <w:pPr>
        <w:rPr>
          <w:szCs w:val="20"/>
          <w:lang w:eastAsia="en-AU"/>
        </w:rPr>
      </w:pPr>
    </w:p>
    <w:p w14:paraId="1A7B9AB7" w14:textId="71A0FD02" w:rsidR="00B03FAD" w:rsidRDefault="00597732" w:rsidP="00AB33AA">
      <w:pPr>
        <w:rPr>
          <w:szCs w:val="20"/>
          <w:lang w:eastAsia="en-AU"/>
        </w:rPr>
      </w:pPr>
      <w:r>
        <w:rPr>
          <w:szCs w:val="20"/>
          <w:lang w:eastAsia="en-AU"/>
        </w:rPr>
        <w:t>The test is not intended to treat</w:t>
      </w:r>
      <w:r w:rsidR="00A10AF1">
        <w:rPr>
          <w:szCs w:val="20"/>
          <w:lang w:eastAsia="en-AU"/>
        </w:rPr>
        <w:t xml:space="preserve"> as acting together</w:t>
      </w:r>
      <w:r>
        <w:rPr>
          <w:szCs w:val="20"/>
          <w:lang w:eastAsia="en-AU"/>
        </w:rPr>
        <w:t xml:space="preserve"> two or more shareholders that typically vote in a similar way to each other, but make their decisions independently and without reference to each other</w:t>
      </w:r>
      <w:r w:rsidR="002D5667">
        <w:rPr>
          <w:szCs w:val="20"/>
          <w:lang w:eastAsia="en-AU"/>
        </w:rPr>
        <w:t xml:space="preserve">. </w:t>
      </w:r>
      <w:r w:rsidR="00B03FAD">
        <w:rPr>
          <w:szCs w:val="20"/>
          <w:lang w:eastAsia="en-AU"/>
        </w:rPr>
        <w:t xml:space="preserve">It is intended to </w:t>
      </w:r>
      <w:r w:rsidR="00A10AF1">
        <w:rPr>
          <w:szCs w:val="20"/>
          <w:lang w:eastAsia="en-AU"/>
        </w:rPr>
        <w:t>apply</w:t>
      </w:r>
      <w:r w:rsidR="00B03FAD">
        <w:rPr>
          <w:szCs w:val="20"/>
          <w:lang w:eastAsia="en-AU"/>
        </w:rPr>
        <w:t xml:space="preserve"> where a holder typically acts in a way preferred by another holder because it is preferred by the other holder.</w:t>
      </w:r>
    </w:p>
    <w:p w14:paraId="12EB1B7A" w14:textId="77777777" w:rsidR="00B03FAD" w:rsidRDefault="00B03FAD" w:rsidP="00AB33AA">
      <w:pPr>
        <w:rPr>
          <w:szCs w:val="20"/>
          <w:lang w:eastAsia="en-AU"/>
        </w:rPr>
      </w:pPr>
    </w:p>
    <w:p w14:paraId="6089C540" w14:textId="0F35DBC3" w:rsidR="00AB33AA" w:rsidRPr="005D604F" w:rsidRDefault="00A85213" w:rsidP="005D604F">
      <w:pPr>
        <w:pStyle w:val="Heading4"/>
      </w:pPr>
      <w:r w:rsidRPr="005D604F">
        <w:t>Entered into an arrangement that has a more than incidental effect on the value or control of the rights and interests</w:t>
      </w:r>
    </w:p>
    <w:p w14:paraId="20610F5B" w14:textId="77777777" w:rsidR="00E635F5" w:rsidRDefault="00E635F5" w:rsidP="00B1305F">
      <w:pPr>
        <w:rPr>
          <w:szCs w:val="20"/>
          <w:lang w:eastAsia="en-AU"/>
        </w:rPr>
      </w:pPr>
    </w:p>
    <w:p w14:paraId="4696C723" w14:textId="418AA98E" w:rsidR="006C6A53" w:rsidRDefault="00A85213" w:rsidP="00B1305F">
      <w:pPr>
        <w:rPr>
          <w:szCs w:val="20"/>
          <w:lang w:eastAsia="en-AU"/>
        </w:rPr>
      </w:pPr>
      <w:r>
        <w:rPr>
          <w:szCs w:val="20"/>
          <w:lang w:eastAsia="en-AU"/>
        </w:rPr>
        <w:t>Under limb (c) of the definition, a person will be treated as holding the equity or voting interests of another person if they have an entered into an arrangement that has an effect on the value or control of the rights or interests that is more than incidental</w:t>
      </w:r>
      <w:r w:rsidR="002D5667">
        <w:rPr>
          <w:szCs w:val="20"/>
          <w:lang w:eastAsia="en-AU"/>
        </w:rPr>
        <w:t xml:space="preserve">. </w:t>
      </w:r>
      <w:r>
        <w:rPr>
          <w:szCs w:val="20"/>
          <w:lang w:eastAsia="en-AU"/>
        </w:rPr>
        <w:t xml:space="preserve">The </w:t>
      </w:r>
      <w:r w:rsidR="006C6A53">
        <w:rPr>
          <w:szCs w:val="20"/>
          <w:lang w:eastAsia="en-AU"/>
        </w:rPr>
        <w:t>test covers arrangements concerning the exercise of voting interests and/or regarding beneficial entitlements</w:t>
      </w:r>
      <w:r w:rsidR="00B03FAD">
        <w:rPr>
          <w:szCs w:val="20"/>
          <w:lang w:eastAsia="en-AU"/>
        </w:rPr>
        <w:t xml:space="preserve">, </w:t>
      </w:r>
      <w:r w:rsidR="006C6A53">
        <w:rPr>
          <w:szCs w:val="20"/>
          <w:lang w:eastAsia="en-AU"/>
        </w:rPr>
        <w:t>such as an entitlement to profits or eligibility to participate in distributions</w:t>
      </w:r>
      <w:r w:rsidR="002D5667">
        <w:rPr>
          <w:szCs w:val="20"/>
          <w:lang w:eastAsia="en-AU"/>
        </w:rPr>
        <w:t xml:space="preserve">. </w:t>
      </w:r>
      <w:r w:rsidR="00B03FAD">
        <w:rPr>
          <w:szCs w:val="20"/>
          <w:lang w:eastAsia="en-AU"/>
        </w:rPr>
        <w:t>In addition, it covers</w:t>
      </w:r>
      <w:r w:rsidR="006C6A53">
        <w:rPr>
          <w:szCs w:val="20"/>
          <w:lang w:eastAsia="en-AU"/>
        </w:rPr>
        <w:t xml:space="preserve"> arrangements concerning the ownership of</w:t>
      </w:r>
      <w:r w:rsidR="00B03FAD">
        <w:rPr>
          <w:szCs w:val="20"/>
          <w:lang w:eastAsia="en-AU"/>
        </w:rPr>
        <w:t xml:space="preserve"> those</w:t>
      </w:r>
      <w:r w:rsidR="006C6A53">
        <w:rPr>
          <w:szCs w:val="20"/>
          <w:lang w:eastAsia="en-AU"/>
        </w:rPr>
        <w:t xml:space="preserve"> rights</w:t>
      </w:r>
      <w:r w:rsidR="00B03FAD">
        <w:rPr>
          <w:szCs w:val="20"/>
          <w:lang w:eastAsia="en-AU"/>
        </w:rPr>
        <w:t xml:space="preserve">, </w:t>
      </w:r>
      <w:r w:rsidR="006C6A53">
        <w:rPr>
          <w:szCs w:val="20"/>
          <w:lang w:eastAsia="en-AU"/>
        </w:rPr>
        <w:t>such as options to sell rights.</w:t>
      </w:r>
    </w:p>
    <w:p w14:paraId="21626295" w14:textId="77777777" w:rsidR="006C6A53" w:rsidRDefault="006C6A53" w:rsidP="00B1305F">
      <w:pPr>
        <w:rPr>
          <w:szCs w:val="20"/>
          <w:lang w:eastAsia="en-AU"/>
        </w:rPr>
      </w:pPr>
    </w:p>
    <w:p w14:paraId="566CB1F0" w14:textId="22BE693B" w:rsidR="006C6A53" w:rsidRDefault="006C6A53" w:rsidP="00B1305F">
      <w:pPr>
        <w:rPr>
          <w:szCs w:val="20"/>
          <w:lang w:eastAsia="en-AU"/>
        </w:rPr>
      </w:pPr>
      <w:r>
        <w:rPr>
          <w:szCs w:val="20"/>
          <w:lang w:eastAsia="en-AU"/>
        </w:rPr>
        <w:t>The test is intended to capture arrangements that are entered into with other investors and does not cover arrangements that are simply part of the terms of the equity or voting interest</w:t>
      </w:r>
      <w:r w:rsidR="00A2154B">
        <w:rPr>
          <w:szCs w:val="20"/>
          <w:lang w:eastAsia="en-AU"/>
        </w:rPr>
        <w:t xml:space="preserve"> </w:t>
      </w:r>
      <w:r w:rsidR="00D2702B">
        <w:rPr>
          <w:szCs w:val="20"/>
          <w:lang w:eastAsia="en-AU"/>
        </w:rPr>
        <w:t>concerned,</w:t>
      </w:r>
      <w:r>
        <w:rPr>
          <w:szCs w:val="20"/>
          <w:lang w:eastAsia="en-AU"/>
        </w:rPr>
        <w:t xml:space="preserve"> or </w:t>
      </w:r>
      <w:r w:rsidR="00D2702B">
        <w:rPr>
          <w:szCs w:val="20"/>
          <w:lang w:eastAsia="en-AU"/>
        </w:rPr>
        <w:t xml:space="preserve">that </w:t>
      </w:r>
      <w:r>
        <w:rPr>
          <w:szCs w:val="20"/>
          <w:lang w:eastAsia="en-AU"/>
        </w:rPr>
        <w:t>operate solely between holder and issuer.</w:t>
      </w:r>
    </w:p>
    <w:p w14:paraId="22F32CCA" w14:textId="77777777" w:rsidR="006C6A53" w:rsidRDefault="006C6A53" w:rsidP="00B1305F">
      <w:pPr>
        <w:rPr>
          <w:szCs w:val="20"/>
          <w:lang w:eastAsia="en-AU"/>
        </w:rPr>
      </w:pPr>
    </w:p>
    <w:p w14:paraId="660A0ABC" w14:textId="71664847" w:rsidR="000E123D" w:rsidRDefault="006C6A53" w:rsidP="00B1305F">
      <w:pPr>
        <w:rPr>
          <w:szCs w:val="20"/>
          <w:lang w:eastAsia="en-AU"/>
        </w:rPr>
      </w:pPr>
      <w:r>
        <w:rPr>
          <w:szCs w:val="20"/>
          <w:lang w:eastAsia="en-AU"/>
        </w:rPr>
        <w:t>The arrangement regarding the control of the voting rights or equity interests must have a more than incidental effect on the value of those rights or interests</w:t>
      </w:r>
      <w:r w:rsidR="002D5667">
        <w:rPr>
          <w:szCs w:val="20"/>
          <w:lang w:eastAsia="en-AU"/>
        </w:rPr>
        <w:t xml:space="preserve">. </w:t>
      </w:r>
      <w:r>
        <w:rPr>
          <w:szCs w:val="20"/>
          <w:lang w:eastAsia="en-AU"/>
        </w:rPr>
        <w:t xml:space="preserve">The more than incidental </w:t>
      </w:r>
      <w:r>
        <w:rPr>
          <w:szCs w:val="20"/>
          <w:lang w:eastAsia="en-AU"/>
        </w:rPr>
        <w:lastRenderedPageBreak/>
        <w:t xml:space="preserve">threshold </w:t>
      </w:r>
      <w:r w:rsidR="007B5531">
        <w:rPr>
          <w:szCs w:val="20"/>
          <w:lang w:eastAsia="en-AU"/>
        </w:rPr>
        <w:t xml:space="preserve">means that </w:t>
      </w:r>
      <w:r>
        <w:rPr>
          <w:szCs w:val="20"/>
          <w:lang w:eastAsia="en-AU"/>
        </w:rPr>
        <w:t xml:space="preserve">an investor </w:t>
      </w:r>
      <w:r w:rsidR="00D2702B">
        <w:rPr>
          <w:szCs w:val="20"/>
          <w:lang w:eastAsia="en-AU"/>
        </w:rPr>
        <w:t xml:space="preserve">will </w:t>
      </w:r>
      <w:r w:rsidR="007B5531">
        <w:rPr>
          <w:szCs w:val="20"/>
          <w:lang w:eastAsia="en-AU"/>
        </w:rPr>
        <w:t xml:space="preserve">not </w:t>
      </w:r>
      <w:r>
        <w:rPr>
          <w:szCs w:val="20"/>
          <w:lang w:eastAsia="en-AU"/>
        </w:rPr>
        <w:t>ha</w:t>
      </w:r>
      <w:r w:rsidR="007B5531">
        <w:rPr>
          <w:szCs w:val="20"/>
          <w:lang w:eastAsia="en-AU"/>
        </w:rPr>
        <w:t>ve</w:t>
      </w:r>
      <w:r>
        <w:rPr>
          <w:szCs w:val="20"/>
          <w:lang w:eastAsia="en-AU"/>
        </w:rPr>
        <w:t xml:space="preserve"> their rights or interests treated as part of a common holding arrangement simply because the investor is party to a commercially standard shareholder agreement that does not have a significant impact on the ability of the investor to exercise ownership or control over their </w:t>
      </w:r>
      <w:r w:rsidR="000E123D">
        <w:rPr>
          <w:szCs w:val="20"/>
          <w:lang w:eastAsia="en-AU"/>
        </w:rPr>
        <w:t>interests.</w:t>
      </w:r>
    </w:p>
    <w:p w14:paraId="2A4AC7D5" w14:textId="77777777" w:rsidR="000E123D" w:rsidRDefault="000E123D" w:rsidP="00B1305F">
      <w:pPr>
        <w:rPr>
          <w:szCs w:val="20"/>
          <w:lang w:eastAsia="en-AU"/>
        </w:rPr>
      </w:pPr>
    </w:p>
    <w:p w14:paraId="11E101AF" w14:textId="747D1E44" w:rsidR="000E123D" w:rsidRPr="00925A3A" w:rsidRDefault="000E123D" w:rsidP="000E123D">
      <w:pPr>
        <w:pBdr>
          <w:top w:val="single" w:sz="4" w:space="10" w:color="auto"/>
          <w:left w:val="single" w:sz="4" w:space="10" w:color="auto"/>
          <w:bottom w:val="single" w:sz="4" w:space="10" w:color="auto"/>
          <w:right w:val="single" w:sz="4" w:space="10" w:color="auto"/>
        </w:pBdr>
        <w:rPr>
          <w:b/>
          <w:sz w:val="20"/>
          <w:szCs w:val="20"/>
          <w:lang w:eastAsia="en-AU"/>
        </w:rPr>
      </w:pPr>
      <w:r>
        <w:rPr>
          <w:b/>
          <w:sz w:val="20"/>
          <w:szCs w:val="20"/>
          <w:lang w:eastAsia="en-AU"/>
        </w:rPr>
        <w:t>Example</w:t>
      </w:r>
      <w:r w:rsidR="007B5531">
        <w:rPr>
          <w:b/>
          <w:sz w:val="20"/>
          <w:szCs w:val="20"/>
          <w:lang w:eastAsia="en-AU"/>
        </w:rPr>
        <w:t xml:space="preserve"> </w:t>
      </w:r>
      <w:r w:rsidR="007A382F">
        <w:rPr>
          <w:b/>
          <w:sz w:val="20"/>
          <w:szCs w:val="20"/>
          <w:lang w:eastAsia="en-AU"/>
        </w:rPr>
        <w:t>1</w:t>
      </w:r>
      <w:r w:rsidR="00824EF8">
        <w:rPr>
          <w:b/>
          <w:sz w:val="20"/>
          <w:szCs w:val="20"/>
          <w:lang w:eastAsia="en-AU"/>
        </w:rPr>
        <w:t>: C</w:t>
      </w:r>
      <w:r w:rsidR="007B5531">
        <w:rPr>
          <w:b/>
          <w:sz w:val="20"/>
          <w:szCs w:val="20"/>
          <w:lang w:eastAsia="en-AU"/>
        </w:rPr>
        <w:t>ommercially</w:t>
      </w:r>
      <w:r w:rsidR="00FE5A61">
        <w:rPr>
          <w:b/>
          <w:sz w:val="20"/>
          <w:szCs w:val="20"/>
          <w:lang w:eastAsia="en-AU"/>
        </w:rPr>
        <w:t xml:space="preserve"> standard shareholder agreement</w:t>
      </w:r>
    </w:p>
    <w:p w14:paraId="000A5F1C" w14:textId="77777777" w:rsidR="000E123D" w:rsidRPr="00925A3A" w:rsidRDefault="000E123D" w:rsidP="000E123D">
      <w:pPr>
        <w:pBdr>
          <w:top w:val="single" w:sz="4" w:space="10" w:color="auto"/>
          <w:left w:val="single" w:sz="4" w:space="10" w:color="auto"/>
          <w:bottom w:val="single" w:sz="4" w:space="10" w:color="auto"/>
          <w:right w:val="single" w:sz="4" w:space="10" w:color="auto"/>
        </w:pBdr>
        <w:rPr>
          <w:sz w:val="20"/>
          <w:szCs w:val="20"/>
          <w:lang w:eastAsia="en-AU"/>
        </w:rPr>
      </w:pPr>
    </w:p>
    <w:p w14:paraId="28EF620E" w14:textId="2AAB3F54" w:rsidR="00FE25CA" w:rsidRDefault="004A33D8" w:rsidP="000E123D">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Aardvark</w:t>
      </w:r>
      <w:r w:rsidR="00FE25CA">
        <w:rPr>
          <w:sz w:val="20"/>
          <w:szCs w:val="20"/>
          <w:lang w:eastAsia="en-AU"/>
        </w:rPr>
        <w:t xml:space="preserve"> Co together with a number of other investors holds </w:t>
      </w:r>
      <w:r w:rsidR="00C53D74">
        <w:rPr>
          <w:sz w:val="20"/>
          <w:szCs w:val="20"/>
          <w:lang w:eastAsia="en-AU"/>
        </w:rPr>
        <w:t>one hundred percent</w:t>
      </w:r>
      <w:r w:rsidR="00FE25CA">
        <w:rPr>
          <w:sz w:val="20"/>
          <w:szCs w:val="20"/>
          <w:lang w:eastAsia="en-AU"/>
        </w:rPr>
        <w:t xml:space="preserve"> of the shares in </w:t>
      </w:r>
      <w:r>
        <w:rPr>
          <w:sz w:val="20"/>
          <w:szCs w:val="20"/>
          <w:lang w:eastAsia="en-AU"/>
        </w:rPr>
        <w:t>Badger</w:t>
      </w:r>
      <w:r w:rsidR="00FE25CA">
        <w:rPr>
          <w:sz w:val="20"/>
          <w:szCs w:val="20"/>
          <w:lang w:eastAsia="en-AU"/>
        </w:rPr>
        <w:t xml:space="preserve"> Co</w:t>
      </w:r>
      <w:r w:rsidR="002D5667">
        <w:rPr>
          <w:sz w:val="20"/>
          <w:szCs w:val="20"/>
          <w:lang w:eastAsia="en-AU"/>
        </w:rPr>
        <w:t xml:space="preserve">. </w:t>
      </w:r>
      <w:r>
        <w:rPr>
          <w:sz w:val="20"/>
          <w:szCs w:val="20"/>
          <w:lang w:eastAsia="en-AU"/>
        </w:rPr>
        <w:t xml:space="preserve">Aardvark </w:t>
      </w:r>
      <w:r w:rsidR="00FE25CA">
        <w:rPr>
          <w:sz w:val="20"/>
          <w:szCs w:val="20"/>
          <w:lang w:eastAsia="en-AU"/>
        </w:rPr>
        <w:t xml:space="preserve">Co is the single largest shareholder holding </w:t>
      </w:r>
      <w:r w:rsidR="00C53D74">
        <w:rPr>
          <w:sz w:val="20"/>
          <w:szCs w:val="20"/>
          <w:lang w:eastAsia="en-AU"/>
        </w:rPr>
        <w:t>forty percent,</w:t>
      </w:r>
      <w:r w:rsidR="00FE25CA">
        <w:rPr>
          <w:sz w:val="20"/>
          <w:szCs w:val="20"/>
          <w:lang w:eastAsia="en-AU"/>
        </w:rPr>
        <w:t xml:space="preserve"> with the remaining 12 investors each holding </w:t>
      </w:r>
      <w:r w:rsidR="00C53D74">
        <w:rPr>
          <w:sz w:val="20"/>
          <w:szCs w:val="20"/>
          <w:lang w:eastAsia="en-AU"/>
        </w:rPr>
        <w:t>five percent</w:t>
      </w:r>
      <w:r w:rsidR="002D5667">
        <w:rPr>
          <w:sz w:val="20"/>
          <w:szCs w:val="20"/>
          <w:lang w:eastAsia="en-AU"/>
        </w:rPr>
        <w:t xml:space="preserve">. </w:t>
      </w:r>
      <w:r w:rsidR="00FE25CA">
        <w:rPr>
          <w:sz w:val="20"/>
          <w:szCs w:val="20"/>
          <w:lang w:eastAsia="en-AU"/>
        </w:rPr>
        <w:t xml:space="preserve">The shareholders enter into a shareholders’ agreement that provides </w:t>
      </w:r>
      <w:r>
        <w:rPr>
          <w:sz w:val="20"/>
          <w:szCs w:val="20"/>
          <w:lang w:eastAsia="en-AU"/>
        </w:rPr>
        <w:t xml:space="preserve">Aardvark </w:t>
      </w:r>
      <w:r w:rsidR="00FE25CA">
        <w:rPr>
          <w:sz w:val="20"/>
          <w:szCs w:val="20"/>
          <w:lang w:eastAsia="en-AU"/>
        </w:rPr>
        <w:t xml:space="preserve">Co with a first right of refusal on any disposal of the shares and drag-along and tag-along provisions in the event that an offer is made for a majority of the shares in </w:t>
      </w:r>
      <w:r>
        <w:rPr>
          <w:sz w:val="20"/>
          <w:szCs w:val="20"/>
          <w:lang w:eastAsia="en-AU"/>
        </w:rPr>
        <w:t>Badger</w:t>
      </w:r>
      <w:r w:rsidR="00FE25CA">
        <w:rPr>
          <w:sz w:val="20"/>
          <w:szCs w:val="20"/>
          <w:lang w:eastAsia="en-AU"/>
        </w:rPr>
        <w:t xml:space="preserve"> Co.</w:t>
      </w:r>
    </w:p>
    <w:p w14:paraId="0291855D" w14:textId="77777777" w:rsidR="00FE25CA" w:rsidRDefault="00FE25CA" w:rsidP="000E123D">
      <w:pPr>
        <w:pBdr>
          <w:top w:val="single" w:sz="4" w:space="10" w:color="auto"/>
          <w:left w:val="single" w:sz="4" w:space="10" w:color="auto"/>
          <w:bottom w:val="single" w:sz="4" w:space="10" w:color="auto"/>
          <w:right w:val="single" w:sz="4" w:space="10" w:color="auto"/>
        </w:pBdr>
        <w:rPr>
          <w:sz w:val="20"/>
          <w:szCs w:val="20"/>
          <w:lang w:eastAsia="en-AU"/>
        </w:rPr>
      </w:pPr>
    </w:p>
    <w:p w14:paraId="23B5EC78" w14:textId="4AD2D5C5" w:rsidR="001752F9" w:rsidRDefault="00FE5A61" w:rsidP="000E123D">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Question</w:t>
      </w:r>
    </w:p>
    <w:p w14:paraId="153D8D78" w14:textId="77777777" w:rsidR="001752F9" w:rsidRDefault="001752F9" w:rsidP="000E123D">
      <w:pPr>
        <w:pBdr>
          <w:top w:val="single" w:sz="4" w:space="10" w:color="auto"/>
          <w:left w:val="single" w:sz="4" w:space="10" w:color="auto"/>
          <w:bottom w:val="single" w:sz="4" w:space="10" w:color="auto"/>
          <w:right w:val="single" w:sz="4" w:space="10" w:color="auto"/>
        </w:pBdr>
        <w:rPr>
          <w:i/>
          <w:sz w:val="20"/>
          <w:szCs w:val="20"/>
          <w:lang w:eastAsia="en-AU"/>
        </w:rPr>
      </w:pPr>
    </w:p>
    <w:p w14:paraId="7568DEDA" w14:textId="15624796" w:rsidR="001752F9" w:rsidRDefault="001752F9" w:rsidP="000E123D">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Whether </w:t>
      </w:r>
      <w:r w:rsidR="00342EF4">
        <w:rPr>
          <w:sz w:val="20"/>
          <w:szCs w:val="20"/>
          <w:lang w:eastAsia="en-AU"/>
        </w:rPr>
        <w:t xml:space="preserve">Aardvark Co and the other </w:t>
      </w:r>
      <w:r>
        <w:rPr>
          <w:sz w:val="20"/>
          <w:szCs w:val="20"/>
          <w:lang w:eastAsia="en-AU"/>
        </w:rPr>
        <w:t xml:space="preserve">investors in </w:t>
      </w:r>
      <w:r w:rsidR="004A33D8">
        <w:rPr>
          <w:sz w:val="20"/>
          <w:szCs w:val="20"/>
          <w:lang w:eastAsia="en-AU"/>
        </w:rPr>
        <w:t>Badger</w:t>
      </w:r>
      <w:r>
        <w:rPr>
          <w:sz w:val="20"/>
          <w:szCs w:val="20"/>
          <w:lang w:eastAsia="en-AU"/>
        </w:rPr>
        <w:t xml:space="preserve"> Co are </w:t>
      </w:r>
      <w:r w:rsidR="008777B7">
        <w:rPr>
          <w:sz w:val="20"/>
          <w:szCs w:val="20"/>
          <w:lang w:eastAsia="en-AU"/>
        </w:rPr>
        <w:t>acting together within the scope</w:t>
      </w:r>
      <w:r w:rsidR="00FE5A61">
        <w:rPr>
          <w:sz w:val="20"/>
          <w:szCs w:val="20"/>
          <w:lang w:eastAsia="en-AU"/>
        </w:rPr>
        <w:t xml:space="preserve"> of limb (c) of the definition?</w:t>
      </w:r>
    </w:p>
    <w:p w14:paraId="533A3C1E" w14:textId="77777777" w:rsidR="001752F9" w:rsidRDefault="001752F9" w:rsidP="000E123D">
      <w:pPr>
        <w:pBdr>
          <w:top w:val="single" w:sz="4" w:space="10" w:color="auto"/>
          <w:left w:val="single" w:sz="4" w:space="10" w:color="auto"/>
          <w:bottom w:val="single" w:sz="4" w:space="10" w:color="auto"/>
          <w:right w:val="single" w:sz="4" w:space="10" w:color="auto"/>
        </w:pBdr>
        <w:rPr>
          <w:sz w:val="20"/>
          <w:szCs w:val="20"/>
          <w:lang w:eastAsia="en-AU"/>
        </w:rPr>
      </w:pPr>
    </w:p>
    <w:p w14:paraId="7C212C87" w14:textId="01C8ED6F" w:rsidR="001752F9" w:rsidRDefault="00FE5A61" w:rsidP="000E123D">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Answer</w:t>
      </w:r>
    </w:p>
    <w:p w14:paraId="1FB62AE2" w14:textId="77777777" w:rsidR="001752F9" w:rsidRDefault="001752F9" w:rsidP="000E123D">
      <w:pPr>
        <w:pBdr>
          <w:top w:val="single" w:sz="4" w:space="10" w:color="auto"/>
          <w:left w:val="single" w:sz="4" w:space="10" w:color="auto"/>
          <w:bottom w:val="single" w:sz="4" w:space="10" w:color="auto"/>
          <w:right w:val="single" w:sz="4" w:space="10" w:color="auto"/>
        </w:pBdr>
        <w:rPr>
          <w:i/>
          <w:sz w:val="20"/>
          <w:szCs w:val="20"/>
          <w:lang w:eastAsia="en-AU"/>
        </w:rPr>
      </w:pPr>
    </w:p>
    <w:p w14:paraId="2A97F30C" w14:textId="2F761EC8" w:rsidR="000E123D" w:rsidRPr="00925A3A" w:rsidRDefault="008777B7" w:rsidP="000E123D">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No (generally)</w:t>
      </w:r>
      <w:r w:rsidR="002D5667">
        <w:rPr>
          <w:sz w:val="20"/>
          <w:szCs w:val="20"/>
          <w:lang w:eastAsia="en-AU"/>
        </w:rPr>
        <w:t xml:space="preserve">. </w:t>
      </w:r>
      <w:r w:rsidR="001752F9">
        <w:rPr>
          <w:sz w:val="20"/>
          <w:szCs w:val="20"/>
          <w:lang w:eastAsia="en-AU"/>
        </w:rPr>
        <w:t>The right to buy other shareholders’ shares at market value, as well as the drag along and ta</w:t>
      </w:r>
      <w:r w:rsidR="00D2702B">
        <w:rPr>
          <w:sz w:val="20"/>
          <w:szCs w:val="20"/>
          <w:lang w:eastAsia="en-AU"/>
        </w:rPr>
        <w:t>g</w:t>
      </w:r>
      <w:r w:rsidR="001752F9">
        <w:rPr>
          <w:sz w:val="20"/>
          <w:szCs w:val="20"/>
          <w:lang w:eastAsia="en-AU"/>
        </w:rPr>
        <w:t xml:space="preserve"> along rights are relatively standard terms in a shareholders’ agreement for a company that is not widely held</w:t>
      </w:r>
      <w:r w:rsidR="002D5667">
        <w:rPr>
          <w:sz w:val="20"/>
          <w:szCs w:val="20"/>
          <w:lang w:eastAsia="en-AU"/>
        </w:rPr>
        <w:t xml:space="preserve">. </w:t>
      </w:r>
      <w:r w:rsidR="001752F9">
        <w:rPr>
          <w:sz w:val="20"/>
          <w:szCs w:val="20"/>
          <w:lang w:eastAsia="en-AU"/>
        </w:rPr>
        <w:t xml:space="preserve">These types of provisions will not generally have a material impact on the value of the holder’s equity interest and therefore should not be taken into account for the purposes of </w:t>
      </w:r>
      <w:r w:rsidR="009F5B91">
        <w:rPr>
          <w:sz w:val="20"/>
          <w:szCs w:val="20"/>
          <w:lang w:eastAsia="en-AU"/>
        </w:rPr>
        <w:t xml:space="preserve">limb (c) of </w:t>
      </w:r>
      <w:r w:rsidR="001752F9">
        <w:rPr>
          <w:sz w:val="20"/>
          <w:szCs w:val="20"/>
          <w:lang w:eastAsia="en-AU"/>
        </w:rPr>
        <w:t>the acting together requirement.</w:t>
      </w:r>
    </w:p>
    <w:p w14:paraId="2253F01F" w14:textId="7EF93AFD" w:rsidR="00B1305F" w:rsidRDefault="00B1305F" w:rsidP="000E123D">
      <w:pPr>
        <w:rPr>
          <w:szCs w:val="20"/>
          <w:lang w:eastAsia="en-AU"/>
        </w:rPr>
      </w:pPr>
    </w:p>
    <w:p w14:paraId="092FAA29" w14:textId="11E9DC7C" w:rsidR="0072770D" w:rsidRPr="00925A3A" w:rsidRDefault="0072770D" w:rsidP="0072770D">
      <w:pPr>
        <w:pBdr>
          <w:top w:val="single" w:sz="4" w:space="10" w:color="auto"/>
          <w:left w:val="single" w:sz="4" w:space="10" w:color="auto"/>
          <w:bottom w:val="single" w:sz="4" w:space="10" w:color="auto"/>
          <w:right w:val="single" w:sz="4" w:space="10" w:color="auto"/>
        </w:pBdr>
        <w:rPr>
          <w:b/>
          <w:sz w:val="20"/>
          <w:szCs w:val="20"/>
          <w:lang w:eastAsia="en-AU"/>
        </w:rPr>
      </w:pPr>
      <w:r>
        <w:rPr>
          <w:b/>
          <w:sz w:val="20"/>
          <w:szCs w:val="20"/>
          <w:lang w:eastAsia="en-AU"/>
        </w:rPr>
        <w:t>Example</w:t>
      </w:r>
      <w:r w:rsidR="007B5531">
        <w:rPr>
          <w:b/>
          <w:sz w:val="20"/>
          <w:szCs w:val="20"/>
          <w:lang w:eastAsia="en-AU"/>
        </w:rPr>
        <w:t xml:space="preserve"> </w:t>
      </w:r>
      <w:r w:rsidR="007A382F">
        <w:rPr>
          <w:b/>
          <w:sz w:val="20"/>
          <w:szCs w:val="20"/>
          <w:lang w:eastAsia="en-AU"/>
        </w:rPr>
        <w:t>2</w:t>
      </w:r>
      <w:r w:rsidR="00824EF8">
        <w:rPr>
          <w:b/>
          <w:sz w:val="20"/>
          <w:szCs w:val="20"/>
          <w:lang w:eastAsia="en-AU"/>
        </w:rPr>
        <w:t>: S</w:t>
      </w:r>
      <w:r w:rsidR="007B5531">
        <w:rPr>
          <w:b/>
          <w:sz w:val="20"/>
          <w:szCs w:val="20"/>
          <w:lang w:eastAsia="en-AU"/>
        </w:rPr>
        <w:t>hareholders subscribe for proportional debt</w:t>
      </w:r>
    </w:p>
    <w:p w14:paraId="049F92A8" w14:textId="77777777" w:rsidR="0072770D" w:rsidRDefault="0072770D" w:rsidP="0072770D">
      <w:pPr>
        <w:pBdr>
          <w:top w:val="single" w:sz="4" w:space="10" w:color="auto"/>
          <w:left w:val="single" w:sz="4" w:space="10" w:color="auto"/>
          <w:bottom w:val="single" w:sz="4" w:space="10" w:color="auto"/>
          <w:right w:val="single" w:sz="4" w:space="10" w:color="auto"/>
        </w:pBdr>
        <w:rPr>
          <w:sz w:val="20"/>
          <w:szCs w:val="20"/>
          <w:lang w:eastAsia="en-AU"/>
        </w:rPr>
      </w:pPr>
    </w:p>
    <w:p w14:paraId="78C9ED80" w14:textId="1AE9C344" w:rsidR="00096812" w:rsidRDefault="00B9778E" w:rsidP="0072770D">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There are 10 investors in </w:t>
      </w:r>
      <w:r w:rsidR="004A33D8">
        <w:rPr>
          <w:sz w:val="20"/>
          <w:szCs w:val="20"/>
          <w:lang w:eastAsia="en-AU"/>
        </w:rPr>
        <w:t>Crab</w:t>
      </w:r>
      <w:r>
        <w:rPr>
          <w:sz w:val="20"/>
          <w:szCs w:val="20"/>
          <w:lang w:eastAsia="en-AU"/>
        </w:rPr>
        <w:t xml:space="preserve"> Co with each holding </w:t>
      </w:r>
      <w:r w:rsidR="00C53D74">
        <w:rPr>
          <w:sz w:val="20"/>
          <w:szCs w:val="20"/>
          <w:lang w:eastAsia="en-AU"/>
        </w:rPr>
        <w:t>ten percent</w:t>
      </w:r>
      <w:r>
        <w:rPr>
          <w:sz w:val="20"/>
          <w:szCs w:val="20"/>
          <w:lang w:eastAsia="en-AU"/>
        </w:rPr>
        <w:t xml:space="preserve"> of its shares</w:t>
      </w:r>
      <w:r w:rsidR="002D5667">
        <w:rPr>
          <w:sz w:val="20"/>
          <w:szCs w:val="20"/>
          <w:lang w:eastAsia="en-AU"/>
        </w:rPr>
        <w:t xml:space="preserve">. </w:t>
      </w:r>
      <w:r>
        <w:rPr>
          <w:sz w:val="20"/>
          <w:szCs w:val="20"/>
          <w:lang w:eastAsia="en-AU"/>
        </w:rPr>
        <w:t xml:space="preserve">The 10 investors enter into a shareholders’ agreement to </w:t>
      </w:r>
      <w:r w:rsidR="008777B7">
        <w:rPr>
          <w:sz w:val="20"/>
          <w:szCs w:val="20"/>
          <w:lang w:eastAsia="en-AU"/>
        </w:rPr>
        <w:t>subscribe</w:t>
      </w:r>
      <w:r>
        <w:rPr>
          <w:sz w:val="20"/>
          <w:szCs w:val="20"/>
          <w:lang w:eastAsia="en-AU"/>
        </w:rPr>
        <w:t xml:space="preserve"> for </w:t>
      </w:r>
      <w:r w:rsidR="008777B7">
        <w:rPr>
          <w:sz w:val="20"/>
          <w:szCs w:val="20"/>
          <w:lang w:eastAsia="en-AU"/>
        </w:rPr>
        <w:t xml:space="preserve">proportional </w:t>
      </w:r>
      <w:r>
        <w:rPr>
          <w:sz w:val="20"/>
          <w:szCs w:val="20"/>
          <w:lang w:eastAsia="en-AU"/>
        </w:rPr>
        <w:t xml:space="preserve">debt in </w:t>
      </w:r>
      <w:r w:rsidR="004A33D8">
        <w:rPr>
          <w:sz w:val="20"/>
          <w:szCs w:val="20"/>
          <w:lang w:eastAsia="en-AU"/>
        </w:rPr>
        <w:t xml:space="preserve">Crab </w:t>
      </w:r>
      <w:r>
        <w:rPr>
          <w:sz w:val="20"/>
          <w:szCs w:val="20"/>
          <w:lang w:eastAsia="en-AU"/>
        </w:rPr>
        <w:t>Co</w:t>
      </w:r>
      <w:r w:rsidR="002D5667">
        <w:rPr>
          <w:sz w:val="20"/>
          <w:szCs w:val="20"/>
          <w:lang w:eastAsia="en-AU"/>
        </w:rPr>
        <w:t xml:space="preserve">. </w:t>
      </w:r>
      <w:r w:rsidR="008777B7">
        <w:rPr>
          <w:sz w:val="20"/>
          <w:szCs w:val="20"/>
          <w:lang w:eastAsia="en-AU"/>
        </w:rPr>
        <w:t>The proportional debt is a hybrid financial instrument for some of the investors, but not all of them, depending on their tax residence</w:t>
      </w:r>
      <w:r w:rsidR="002D5667">
        <w:rPr>
          <w:sz w:val="20"/>
          <w:szCs w:val="20"/>
          <w:lang w:eastAsia="en-AU"/>
        </w:rPr>
        <w:t xml:space="preserve">. </w:t>
      </w:r>
      <w:r w:rsidR="008777B7">
        <w:rPr>
          <w:sz w:val="20"/>
          <w:szCs w:val="20"/>
          <w:lang w:eastAsia="en-AU"/>
        </w:rPr>
        <w:t xml:space="preserve">The 10 investors each voted positively for </w:t>
      </w:r>
      <w:r w:rsidR="004A33D8">
        <w:rPr>
          <w:sz w:val="20"/>
          <w:szCs w:val="20"/>
          <w:lang w:eastAsia="en-AU"/>
        </w:rPr>
        <w:t xml:space="preserve">Crab </w:t>
      </w:r>
      <w:r w:rsidR="008777B7">
        <w:rPr>
          <w:sz w:val="20"/>
          <w:szCs w:val="20"/>
          <w:lang w:eastAsia="en-AU"/>
        </w:rPr>
        <w:t>Co to issue the proportional debt, but exercise</w:t>
      </w:r>
      <w:r w:rsidR="00D2702B">
        <w:rPr>
          <w:sz w:val="20"/>
          <w:szCs w:val="20"/>
          <w:lang w:eastAsia="en-AU"/>
        </w:rPr>
        <w:t>d</w:t>
      </w:r>
      <w:r w:rsidR="008777B7">
        <w:rPr>
          <w:sz w:val="20"/>
          <w:szCs w:val="20"/>
          <w:lang w:eastAsia="en-AU"/>
        </w:rPr>
        <w:t xml:space="preserve"> their voting rights independently of each other.</w:t>
      </w:r>
    </w:p>
    <w:p w14:paraId="75A949B9" w14:textId="77777777" w:rsidR="00096812" w:rsidRDefault="00096812" w:rsidP="0072770D">
      <w:pPr>
        <w:pBdr>
          <w:top w:val="single" w:sz="4" w:space="10" w:color="auto"/>
          <w:left w:val="single" w:sz="4" w:space="10" w:color="auto"/>
          <w:bottom w:val="single" w:sz="4" w:space="10" w:color="auto"/>
          <w:right w:val="single" w:sz="4" w:space="10" w:color="auto"/>
        </w:pBdr>
        <w:rPr>
          <w:sz w:val="20"/>
          <w:szCs w:val="20"/>
          <w:lang w:eastAsia="en-AU"/>
        </w:rPr>
      </w:pPr>
    </w:p>
    <w:p w14:paraId="7A7E32B8" w14:textId="77777777" w:rsidR="008777B7" w:rsidRDefault="008777B7" w:rsidP="0072770D">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Question</w:t>
      </w:r>
    </w:p>
    <w:p w14:paraId="566CA811" w14:textId="77777777" w:rsidR="008777B7" w:rsidRDefault="008777B7" w:rsidP="0072770D">
      <w:pPr>
        <w:pBdr>
          <w:top w:val="single" w:sz="4" w:space="10" w:color="auto"/>
          <w:left w:val="single" w:sz="4" w:space="10" w:color="auto"/>
          <w:bottom w:val="single" w:sz="4" w:space="10" w:color="auto"/>
          <w:right w:val="single" w:sz="4" w:space="10" w:color="auto"/>
        </w:pBdr>
        <w:rPr>
          <w:i/>
          <w:sz w:val="20"/>
          <w:szCs w:val="20"/>
          <w:lang w:eastAsia="en-AU"/>
        </w:rPr>
      </w:pPr>
    </w:p>
    <w:p w14:paraId="21786B52" w14:textId="25C3C720" w:rsidR="008777B7" w:rsidRPr="008777B7" w:rsidRDefault="008777B7" w:rsidP="0072770D">
      <w:pPr>
        <w:pBdr>
          <w:top w:val="single" w:sz="4" w:space="10" w:color="auto"/>
          <w:left w:val="single" w:sz="4" w:space="10" w:color="auto"/>
          <w:bottom w:val="single" w:sz="4" w:space="10" w:color="auto"/>
          <w:right w:val="single" w:sz="4" w:space="10" w:color="auto"/>
        </w:pBdr>
        <w:rPr>
          <w:i/>
          <w:sz w:val="20"/>
          <w:szCs w:val="20"/>
          <w:lang w:eastAsia="en-AU"/>
        </w:rPr>
      </w:pPr>
      <w:r>
        <w:rPr>
          <w:sz w:val="20"/>
          <w:szCs w:val="20"/>
          <w:lang w:eastAsia="en-AU"/>
        </w:rPr>
        <w:t xml:space="preserve">Whether the investors in </w:t>
      </w:r>
      <w:r w:rsidR="004A33D8">
        <w:rPr>
          <w:sz w:val="20"/>
          <w:szCs w:val="20"/>
          <w:lang w:eastAsia="en-AU"/>
        </w:rPr>
        <w:t xml:space="preserve">Crab </w:t>
      </w:r>
      <w:r>
        <w:rPr>
          <w:sz w:val="20"/>
          <w:szCs w:val="20"/>
          <w:lang w:eastAsia="en-AU"/>
        </w:rPr>
        <w:t>Co are acting together within the scope of limb (b) or (c) of the definition?</w:t>
      </w:r>
    </w:p>
    <w:p w14:paraId="23B9E5C8" w14:textId="62BAE91F" w:rsidR="008777B7" w:rsidRDefault="008777B7" w:rsidP="0072770D">
      <w:pPr>
        <w:pBdr>
          <w:top w:val="single" w:sz="4" w:space="10" w:color="auto"/>
          <w:left w:val="single" w:sz="4" w:space="10" w:color="auto"/>
          <w:bottom w:val="single" w:sz="4" w:space="10" w:color="auto"/>
          <w:right w:val="single" w:sz="4" w:space="10" w:color="auto"/>
        </w:pBdr>
        <w:rPr>
          <w:sz w:val="20"/>
          <w:szCs w:val="20"/>
          <w:lang w:eastAsia="en-AU"/>
        </w:rPr>
      </w:pPr>
    </w:p>
    <w:p w14:paraId="2DB0FDF4" w14:textId="472D7A0B" w:rsidR="008777B7" w:rsidRPr="008777B7" w:rsidRDefault="00FE5A61" w:rsidP="0072770D">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Answer</w:t>
      </w:r>
    </w:p>
    <w:p w14:paraId="7A0B3A60" w14:textId="77777777" w:rsidR="008777B7" w:rsidRDefault="008777B7" w:rsidP="0072770D">
      <w:pPr>
        <w:pBdr>
          <w:top w:val="single" w:sz="4" w:space="10" w:color="auto"/>
          <w:left w:val="single" w:sz="4" w:space="10" w:color="auto"/>
          <w:bottom w:val="single" w:sz="4" w:space="10" w:color="auto"/>
          <w:right w:val="single" w:sz="4" w:space="10" w:color="auto"/>
        </w:pBdr>
        <w:rPr>
          <w:sz w:val="20"/>
          <w:szCs w:val="20"/>
          <w:lang w:eastAsia="en-AU"/>
        </w:rPr>
      </w:pPr>
    </w:p>
    <w:p w14:paraId="1BCB72AF" w14:textId="26C974C7" w:rsidR="00B9778E" w:rsidRPr="00925A3A" w:rsidRDefault="008777B7" w:rsidP="0072770D">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No (generally)</w:t>
      </w:r>
      <w:r w:rsidR="002D5667">
        <w:rPr>
          <w:sz w:val="20"/>
          <w:szCs w:val="20"/>
          <w:lang w:eastAsia="en-AU"/>
        </w:rPr>
        <w:t xml:space="preserve">. </w:t>
      </w:r>
      <w:r w:rsidR="009F5B91">
        <w:rPr>
          <w:sz w:val="20"/>
          <w:szCs w:val="20"/>
          <w:lang w:eastAsia="en-AU"/>
        </w:rPr>
        <w:t>If some, or (in this case) all, of the investors agree that they will fund the company pro rata in a certain way, that should not, in and of itself, mean that the investors typically act in the way preferred by the other holders because of the holder’s preference per limb (b)</w:t>
      </w:r>
      <w:r w:rsidR="002D5667">
        <w:rPr>
          <w:sz w:val="20"/>
          <w:szCs w:val="20"/>
          <w:lang w:eastAsia="en-AU"/>
        </w:rPr>
        <w:t xml:space="preserve">. </w:t>
      </w:r>
      <w:r w:rsidR="00907F78">
        <w:rPr>
          <w:sz w:val="20"/>
          <w:szCs w:val="20"/>
          <w:lang w:eastAsia="en-AU"/>
        </w:rPr>
        <w:t>While the shareholders’ agreement may provide for the issue of proportional debt, it should not generally have a more than incidental impact on the value of the shares</w:t>
      </w:r>
      <w:r w:rsidR="002D5667">
        <w:rPr>
          <w:sz w:val="20"/>
          <w:szCs w:val="20"/>
          <w:lang w:eastAsia="en-AU"/>
        </w:rPr>
        <w:t xml:space="preserve">. </w:t>
      </w:r>
      <w:r w:rsidR="00907F78">
        <w:rPr>
          <w:sz w:val="20"/>
          <w:szCs w:val="20"/>
          <w:lang w:eastAsia="en-AU"/>
        </w:rPr>
        <w:t xml:space="preserve">For instance, if </w:t>
      </w:r>
      <w:r w:rsidR="004A33D8">
        <w:rPr>
          <w:sz w:val="20"/>
          <w:szCs w:val="20"/>
          <w:lang w:eastAsia="en-AU"/>
        </w:rPr>
        <w:t xml:space="preserve">Crab </w:t>
      </w:r>
      <w:r w:rsidR="00907F78">
        <w:rPr>
          <w:sz w:val="20"/>
          <w:szCs w:val="20"/>
          <w:lang w:eastAsia="en-AU"/>
        </w:rPr>
        <w:t>Co issues $10m of debt, both its assets and liabilities should increase by $10m, leaving the value of its equity unchanged so limb (c) should not apply.</w:t>
      </w:r>
    </w:p>
    <w:p w14:paraId="66FB5626" w14:textId="77777777" w:rsidR="0072770D" w:rsidRDefault="0072770D" w:rsidP="000E123D">
      <w:pPr>
        <w:rPr>
          <w:szCs w:val="20"/>
          <w:lang w:eastAsia="en-AU"/>
        </w:rPr>
      </w:pPr>
    </w:p>
    <w:p w14:paraId="5324E0F2" w14:textId="03BD26D8" w:rsidR="0072770D" w:rsidRPr="005D604F" w:rsidRDefault="00FE5A61" w:rsidP="005D604F">
      <w:pPr>
        <w:pStyle w:val="Heading4"/>
      </w:pPr>
      <w:r w:rsidRPr="005D604F">
        <w:t>Co-ordinator</w:t>
      </w:r>
    </w:p>
    <w:p w14:paraId="48D68865" w14:textId="77777777" w:rsidR="0072770D" w:rsidRPr="00013CCB" w:rsidRDefault="0072770D" w:rsidP="000E123D">
      <w:pPr>
        <w:rPr>
          <w:szCs w:val="20"/>
          <w:lang w:eastAsia="en-AU"/>
        </w:rPr>
      </w:pPr>
    </w:p>
    <w:p w14:paraId="693B546B" w14:textId="29823944" w:rsidR="00394E7C" w:rsidRPr="00013CCB" w:rsidRDefault="00907F78" w:rsidP="000E123D">
      <w:pPr>
        <w:rPr>
          <w:szCs w:val="20"/>
          <w:lang w:eastAsia="en-AU"/>
        </w:rPr>
      </w:pPr>
      <w:r w:rsidRPr="00013CCB">
        <w:rPr>
          <w:szCs w:val="20"/>
          <w:lang w:eastAsia="en-AU"/>
        </w:rPr>
        <w:t xml:space="preserve">Under limbs </w:t>
      </w:r>
      <w:r w:rsidR="00013CCB">
        <w:rPr>
          <w:szCs w:val="20"/>
          <w:lang w:eastAsia="en-AU"/>
        </w:rPr>
        <w:t>(d)</w:t>
      </w:r>
      <w:r w:rsidRPr="00013CCB">
        <w:rPr>
          <w:szCs w:val="20"/>
          <w:lang w:eastAsia="en-AU"/>
        </w:rPr>
        <w:t xml:space="preserve"> </w:t>
      </w:r>
      <w:r w:rsidR="00013CCB">
        <w:rPr>
          <w:szCs w:val="20"/>
          <w:lang w:eastAsia="en-AU"/>
        </w:rPr>
        <w:t xml:space="preserve">to </w:t>
      </w:r>
      <w:r w:rsidRPr="00013CCB">
        <w:rPr>
          <w:szCs w:val="20"/>
          <w:lang w:eastAsia="en-AU"/>
        </w:rPr>
        <w:t xml:space="preserve">(f) of the definition, </w:t>
      </w:r>
      <w:r w:rsidR="00F337F0" w:rsidRPr="00013CCB">
        <w:rPr>
          <w:szCs w:val="20"/>
          <w:lang w:eastAsia="en-AU"/>
        </w:rPr>
        <w:t>two persons or a group of persons</w:t>
      </w:r>
      <w:r w:rsidR="00394E7C" w:rsidRPr="00013CCB">
        <w:rPr>
          <w:szCs w:val="20"/>
          <w:lang w:eastAsia="en-AU"/>
        </w:rPr>
        <w:t xml:space="preserve"> will be treated as acting together if their interests are managed, controlled or</w:t>
      </w:r>
      <w:r w:rsidR="00184B28" w:rsidRPr="00013CCB">
        <w:rPr>
          <w:szCs w:val="20"/>
          <w:lang w:eastAsia="en-AU"/>
        </w:rPr>
        <w:t xml:space="preserve"> affected</w:t>
      </w:r>
      <w:r w:rsidR="00394E7C" w:rsidRPr="00013CCB">
        <w:rPr>
          <w:szCs w:val="20"/>
          <w:lang w:eastAsia="en-AU"/>
        </w:rPr>
        <w:t xml:space="preserve"> in a way that is more than merely incidental</w:t>
      </w:r>
      <w:r w:rsidR="00F337F0" w:rsidRPr="00013CCB">
        <w:rPr>
          <w:szCs w:val="20"/>
          <w:lang w:eastAsia="en-AU"/>
        </w:rPr>
        <w:t xml:space="preserve"> by another</w:t>
      </w:r>
      <w:r w:rsidR="00394E7C" w:rsidRPr="00013CCB">
        <w:rPr>
          <w:szCs w:val="20"/>
          <w:lang w:eastAsia="en-AU"/>
        </w:rPr>
        <w:t xml:space="preserve"> person or group of persons (the co-ordinator).</w:t>
      </w:r>
    </w:p>
    <w:p w14:paraId="242282E3" w14:textId="77777777" w:rsidR="00394E7C" w:rsidRPr="00013CCB" w:rsidRDefault="00394E7C" w:rsidP="000E123D">
      <w:pPr>
        <w:rPr>
          <w:szCs w:val="20"/>
          <w:lang w:eastAsia="en-AU"/>
        </w:rPr>
      </w:pPr>
    </w:p>
    <w:p w14:paraId="5B03F529" w14:textId="72F38EE4" w:rsidR="00266E80" w:rsidRPr="00013CCB" w:rsidRDefault="00184B28" w:rsidP="00266E80">
      <w:pPr>
        <w:rPr>
          <w:szCs w:val="20"/>
          <w:lang w:eastAsia="en-AU"/>
        </w:rPr>
      </w:pPr>
      <w:r w:rsidRPr="00013CCB">
        <w:rPr>
          <w:szCs w:val="20"/>
          <w:lang w:eastAsia="en-AU"/>
        </w:rPr>
        <w:t>T</w:t>
      </w:r>
      <w:r w:rsidR="00266E80" w:rsidRPr="00013CCB">
        <w:rPr>
          <w:szCs w:val="20"/>
          <w:lang w:eastAsia="en-AU"/>
        </w:rPr>
        <w:t>hese limbs</w:t>
      </w:r>
      <w:r w:rsidR="007D266C" w:rsidRPr="00013CCB">
        <w:rPr>
          <w:szCs w:val="20"/>
          <w:lang w:eastAsia="en-AU"/>
        </w:rPr>
        <w:t xml:space="preserve"> will not apply to </w:t>
      </w:r>
      <w:r w:rsidRPr="00013CCB">
        <w:rPr>
          <w:szCs w:val="20"/>
          <w:lang w:eastAsia="en-AU"/>
        </w:rPr>
        <w:t xml:space="preserve">a </w:t>
      </w:r>
      <w:r w:rsidR="007D266C" w:rsidRPr="00013CCB">
        <w:rPr>
          <w:szCs w:val="20"/>
          <w:lang w:eastAsia="en-AU"/>
        </w:rPr>
        <w:t>co-ordinator that manage</w:t>
      </w:r>
      <w:r w:rsidRPr="00013CCB">
        <w:rPr>
          <w:szCs w:val="20"/>
          <w:lang w:eastAsia="en-AU"/>
        </w:rPr>
        <w:t>s</w:t>
      </w:r>
      <w:r w:rsidR="007D266C" w:rsidRPr="00013CCB">
        <w:rPr>
          <w:szCs w:val="20"/>
          <w:lang w:eastAsia="en-AU"/>
        </w:rPr>
        <w:t xml:space="preserve"> tw</w:t>
      </w:r>
      <w:r w:rsidR="00266E80" w:rsidRPr="00013CCB">
        <w:rPr>
          <w:szCs w:val="20"/>
          <w:lang w:eastAsia="en-AU"/>
        </w:rPr>
        <w:t>o investment funds that hold voting rights or equity interests</w:t>
      </w:r>
      <w:r w:rsidR="007D266C" w:rsidRPr="00013CCB">
        <w:rPr>
          <w:szCs w:val="20"/>
          <w:lang w:eastAsia="en-AU"/>
        </w:rPr>
        <w:t xml:space="preserve"> </w:t>
      </w:r>
      <w:r w:rsidR="00266E80" w:rsidRPr="00013CCB">
        <w:rPr>
          <w:szCs w:val="20"/>
          <w:lang w:eastAsia="en-AU"/>
        </w:rPr>
        <w:t xml:space="preserve">in the same person or entity, </w:t>
      </w:r>
      <w:r w:rsidRPr="00013CCB">
        <w:rPr>
          <w:szCs w:val="20"/>
          <w:lang w:eastAsia="en-AU"/>
        </w:rPr>
        <w:t>if</w:t>
      </w:r>
      <w:r w:rsidR="00266E80" w:rsidRPr="00013CCB">
        <w:rPr>
          <w:szCs w:val="20"/>
          <w:lang w:eastAsia="en-AU"/>
        </w:rPr>
        <w:t xml:space="preserve"> the two funds do not act together in relation to their rights and interests.</w:t>
      </w:r>
    </w:p>
    <w:p w14:paraId="41E116A9" w14:textId="77777777" w:rsidR="00266E80" w:rsidRPr="00693A6B" w:rsidRDefault="00266E80" w:rsidP="000E123D">
      <w:pPr>
        <w:rPr>
          <w:szCs w:val="20"/>
          <w:highlight w:val="yellow"/>
          <w:lang w:eastAsia="en-AU"/>
        </w:rPr>
      </w:pPr>
    </w:p>
    <w:p w14:paraId="732F3964" w14:textId="369711B9" w:rsidR="00670AC6" w:rsidRDefault="00670AC6" w:rsidP="00670AC6">
      <w:pPr>
        <w:pBdr>
          <w:top w:val="single" w:sz="4" w:space="10" w:color="auto"/>
          <w:left w:val="single" w:sz="4" w:space="10" w:color="auto"/>
          <w:bottom w:val="single" w:sz="4" w:space="10" w:color="auto"/>
          <w:right w:val="single" w:sz="4" w:space="10" w:color="auto"/>
        </w:pBdr>
        <w:rPr>
          <w:b/>
          <w:sz w:val="20"/>
          <w:szCs w:val="20"/>
          <w:lang w:eastAsia="en-AU"/>
        </w:rPr>
      </w:pPr>
      <w:r w:rsidRPr="005156E4">
        <w:rPr>
          <w:b/>
          <w:sz w:val="20"/>
          <w:szCs w:val="20"/>
          <w:lang w:eastAsia="en-AU"/>
        </w:rPr>
        <w:lastRenderedPageBreak/>
        <w:t xml:space="preserve">Example </w:t>
      </w:r>
      <w:r w:rsidR="007A382F">
        <w:rPr>
          <w:b/>
          <w:sz w:val="20"/>
          <w:szCs w:val="20"/>
          <w:lang w:eastAsia="en-AU"/>
        </w:rPr>
        <w:t>3</w:t>
      </w:r>
      <w:r w:rsidR="004A27B0">
        <w:rPr>
          <w:b/>
          <w:sz w:val="20"/>
          <w:szCs w:val="20"/>
          <w:lang w:eastAsia="en-AU"/>
        </w:rPr>
        <w:t>: C</w:t>
      </w:r>
      <w:r w:rsidRPr="005156E4">
        <w:rPr>
          <w:b/>
          <w:sz w:val="20"/>
          <w:szCs w:val="20"/>
          <w:lang w:eastAsia="en-AU"/>
        </w:rPr>
        <w:t>o</w:t>
      </w:r>
      <w:r w:rsidR="00824EF8">
        <w:rPr>
          <w:b/>
          <w:sz w:val="20"/>
          <w:szCs w:val="20"/>
          <w:lang w:eastAsia="en-AU"/>
        </w:rPr>
        <w:t>-</w:t>
      </w:r>
      <w:r w:rsidRPr="005156E4">
        <w:rPr>
          <w:b/>
          <w:sz w:val="20"/>
          <w:szCs w:val="20"/>
          <w:lang w:eastAsia="en-AU"/>
        </w:rPr>
        <w:t>ordinator</w:t>
      </w:r>
    </w:p>
    <w:p w14:paraId="75B9B606" w14:textId="77777777" w:rsidR="00013CCB" w:rsidRDefault="00013CCB" w:rsidP="00670AC6">
      <w:pPr>
        <w:pBdr>
          <w:top w:val="single" w:sz="4" w:space="10" w:color="auto"/>
          <w:left w:val="single" w:sz="4" w:space="10" w:color="auto"/>
          <w:bottom w:val="single" w:sz="4" w:space="10" w:color="auto"/>
          <w:right w:val="single" w:sz="4" w:space="10" w:color="auto"/>
        </w:pBdr>
        <w:rPr>
          <w:b/>
          <w:sz w:val="20"/>
          <w:szCs w:val="20"/>
          <w:lang w:eastAsia="en-AU"/>
        </w:rPr>
      </w:pPr>
    </w:p>
    <w:p w14:paraId="7088F864" w14:textId="6FED6EC9" w:rsidR="00292E64" w:rsidRDefault="00292E64" w:rsidP="00670AC6">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Take the facts of example 2, except that each investor invests through an investment partnership that holds </w:t>
      </w:r>
      <w:r w:rsidR="00C53D74">
        <w:rPr>
          <w:sz w:val="20"/>
          <w:szCs w:val="20"/>
          <w:lang w:eastAsia="en-AU"/>
        </w:rPr>
        <w:t>one hundred percent</w:t>
      </w:r>
      <w:r>
        <w:rPr>
          <w:sz w:val="20"/>
          <w:szCs w:val="20"/>
          <w:lang w:eastAsia="en-AU"/>
        </w:rPr>
        <w:t xml:space="preserve"> of Crab Co. The investment partnership has a general partner that decides on the investments of the partnership.</w:t>
      </w:r>
      <w:r w:rsidR="00D0288F">
        <w:rPr>
          <w:sz w:val="20"/>
          <w:szCs w:val="20"/>
          <w:lang w:eastAsia="en-AU"/>
        </w:rPr>
        <w:t xml:space="preserve"> </w:t>
      </w:r>
      <w:r w:rsidR="00DD7785">
        <w:rPr>
          <w:sz w:val="20"/>
          <w:szCs w:val="20"/>
          <w:lang w:eastAsia="en-AU"/>
        </w:rPr>
        <w:t>T</w:t>
      </w:r>
      <w:r w:rsidR="00D0288F">
        <w:rPr>
          <w:sz w:val="20"/>
          <w:szCs w:val="20"/>
          <w:lang w:eastAsia="en-AU"/>
        </w:rPr>
        <w:t>he investment partnership</w:t>
      </w:r>
      <w:r w:rsidR="00DD7785">
        <w:rPr>
          <w:sz w:val="20"/>
          <w:szCs w:val="20"/>
          <w:lang w:eastAsia="en-AU"/>
        </w:rPr>
        <w:t xml:space="preserve"> makes a debt investment in Crab Co. This debt is a</w:t>
      </w:r>
      <w:r w:rsidR="00D0288F">
        <w:rPr>
          <w:sz w:val="20"/>
          <w:szCs w:val="20"/>
          <w:lang w:eastAsia="en-AU"/>
        </w:rPr>
        <w:t xml:space="preserve"> hybrid financial instrument for some of the investors, but not all of them</w:t>
      </w:r>
      <w:r w:rsidR="00DD7785">
        <w:rPr>
          <w:sz w:val="20"/>
          <w:szCs w:val="20"/>
          <w:lang w:eastAsia="en-AU"/>
        </w:rPr>
        <w:t xml:space="preserve"> as they are resident in different countries</w:t>
      </w:r>
      <w:r w:rsidR="00D0288F">
        <w:rPr>
          <w:sz w:val="20"/>
          <w:szCs w:val="20"/>
          <w:lang w:eastAsia="en-AU"/>
        </w:rPr>
        <w:t>.</w:t>
      </w:r>
    </w:p>
    <w:p w14:paraId="51AE0A0A" w14:textId="77777777" w:rsidR="00292E64" w:rsidRDefault="00292E64" w:rsidP="00670AC6">
      <w:pPr>
        <w:pBdr>
          <w:top w:val="single" w:sz="4" w:space="10" w:color="auto"/>
          <w:left w:val="single" w:sz="4" w:space="10" w:color="auto"/>
          <w:bottom w:val="single" w:sz="4" w:space="10" w:color="auto"/>
          <w:right w:val="single" w:sz="4" w:space="10" w:color="auto"/>
        </w:pBdr>
        <w:rPr>
          <w:sz w:val="20"/>
          <w:szCs w:val="20"/>
          <w:lang w:eastAsia="en-AU"/>
        </w:rPr>
      </w:pPr>
    </w:p>
    <w:p w14:paraId="1CC40943" w14:textId="77777777" w:rsidR="00292E64" w:rsidRDefault="00292E64" w:rsidP="00292E64">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Question</w:t>
      </w:r>
    </w:p>
    <w:p w14:paraId="27A40AD6" w14:textId="77777777" w:rsidR="00292E64" w:rsidRDefault="00292E64" w:rsidP="00292E64">
      <w:pPr>
        <w:pBdr>
          <w:top w:val="single" w:sz="4" w:space="10" w:color="auto"/>
          <w:left w:val="single" w:sz="4" w:space="10" w:color="auto"/>
          <w:bottom w:val="single" w:sz="4" w:space="10" w:color="auto"/>
          <w:right w:val="single" w:sz="4" w:space="10" w:color="auto"/>
        </w:pBdr>
        <w:rPr>
          <w:i/>
          <w:sz w:val="20"/>
          <w:szCs w:val="20"/>
          <w:lang w:eastAsia="en-AU"/>
        </w:rPr>
      </w:pPr>
    </w:p>
    <w:p w14:paraId="5B406FC2" w14:textId="0A7FE6D4" w:rsidR="00292E64" w:rsidRPr="008777B7" w:rsidRDefault="00292E64" w:rsidP="00292E64">
      <w:pPr>
        <w:pBdr>
          <w:top w:val="single" w:sz="4" w:space="10" w:color="auto"/>
          <w:left w:val="single" w:sz="4" w:space="10" w:color="auto"/>
          <w:bottom w:val="single" w:sz="4" w:space="10" w:color="auto"/>
          <w:right w:val="single" w:sz="4" w:space="10" w:color="auto"/>
        </w:pBdr>
        <w:rPr>
          <w:i/>
          <w:sz w:val="20"/>
          <w:szCs w:val="20"/>
          <w:lang w:eastAsia="en-AU"/>
        </w:rPr>
      </w:pPr>
      <w:r>
        <w:rPr>
          <w:sz w:val="20"/>
          <w:szCs w:val="20"/>
          <w:lang w:eastAsia="en-AU"/>
        </w:rPr>
        <w:t xml:space="preserve">Whether the investors </w:t>
      </w:r>
      <w:r w:rsidR="00D0288F">
        <w:rPr>
          <w:sz w:val="20"/>
          <w:szCs w:val="20"/>
          <w:lang w:eastAsia="en-AU"/>
        </w:rPr>
        <w:t xml:space="preserve">of the partnership </w:t>
      </w:r>
      <w:r>
        <w:rPr>
          <w:sz w:val="20"/>
          <w:szCs w:val="20"/>
          <w:lang w:eastAsia="en-AU"/>
        </w:rPr>
        <w:t>are acting together</w:t>
      </w:r>
      <w:r w:rsidR="00F34EB1">
        <w:rPr>
          <w:sz w:val="20"/>
          <w:szCs w:val="20"/>
          <w:lang w:eastAsia="en-AU"/>
        </w:rPr>
        <w:t xml:space="preserve"> due to the presence of a co-ordinator</w:t>
      </w:r>
      <w:r>
        <w:rPr>
          <w:sz w:val="20"/>
          <w:szCs w:val="20"/>
          <w:lang w:eastAsia="en-AU"/>
        </w:rPr>
        <w:t xml:space="preserve"> within the scope of limb</w:t>
      </w:r>
      <w:r w:rsidR="00D0288F">
        <w:rPr>
          <w:sz w:val="20"/>
          <w:szCs w:val="20"/>
          <w:lang w:eastAsia="en-AU"/>
        </w:rPr>
        <w:t>s</w:t>
      </w:r>
      <w:r>
        <w:rPr>
          <w:sz w:val="20"/>
          <w:szCs w:val="20"/>
          <w:lang w:eastAsia="en-AU"/>
        </w:rPr>
        <w:t xml:space="preserve"> (</w:t>
      </w:r>
      <w:r w:rsidR="00D0288F">
        <w:rPr>
          <w:sz w:val="20"/>
          <w:szCs w:val="20"/>
          <w:lang w:eastAsia="en-AU"/>
        </w:rPr>
        <w:t>d</w:t>
      </w:r>
      <w:r>
        <w:rPr>
          <w:sz w:val="20"/>
          <w:szCs w:val="20"/>
          <w:lang w:eastAsia="en-AU"/>
        </w:rPr>
        <w:t xml:space="preserve">) </w:t>
      </w:r>
      <w:r w:rsidR="00D0288F">
        <w:rPr>
          <w:sz w:val="20"/>
          <w:szCs w:val="20"/>
          <w:lang w:eastAsia="en-AU"/>
        </w:rPr>
        <w:t>to</w:t>
      </w:r>
      <w:r>
        <w:rPr>
          <w:sz w:val="20"/>
          <w:szCs w:val="20"/>
          <w:lang w:eastAsia="en-AU"/>
        </w:rPr>
        <w:t xml:space="preserve"> (</w:t>
      </w:r>
      <w:r w:rsidR="00D0288F">
        <w:rPr>
          <w:sz w:val="20"/>
          <w:szCs w:val="20"/>
          <w:lang w:eastAsia="en-AU"/>
        </w:rPr>
        <w:t>f</w:t>
      </w:r>
      <w:r>
        <w:rPr>
          <w:sz w:val="20"/>
          <w:szCs w:val="20"/>
          <w:lang w:eastAsia="en-AU"/>
        </w:rPr>
        <w:t>)?</w:t>
      </w:r>
    </w:p>
    <w:p w14:paraId="520C5246" w14:textId="77777777" w:rsidR="00292E64" w:rsidRDefault="00292E64" w:rsidP="00292E64">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 </w:t>
      </w:r>
    </w:p>
    <w:p w14:paraId="3DBD1761" w14:textId="5BE323D4" w:rsidR="00292E64" w:rsidRPr="008777B7" w:rsidRDefault="00FE5A61" w:rsidP="00292E64">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Answer</w:t>
      </w:r>
    </w:p>
    <w:p w14:paraId="1A36B6D0" w14:textId="77777777" w:rsidR="00292E64" w:rsidRDefault="00292E64" w:rsidP="00670AC6">
      <w:pPr>
        <w:pBdr>
          <w:top w:val="single" w:sz="4" w:space="10" w:color="auto"/>
          <w:left w:val="single" w:sz="4" w:space="10" w:color="auto"/>
          <w:bottom w:val="single" w:sz="4" w:space="10" w:color="auto"/>
          <w:right w:val="single" w:sz="4" w:space="10" w:color="auto"/>
        </w:pBdr>
        <w:rPr>
          <w:sz w:val="20"/>
          <w:szCs w:val="20"/>
          <w:lang w:eastAsia="en-AU"/>
        </w:rPr>
      </w:pPr>
    </w:p>
    <w:p w14:paraId="4010037B" w14:textId="77777777" w:rsidR="00D0288F" w:rsidRPr="00013CCB" w:rsidRDefault="00F34EB1" w:rsidP="00670AC6">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The partners can be considered to be acting together in relation to their interest in Crab Co via their investment partnership under limb (d) of the definition as their investments are controlled by the general partner. The partners will also be acting together based on the partnership agreement</w:t>
      </w:r>
      <w:r w:rsidR="0033275D">
        <w:rPr>
          <w:sz w:val="20"/>
          <w:szCs w:val="20"/>
          <w:lang w:eastAsia="en-AU"/>
        </w:rPr>
        <w:t xml:space="preserve"> if that provides for the decision-making rights of the general partner. (</w:t>
      </w:r>
      <w:r>
        <w:rPr>
          <w:sz w:val="20"/>
          <w:szCs w:val="20"/>
          <w:lang w:eastAsia="en-AU"/>
        </w:rPr>
        <w:t>Note that the exception to the co-ordinator rule in FH 15(2) does not apply on these facts as there is only one relevant investment vehicle.</w:t>
      </w:r>
      <w:r w:rsidR="0033275D">
        <w:rPr>
          <w:sz w:val="20"/>
          <w:szCs w:val="20"/>
          <w:lang w:eastAsia="en-AU"/>
        </w:rPr>
        <w:t>)</w:t>
      </w:r>
    </w:p>
    <w:p w14:paraId="41626F2F" w14:textId="33E264C4" w:rsidR="00F915C2" w:rsidRDefault="00F915C2" w:rsidP="00266E80">
      <w:pPr>
        <w:rPr>
          <w:szCs w:val="20"/>
          <w:lang w:eastAsia="en-AU"/>
        </w:rPr>
      </w:pPr>
    </w:p>
    <w:p w14:paraId="34BF756F" w14:textId="77777777" w:rsidR="0091475A" w:rsidRPr="00266E80" w:rsidRDefault="0091475A" w:rsidP="00266E80">
      <w:pPr>
        <w:rPr>
          <w:szCs w:val="20"/>
          <w:lang w:eastAsia="en-AU"/>
        </w:rPr>
      </w:pPr>
    </w:p>
    <w:p w14:paraId="78502E52" w14:textId="77777777" w:rsidR="00B1305F" w:rsidRPr="005D604F" w:rsidRDefault="00B1305F" w:rsidP="005D604F">
      <w:pPr>
        <w:pStyle w:val="Heading3"/>
      </w:pPr>
      <w:r w:rsidRPr="005D604F">
        <w:t>Structured arrangement</w:t>
      </w:r>
    </w:p>
    <w:p w14:paraId="370DEE3C" w14:textId="77777777" w:rsidR="00B1305F" w:rsidRPr="00925A3A" w:rsidRDefault="00B1305F" w:rsidP="00B1305F">
      <w:pPr>
        <w:rPr>
          <w:szCs w:val="20"/>
          <w:lang w:eastAsia="en-AU"/>
        </w:rPr>
      </w:pPr>
    </w:p>
    <w:p w14:paraId="2C7943BF" w14:textId="051391C4" w:rsidR="006B3C91" w:rsidRDefault="00756A02" w:rsidP="00B1305F">
      <w:pPr>
        <w:rPr>
          <w:szCs w:val="20"/>
          <w:lang w:eastAsia="en-AU"/>
        </w:rPr>
      </w:pPr>
      <w:r>
        <w:rPr>
          <w:szCs w:val="20"/>
          <w:lang w:eastAsia="en-AU"/>
        </w:rPr>
        <w:t xml:space="preserve">The </w:t>
      </w:r>
      <w:r w:rsidR="009E69BF">
        <w:rPr>
          <w:szCs w:val="20"/>
          <w:lang w:eastAsia="en-AU"/>
        </w:rPr>
        <w:t xml:space="preserve">“structured arrangement” definition </w:t>
      </w:r>
      <w:r w:rsidR="00282132">
        <w:rPr>
          <w:szCs w:val="20"/>
          <w:lang w:eastAsia="en-AU"/>
        </w:rPr>
        <w:t xml:space="preserve">in section FH 15 </w:t>
      </w:r>
      <w:r w:rsidR="009E69BF">
        <w:rPr>
          <w:szCs w:val="20"/>
          <w:lang w:eastAsia="en-AU"/>
        </w:rPr>
        <w:t>is</w:t>
      </w:r>
      <w:r>
        <w:rPr>
          <w:szCs w:val="20"/>
          <w:lang w:eastAsia="en-AU"/>
        </w:rPr>
        <w:t xml:space="preserve"> relevant </w:t>
      </w:r>
      <w:r w:rsidR="00BA7792">
        <w:rPr>
          <w:szCs w:val="20"/>
          <w:lang w:eastAsia="en-AU"/>
        </w:rPr>
        <w:t>throughout the</w:t>
      </w:r>
      <w:r>
        <w:rPr>
          <w:szCs w:val="20"/>
          <w:lang w:eastAsia="en-AU"/>
        </w:rPr>
        <w:t xml:space="preserve"> hybrid and branch mismatch rules</w:t>
      </w:r>
      <w:r w:rsidR="002D5667">
        <w:rPr>
          <w:szCs w:val="20"/>
          <w:lang w:eastAsia="en-AU"/>
        </w:rPr>
        <w:t xml:space="preserve">. </w:t>
      </w:r>
      <w:r w:rsidR="00BA7792">
        <w:rPr>
          <w:szCs w:val="20"/>
          <w:lang w:eastAsia="en-AU"/>
        </w:rPr>
        <w:t xml:space="preserve">This is because it is used to define the situations where a hybrid or branch mismatch between persons who are not related or in a control group </w:t>
      </w:r>
      <w:r w:rsidR="00B1305F" w:rsidRPr="00925A3A">
        <w:rPr>
          <w:szCs w:val="20"/>
          <w:lang w:eastAsia="en-AU"/>
        </w:rPr>
        <w:t xml:space="preserve">is </w:t>
      </w:r>
      <w:r w:rsidR="00BA7792">
        <w:rPr>
          <w:szCs w:val="20"/>
          <w:lang w:eastAsia="en-AU"/>
        </w:rPr>
        <w:t xml:space="preserve">subject to the </w:t>
      </w:r>
      <w:r w:rsidR="00B1305F" w:rsidRPr="00925A3A">
        <w:rPr>
          <w:szCs w:val="20"/>
          <w:lang w:eastAsia="en-AU"/>
        </w:rPr>
        <w:t>rules.</w:t>
      </w:r>
    </w:p>
    <w:p w14:paraId="4328C8F5" w14:textId="77777777" w:rsidR="000B4031" w:rsidRDefault="000B4031" w:rsidP="00B1305F">
      <w:pPr>
        <w:rPr>
          <w:szCs w:val="20"/>
          <w:lang w:eastAsia="en-AU"/>
        </w:rPr>
      </w:pPr>
    </w:p>
    <w:p w14:paraId="0EB23F4A" w14:textId="77777777" w:rsidR="000B4031" w:rsidRPr="005D604F" w:rsidRDefault="000B4031" w:rsidP="005D604F">
      <w:pPr>
        <w:pStyle w:val="Heading4"/>
      </w:pPr>
      <w:r w:rsidRPr="005D604F">
        <w:t>OECD recommendation</w:t>
      </w:r>
    </w:p>
    <w:p w14:paraId="6732BD04" w14:textId="77777777" w:rsidR="00E13F7C" w:rsidRDefault="00E13F7C" w:rsidP="00B1305F">
      <w:pPr>
        <w:rPr>
          <w:szCs w:val="20"/>
          <w:lang w:eastAsia="en-AU"/>
        </w:rPr>
      </w:pPr>
    </w:p>
    <w:p w14:paraId="208A3911" w14:textId="572BD4DF" w:rsidR="006B3C91" w:rsidRDefault="00E13F7C" w:rsidP="00B1305F">
      <w:pPr>
        <w:rPr>
          <w:szCs w:val="20"/>
          <w:lang w:eastAsia="en-AU"/>
        </w:rPr>
      </w:pPr>
      <w:r>
        <w:rPr>
          <w:szCs w:val="20"/>
          <w:lang w:eastAsia="en-AU"/>
        </w:rPr>
        <w:t>The st</w:t>
      </w:r>
      <w:r w:rsidR="00E17095">
        <w:rPr>
          <w:szCs w:val="20"/>
          <w:lang w:eastAsia="en-AU"/>
        </w:rPr>
        <w:t xml:space="preserve">ructured arrangement definition </w:t>
      </w:r>
      <w:r>
        <w:rPr>
          <w:szCs w:val="20"/>
          <w:lang w:eastAsia="en-AU"/>
        </w:rPr>
        <w:t xml:space="preserve">is consistent with </w:t>
      </w:r>
      <w:r w:rsidR="00E51584">
        <w:rPr>
          <w:szCs w:val="20"/>
          <w:lang w:eastAsia="en-AU"/>
        </w:rPr>
        <w:t>r</w:t>
      </w:r>
      <w:r>
        <w:rPr>
          <w:szCs w:val="20"/>
          <w:lang w:eastAsia="en-AU"/>
        </w:rPr>
        <w:t>ecommendation 10 of the OECD hybrid</w:t>
      </w:r>
      <w:r w:rsidR="00E51584">
        <w:rPr>
          <w:szCs w:val="20"/>
          <w:lang w:eastAsia="en-AU"/>
        </w:rPr>
        <w:t xml:space="preserve"> mismatch</w:t>
      </w:r>
      <w:r>
        <w:rPr>
          <w:szCs w:val="20"/>
          <w:lang w:eastAsia="en-AU"/>
        </w:rPr>
        <w:t xml:space="preserve"> report</w:t>
      </w:r>
      <w:r w:rsidR="002D5667">
        <w:rPr>
          <w:szCs w:val="20"/>
          <w:lang w:eastAsia="en-AU"/>
        </w:rPr>
        <w:t xml:space="preserve">. </w:t>
      </w:r>
      <w:r w:rsidR="00E17095">
        <w:rPr>
          <w:szCs w:val="20"/>
          <w:lang w:eastAsia="en-AU"/>
        </w:rPr>
        <w:t xml:space="preserve">In </w:t>
      </w:r>
      <w:r w:rsidR="006B3C91">
        <w:rPr>
          <w:szCs w:val="20"/>
          <w:lang w:eastAsia="en-AU"/>
        </w:rPr>
        <w:t>this regard, paragraphs 318 t</w:t>
      </w:r>
      <w:r w:rsidR="00FE5A61">
        <w:rPr>
          <w:szCs w:val="20"/>
          <w:lang w:eastAsia="en-AU"/>
        </w:rPr>
        <w:t>o 319 of the report state that:</w:t>
      </w:r>
    </w:p>
    <w:p w14:paraId="71BC0941" w14:textId="77777777" w:rsidR="006B3C91" w:rsidRDefault="006B3C91" w:rsidP="00B1305F">
      <w:pPr>
        <w:rPr>
          <w:szCs w:val="20"/>
          <w:lang w:eastAsia="en-AU"/>
        </w:rPr>
      </w:pPr>
    </w:p>
    <w:p w14:paraId="55BBF8C6" w14:textId="5A4A4722" w:rsidR="006B3C91" w:rsidRDefault="006B3C91" w:rsidP="006B3C91">
      <w:pPr>
        <w:ind w:left="720" w:right="848"/>
        <w:rPr>
          <w:sz w:val="20"/>
          <w:szCs w:val="20"/>
          <w:lang w:eastAsia="en-AU"/>
        </w:rPr>
      </w:pPr>
      <w:r>
        <w:rPr>
          <w:sz w:val="20"/>
          <w:szCs w:val="20"/>
          <w:lang w:eastAsia="en-AU"/>
        </w:rPr>
        <w:t>“The purpose of the structured arrangement definition is to capture those taxpayers who enter into arrangements that have been designed to produce a mismatch in tax outcomes while ensuring taxpayers will not be required to make adjustments under the rule in circumstances where the taxpayer is unaware of the mismatch and derives no benefit from it.</w:t>
      </w:r>
    </w:p>
    <w:p w14:paraId="2743AF01" w14:textId="77777777" w:rsidR="006B3C91" w:rsidRDefault="006B3C91" w:rsidP="006B3C91">
      <w:pPr>
        <w:ind w:left="720" w:right="848"/>
        <w:rPr>
          <w:sz w:val="20"/>
          <w:szCs w:val="20"/>
          <w:lang w:eastAsia="en-AU"/>
        </w:rPr>
      </w:pPr>
    </w:p>
    <w:p w14:paraId="6A9D827E" w14:textId="15BC9C57" w:rsidR="006B4A75" w:rsidRDefault="006B3C91" w:rsidP="006B4A75">
      <w:pPr>
        <w:ind w:left="720" w:right="848"/>
        <w:rPr>
          <w:sz w:val="20"/>
          <w:szCs w:val="20"/>
          <w:lang w:eastAsia="en-AU"/>
        </w:rPr>
      </w:pPr>
      <w:r>
        <w:rPr>
          <w:sz w:val="20"/>
          <w:szCs w:val="20"/>
          <w:lang w:eastAsia="en-AU"/>
        </w:rPr>
        <w:t>The test for whether an arrangement is structure</w:t>
      </w:r>
      <w:r w:rsidR="00E51584">
        <w:rPr>
          <w:sz w:val="20"/>
          <w:szCs w:val="20"/>
          <w:lang w:eastAsia="en-AU"/>
        </w:rPr>
        <w:t>d</w:t>
      </w:r>
      <w:r>
        <w:rPr>
          <w:sz w:val="20"/>
          <w:szCs w:val="20"/>
          <w:lang w:eastAsia="en-AU"/>
        </w:rPr>
        <w:t xml:space="preserve"> is objective</w:t>
      </w:r>
      <w:r w:rsidR="002D5667">
        <w:rPr>
          <w:sz w:val="20"/>
          <w:szCs w:val="20"/>
          <w:lang w:eastAsia="en-AU"/>
        </w:rPr>
        <w:t xml:space="preserve">. </w:t>
      </w:r>
      <w:r>
        <w:rPr>
          <w:sz w:val="20"/>
          <w:szCs w:val="20"/>
          <w:lang w:eastAsia="en-AU"/>
        </w:rPr>
        <w:t>It applies, regardless of the parties’ intentions, whenever the facts and circumstances would indicate to an objective observer that the arrangement has been designed to produce a mismatch in tax outcomes</w:t>
      </w:r>
      <w:r w:rsidR="002D5667">
        <w:rPr>
          <w:sz w:val="20"/>
          <w:szCs w:val="20"/>
          <w:lang w:eastAsia="en-AU"/>
        </w:rPr>
        <w:t xml:space="preserve">. </w:t>
      </w:r>
      <w:r>
        <w:rPr>
          <w:sz w:val="20"/>
          <w:szCs w:val="20"/>
          <w:lang w:eastAsia="en-AU"/>
        </w:rPr>
        <w:t>The structured arrangement rule asks whether the mismatch has been priced into the terms of the arrangement or whether the arrangement’s design and the surrounding facts and circumstances indicate that the mismatch in tax outcomes was an intended feature of the arrangement.”</w:t>
      </w:r>
    </w:p>
    <w:p w14:paraId="37A40067" w14:textId="24BF1536" w:rsidR="006B3C91" w:rsidRPr="006B4A75" w:rsidRDefault="006B3C91" w:rsidP="006B4A75">
      <w:pPr>
        <w:ind w:left="720" w:right="848"/>
        <w:rPr>
          <w:sz w:val="20"/>
          <w:szCs w:val="20"/>
          <w:lang w:eastAsia="en-AU"/>
        </w:rPr>
      </w:pPr>
    </w:p>
    <w:p w14:paraId="29B04716" w14:textId="4E011357" w:rsidR="000B4031" w:rsidRDefault="0096018F" w:rsidP="00B1305F">
      <w:pPr>
        <w:rPr>
          <w:szCs w:val="20"/>
          <w:lang w:eastAsia="en-AU"/>
        </w:rPr>
      </w:pPr>
      <w:r>
        <w:rPr>
          <w:szCs w:val="20"/>
          <w:lang w:eastAsia="en-AU"/>
        </w:rPr>
        <w:t>These principles have been taken into account in incorporating the definition of structured arrangement into domestic legislatio</w:t>
      </w:r>
      <w:r w:rsidR="00773541">
        <w:rPr>
          <w:szCs w:val="20"/>
          <w:lang w:eastAsia="en-AU"/>
        </w:rPr>
        <w:t>n.</w:t>
      </w:r>
    </w:p>
    <w:p w14:paraId="6AA3DE66" w14:textId="77777777" w:rsidR="000B4031" w:rsidRDefault="000B4031" w:rsidP="00B1305F">
      <w:pPr>
        <w:rPr>
          <w:szCs w:val="20"/>
          <w:lang w:eastAsia="en-AU"/>
        </w:rPr>
      </w:pPr>
    </w:p>
    <w:p w14:paraId="2B97CCDE" w14:textId="77777777" w:rsidR="000B4031" w:rsidRPr="005D604F" w:rsidRDefault="00480B7F" w:rsidP="005D604F">
      <w:pPr>
        <w:pStyle w:val="Heading4"/>
      </w:pPr>
      <w:r w:rsidRPr="005D604F">
        <w:t>Definition</w:t>
      </w:r>
    </w:p>
    <w:p w14:paraId="799B2401" w14:textId="77777777" w:rsidR="000B4031" w:rsidRDefault="000B4031" w:rsidP="00B1305F">
      <w:pPr>
        <w:rPr>
          <w:szCs w:val="20"/>
          <w:lang w:eastAsia="en-AU"/>
        </w:rPr>
      </w:pPr>
    </w:p>
    <w:p w14:paraId="4FC145E1" w14:textId="58B610B4" w:rsidR="00D53DB7" w:rsidRDefault="00773541" w:rsidP="00B1305F">
      <w:pPr>
        <w:rPr>
          <w:szCs w:val="20"/>
          <w:lang w:eastAsia="en-AU"/>
        </w:rPr>
      </w:pPr>
      <w:r>
        <w:rPr>
          <w:szCs w:val="20"/>
          <w:lang w:eastAsia="en-AU"/>
        </w:rPr>
        <w:t xml:space="preserve">The definition </w:t>
      </w:r>
      <w:r w:rsidR="00480B7F">
        <w:rPr>
          <w:szCs w:val="20"/>
          <w:lang w:eastAsia="en-AU"/>
        </w:rPr>
        <w:t xml:space="preserve">of </w:t>
      </w:r>
      <w:r w:rsidR="00105F23">
        <w:rPr>
          <w:szCs w:val="20"/>
          <w:lang w:eastAsia="en-AU"/>
        </w:rPr>
        <w:t xml:space="preserve">a </w:t>
      </w:r>
      <w:r w:rsidR="00480B7F">
        <w:rPr>
          <w:szCs w:val="20"/>
          <w:lang w:eastAsia="en-AU"/>
        </w:rPr>
        <w:t xml:space="preserve">structured arrangement </w:t>
      </w:r>
      <w:r>
        <w:rPr>
          <w:szCs w:val="20"/>
          <w:lang w:eastAsia="en-AU"/>
        </w:rPr>
        <w:t>can be broken into two parts.</w:t>
      </w:r>
    </w:p>
    <w:p w14:paraId="44A2AAF8" w14:textId="77777777" w:rsidR="00D53DB7" w:rsidRDefault="00D53DB7" w:rsidP="00B1305F">
      <w:pPr>
        <w:rPr>
          <w:szCs w:val="20"/>
          <w:lang w:eastAsia="en-AU"/>
        </w:rPr>
      </w:pPr>
    </w:p>
    <w:p w14:paraId="2F85CAF4" w14:textId="0C029604" w:rsidR="006B3C91" w:rsidRDefault="00773541" w:rsidP="00B1305F">
      <w:pPr>
        <w:rPr>
          <w:szCs w:val="20"/>
          <w:lang w:eastAsia="en-AU"/>
        </w:rPr>
      </w:pPr>
      <w:r>
        <w:rPr>
          <w:szCs w:val="20"/>
          <w:lang w:eastAsia="en-AU"/>
        </w:rPr>
        <w:t>The first limb</w:t>
      </w:r>
      <w:r w:rsidR="002D6B0B">
        <w:rPr>
          <w:szCs w:val="20"/>
          <w:lang w:eastAsia="en-AU"/>
        </w:rPr>
        <w:t xml:space="preserve"> in (a)</w:t>
      </w:r>
      <w:r>
        <w:rPr>
          <w:szCs w:val="20"/>
          <w:lang w:eastAsia="en-AU"/>
        </w:rPr>
        <w:t xml:space="preserve"> </w:t>
      </w:r>
      <w:r w:rsidR="00595A8F">
        <w:rPr>
          <w:szCs w:val="20"/>
          <w:lang w:eastAsia="en-AU"/>
        </w:rPr>
        <w:t xml:space="preserve">outlines two (potentially overlapping) circumstances that will </w:t>
      </w:r>
      <w:r w:rsidR="005D1FCD">
        <w:rPr>
          <w:szCs w:val="20"/>
          <w:lang w:eastAsia="en-AU"/>
        </w:rPr>
        <w:t>be</w:t>
      </w:r>
      <w:r w:rsidR="00595A8F">
        <w:rPr>
          <w:szCs w:val="20"/>
          <w:lang w:eastAsia="en-AU"/>
        </w:rPr>
        <w:t xml:space="preserve"> a structured arrangement</w:t>
      </w:r>
      <w:r w:rsidR="002D5667">
        <w:rPr>
          <w:szCs w:val="20"/>
          <w:lang w:eastAsia="en-AU"/>
        </w:rPr>
        <w:t xml:space="preserve">. </w:t>
      </w:r>
      <w:r w:rsidR="00595A8F">
        <w:rPr>
          <w:szCs w:val="20"/>
          <w:lang w:eastAsia="en-AU"/>
        </w:rPr>
        <w:t xml:space="preserve">The first </w:t>
      </w:r>
      <w:r w:rsidR="005D1FCD">
        <w:rPr>
          <w:szCs w:val="20"/>
          <w:lang w:eastAsia="en-AU"/>
        </w:rPr>
        <w:t>is</w:t>
      </w:r>
      <w:r w:rsidR="00595A8F">
        <w:rPr>
          <w:szCs w:val="20"/>
          <w:lang w:eastAsia="en-AU"/>
        </w:rPr>
        <w:t xml:space="preserve"> where the pricing is based on the existence of a hybrid </w:t>
      </w:r>
      <w:r w:rsidR="00595A8F">
        <w:rPr>
          <w:szCs w:val="20"/>
          <w:lang w:eastAsia="en-AU"/>
        </w:rPr>
        <w:lastRenderedPageBreak/>
        <w:t>mismatch</w:t>
      </w:r>
      <w:r w:rsidR="002D5667">
        <w:rPr>
          <w:szCs w:val="20"/>
          <w:lang w:eastAsia="en-AU"/>
        </w:rPr>
        <w:t xml:space="preserve">. </w:t>
      </w:r>
      <w:r w:rsidR="00595A8F">
        <w:rPr>
          <w:szCs w:val="20"/>
          <w:lang w:eastAsia="en-AU"/>
        </w:rPr>
        <w:t xml:space="preserve">The second </w:t>
      </w:r>
      <w:r w:rsidR="005D1FCD">
        <w:rPr>
          <w:szCs w:val="20"/>
          <w:lang w:eastAsia="en-AU"/>
        </w:rPr>
        <w:t>is</w:t>
      </w:r>
      <w:r w:rsidR="00595A8F">
        <w:rPr>
          <w:szCs w:val="20"/>
          <w:lang w:eastAsia="en-AU"/>
        </w:rPr>
        <w:t xml:space="preserve"> where the </w:t>
      </w:r>
      <w:r>
        <w:rPr>
          <w:szCs w:val="20"/>
          <w:lang w:eastAsia="en-AU"/>
        </w:rPr>
        <w:t xml:space="preserve">facts or circumstances indicate that </w:t>
      </w:r>
      <w:r w:rsidR="005D1FCD">
        <w:rPr>
          <w:szCs w:val="20"/>
          <w:lang w:eastAsia="en-AU"/>
        </w:rPr>
        <w:t>the arrangement</w:t>
      </w:r>
      <w:r>
        <w:rPr>
          <w:szCs w:val="20"/>
          <w:lang w:eastAsia="en-AU"/>
        </w:rPr>
        <w:t xml:space="preserve"> is intended to rely on or</w:t>
      </w:r>
      <w:r w:rsidRPr="00925A3A">
        <w:rPr>
          <w:szCs w:val="20"/>
          <w:lang w:eastAsia="en-AU"/>
        </w:rPr>
        <w:t xml:space="preserve"> produce a hybrid mismatch.</w:t>
      </w:r>
    </w:p>
    <w:p w14:paraId="3AC7CAD5" w14:textId="77777777" w:rsidR="0096018F" w:rsidRDefault="0096018F" w:rsidP="00B1305F">
      <w:pPr>
        <w:rPr>
          <w:szCs w:val="20"/>
          <w:lang w:eastAsia="en-AU"/>
        </w:rPr>
      </w:pPr>
    </w:p>
    <w:p w14:paraId="1DBD1F34" w14:textId="233C78DF" w:rsidR="00595A8F" w:rsidRDefault="00595A8F" w:rsidP="00B1305F">
      <w:pPr>
        <w:rPr>
          <w:szCs w:val="20"/>
          <w:lang w:eastAsia="en-AU"/>
        </w:rPr>
      </w:pPr>
      <w:r>
        <w:rPr>
          <w:szCs w:val="20"/>
          <w:lang w:eastAsia="en-AU"/>
        </w:rPr>
        <w:t>The second limb</w:t>
      </w:r>
      <w:r w:rsidR="002D6B0B">
        <w:rPr>
          <w:szCs w:val="20"/>
          <w:lang w:eastAsia="en-AU"/>
        </w:rPr>
        <w:t xml:space="preserve"> in (b)</w:t>
      </w:r>
      <w:r>
        <w:rPr>
          <w:szCs w:val="20"/>
          <w:lang w:eastAsia="en-AU"/>
        </w:rPr>
        <w:t xml:space="preserve"> is person-specific and reflects that a structured arrangement should only exist for a perso</w:t>
      </w:r>
      <w:r w:rsidR="002D4622">
        <w:rPr>
          <w:szCs w:val="20"/>
          <w:lang w:eastAsia="en-AU"/>
        </w:rPr>
        <w:t xml:space="preserve">n where they </w:t>
      </w:r>
      <w:r w:rsidR="006D26CE">
        <w:rPr>
          <w:szCs w:val="20"/>
          <w:lang w:eastAsia="en-AU"/>
        </w:rPr>
        <w:t xml:space="preserve">(or a member of their control group) </w:t>
      </w:r>
      <w:r w:rsidR="000076B4">
        <w:rPr>
          <w:szCs w:val="20"/>
          <w:lang w:eastAsia="en-AU"/>
        </w:rPr>
        <w:t>could reasonably have b</w:t>
      </w:r>
      <w:r w:rsidR="002D4622">
        <w:rPr>
          <w:szCs w:val="20"/>
          <w:lang w:eastAsia="en-AU"/>
        </w:rPr>
        <w:t>een expected to have been aware</w:t>
      </w:r>
      <w:r w:rsidR="000076B4">
        <w:rPr>
          <w:szCs w:val="20"/>
          <w:lang w:eastAsia="en-AU"/>
        </w:rPr>
        <w:t xml:space="preserve"> of the mismatch regardless of whether they benefited from it or not</w:t>
      </w:r>
      <w:r w:rsidR="002D5667">
        <w:rPr>
          <w:szCs w:val="20"/>
          <w:lang w:eastAsia="en-AU"/>
        </w:rPr>
        <w:t xml:space="preserve">. </w:t>
      </w:r>
      <w:r w:rsidR="00E17095">
        <w:rPr>
          <w:szCs w:val="20"/>
          <w:lang w:eastAsia="en-AU"/>
        </w:rPr>
        <w:t xml:space="preserve">This means that it is possible, albeit not necessarily </w:t>
      </w:r>
      <w:r w:rsidR="00005E58">
        <w:rPr>
          <w:szCs w:val="20"/>
          <w:lang w:eastAsia="en-AU"/>
        </w:rPr>
        <w:t>common</w:t>
      </w:r>
      <w:r w:rsidR="00E17095">
        <w:rPr>
          <w:szCs w:val="20"/>
          <w:lang w:eastAsia="en-AU"/>
        </w:rPr>
        <w:t>, that what may be a structured arrangement to one person will not be a struc</w:t>
      </w:r>
      <w:r w:rsidR="00026DAE">
        <w:rPr>
          <w:szCs w:val="20"/>
          <w:lang w:eastAsia="en-AU"/>
        </w:rPr>
        <w:t>tured arrangement to another.</w:t>
      </w:r>
    </w:p>
    <w:p w14:paraId="7B62CEDA" w14:textId="77777777" w:rsidR="00480B7F" w:rsidRDefault="00480B7F" w:rsidP="00B1305F">
      <w:pPr>
        <w:rPr>
          <w:szCs w:val="20"/>
          <w:lang w:eastAsia="en-AU"/>
        </w:rPr>
      </w:pPr>
    </w:p>
    <w:p w14:paraId="18A66D8B" w14:textId="7317E152" w:rsidR="00480B7F" w:rsidRDefault="00480B7F" w:rsidP="00B1305F">
      <w:pPr>
        <w:rPr>
          <w:szCs w:val="20"/>
          <w:lang w:eastAsia="en-AU"/>
        </w:rPr>
      </w:pPr>
      <w:r>
        <w:rPr>
          <w:szCs w:val="20"/>
          <w:lang w:eastAsia="en-AU"/>
        </w:rPr>
        <w:t>We discuss these elements of the definition below.</w:t>
      </w:r>
    </w:p>
    <w:p w14:paraId="43C53A26" w14:textId="77777777" w:rsidR="00595A8F" w:rsidRDefault="00595A8F" w:rsidP="00B1305F">
      <w:pPr>
        <w:rPr>
          <w:szCs w:val="20"/>
          <w:lang w:eastAsia="en-AU"/>
        </w:rPr>
      </w:pPr>
    </w:p>
    <w:p w14:paraId="005496AE" w14:textId="77777777" w:rsidR="0096018F" w:rsidRPr="005D604F" w:rsidRDefault="00480B7F" w:rsidP="005D604F">
      <w:pPr>
        <w:pStyle w:val="Heading5"/>
      </w:pPr>
      <w:r w:rsidRPr="005D604F">
        <w:t>Price assumes existence of a hybrid mismatch</w:t>
      </w:r>
    </w:p>
    <w:p w14:paraId="482540A4" w14:textId="77777777" w:rsidR="00480B7F" w:rsidRDefault="00480B7F" w:rsidP="0091475A">
      <w:pPr>
        <w:rPr>
          <w:lang w:eastAsia="en-AU"/>
        </w:rPr>
      </w:pPr>
    </w:p>
    <w:p w14:paraId="582DAC98" w14:textId="43AE392B" w:rsidR="0053191E" w:rsidRDefault="00731A5F" w:rsidP="00B1305F">
      <w:pPr>
        <w:rPr>
          <w:szCs w:val="20"/>
          <w:lang w:eastAsia="en-AU"/>
        </w:rPr>
      </w:pPr>
      <w:r>
        <w:rPr>
          <w:szCs w:val="20"/>
          <w:lang w:eastAsia="en-AU"/>
        </w:rPr>
        <w:t>The price of the arrangement will assume the existence of a hybrid mismatch if the mismatch has been factored into the calculation of the return under the arrangement.</w:t>
      </w:r>
    </w:p>
    <w:p w14:paraId="6B432359" w14:textId="77777777" w:rsidR="0053191E" w:rsidRDefault="0053191E" w:rsidP="00B1305F">
      <w:pPr>
        <w:rPr>
          <w:szCs w:val="20"/>
          <w:lang w:eastAsia="en-AU"/>
        </w:rPr>
      </w:pPr>
    </w:p>
    <w:p w14:paraId="09B00F43" w14:textId="11533E48" w:rsidR="00480B7F" w:rsidRDefault="00084A2E" w:rsidP="00B1305F">
      <w:pPr>
        <w:rPr>
          <w:szCs w:val="20"/>
          <w:lang w:eastAsia="en-AU"/>
        </w:rPr>
      </w:pPr>
      <w:r>
        <w:rPr>
          <w:szCs w:val="20"/>
          <w:lang w:eastAsia="en-AU"/>
        </w:rPr>
        <w:t>This</w:t>
      </w:r>
      <w:r w:rsidR="00731A5F">
        <w:rPr>
          <w:szCs w:val="20"/>
          <w:lang w:eastAsia="en-AU"/>
        </w:rPr>
        <w:t xml:space="preserve"> test looks to the actual terms of the arrangement, as they affect the return on the arrangement, and as agreed between the parties, to determine whether the pricing of the transaction is different from what would have been agreed had the mismatch not arisen.</w:t>
      </w:r>
    </w:p>
    <w:p w14:paraId="42462F9E" w14:textId="77777777" w:rsidR="00731A5F" w:rsidRDefault="00731A5F" w:rsidP="00B1305F">
      <w:pPr>
        <w:rPr>
          <w:szCs w:val="20"/>
          <w:lang w:eastAsia="en-AU"/>
        </w:rPr>
      </w:pPr>
    </w:p>
    <w:p w14:paraId="199D95AB" w14:textId="2B695F72" w:rsidR="00084A2E" w:rsidRDefault="00731A5F" w:rsidP="00B1305F">
      <w:pPr>
        <w:rPr>
          <w:szCs w:val="20"/>
          <w:lang w:eastAsia="en-AU"/>
        </w:rPr>
      </w:pPr>
      <w:r>
        <w:rPr>
          <w:szCs w:val="20"/>
          <w:lang w:eastAsia="en-AU"/>
        </w:rPr>
        <w:t xml:space="preserve">This is a legal and factual test that looks only to the terms of the arrangement </w:t>
      </w:r>
      <w:r w:rsidR="0053191E">
        <w:rPr>
          <w:szCs w:val="20"/>
          <w:lang w:eastAsia="en-AU"/>
        </w:rPr>
        <w:t>itself and the allocation of risk and return under the arrangement</w:t>
      </w:r>
      <w:r w:rsidR="008C1326">
        <w:rPr>
          <w:szCs w:val="20"/>
          <w:lang w:eastAsia="en-AU"/>
        </w:rPr>
        <w:t>,</w:t>
      </w:r>
      <w:r w:rsidR="0053191E">
        <w:rPr>
          <w:szCs w:val="20"/>
          <w:lang w:eastAsia="en-AU"/>
        </w:rPr>
        <w:t xml:space="preserve"> rather than taking into account broader factors such as the relationship between the parties or the circumstances in which the arrangement was entered into</w:t>
      </w:r>
      <w:r w:rsidR="002D5667">
        <w:rPr>
          <w:szCs w:val="20"/>
          <w:lang w:eastAsia="en-AU"/>
        </w:rPr>
        <w:t xml:space="preserve">. </w:t>
      </w:r>
      <w:r w:rsidR="0053191E">
        <w:rPr>
          <w:szCs w:val="20"/>
          <w:lang w:eastAsia="en-AU"/>
        </w:rPr>
        <w:t>The test would not</w:t>
      </w:r>
      <w:r w:rsidR="00E337D1">
        <w:rPr>
          <w:szCs w:val="20"/>
          <w:lang w:eastAsia="en-AU"/>
        </w:rPr>
        <w:t xml:space="preserve"> </w:t>
      </w:r>
      <w:r w:rsidR="0053191E">
        <w:rPr>
          <w:szCs w:val="20"/>
          <w:lang w:eastAsia="en-AU"/>
        </w:rPr>
        <w:t xml:space="preserve">take into account the consideration paid by a taxpayer to acquire a hybrid financial instrument </w:t>
      </w:r>
      <w:r w:rsidR="00D2702B">
        <w:rPr>
          <w:szCs w:val="20"/>
          <w:lang w:eastAsia="en-AU"/>
        </w:rPr>
        <w:t xml:space="preserve">from another holder </w:t>
      </w:r>
      <w:r w:rsidR="00E337D1">
        <w:rPr>
          <w:szCs w:val="20"/>
          <w:lang w:eastAsia="en-AU"/>
        </w:rPr>
        <w:t xml:space="preserve">(for example, where the instrument is acquired at a premium or a discount from a third party) </w:t>
      </w:r>
      <w:r w:rsidR="0053191E">
        <w:rPr>
          <w:szCs w:val="20"/>
          <w:lang w:eastAsia="en-AU"/>
        </w:rPr>
        <w:t>unless the instrument is issued and sold</w:t>
      </w:r>
      <w:r w:rsidR="00084A2E">
        <w:rPr>
          <w:szCs w:val="20"/>
          <w:lang w:eastAsia="en-AU"/>
        </w:rPr>
        <w:t xml:space="preserve"> as part of the same arrangement.</w:t>
      </w:r>
    </w:p>
    <w:p w14:paraId="4D838FB8" w14:textId="77777777" w:rsidR="00084A2E" w:rsidRDefault="00084A2E" w:rsidP="00B1305F">
      <w:pPr>
        <w:rPr>
          <w:szCs w:val="20"/>
          <w:lang w:eastAsia="en-AU"/>
        </w:rPr>
      </w:pPr>
    </w:p>
    <w:p w14:paraId="04FBB53A" w14:textId="77777777" w:rsidR="006F2A96" w:rsidRDefault="006F2A96" w:rsidP="00B1305F">
      <w:pPr>
        <w:rPr>
          <w:szCs w:val="20"/>
          <w:lang w:eastAsia="en-AU"/>
        </w:rPr>
      </w:pPr>
    </w:p>
    <w:p w14:paraId="4B2D7470" w14:textId="24641EB3" w:rsidR="00084A2E" w:rsidRPr="00925A3A" w:rsidRDefault="00084A2E" w:rsidP="00084A2E">
      <w:pPr>
        <w:pBdr>
          <w:top w:val="single" w:sz="4" w:space="10" w:color="auto"/>
          <w:left w:val="single" w:sz="4" w:space="10" w:color="auto"/>
          <w:bottom w:val="single" w:sz="4" w:space="10" w:color="auto"/>
          <w:right w:val="single" w:sz="4" w:space="10" w:color="auto"/>
        </w:pBdr>
        <w:rPr>
          <w:b/>
          <w:sz w:val="20"/>
          <w:szCs w:val="20"/>
          <w:lang w:eastAsia="en-AU"/>
        </w:rPr>
      </w:pPr>
      <w:r>
        <w:rPr>
          <w:b/>
          <w:sz w:val="20"/>
          <w:szCs w:val="20"/>
          <w:lang w:eastAsia="en-AU"/>
        </w:rPr>
        <w:t>Example</w:t>
      </w:r>
      <w:r w:rsidR="006E6571">
        <w:rPr>
          <w:b/>
          <w:sz w:val="20"/>
          <w:szCs w:val="20"/>
          <w:lang w:eastAsia="en-AU"/>
        </w:rPr>
        <w:t xml:space="preserve"> </w:t>
      </w:r>
      <w:r w:rsidR="007A382F">
        <w:rPr>
          <w:b/>
          <w:sz w:val="20"/>
          <w:szCs w:val="20"/>
          <w:lang w:eastAsia="en-AU"/>
        </w:rPr>
        <w:t>4</w:t>
      </w:r>
      <w:r w:rsidR="00824EF8">
        <w:rPr>
          <w:b/>
          <w:sz w:val="20"/>
          <w:szCs w:val="20"/>
          <w:lang w:eastAsia="en-AU"/>
        </w:rPr>
        <w:t>: H</w:t>
      </w:r>
      <w:r w:rsidR="00404CA1">
        <w:rPr>
          <w:b/>
          <w:sz w:val="20"/>
          <w:szCs w:val="20"/>
          <w:lang w:eastAsia="en-AU"/>
        </w:rPr>
        <w:t>ybrid mismatch priced into the terms of the arrangement</w:t>
      </w:r>
    </w:p>
    <w:p w14:paraId="29D8CA6D" w14:textId="77777777" w:rsidR="00084A2E" w:rsidRDefault="00084A2E" w:rsidP="00084A2E">
      <w:pPr>
        <w:pBdr>
          <w:top w:val="single" w:sz="4" w:space="10" w:color="auto"/>
          <w:left w:val="single" w:sz="4" w:space="10" w:color="auto"/>
          <w:bottom w:val="single" w:sz="4" w:space="10" w:color="auto"/>
          <w:right w:val="single" w:sz="4" w:space="10" w:color="auto"/>
        </w:pBdr>
        <w:rPr>
          <w:sz w:val="20"/>
          <w:szCs w:val="20"/>
          <w:lang w:eastAsia="en-AU"/>
        </w:rPr>
      </w:pPr>
    </w:p>
    <w:p w14:paraId="7CDA73FD" w14:textId="0CD78A80" w:rsidR="002E2011" w:rsidRDefault="004A33D8" w:rsidP="00084A2E">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Dolphin</w:t>
      </w:r>
      <w:r w:rsidR="00084A2E">
        <w:rPr>
          <w:sz w:val="20"/>
          <w:szCs w:val="20"/>
          <w:lang w:eastAsia="en-AU"/>
        </w:rPr>
        <w:t xml:space="preserve"> Co (a company resident in Country D) and </w:t>
      </w:r>
      <w:r>
        <w:rPr>
          <w:sz w:val="20"/>
          <w:szCs w:val="20"/>
          <w:lang w:eastAsia="en-AU"/>
        </w:rPr>
        <w:t>Elk</w:t>
      </w:r>
      <w:r w:rsidR="00084A2E">
        <w:rPr>
          <w:sz w:val="20"/>
          <w:szCs w:val="20"/>
          <w:lang w:eastAsia="en-AU"/>
        </w:rPr>
        <w:t xml:space="preserve"> Co (a company resident in Country E) are unrelated parties</w:t>
      </w:r>
      <w:r w:rsidR="002D5667">
        <w:rPr>
          <w:sz w:val="20"/>
          <w:szCs w:val="20"/>
          <w:lang w:eastAsia="en-AU"/>
        </w:rPr>
        <w:t xml:space="preserve">. </w:t>
      </w:r>
      <w:r>
        <w:rPr>
          <w:sz w:val="20"/>
          <w:szCs w:val="20"/>
          <w:lang w:eastAsia="en-AU"/>
        </w:rPr>
        <w:t xml:space="preserve">Elk </w:t>
      </w:r>
      <w:r w:rsidR="00084A2E">
        <w:rPr>
          <w:sz w:val="20"/>
          <w:szCs w:val="20"/>
          <w:lang w:eastAsia="en-AU"/>
        </w:rPr>
        <w:t>Co issues a bond</w:t>
      </w:r>
      <w:r w:rsidR="00005E58">
        <w:rPr>
          <w:sz w:val="20"/>
          <w:szCs w:val="20"/>
          <w:lang w:eastAsia="en-AU"/>
        </w:rPr>
        <w:t xml:space="preserve"> </w:t>
      </w:r>
      <w:r w:rsidR="00084A2E">
        <w:rPr>
          <w:sz w:val="20"/>
          <w:szCs w:val="20"/>
          <w:lang w:eastAsia="en-AU"/>
        </w:rPr>
        <w:t xml:space="preserve">that pays an annual coupon to </w:t>
      </w:r>
      <w:r>
        <w:rPr>
          <w:sz w:val="20"/>
          <w:szCs w:val="20"/>
          <w:lang w:eastAsia="en-AU"/>
        </w:rPr>
        <w:t xml:space="preserve">Dolphin </w:t>
      </w:r>
      <w:r w:rsidR="00084A2E">
        <w:rPr>
          <w:sz w:val="20"/>
          <w:szCs w:val="20"/>
          <w:lang w:eastAsia="en-AU"/>
        </w:rPr>
        <w:t>Co</w:t>
      </w:r>
      <w:r w:rsidR="002D5667">
        <w:rPr>
          <w:sz w:val="20"/>
          <w:szCs w:val="20"/>
          <w:lang w:eastAsia="en-AU"/>
        </w:rPr>
        <w:t xml:space="preserve">. </w:t>
      </w:r>
      <w:r w:rsidR="00084A2E">
        <w:rPr>
          <w:sz w:val="20"/>
          <w:szCs w:val="20"/>
          <w:lang w:eastAsia="en-AU"/>
        </w:rPr>
        <w:t xml:space="preserve">The </w:t>
      </w:r>
      <w:r w:rsidR="002E2011">
        <w:rPr>
          <w:sz w:val="20"/>
          <w:szCs w:val="20"/>
          <w:lang w:eastAsia="en-AU"/>
        </w:rPr>
        <w:t>bond is treated as a debt instrument under the laws of Country E but as an equity instrument under the laws of Country D</w:t>
      </w:r>
      <w:r w:rsidR="002D5667">
        <w:rPr>
          <w:sz w:val="20"/>
          <w:szCs w:val="20"/>
          <w:lang w:eastAsia="en-AU"/>
        </w:rPr>
        <w:t xml:space="preserve">. </w:t>
      </w:r>
      <w:r w:rsidR="002E2011">
        <w:rPr>
          <w:sz w:val="20"/>
          <w:szCs w:val="20"/>
          <w:lang w:eastAsia="en-AU"/>
        </w:rPr>
        <w:t>Country D generally exempts foreign dividends</w:t>
      </w:r>
      <w:r w:rsidR="00005E58">
        <w:rPr>
          <w:sz w:val="20"/>
          <w:szCs w:val="20"/>
          <w:lang w:eastAsia="en-AU"/>
        </w:rPr>
        <w:t xml:space="preserve"> under its domestic law</w:t>
      </w:r>
      <w:r w:rsidR="00E30EA9">
        <w:rPr>
          <w:sz w:val="20"/>
          <w:szCs w:val="20"/>
          <w:lang w:eastAsia="en-AU"/>
        </w:rPr>
        <w:t xml:space="preserve"> but taxes interest income</w:t>
      </w:r>
      <w:r w:rsidR="002D5667">
        <w:rPr>
          <w:sz w:val="20"/>
          <w:szCs w:val="20"/>
          <w:lang w:eastAsia="en-AU"/>
        </w:rPr>
        <w:t xml:space="preserve">. </w:t>
      </w:r>
      <w:r w:rsidR="002E2011">
        <w:rPr>
          <w:sz w:val="20"/>
          <w:szCs w:val="20"/>
          <w:lang w:eastAsia="en-AU"/>
        </w:rPr>
        <w:t>Therefore the payment results in a D/NI outcome that is a hybrid mismatch.</w:t>
      </w:r>
    </w:p>
    <w:p w14:paraId="63A09A2F" w14:textId="77777777" w:rsidR="002E2011" w:rsidRDefault="002E2011" w:rsidP="00084A2E">
      <w:pPr>
        <w:pBdr>
          <w:top w:val="single" w:sz="4" w:space="10" w:color="auto"/>
          <w:left w:val="single" w:sz="4" w:space="10" w:color="auto"/>
          <w:bottom w:val="single" w:sz="4" w:space="10" w:color="auto"/>
          <w:right w:val="single" w:sz="4" w:space="10" w:color="auto"/>
        </w:pBdr>
        <w:rPr>
          <w:sz w:val="20"/>
          <w:szCs w:val="20"/>
          <w:lang w:eastAsia="en-AU"/>
        </w:rPr>
      </w:pPr>
    </w:p>
    <w:p w14:paraId="2347DEDC" w14:textId="7C6499C4" w:rsidR="00084A2E" w:rsidRDefault="002E2011" w:rsidP="00084A2E">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The formula for calculating the coupon payment on the bond provides for a discount to the market rate of interest which is calculated by reference to the company tax rate</w:t>
      </w:r>
      <w:r w:rsidR="00A11E85">
        <w:rPr>
          <w:sz w:val="20"/>
          <w:szCs w:val="20"/>
          <w:lang w:eastAsia="en-AU"/>
        </w:rPr>
        <w:t xml:space="preserve"> in Country D (</w:t>
      </w:r>
      <w:r w:rsidR="0047243A">
        <w:rPr>
          <w:sz w:val="20"/>
          <w:szCs w:val="20"/>
          <w:lang w:eastAsia="en-AU"/>
        </w:rPr>
        <w:t>that is, the</w:t>
      </w:r>
      <w:r w:rsidR="00A11E85">
        <w:rPr>
          <w:sz w:val="20"/>
          <w:szCs w:val="20"/>
          <w:lang w:eastAsia="en-AU"/>
        </w:rPr>
        <w:t xml:space="preserve"> coupon</w:t>
      </w:r>
      <w:r>
        <w:rPr>
          <w:sz w:val="20"/>
          <w:szCs w:val="20"/>
          <w:lang w:eastAsia="en-AU"/>
        </w:rPr>
        <w:t xml:space="preserve"> formula is equal to</w:t>
      </w:r>
      <w:r w:rsidR="00B509F7">
        <w:rPr>
          <w:sz w:val="20"/>
          <w:szCs w:val="20"/>
          <w:lang w:eastAsia="en-AU"/>
        </w:rPr>
        <w:t xml:space="preserve"> </w:t>
      </w:r>
      <w:r>
        <w:rPr>
          <w:i/>
          <w:sz w:val="20"/>
          <w:szCs w:val="20"/>
          <w:lang w:eastAsia="en-AU"/>
        </w:rPr>
        <w:t>market rate</w:t>
      </w:r>
      <w:r>
        <w:rPr>
          <w:sz w:val="20"/>
          <w:szCs w:val="20"/>
          <w:lang w:eastAsia="en-AU"/>
        </w:rPr>
        <w:t xml:space="preserve"> </w:t>
      </w:r>
      <w:r w:rsidR="00B509F7">
        <w:rPr>
          <w:sz w:val="20"/>
          <w:szCs w:val="20"/>
          <w:lang w:eastAsia="en-AU"/>
        </w:rPr>
        <w:sym w:font="Symbol" w:char="F0B4"/>
      </w:r>
      <w:r>
        <w:rPr>
          <w:sz w:val="20"/>
          <w:szCs w:val="20"/>
          <w:lang w:eastAsia="en-AU"/>
        </w:rPr>
        <w:t xml:space="preserve"> (</w:t>
      </w:r>
      <w:r>
        <w:rPr>
          <w:i/>
          <w:sz w:val="20"/>
          <w:szCs w:val="20"/>
          <w:lang w:eastAsia="en-AU"/>
        </w:rPr>
        <w:t>1 – 0.5 of the tax rate)</w:t>
      </w:r>
      <w:r w:rsidR="0047243A">
        <w:rPr>
          <w:sz w:val="20"/>
          <w:szCs w:val="20"/>
          <w:lang w:eastAsia="en-AU"/>
        </w:rPr>
        <w:t>)</w:t>
      </w:r>
      <w:r>
        <w:rPr>
          <w:i/>
          <w:sz w:val="20"/>
          <w:szCs w:val="20"/>
          <w:lang w:eastAsia="en-AU"/>
        </w:rPr>
        <w:t>.</w:t>
      </w:r>
    </w:p>
    <w:p w14:paraId="173D52F9" w14:textId="77777777" w:rsidR="002E2011" w:rsidRDefault="002E2011" w:rsidP="00084A2E">
      <w:pPr>
        <w:pBdr>
          <w:top w:val="single" w:sz="4" w:space="10" w:color="auto"/>
          <w:left w:val="single" w:sz="4" w:space="10" w:color="auto"/>
          <w:bottom w:val="single" w:sz="4" w:space="10" w:color="auto"/>
          <w:right w:val="single" w:sz="4" w:space="10" w:color="auto"/>
        </w:pBdr>
        <w:rPr>
          <w:sz w:val="20"/>
          <w:szCs w:val="20"/>
          <w:lang w:eastAsia="en-AU"/>
        </w:rPr>
      </w:pPr>
    </w:p>
    <w:p w14:paraId="26A4E503" w14:textId="77777777" w:rsidR="002E2011" w:rsidRDefault="002E2011" w:rsidP="002E2011">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Question</w:t>
      </w:r>
    </w:p>
    <w:p w14:paraId="1EF273AB" w14:textId="77777777" w:rsidR="002E2011" w:rsidRDefault="002E2011" w:rsidP="002E2011">
      <w:pPr>
        <w:pBdr>
          <w:top w:val="single" w:sz="4" w:space="10" w:color="auto"/>
          <w:left w:val="single" w:sz="4" w:space="10" w:color="auto"/>
          <w:bottom w:val="single" w:sz="4" w:space="10" w:color="auto"/>
          <w:right w:val="single" w:sz="4" w:space="10" w:color="auto"/>
        </w:pBdr>
        <w:rPr>
          <w:i/>
          <w:sz w:val="20"/>
          <w:szCs w:val="20"/>
          <w:lang w:eastAsia="en-AU"/>
        </w:rPr>
      </w:pPr>
    </w:p>
    <w:p w14:paraId="564C16D9" w14:textId="6D406F5A" w:rsidR="002E2011" w:rsidRPr="008777B7" w:rsidRDefault="002E2011" w:rsidP="002E2011">
      <w:pPr>
        <w:pBdr>
          <w:top w:val="single" w:sz="4" w:space="10" w:color="auto"/>
          <w:left w:val="single" w:sz="4" w:space="10" w:color="auto"/>
          <w:bottom w:val="single" w:sz="4" w:space="10" w:color="auto"/>
          <w:right w:val="single" w:sz="4" w:space="10" w:color="auto"/>
        </w:pBdr>
        <w:rPr>
          <w:i/>
          <w:sz w:val="20"/>
          <w:szCs w:val="20"/>
          <w:lang w:eastAsia="en-AU"/>
        </w:rPr>
      </w:pPr>
      <w:r>
        <w:rPr>
          <w:sz w:val="20"/>
          <w:szCs w:val="20"/>
          <w:lang w:eastAsia="en-AU"/>
        </w:rPr>
        <w:t>Whether the bon</w:t>
      </w:r>
      <w:r w:rsidR="006354D4">
        <w:rPr>
          <w:sz w:val="20"/>
          <w:szCs w:val="20"/>
          <w:lang w:eastAsia="en-AU"/>
        </w:rPr>
        <w:t>d is a structured arrangement</w:t>
      </w:r>
      <w:r w:rsidR="00A11E85">
        <w:rPr>
          <w:sz w:val="20"/>
          <w:szCs w:val="20"/>
          <w:lang w:eastAsia="en-AU"/>
        </w:rPr>
        <w:t xml:space="preserve"> for </w:t>
      </w:r>
      <w:r w:rsidR="004A33D8">
        <w:rPr>
          <w:sz w:val="20"/>
          <w:szCs w:val="20"/>
          <w:lang w:eastAsia="en-AU"/>
        </w:rPr>
        <w:t xml:space="preserve">Elk </w:t>
      </w:r>
      <w:r w:rsidR="00A11E85">
        <w:rPr>
          <w:sz w:val="20"/>
          <w:szCs w:val="20"/>
          <w:lang w:eastAsia="en-AU"/>
        </w:rPr>
        <w:t>Co</w:t>
      </w:r>
      <w:r>
        <w:rPr>
          <w:sz w:val="20"/>
          <w:szCs w:val="20"/>
          <w:lang w:eastAsia="en-AU"/>
        </w:rPr>
        <w:t>?</w:t>
      </w:r>
    </w:p>
    <w:p w14:paraId="401577B8" w14:textId="5A800EB0" w:rsidR="002E2011" w:rsidRDefault="002E2011" w:rsidP="002E2011">
      <w:pPr>
        <w:pBdr>
          <w:top w:val="single" w:sz="4" w:space="10" w:color="auto"/>
          <w:left w:val="single" w:sz="4" w:space="10" w:color="auto"/>
          <w:bottom w:val="single" w:sz="4" w:space="10" w:color="auto"/>
          <w:right w:val="single" w:sz="4" w:space="10" w:color="auto"/>
        </w:pBdr>
        <w:rPr>
          <w:sz w:val="20"/>
          <w:szCs w:val="20"/>
          <w:lang w:eastAsia="en-AU"/>
        </w:rPr>
      </w:pPr>
    </w:p>
    <w:p w14:paraId="129EB579" w14:textId="5756A4BB" w:rsidR="002E2011" w:rsidRPr="008777B7" w:rsidRDefault="00DD36D5" w:rsidP="002E2011">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Answer</w:t>
      </w:r>
    </w:p>
    <w:p w14:paraId="6DA49E73" w14:textId="77777777" w:rsidR="002E2011" w:rsidRDefault="002E2011" w:rsidP="002E2011">
      <w:pPr>
        <w:pBdr>
          <w:top w:val="single" w:sz="4" w:space="10" w:color="auto"/>
          <w:left w:val="single" w:sz="4" w:space="10" w:color="auto"/>
          <w:bottom w:val="single" w:sz="4" w:space="10" w:color="auto"/>
          <w:right w:val="single" w:sz="4" w:space="10" w:color="auto"/>
        </w:pBdr>
        <w:rPr>
          <w:sz w:val="20"/>
          <w:szCs w:val="20"/>
          <w:lang w:eastAsia="en-AU"/>
        </w:rPr>
      </w:pPr>
    </w:p>
    <w:p w14:paraId="5F5F8428" w14:textId="5D777D7D" w:rsidR="002E2011" w:rsidRPr="00925A3A" w:rsidRDefault="00A11E85" w:rsidP="00084A2E">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Yes</w:t>
      </w:r>
      <w:r w:rsidR="002D5667">
        <w:rPr>
          <w:sz w:val="20"/>
          <w:szCs w:val="20"/>
          <w:lang w:eastAsia="en-AU"/>
        </w:rPr>
        <w:t xml:space="preserve">. </w:t>
      </w:r>
      <w:r>
        <w:rPr>
          <w:sz w:val="20"/>
          <w:szCs w:val="20"/>
          <w:lang w:eastAsia="en-AU"/>
        </w:rPr>
        <w:t>The mismatch has been factored into the calculation of the coupon under the bond so limb (a)(i) of the definition is met</w:t>
      </w:r>
      <w:r w:rsidR="002D5667">
        <w:rPr>
          <w:sz w:val="20"/>
          <w:szCs w:val="20"/>
          <w:lang w:eastAsia="en-AU"/>
        </w:rPr>
        <w:t xml:space="preserve">. </w:t>
      </w:r>
      <w:r w:rsidR="004A33D8">
        <w:rPr>
          <w:sz w:val="20"/>
          <w:szCs w:val="20"/>
          <w:lang w:eastAsia="en-AU"/>
        </w:rPr>
        <w:t xml:space="preserve">Elk </w:t>
      </w:r>
      <w:r>
        <w:rPr>
          <w:sz w:val="20"/>
          <w:szCs w:val="20"/>
          <w:lang w:eastAsia="en-AU"/>
        </w:rPr>
        <w:t xml:space="preserve">Co could reasonably be expected to be aware of the </w:t>
      </w:r>
      <w:r w:rsidR="003B7AE9">
        <w:rPr>
          <w:sz w:val="20"/>
          <w:szCs w:val="20"/>
          <w:lang w:eastAsia="en-AU"/>
        </w:rPr>
        <w:t xml:space="preserve">sharing of the </w:t>
      </w:r>
      <w:r>
        <w:rPr>
          <w:sz w:val="20"/>
          <w:szCs w:val="20"/>
          <w:lang w:eastAsia="en-AU"/>
        </w:rPr>
        <w:t>tax benefit that arises to it from the mismatch as the coupon formula reflects a below market rate of interest</w:t>
      </w:r>
      <w:r w:rsidR="003B7AE9">
        <w:rPr>
          <w:sz w:val="20"/>
          <w:szCs w:val="20"/>
          <w:lang w:eastAsia="en-AU"/>
        </w:rPr>
        <w:t xml:space="preserve"> so limb (b) of the definition is met as well</w:t>
      </w:r>
      <w:r>
        <w:rPr>
          <w:sz w:val="20"/>
          <w:szCs w:val="20"/>
          <w:lang w:eastAsia="en-AU"/>
        </w:rPr>
        <w:t>.</w:t>
      </w:r>
    </w:p>
    <w:p w14:paraId="3008F12D" w14:textId="77777777" w:rsidR="0091475A" w:rsidRPr="00480B7F" w:rsidRDefault="0091475A" w:rsidP="00B1305F">
      <w:pPr>
        <w:rPr>
          <w:szCs w:val="20"/>
          <w:lang w:eastAsia="en-AU"/>
        </w:rPr>
      </w:pPr>
    </w:p>
    <w:p w14:paraId="67E19EF4" w14:textId="77777777" w:rsidR="006F2A96" w:rsidRDefault="006F2A96">
      <w:pPr>
        <w:jc w:val="left"/>
        <w:rPr>
          <w:u w:val="single"/>
        </w:rPr>
      </w:pPr>
      <w:r>
        <w:br w:type="page"/>
      </w:r>
    </w:p>
    <w:p w14:paraId="22504956" w14:textId="476424B9" w:rsidR="00480B7F" w:rsidRPr="005D604F" w:rsidRDefault="005526A9" w:rsidP="005D604F">
      <w:pPr>
        <w:pStyle w:val="Heading5"/>
      </w:pPr>
      <w:r w:rsidRPr="005D604F">
        <w:lastRenderedPageBreak/>
        <w:t>Facts or circumstances indicate an intention to re</w:t>
      </w:r>
      <w:r w:rsidR="00FE5A61" w:rsidRPr="005D604F">
        <w:t>ly or product a hybrid mismatch</w:t>
      </w:r>
    </w:p>
    <w:p w14:paraId="7D1A36B0" w14:textId="77777777" w:rsidR="00480B7F" w:rsidRDefault="00480B7F" w:rsidP="0091475A">
      <w:pPr>
        <w:rPr>
          <w:lang w:eastAsia="en-AU"/>
        </w:rPr>
      </w:pPr>
    </w:p>
    <w:p w14:paraId="71B104F5" w14:textId="0249349E" w:rsidR="00480B7F" w:rsidRPr="005526A9" w:rsidRDefault="005526A9" w:rsidP="00B1305F">
      <w:pPr>
        <w:rPr>
          <w:szCs w:val="20"/>
          <w:lang w:eastAsia="en-AU"/>
        </w:rPr>
      </w:pPr>
      <w:r>
        <w:rPr>
          <w:szCs w:val="20"/>
          <w:lang w:eastAsia="en-AU"/>
        </w:rPr>
        <w:t xml:space="preserve">The facts and circumstance test is a wider test </w:t>
      </w:r>
      <w:r w:rsidR="004F6BB9">
        <w:rPr>
          <w:szCs w:val="20"/>
          <w:lang w:eastAsia="en-AU"/>
        </w:rPr>
        <w:t>than the pricing test noted above and</w:t>
      </w:r>
      <w:r>
        <w:rPr>
          <w:szCs w:val="20"/>
          <w:lang w:eastAsia="en-AU"/>
        </w:rPr>
        <w:t xml:space="preserve"> looks to a number of factors to determine whether the arrangement </w:t>
      </w:r>
      <w:r w:rsidR="004F6BB9">
        <w:rPr>
          <w:szCs w:val="20"/>
          <w:lang w:eastAsia="en-AU"/>
        </w:rPr>
        <w:t>is intended to rely on or produce a hybrid mismatch</w:t>
      </w:r>
      <w:r w:rsidR="002D5667">
        <w:rPr>
          <w:szCs w:val="20"/>
          <w:lang w:eastAsia="en-AU"/>
        </w:rPr>
        <w:t xml:space="preserve">. </w:t>
      </w:r>
      <w:r w:rsidR="004F6BB9">
        <w:rPr>
          <w:szCs w:val="20"/>
          <w:lang w:eastAsia="en-AU"/>
        </w:rPr>
        <w:t xml:space="preserve">These factors include </w:t>
      </w:r>
      <w:r>
        <w:rPr>
          <w:szCs w:val="20"/>
          <w:lang w:eastAsia="en-AU"/>
        </w:rPr>
        <w:t>the r</w:t>
      </w:r>
      <w:r w:rsidR="004F6BB9">
        <w:rPr>
          <w:szCs w:val="20"/>
          <w:lang w:eastAsia="en-AU"/>
        </w:rPr>
        <w:t>elationship between the parties,</w:t>
      </w:r>
      <w:r>
        <w:rPr>
          <w:szCs w:val="20"/>
          <w:lang w:eastAsia="en-AU"/>
        </w:rPr>
        <w:t xml:space="preserve"> the circumstances under which the arrangement was entered i</w:t>
      </w:r>
      <w:r w:rsidR="004F6BB9">
        <w:rPr>
          <w:szCs w:val="20"/>
          <w:lang w:eastAsia="en-AU"/>
        </w:rPr>
        <w:t>nto,</w:t>
      </w:r>
      <w:r>
        <w:rPr>
          <w:szCs w:val="20"/>
          <w:lang w:eastAsia="en-AU"/>
        </w:rPr>
        <w:t xml:space="preserve"> the steps and transactions that were undertaken to put the arrangement into </w:t>
      </w:r>
      <w:r w:rsidR="004F6BB9">
        <w:rPr>
          <w:szCs w:val="20"/>
          <w:lang w:eastAsia="en-AU"/>
        </w:rPr>
        <w:t>effect,</w:t>
      </w:r>
      <w:r>
        <w:rPr>
          <w:szCs w:val="20"/>
          <w:lang w:eastAsia="en-AU"/>
        </w:rPr>
        <w:t xml:space="preserve"> the terms of the arrangement itself and the economic and commercial benefits of the transaction</w:t>
      </w:r>
    </w:p>
    <w:p w14:paraId="2F181122" w14:textId="77777777" w:rsidR="00480B7F" w:rsidRPr="00480B7F" w:rsidRDefault="00480B7F" w:rsidP="00B1305F">
      <w:pPr>
        <w:rPr>
          <w:b/>
          <w:i/>
          <w:szCs w:val="20"/>
          <w:lang w:eastAsia="en-AU"/>
        </w:rPr>
      </w:pPr>
    </w:p>
    <w:p w14:paraId="49560F01" w14:textId="41927368" w:rsidR="00B1305F" w:rsidRDefault="007772BA" w:rsidP="00B1305F">
      <w:pPr>
        <w:rPr>
          <w:szCs w:val="20"/>
          <w:lang w:eastAsia="en-AU"/>
        </w:rPr>
      </w:pPr>
      <w:r>
        <w:rPr>
          <w:szCs w:val="20"/>
          <w:lang w:eastAsia="en-AU"/>
        </w:rPr>
        <w:t>Facts and circumstances that indicate an arrangement is intended to produce a hybrid</w:t>
      </w:r>
      <w:r w:rsidR="008C1326">
        <w:rPr>
          <w:szCs w:val="20"/>
          <w:lang w:eastAsia="en-AU"/>
        </w:rPr>
        <w:t xml:space="preserve"> </w:t>
      </w:r>
      <w:r w:rsidR="00FE5A61">
        <w:rPr>
          <w:szCs w:val="20"/>
          <w:lang w:eastAsia="en-AU"/>
        </w:rPr>
        <w:t>mismatch include the following:</w:t>
      </w:r>
    </w:p>
    <w:p w14:paraId="058A8869" w14:textId="77777777" w:rsidR="007772BA" w:rsidRDefault="007772BA" w:rsidP="00B1305F">
      <w:pPr>
        <w:rPr>
          <w:szCs w:val="20"/>
          <w:lang w:eastAsia="en-AU"/>
        </w:rPr>
      </w:pPr>
    </w:p>
    <w:p w14:paraId="2E9FDEF7" w14:textId="6358734E" w:rsidR="007772BA" w:rsidRDefault="007772BA" w:rsidP="0091475A">
      <w:pPr>
        <w:pStyle w:val="Bullets"/>
      </w:pPr>
      <w:r>
        <w:t>an arrangement that is designed, or is part of pl</w:t>
      </w:r>
      <w:r w:rsidR="00726880">
        <w:t>an, to create a hybrid mismatch;</w:t>
      </w:r>
    </w:p>
    <w:p w14:paraId="463973C2" w14:textId="33798A02" w:rsidR="00726880" w:rsidRDefault="00726880" w:rsidP="0091475A">
      <w:pPr>
        <w:pStyle w:val="Bullets"/>
      </w:pPr>
      <w:r>
        <w:t>an arrangement that incorporates a term, step or tr</w:t>
      </w:r>
      <w:r w:rsidR="00FE5A61">
        <w:t>ansaction to create a mismatch;</w:t>
      </w:r>
    </w:p>
    <w:p w14:paraId="251AC500" w14:textId="7EFF0748" w:rsidR="00726880" w:rsidRDefault="00726880" w:rsidP="0091475A">
      <w:pPr>
        <w:pStyle w:val="Bullets"/>
      </w:pPr>
      <w:r>
        <w:t>an arrangement that is marketed, in whole or in part, as a tax-advantaged product where some or all of the tax advantage is de</w:t>
      </w:r>
      <w:r w:rsidR="00FE5A61">
        <w:t>rived from the hybrid mismatch;</w:t>
      </w:r>
    </w:p>
    <w:p w14:paraId="0F045D94" w14:textId="0586DC59" w:rsidR="007772BA" w:rsidRPr="007772BA" w:rsidRDefault="00726880" w:rsidP="0091475A">
      <w:pPr>
        <w:pStyle w:val="Bullets"/>
      </w:pPr>
      <w:r>
        <w:t xml:space="preserve">an arrangement that is primarily marketed to taxpayers in a </w:t>
      </w:r>
      <w:r w:rsidR="00E30EA9">
        <w:t xml:space="preserve">country </w:t>
      </w:r>
      <w:r>
        <w:t>where the hybrid mismatch arises;</w:t>
      </w:r>
    </w:p>
    <w:p w14:paraId="3586C2AB" w14:textId="5E84BE01" w:rsidR="007772BA" w:rsidRDefault="00726880" w:rsidP="0091475A">
      <w:pPr>
        <w:pStyle w:val="Bullets"/>
      </w:pPr>
      <w:r>
        <w:t xml:space="preserve">an arrangement that contains features that alter the terms under an arrangement, including </w:t>
      </w:r>
      <w:r w:rsidR="00055C12">
        <w:t>the return, in the event that the hybrid mismatch is no longer avai</w:t>
      </w:r>
      <w:r w:rsidR="00FE5A61">
        <w:t>lable; and</w:t>
      </w:r>
    </w:p>
    <w:p w14:paraId="0DE6F40A" w14:textId="20FA877F" w:rsidR="0091160A" w:rsidRDefault="00055C12" w:rsidP="0091475A">
      <w:pPr>
        <w:pStyle w:val="Bullets"/>
        <w:spacing w:after="0"/>
      </w:pPr>
      <w:r>
        <w:t>an arrangement that would produce a negative return absent the hybrid mismatch.</w:t>
      </w:r>
    </w:p>
    <w:p w14:paraId="702CD5E8" w14:textId="77777777" w:rsidR="0091160A" w:rsidRDefault="0091160A" w:rsidP="0091160A">
      <w:pPr>
        <w:rPr>
          <w:szCs w:val="20"/>
          <w:lang w:eastAsia="en-AU"/>
        </w:rPr>
      </w:pPr>
    </w:p>
    <w:p w14:paraId="031720EB" w14:textId="0E495103" w:rsidR="0091160A" w:rsidRPr="0091160A" w:rsidRDefault="0091160A" w:rsidP="0091160A">
      <w:pPr>
        <w:rPr>
          <w:szCs w:val="20"/>
          <w:lang w:eastAsia="en-AU"/>
        </w:rPr>
      </w:pPr>
      <w:r>
        <w:rPr>
          <w:szCs w:val="20"/>
          <w:lang w:eastAsia="en-AU"/>
        </w:rPr>
        <w:t>The fact that an arrangement produces a combination of tax and commercial benefits does not prevent the arrangement from being a structured arrangement if, on an objective basis, it would be concluded that part of the explanation for the arrangement was to generate a hybrid mismatch.</w:t>
      </w:r>
    </w:p>
    <w:p w14:paraId="29567FC2" w14:textId="77777777" w:rsidR="008B5F2A" w:rsidRPr="005D604F" w:rsidRDefault="008B5F2A" w:rsidP="005D604F"/>
    <w:p w14:paraId="76700BA5" w14:textId="6C32E5BF" w:rsidR="006B4A75" w:rsidRPr="005D604F" w:rsidRDefault="003F3178" w:rsidP="005D604F">
      <w:pPr>
        <w:pStyle w:val="Heading5"/>
      </w:pPr>
      <w:r w:rsidRPr="005D604F">
        <w:t>Rea</w:t>
      </w:r>
      <w:r w:rsidR="00FE5A61" w:rsidRPr="005D604F">
        <w:t>sonably be expected to be aware</w:t>
      </w:r>
    </w:p>
    <w:p w14:paraId="437BA570" w14:textId="77777777" w:rsidR="002D4622" w:rsidRPr="005D604F" w:rsidRDefault="002D4622" w:rsidP="005D604F"/>
    <w:p w14:paraId="7986941F" w14:textId="76B822F7" w:rsidR="003F3178" w:rsidRDefault="002D4622" w:rsidP="00547BCF">
      <w:pPr>
        <w:ind w:right="-2"/>
        <w:rPr>
          <w:lang w:eastAsia="en-AU"/>
        </w:rPr>
      </w:pPr>
      <w:r>
        <w:rPr>
          <w:lang w:eastAsia="en-AU"/>
        </w:rPr>
        <w:t xml:space="preserve">Whether an arrangement </w:t>
      </w:r>
      <w:r w:rsidR="00E30EA9">
        <w:rPr>
          <w:lang w:eastAsia="en-AU"/>
        </w:rPr>
        <w:t>is</w:t>
      </w:r>
      <w:r>
        <w:rPr>
          <w:lang w:eastAsia="en-AU"/>
        </w:rPr>
        <w:t xml:space="preserve"> a structured arrangement is person-</w:t>
      </w:r>
      <w:r w:rsidR="008B5F2A">
        <w:rPr>
          <w:lang w:eastAsia="en-AU"/>
        </w:rPr>
        <w:t xml:space="preserve">specific </w:t>
      </w:r>
      <w:r>
        <w:rPr>
          <w:lang w:eastAsia="en-AU"/>
        </w:rPr>
        <w:t>as it depends on whether a person</w:t>
      </w:r>
      <w:r w:rsidR="004638D4">
        <w:rPr>
          <w:lang w:eastAsia="en-AU"/>
        </w:rPr>
        <w:t xml:space="preserve"> (or a member of that person’s control group)</w:t>
      </w:r>
      <w:r>
        <w:rPr>
          <w:lang w:eastAsia="en-AU"/>
        </w:rPr>
        <w:t xml:space="preserve"> could reasonabl</w:t>
      </w:r>
      <w:r w:rsidR="00DE013A">
        <w:rPr>
          <w:lang w:eastAsia="en-AU"/>
        </w:rPr>
        <w:t>y</w:t>
      </w:r>
      <w:r>
        <w:rPr>
          <w:lang w:eastAsia="en-AU"/>
        </w:rPr>
        <w:t xml:space="preserve"> have been expected to be aware of the mismatch.</w:t>
      </w:r>
    </w:p>
    <w:p w14:paraId="3AED72AE" w14:textId="77777777" w:rsidR="002D4622" w:rsidRDefault="002D4622" w:rsidP="006B4A75">
      <w:pPr>
        <w:ind w:right="848"/>
        <w:rPr>
          <w:lang w:eastAsia="en-AU"/>
        </w:rPr>
      </w:pPr>
    </w:p>
    <w:p w14:paraId="42555C25" w14:textId="77777777" w:rsidR="006B4A75" w:rsidRDefault="004638D4" w:rsidP="006B4A75">
      <w:pPr>
        <w:ind w:right="848"/>
        <w:rPr>
          <w:lang w:eastAsia="en-AU"/>
        </w:rPr>
      </w:pPr>
      <w:r>
        <w:rPr>
          <w:lang w:eastAsia="en-AU"/>
        </w:rPr>
        <w:t>This limb of the definition is consistent with p</w:t>
      </w:r>
      <w:r w:rsidR="006B4A75">
        <w:rPr>
          <w:lang w:eastAsia="en-AU"/>
        </w:rPr>
        <w:t xml:space="preserve">aragraphs 342 to 343 of the </w:t>
      </w:r>
      <w:r w:rsidR="00096812">
        <w:rPr>
          <w:lang w:eastAsia="en-AU"/>
        </w:rPr>
        <w:t xml:space="preserve">OECD </w:t>
      </w:r>
      <w:r w:rsidR="006B4A75">
        <w:rPr>
          <w:lang w:eastAsia="en-AU"/>
        </w:rPr>
        <w:t>hybrid</w:t>
      </w:r>
      <w:r w:rsidR="00096812">
        <w:rPr>
          <w:lang w:eastAsia="en-AU"/>
        </w:rPr>
        <w:t xml:space="preserve"> mismatch</w:t>
      </w:r>
      <w:r w:rsidR="006B4A75">
        <w:rPr>
          <w:lang w:eastAsia="en-AU"/>
        </w:rPr>
        <w:t xml:space="preserve"> report </w:t>
      </w:r>
      <w:r>
        <w:rPr>
          <w:lang w:eastAsia="en-AU"/>
        </w:rPr>
        <w:t xml:space="preserve">which state </w:t>
      </w:r>
      <w:r w:rsidR="006B4A75">
        <w:rPr>
          <w:lang w:eastAsia="en-AU"/>
        </w:rPr>
        <w:t xml:space="preserve">that: </w:t>
      </w:r>
    </w:p>
    <w:p w14:paraId="5FBCD699" w14:textId="77777777" w:rsidR="006B4A75" w:rsidRDefault="006B4A75" w:rsidP="006B4A75">
      <w:pPr>
        <w:ind w:right="848"/>
        <w:rPr>
          <w:lang w:eastAsia="en-AU"/>
        </w:rPr>
      </w:pPr>
    </w:p>
    <w:p w14:paraId="6A819FA5" w14:textId="7EDF69ED" w:rsidR="006B4A75" w:rsidRDefault="006B4A75" w:rsidP="006B4A75">
      <w:pPr>
        <w:ind w:left="720" w:right="848"/>
        <w:rPr>
          <w:sz w:val="20"/>
          <w:szCs w:val="20"/>
          <w:lang w:eastAsia="en-AU"/>
        </w:rPr>
      </w:pPr>
      <w:r>
        <w:rPr>
          <w:sz w:val="20"/>
          <w:szCs w:val="20"/>
          <w:lang w:eastAsia="en-AU"/>
        </w:rPr>
        <w:t>“A person will be a party to a structured arrangement when that person has a sufficient level of involvement in the arrangement to understand how it has been structured and what its tax effects might be</w:t>
      </w:r>
      <w:r w:rsidR="002D5667">
        <w:rPr>
          <w:sz w:val="20"/>
          <w:szCs w:val="20"/>
          <w:lang w:eastAsia="en-AU"/>
        </w:rPr>
        <w:t xml:space="preserve">. </w:t>
      </w:r>
      <w:r>
        <w:rPr>
          <w:sz w:val="20"/>
          <w:szCs w:val="20"/>
          <w:lang w:eastAsia="en-AU"/>
        </w:rPr>
        <w:t>A taxpayer will not be treated as a party to a structured arrangement, however, where neither the taxpayer nor any member of the same control group was aware of the mismatch in tax outcomes or obtained any benefit from the mismatch.</w:t>
      </w:r>
    </w:p>
    <w:p w14:paraId="09D664A5" w14:textId="77777777" w:rsidR="006B4A75" w:rsidRDefault="006B4A75" w:rsidP="006B4A75">
      <w:pPr>
        <w:ind w:left="720" w:right="848"/>
        <w:rPr>
          <w:sz w:val="20"/>
          <w:szCs w:val="20"/>
          <w:lang w:eastAsia="en-AU"/>
        </w:rPr>
      </w:pPr>
    </w:p>
    <w:p w14:paraId="00DFD068" w14:textId="191CD3D4" w:rsidR="002D4622" w:rsidRPr="002D4622" w:rsidRDefault="006B4A75" w:rsidP="002D4622">
      <w:pPr>
        <w:ind w:left="720" w:right="848"/>
        <w:rPr>
          <w:sz w:val="20"/>
          <w:szCs w:val="20"/>
          <w:lang w:eastAsia="en-AU"/>
        </w:rPr>
      </w:pPr>
      <w:r>
        <w:rPr>
          <w:sz w:val="20"/>
          <w:szCs w:val="20"/>
          <w:lang w:eastAsia="en-AU"/>
        </w:rPr>
        <w:t>The test for whether a person is a party to a structured arrangement is intended to capture situations where the taxpayer or any member of the taxpayer’s control group was aware of the mismatch in tax outcomes and should apply to any person with knowledge of the arrangement and its tax effects regardless of whether that person has derived a tax advantage under that arrangement.”</w:t>
      </w:r>
    </w:p>
    <w:p w14:paraId="254ADDAE" w14:textId="77777777" w:rsidR="002D4622" w:rsidRDefault="002D4622" w:rsidP="00532DB4">
      <w:pPr>
        <w:rPr>
          <w:lang w:eastAsia="en-AU"/>
        </w:rPr>
      </w:pPr>
    </w:p>
    <w:p w14:paraId="5693E51A" w14:textId="77777777" w:rsidR="006F2A96" w:rsidRDefault="006F2A96">
      <w:pPr>
        <w:jc w:val="left"/>
        <w:rPr>
          <w:b/>
          <w:sz w:val="20"/>
          <w:szCs w:val="20"/>
          <w:lang w:eastAsia="en-AU"/>
        </w:rPr>
      </w:pPr>
      <w:r>
        <w:rPr>
          <w:b/>
          <w:sz w:val="20"/>
          <w:szCs w:val="20"/>
          <w:lang w:eastAsia="en-AU"/>
        </w:rPr>
        <w:br w:type="page"/>
      </w:r>
    </w:p>
    <w:p w14:paraId="44272305" w14:textId="559BD6FF" w:rsidR="006D591E" w:rsidRPr="00925A3A" w:rsidRDefault="006D591E" w:rsidP="006D591E">
      <w:pPr>
        <w:pBdr>
          <w:top w:val="single" w:sz="4" w:space="10" w:color="auto"/>
          <w:left w:val="single" w:sz="4" w:space="10" w:color="auto"/>
          <w:bottom w:val="single" w:sz="4" w:space="10" w:color="auto"/>
          <w:right w:val="single" w:sz="4" w:space="10" w:color="auto"/>
        </w:pBdr>
        <w:rPr>
          <w:b/>
          <w:sz w:val="20"/>
          <w:szCs w:val="20"/>
          <w:lang w:eastAsia="en-AU"/>
        </w:rPr>
      </w:pPr>
      <w:r>
        <w:rPr>
          <w:b/>
          <w:sz w:val="20"/>
          <w:szCs w:val="20"/>
          <w:lang w:eastAsia="en-AU"/>
        </w:rPr>
        <w:lastRenderedPageBreak/>
        <w:t xml:space="preserve">Example </w:t>
      </w:r>
      <w:r w:rsidR="007A382F">
        <w:rPr>
          <w:b/>
          <w:sz w:val="20"/>
          <w:szCs w:val="20"/>
          <w:lang w:eastAsia="en-AU"/>
        </w:rPr>
        <w:t>5</w:t>
      </w:r>
      <w:r w:rsidR="00824EF8">
        <w:rPr>
          <w:b/>
          <w:sz w:val="20"/>
          <w:szCs w:val="20"/>
          <w:lang w:eastAsia="en-AU"/>
        </w:rPr>
        <w:t>: A</w:t>
      </w:r>
      <w:r>
        <w:rPr>
          <w:b/>
          <w:sz w:val="20"/>
          <w:szCs w:val="20"/>
          <w:lang w:eastAsia="en-AU"/>
        </w:rPr>
        <w:t>rrangement marketed as a tax-advantaged product</w:t>
      </w:r>
    </w:p>
    <w:p w14:paraId="2C774EBF" w14:textId="77777777" w:rsidR="006D591E" w:rsidRDefault="006D591E" w:rsidP="006D591E">
      <w:pPr>
        <w:pBdr>
          <w:top w:val="single" w:sz="4" w:space="10" w:color="auto"/>
          <w:left w:val="single" w:sz="4" w:space="10" w:color="auto"/>
          <w:bottom w:val="single" w:sz="4" w:space="10" w:color="auto"/>
          <w:right w:val="single" w:sz="4" w:space="10" w:color="auto"/>
        </w:pBdr>
        <w:rPr>
          <w:sz w:val="20"/>
          <w:szCs w:val="20"/>
          <w:lang w:eastAsia="en-AU"/>
        </w:rPr>
      </w:pPr>
    </w:p>
    <w:p w14:paraId="7814C1F6" w14:textId="15CE4EAC" w:rsidR="006D591E" w:rsidRDefault="00586434" w:rsidP="006D591E">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Flamingo</w:t>
      </w:r>
      <w:r w:rsidR="006D591E">
        <w:rPr>
          <w:sz w:val="20"/>
          <w:szCs w:val="20"/>
          <w:lang w:eastAsia="en-AU"/>
        </w:rPr>
        <w:t xml:space="preserve"> Co (a company resident in Country F) subscribes for bonds paying an annual coupon issued by </w:t>
      </w:r>
      <w:r>
        <w:rPr>
          <w:sz w:val="20"/>
          <w:szCs w:val="20"/>
          <w:lang w:eastAsia="en-AU"/>
        </w:rPr>
        <w:t>Gorilla</w:t>
      </w:r>
      <w:r w:rsidR="006D591E">
        <w:rPr>
          <w:sz w:val="20"/>
          <w:szCs w:val="20"/>
          <w:lang w:eastAsia="en-AU"/>
        </w:rPr>
        <w:t xml:space="preserve"> Co (an unrelated company resident in Country G)</w:t>
      </w:r>
      <w:r w:rsidR="002D5667">
        <w:rPr>
          <w:sz w:val="20"/>
          <w:szCs w:val="20"/>
          <w:lang w:eastAsia="en-AU"/>
        </w:rPr>
        <w:t xml:space="preserve">. </w:t>
      </w:r>
      <w:r w:rsidR="006D591E">
        <w:rPr>
          <w:sz w:val="20"/>
          <w:szCs w:val="20"/>
          <w:lang w:eastAsia="en-AU"/>
        </w:rPr>
        <w:t>F</w:t>
      </w:r>
      <w:r>
        <w:rPr>
          <w:sz w:val="20"/>
          <w:szCs w:val="20"/>
          <w:lang w:eastAsia="en-AU"/>
        </w:rPr>
        <w:t>lamingo</w:t>
      </w:r>
      <w:r w:rsidR="006D591E">
        <w:rPr>
          <w:sz w:val="20"/>
          <w:szCs w:val="20"/>
          <w:lang w:eastAsia="en-AU"/>
        </w:rPr>
        <w:t xml:space="preserve"> Co subsequently sells the bond to </w:t>
      </w:r>
      <w:r>
        <w:rPr>
          <w:sz w:val="20"/>
          <w:szCs w:val="20"/>
          <w:lang w:eastAsia="en-AU"/>
        </w:rPr>
        <w:t>Hedgehog</w:t>
      </w:r>
      <w:r w:rsidR="006D591E">
        <w:rPr>
          <w:sz w:val="20"/>
          <w:szCs w:val="20"/>
          <w:lang w:eastAsia="en-AU"/>
        </w:rPr>
        <w:t xml:space="preserve"> Co, another unrelated company resident in Country H.</w:t>
      </w:r>
    </w:p>
    <w:p w14:paraId="4F61ECA2" w14:textId="77777777" w:rsidR="006D591E" w:rsidRDefault="006D591E" w:rsidP="006D591E">
      <w:pPr>
        <w:pBdr>
          <w:top w:val="single" w:sz="4" w:space="10" w:color="auto"/>
          <w:left w:val="single" w:sz="4" w:space="10" w:color="auto"/>
          <w:bottom w:val="single" w:sz="4" w:space="10" w:color="auto"/>
          <w:right w:val="single" w:sz="4" w:space="10" w:color="auto"/>
        </w:pBdr>
        <w:rPr>
          <w:sz w:val="20"/>
          <w:szCs w:val="20"/>
          <w:lang w:eastAsia="en-AU"/>
        </w:rPr>
      </w:pPr>
    </w:p>
    <w:p w14:paraId="7ABFDCD6" w14:textId="79530499" w:rsidR="006D591E" w:rsidRDefault="006D591E" w:rsidP="006D591E">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Due to differences in the treatment of the underlying instrument under the respective laws of Country G and Country H, the coupon payments give rise to a hybrid mismatch resulting in a D/NI outcome.</w:t>
      </w:r>
    </w:p>
    <w:p w14:paraId="2D8803B7" w14:textId="77777777" w:rsidR="006D591E" w:rsidRDefault="006D591E" w:rsidP="006D591E">
      <w:pPr>
        <w:pBdr>
          <w:top w:val="single" w:sz="4" w:space="10" w:color="auto"/>
          <w:left w:val="single" w:sz="4" w:space="10" w:color="auto"/>
          <w:bottom w:val="single" w:sz="4" w:space="10" w:color="auto"/>
          <w:right w:val="single" w:sz="4" w:space="10" w:color="auto"/>
        </w:pBdr>
        <w:rPr>
          <w:sz w:val="20"/>
          <w:szCs w:val="20"/>
          <w:lang w:eastAsia="en-AU"/>
        </w:rPr>
      </w:pPr>
    </w:p>
    <w:p w14:paraId="560354A0" w14:textId="4F063E4A" w:rsidR="006D591E" w:rsidRDefault="006D591E" w:rsidP="006D591E">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F</w:t>
      </w:r>
      <w:r w:rsidR="00586434">
        <w:rPr>
          <w:sz w:val="20"/>
          <w:szCs w:val="20"/>
          <w:lang w:eastAsia="en-AU"/>
        </w:rPr>
        <w:t>lamingo</w:t>
      </w:r>
      <w:r>
        <w:rPr>
          <w:sz w:val="20"/>
          <w:szCs w:val="20"/>
          <w:lang w:eastAsia="en-AU"/>
        </w:rPr>
        <w:t xml:space="preserve"> Co subscribed for these bonds after receiving an investment memorandum that included a summary of the expected tax treatment of the instrument (including the fact that payments on the instrument will be eligible for tax relief in Country H)</w:t>
      </w:r>
      <w:r w:rsidR="002D5667">
        <w:rPr>
          <w:sz w:val="20"/>
          <w:szCs w:val="20"/>
          <w:lang w:eastAsia="en-AU"/>
        </w:rPr>
        <w:t xml:space="preserve">. </w:t>
      </w:r>
      <w:r>
        <w:rPr>
          <w:sz w:val="20"/>
          <w:szCs w:val="20"/>
          <w:lang w:eastAsia="en-AU"/>
        </w:rPr>
        <w:t>A similar investment memorandum was sent to a number of other potential investors in Country H.</w:t>
      </w:r>
    </w:p>
    <w:p w14:paraId="58D27376" w14:textId="77777777" w:rsidR="006D591E" w:rsidRDefault="006D591E" w:rsidP="006D591E">
      <w:pPr>
        <w:pBdr>
          <w:top w:val="single" w:sz="4" w:space="10" w:color="auto"/>
          <w:left w:val="single" w:sz="4" w:space="10" w:color="auto"/>
          <w:bottom w:val="single" w:sz="4" w:space="10" w:color="auto"/>
          <w:right w:val="single" w:sz="4" w:space="10" w:color="auto"/>
        </w:pBdr>
        <w:rPr>
          <w:sz w:val="20"/>
          <w:szCs w:val="20"/>
          <w:lang w:eastAsia="en-AU"/>
        </w:rPr>
      </w:pPr>
    </w:p>
    <w:p w14:paraId="1CA460F1" w14:textId="77777777" w:rsidR="006D591E" w:rsidRDefault="006D591E" w:rsidP="006D591E">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Question 1</w:t>
      </w:r>
    </w:p>
    <w:p w14:paraId="6927C6AE" w14:textId="77777777" w:rsidR="006D591E" w:rsidRDefault="006D591E" w:rsidP="006D591E">
      <w:pPr>
        <w:pBdr>
          <w:top w:val="single" w:sz="4" w:space="10" w:color="auto"/>
          <w:left w:val="single" w:sz="4" w:space="10" w:color="auto"/>
          <w:bottom w:val="single" w:sz="4" w:space="10" w:color="auto"/>
          <w:right w:val="single" w:sz="4" w:space="10" w:color="auto"/>
        </w:pBdr>
        <w:rPr>
          <w:i/>
          <w:sz w:val="20"/>
          <w:szCs w:val="20"/>
          <w:lang w:eastAsia="en-AU"/>
        </w:rPr>
      </w:pPr>
    </w:p>
    <w:p w14:paraId="35FDE5D7" w14:textId="5669CD89" w:rsidR="00096812" w:rsidRDefault="006D591E" w:rsidP="006D591E">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Whether the bond is a structured arrangement for F</w:t>
      </w:r>
      <w:r w:rsidR="00586434">
        <w:rPr>
          <w:sz w:val="20"/>
          <w:szCs w:val="20"/>
          <w:lang w:eastAsia="en-AU"/>
        </w:rPr>
        <w:t>lamingo</w:t>
      </w:r>
      <w:r>
        <w:rPr>
          <w:sz w:val="20"/>
          <w:szCs w:val="20"/>
          <w:lang w:eastAsia="en-AU"/>
        </w:rPr>
        <w:t xml:space="preserve"> Co?</w:t>
      </w:r>
    </w:p>
    <w:p w14:paraId="686740C5" w14:textId="77777777" w:rsidR="006B6A41" w:rsidRPr="00547BCF" w:rsidRDefault="006B6A41" w:rsidP="006D591E">
      <w:pPr>
        <w:pBdr>
          <w:top w:val="single" w:sz="4" w:space="10" w:color="auto"/>
          <w:left w:val="single" w:sz="4" w:space="10" w:color="auto"/>
          <w:bottom w:val="single" w:sz="4" w:space="10" w:color="auto"/>
          <w:right w:val="single" w:sz="4" w:space="10" w:color="auto"/>
        </w:pBdr>
        <w:rPr>
          <w:sz w:val="20"/>
          <w:szCs w:val="20"/>
          <w:lang w:eastAsia="en-AU"/>
        </w:rPr>
      </w:pPr>
    </w:p>
    <w:p w14:paraId="5C2CB356" w14:textId="77777777" w:rsidR="006D591E" w:rsidRPr="008777B7" w:rsidRDefault="006D591E" w:rsidP="006D591E">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Answer 1</w:t>
      </w:r>
    </w:p>
    <w:p w14:paraId="39E8C80E" w14:textId="77777777" w:rsidR="006D591E" w:rsidRDefault="006D591E" w:rsidP="006D591E">
      <w:pPr>
        <w:pBdr>
          <w:top w:val="single" w:sz="4" w:space="10" w:color="auto"/>
          <w:left w:val="single" w:sz="4" w:space="10" w:color="auto"/>
          <w:bottom w:val="single" w:sz="4" w:space="10" w:color="auto"/>
          <w:right w:val="single" w:sz="4" w:space="10" w:color="auto"/>
        </w:pBdr>
        <w:rPr>
          <w:sz w:val="20"/>
          <w:szCs w:val="20"/>
          <w:lang w:eastAsia="en-AU"/>
        </w:rPr>
      </w:pPr>
    </w:p>
    <w:p w14:paraId="324F8473" w14:textId="48C8D3F7" w:rsidR="006D591E" w:rsidRDefault="006D591E" w:rsidP="006D591E">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The bonds will give rise to a structured arrangement to F</w:t>
      </w:r>
      <w:r w:rsidR="00586434">
        <w:rPr>
          <w:sz w:val="20"/>
          <w:szCs w:val="20"/>
          <w:lang w:eastAsia="en-AU"/>
        </w:rPr>
        <w:t>lamingo</w:t>
      </w:r>
      <w:r>
        <w:rPr>
          <w:sz w:val="20"/>
          <w:szCs w:val="20"/>
          <w:lang w:eastAsia="en-AU"/>
        </w:rPr>
        <w:t xml:space="preserve"> Co because: </w:t>
      </w:r>
      <w:r w:rsidR="00096812">
        <w:rPr>
          <w:sz w:val="20"/>
          <w:szCs w:val="20"/>
          <w:lang w:eastAsia="en-AU"/>
        </w:rPr>
        <w:t xml:space="preserve">(i) </w:t>
      </w:r>
      <w:r>
        <w:rPr>
          <w:sz w:val="20"/>
          <w:szCs w:val="20"/>
          <w:lang w:eastAsia="en-AU"/>
        </w:rPr>
        <w:t xml:space="preserve">the facts indicate that the bond has been marketed as a tax-advantaged product and has been primarily marketed to persons who can benefit from the mismatch; and </w:t>
      </w:r>
      <w:r w:rsidR="00096812">
        <w:rPr>
          <w:sz w:val="20"/>
          <w:szCs w:val="20"/>
          <w:lang w:eastAsia="en-AU"/>
        </w:rPr>
        <w:t xml:space="preserve">(ii) </w:t>
      </w:r>
      <w:r w:rsidR="00E30EA9">
        <w:rPr>
          <w:sz w:val="20"/>
          <w:szCs w:val="20"/>
          <w:lang w:eastAsia="en-AU"/>
        </w:rPr>
        <w:t>F</w:t>
      </w:r>
      <w:r w:rsidR="00586434">
        <w:rPr>
          <w:sz w:val="20"/>
          <w:szCs w:val="20"/>
          <w:lang w:eastAsia="en-AU"/>
        </w:rPr>
        <w:t>lamingo</w:t>
      </w:r>
      <w:r>
        <w:rPr>
          <w:sz w:val="20"/>
          <w:szCs w:val="20"/>
          <w:lang w:eastAsia="en-AU"/>
        </w:rPr>
        <w:t xml:space="preserve"> Co acquired the bond on initial issuance and was aware of the potential mismatch in tax treatment from the investment memorandum.</w:t>
      </w:r>
    </w:p>
    <w:p w14:paraId="2F98EE92" w14:textId="77777777" w:rsidR="00E30EA9" w:rsidRDefault="00E30EA9" w:rsidP="006D591E">
      <w:pPr>
        <w:pBdr>
          <w:top w:val="single" w:sz="4" w:space="10" w:color="auto"/>
          <w:left w:val="single" w:sz="4" w:space="10" w:color="auto"/>
          <w:bottom w:val="single" w:sz="4" w:space="10" w:color="auto"/>
          <w:right w:val="single" w:sz="4" w:space="10" w:color="auto"/>
        </w:pBdr>
        <w:rPr>
          <w:sz w:val="20"/>
          <w:szCs w:val="20"/>
          <w:lang w:eastAsia="en-AU"/>
        </w:rPr>
      </w:pPr>
    </w:p>
    <w:p w14:paraId="190512C2" w14:textId="39B94441" w:rsidR="00E30EA9" w:rsidRDefault="00E30EA9" w:rsidP="006D591E">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However, provided F Co is taxable on the return from the bonds, there </w:t>
      </w:r>
      <w:r w:rsidR="00FE5A61">
        <w:rPr>
          <w:sz w:val="20"/>
          <w:szCs w:val="20"/>
          <w:lang w:eastAsia="en-AU"/>
        </w:rPr>
        <w:t>is no D/NI mismatch to counter.</w:t>
      </w:r>
    </w:p>
    <w:p w14:paraId="72AD6D65" w14:textId="77777777" w:rsidR="006D591E" w:rsidRDefault="006D591E" w:rsidP="006D591E">
      <w:pPr>
        <w:pBdr>
          <w:top w:val="single" w:sz="4" w:space="10" w:color="auto"/>
          <w:left w:val="single" w:sz="4" w:space="10" w:color="auto"/>
          <w:bottom w:val="single" w:sz="4" w:space="10" w:color="auto"/>
          <w:right w:val="single" w:sz="4" w:space="10" w:color="auto"/>
        </w:pBdr>
        <w:rPr>
          <w:sz w:val="20"/>
          <w:szCs w:val="20"/>
          <w:lang w:eastAsia="en-AU"/>
        </w:rPr>
      </w:pPr>
    </w:p>
    <w:p w14:paraId="024AC27E" w14:textId="77777777" w:rsidR="006D591E" w:rsidRDefault="006D591E" w:rsidP="006D591E">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Question 2</w:t>
      </w:r>
    </w:p>
    <w:p w14:paraId="09140690" w14:textId="77777777" w:rsidR="006D591E" w:rsidRDefault="006D591E" w:rsidP="006D591E">
      <w:pPr>
        <w:pBdr>
          <w:top w:val="single" w:sz="4" w:space="10" w:color="auto"/>
          <w:left w:val="single" w:sz="4" w:space="10" w:color="auto"/>
          <w:bottom w:val="single" w:sz="4" w:space="10" w:color="auto"/>
          <w:right w:val="single" w:sz="4" w:space="10" w:color="auto"/>
        </w:pBdr>
        <w:rPr>
          <w:i/>
          <w:sz w:val="20"/>
          <w:szCs w:val="20"/>
          <w:lang w:eastAsia="en-AU"/>
        </w:rPr>
      </w:pPr>
    </w:p>
    <w:p w14:paraId="604C6AED" w14:textId="543F43E7" w:rsidR="006D591E" w:rsidRDefault="006D591E" w:rsidP="006D591E">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Whether the bond is a structured arrangement for H</w:t>
      </w:r>
      <w:r w:rsidR="00586434">
        <w:rPr>
          <w:sz w:val="20"/>
          <w:szCs w:val="20"/>
          <w:lang w:eastAsia="en-AU"/>
        </w:rPr>
        <w:t>edgehog</w:t>
      </w:r>
      <w:r>
        <w:rPr>
          <w:sz w:val="20"/>
          <w:szCs w:val="20"/>
          <w:lang w:eastAsia="en-AU"/>
        </w:rPr>
        <w:t xml:space="preserve"> Co?</w:t>
      </w:r>
    </w:p>
    <w:p w14:paraId="6EAEE1CC" w14:textId="77777777" w:rsidR="006D591E" w:rsidRDefault="006D591E" w:rsidP="006D591E">
      <w:pPr>
        <w:pBdr>
          <w:top w:val="single" w:sz="4" w:space="10" w:color="auto"/>
          <w:left w:val="single" w:sz="4" w:space="10" w:color="auto"/>
          <w:bottom w:val="single" w:sz="4" w:space="10" w:color="auto"/>
          <w:right w:val="single" w:sz="4" w:space="10" w:color="auto"/>
        </w:pBdr>
        <w:rPr>
          <w:sz w:val="20"/>
          <w:szCs w:val="20"/>
          <w:lang w:eastAsia="en-AU"/>
        </w:rPr>
      </w:pPr>
    </w:p>
    <w:p w14:paraId="46194C9D" w14:textId="77777777" w:rsidR="006D591E" w:rsidRPr="008777B7" w:rsidRDefault="006D591E" w:rsidP="006D591E">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Answer 2</w:t>
      </w:r>
    </w:p>
    <w:p w14:paraId="539D0677" w14:textId="77777777" w:rsidR="006D591E" w:rsidRDefault="006D591E" w:rsidP="006D591E">
      <w:pPr>
        <w:pBdr>
          <w:top w:val="single" w:sz="4" w:space="10" w:color="auto"/>
          <w:left w:val="single" w:sz="4" w:space="10" w:color="auto"/>
          <w:bottom w:val="single" w:sz="4" w:space="10" w:color="auto"/>
          <w:right w:val="single" w:sz="4" w:space="10" w:color="auto"/>
        </w:pBdr>
        <w:rPr>
          <w:sz w:val="20"/>
          <w:szCs w:val="20"/>
          <w:lang w:eastAsia="en-AU"/>
        </w:rPr>
      </w:pPr>
    </w:p>
    <w:p w14:paraId="4A0DDE7E" w14:textId="16DAB809" w:rsidR="006D591E" w:rsidRPr="00925A3A" w:rsidRDefault="006D26CE" w:rsidP="006D591E">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Whether or not the bonds are </w:t>
      </w:r>
      <w:r w:rsidR="006D591E">
        <w:rPr>
          <w:sz w:val="20"/>
          <w:szCs w:val="20"/>
          <w:lang w:eastAsia="en-AU"/>
        </w:rPr>
        <w:t>a structured arrangement to H</w:t>
      </w:r>
      <w:r w:rsidR="00586434">
        <w:rPr>
          <w:sz w:val="20"/>
          <w:szCs w:val="20"/>
          <w:lang w:eastAsia="en-AU"/>
        </w:rPr>
        <w:t>edgehog</w:t>
      </w:r>
      <w:r w:rsidR="006D591E">
        <w:rPr>
          <w:sz w:val="20"/>
          <w:szCs w:val="20"/>
          <w:lang w:eastAsia="en-AU"/>
        </w:rPr>
        <w:t xml:space="preserve"> Co</w:t>
      </w:r>
      <w:r>
        <w:rPr>
          <w:sz w:val="20"/>
          <w:szCs w:val="20"/>
          <w:lang w:eastAsia="en-AU"/>
        </w:rPr>
        <w:t xml:space="preserve"> will depend on the facts</w:t>
      </w:r>
      <w:r w:rsidR="002D5667">
        <w:rPr>
          <w:sz w:val="20"/>
          <w:szCs w:val="20"/>
          <w:lang w:eastAsia="en-AU"/>
        </w:rPr>
        <w:t xml:space="preserve">. </w:t>
      </w:r>
      <w:r w:rsidR="006D591E">
        <w:rPr>
          <w:sz w:val="20"/>
          <w:szCs w:val="20"/>
          <w:lang w:eastAsia="en-AU"/>
        </w:rPr>
        <w:t>The bond was marketed as a tax-advantaged product and was primarily marketed to persons who could benefit from the mismatch</w:t>
      </w:r>
      <w:r>
        <w:rPr>
          <w:sz w:val="20"/>
          <w:szCs w:val="20"/>
          <w:lang w:eastAsia="en-AU"/>
        </w:rPr>
        <w:t>, including persons in Country H</w:t>
      </w:r>
      <w:r w:rsidR="002D5667">
        <w:rPr>
          <w:sz w:val="20"/>
          <w:szCs w:val="20"/>
          <w:lang w:eastAsia="en-AU"/>
        </w:rPr>
        <w:t xml:space="preserve">. </w:t>
      </w:r>
      <w:r w:rsidR="006D591E">
        <w:rPr>
          <w:sz w:val="20"/>
          <w:szCs w:val="20"/>
          <w:lang w:eastAsia="en-AU"/>
        </w:rPr>
        <w:t xml:space="preserve">However, it may not be a structured arrangement to </w:t>
      </w:r>
      <w:r w:rsidR="00586434">
        <w:rPr>
          <w:sz w:val="20"/>
          <w:szCs w:val="20"/>
          <w:lang w:eastAsia="en-AU"/>
        </w:rPr>
        <w:t>Hedgehog</w:t>
      </w:r>
      <w:r w:rsidR="006D591E">
        <w:rPr>
          <w:sz w:val="20"/>
          <w:szCs w:val="20"/>
          <w:lang w:eastAsia="en-AU"/>
        </w:rPr>
        <w:t xml:space="preserve"> Co, if </w:t>
      </w:r>
      <w:r w:rsidR="00586434">
        <w:rPr>
          <w:sz w:val="20"/>
          <w:szCs w:val="20"/>
          <w:lang w:eastAsia="en-AU"/>
        </w:rPr>
        <w:t xml:space="preserve">Hedgehog </w:t>
      </w:r>
      <w:r w:rsidR="006D591E">
        <w:rPr>
          <w:sz w:val="20"/>
          <w:szCs w:val="20"/>
          <w:lang w:eastAsia="en-AU"/>
        </w:rPr>
        <w:t>Co paid market value for the bond and could not reasonably have been expected to be aware of the mismatch in tax treatment.</w:t>
      </w:r>
    </w:p>
    <w:p w14:paraId="111D6AC2" w14:textId="77777777" w:rsidR="006D591E" w:rsidRPr="009D72E8" w:rsidRDefault="006D591E" w:rsidP="006D591E">
      <w:pPr>
        <w:pBdr>
          <w:top w:val="single" w:sz="4" w:space="10" w:color="auto"/>
          <w:left w:val="single" w:sz="4" w:space="10" w:color="auto"/>
          <w:bottom w:val="single" w:sz="4" w:space="10" w:color="auto"/>
          <w:right w:val="single" w:sz="4" w:space="10" w:color="auto"/>
        </w:pBdr>
        <w:rPr>
          <w:sz w:val="20"/>
          <w:szCs w:val="20"/>
          <w:lang w:eastAsia="en-AU"/>
        </w:rPr>
      </w:pPr>
    </w:p>
    <w:p w14:paraId="309545EE" w14:textId="77777777" w:rsidR="006D591E" w:rsidRDefault="006D591E" w:rsidP="00532DB4">
      <w:pPr>
        <w:rPr>
          <w:lang w:eastAsia="en-AU"/>
        </w:rPr>
      </w:pPr>
    </w:p>
    <w:p w14:paraId="69A890CD" w14:textId="77777777" w:rsidR="006B4A75" w:rsidRDefault="006B4A75" w:rsidP="00532DB4">
      <w:pPr>
        <w:rPr>
          <w:lang w:eastAsia="en-AU"/>
        </w:rPr>
      </w:pPr>
    </w:p>
    <w:p w14:paraId="02C80468" w14:textId="77777777" w:rsidR="00EC6BC0" w:rsidRPr="005D604F" w:rsidRDefault="00EC6BC0" w:rsidP="005D604F">
      <w:pPr>
        <w:pStyle w:val="Heading3"/>
      </w:pPr>
      <w:r w:rsidRPr="005D604F">
        <w:t>Hybrid mismatch</w:t>
      </w:r>
    </w:p>
    <w:p w14:paraId="4E5DCDE4" w14:textId="77777777" w:rsidR="00EC6BC0" w:rsidRPr="00925A3A" w:rsidRDefault="00EC6BC0" w:rsidP="00EC6BC0">
      <w:pPr>
        <w:rPr>
          <w:szCs w:val="20"/>
          <w:lang w:eastAsia="en-AU"/>
        </w:rPr>
      </w:pPr>
    </w:p>
    <w:p w14:paraId="7FB081F0" w14:textId="3C10BD5B" w:rsidR="00EC6BC0" w:rsidRDefault="002E7E9B" w:rsidP="00EC6BC0">
      <w:pPr>
        <w:rPr>
          <w:szCs w:val="20"/>
          <w:lang w:eastAsia="en-AU"/>
        </w:rPr>
      </w:pPr>
      <w:r>
        <w:rPr>
          <w:szCs w:val="20"/>
          <w:lang w:eastAsia="en-AU"/>
        </w:rPr>
        <w:t xml:space="preserve">The “hybrid mismatch” </w:t>
      </w:r>
      <w:r w:rsidR="00EC6BC0" w:rsidRPr="00925A3A">
        <w:rPr>
          <w:szCs w:val="20"/>
          <w:lang w:eastAsia="en-AU"/>
        </w:rPr>
        <w:t>definition is used in section FH 11, the imported hybrid mismatch section</w:t>
      </w:r>
      <w:r>
        <w:rPr>
          <w:szCs w:val="20"/>
          <w:lang w:eastAsia="en-AU"/>
        </w:rPr>
        <w:t>, and the definition of structured arrangement</w:t>
      </w:r>
      <w:r w:rsidR="002D5667">
        <w:rPr>
          <w:szCs w:val="20"/>
          <w:lang w:eastAsia="en-AU"/>
        </w:rPr>
        <w:t xml:space="preserve">. </w:t>
      </w:r>
      <w:r w:rsidR="007D40FF">
        <w:rPr>
          <w:szCs w:val="20"/>
          <w:lang w:eastAsia="en-AU"/>
        </w:rPr>
        <w:t xml:space="preserve">It is a broad definition that </w:t>
      </w:r>
      <w:r w:rsidR="00B250BC">
        <w:rPr>
          <w:szCs w:val="20"/>
          <w:lang w:eastAsia="en-AU"/>
        </w:rPr>
        <w:t xml:space="preserve">effectively </w:t>
      </w:r>
      <w:r w:rsidR="007D40FF">
        <w:rPr>
          <w:szCs w:val="20"/>
          <w:lang w:eastAsia="en-AU"/>
        </w:rPr>
        <w:t>covers D/NI and DD mismatch arrangements</w:t>
      </w:r>
      <w:r w:rsidR="00EC6BC0" w:rsidRPr="00925A3A">
        <w:rPr>
          <w:szCs w:val="20"/>
          <w:lang w:eastAsia="en-AU"/>
        </w:rPr>
        <w:t>.</w:t>
      </w:r>
    </w:p>
    <w:p w14:paraId="3175CA6D" w14:textId="77777777" w:rsidR="008D784F" w:rsidRDefault="008D784F" w:rsidP="00EC6BC0">
      <w:pPr>
        <w:rPr>
          <w:szCs w:val="20"/>
          <w:lang w:eastAsia="en-AU"/>
        </w:rPr>
      </w:pPr>
    </w:p>
    <w:p w14:paraId="0EE3835A" w14:textId="77777777" w:rsidR="00902F83" w:rsidRDefault="00902F83" w:rsidP="00EC6BC0">
      <w:pPr>
        <w:rPr>
          <w:b/>
          <w:szCs w:val="20"/>
          <w:lang w:eastAsia="en-AU"/>
        </w:rPr>
      </w:pPr>
    </w:p>
    <w:p w14:paraId="4932DFAC" w14:textId="64FD7AC4" w:rsidR="008D784F" w:rsidRPr="005D604F" w:rsidRDefault="00FE5A61" w:rsidP="005D604F">
      <w:pPr>
        <w:pStyle w:val="Heading3"/>
      </w:pPr>
      <w:r w:rsidRPr="005D604F">
        <w:t>Hybrid mismatch legislation</w:t>
      </w:r>
    </w:p>
    <w:p w14:paraId="3FBBAA5E" w14:textId="77777777" w:rsidR="00EC6BC0" w:rsidRPr="00925A3A" w:rsidRDefault="00EC6BC0" w:rsidP="00EC6BC0">
      <w:pPr>
        <w:rPr>
          <w:szCs w:val="20"/>
          <w:lang w:eastAsia="en-AU"/>
        </w:rPr>
      </w:pPr>
    </w:p>
    <w:p w14:paraId="1D83ACAC" w14:textId="69F21994" w:rsidR="006F687E" w:rsidRDefault="009D72E8" w:rsidP="00EC6BC0">
      <w:pPr>
        <w:rPr>
          <w:szCs w:val="20"/>
          <w:lang w:eastAsia="en-AU"/>
        </w:rPr>
      </w:pPr>
      <w:r>
        <w:rPr>
          <w:szCs w:val="20"/>
          <w:lang w:eastAsia="en-AU"/>
        </w:rPr>
        <w:t>“</w:t>
      </w:r>
      <w:r w:rsidR="00EC6BC0" w:rsidRPr="00925A3A">
        <w:rPr>
          <w:szCs w:val="20"/>
          <w:lang w:eastAsia="en-AU"/>
        </w:rPr>
        <w:t>Hybrid mismatch legislation</w:t>
      </w:r>
      <w:r>
        <w:rPr>
          <w:szCs w:val="20"/>
          <w:lang w:eastAsia="en-AU"/>
        </w:rPr>
        <w:t>” is defined to</w:t>
      </w:r>
      <w:r w:rsidR="00EC6BC0" w:rsidRPr="00925A3A">
        <w:rPr>
          <w:szCs w:val="20"/>
          <w:lang w:eastAsia="en-AU"/>
        </w:rPr>
        <w:t xml:space="preserve"> mea</w:t>
      </w:r>
      <w:r w:rsidR="00567C20">
        <w:rPr>
          <w:szCs w:val="20"/>
          <w:lang w:eastAsia="en-AU"/>
        </w:rPr>
        <w:t xml:space="preserve">n subpart FH and </w:t>
      </w:r>
      <w:r w:rsidR="00EC6BC0" w:rsidRPr="00925A3A">
        <w:rPr>
          <w:szCs w:val="20"/>
          <w:lang w:eastAsia="en-AU"/>
        </w:rPr>
        <w:t>l</w:t>
      </w:r>
      <w:r w:rsidR="00567C20">
        <w:rPr>
          <w:szCs w:val="20"/>
          <w:lang w:eastAsia="en-AU"/>
        </w:rPr>
        <w:t>egislation of other countries or terr</w:t>
      </w:r>
      <w:r w:rsidR="002E7E9B">
        <w:rPr>
          <w:szCs w:val="20"/>
          <w:lang w:eastAsia="en-AU"/>
        </w:rPr>
        <w:t>itories that ha</w:t>
      </w:r>
      <w:r w:rsidR="00D43E5F">
        <w:rPr>
          <w:szCs w:val="20"/>
          <w:lang w:eastAsia="en-AU"/>
        </w:rPr>
        <w:t>s</w:t>
      </w:r>
      <w:r w:rsidR="002E7E9B">
        <w:rPr>
          <w:szCs w:val="20"/>
          <w:lang w:eastAsia="en-AU"/>
        </w:rPr>
        <w:t xml:space="preserve"> an intended effect corresponding to subpart FH (or a provision in subpart FH)</w:t>
      </w:r>
      <w:r w:rsidR="002D5667">
        <w:rPr>
          <w:szCs w:val="20"/>
          <w:lang w:eastAsia="en-AU"/>
        </w:rPr>
        <w:t xml:space="preserve">. </w:t>
      </w:r>
      <w:r w:rsidR="002E7E9B">
        <w:rPr>
          <w:szCs w:val="20"/>
          <w:lang w:eastAsia="en-AU"/>
        </w:rPr>
        <w:t>In this regard, foreign legislation</w:t>
      </w:r>
      <w:r w:rsidR="00567C20">
        <w:rPr>
          <w:szCs w:val="20"/>
          <w:lang w:eastAsia="en-AU"/>
        </w:rPr>
        <w:t xml:space="preserve"> will correspond to subpart FH if it is consistent with the effect of the recommendations of the OECD hybrid </w:t>
      </w:r>
      <w:r w:rsidR="00B250BC">
        <w:rPr>
          <w:szCs w:val="20"/>
          <w:lang w:eastAsia="en-AU"/>
        </w:rPr>
        <w:t xml:space="preserve">mismatch </w:t>
      </w:r>
      <w:r w:rsidR="00567C20">
        <w:rPr>
          <w:szCs w:val="20"/>
          <w:lang w:eastAsia="en-AU"/>
        </w:rPr>
        <w:t xml:space="preserve">report and/or branch </w:t>
      </w:r>
      <w:r w:rsidR="00B250BC">
        <w:rPr>
          <w:szCs w:val="20"/>
          <w:lang w:eastAsia="en-AU"/>
        </w:rPr>
        <w:t xml:space="preserve">mismatch </w:t>
      </w:r>
      <w:r w:rsidR="00FE5A61">
        <w:rPr>
          <w:szCs w:val="20"/>
          <w:lang w:eastAsia="en-AU"/>
        </w:rPr>
        <w:t>report.</w:t>
      </w:r>
    </w:p>
    <w:p w14:paraId="5F83F1C3" w14:textId="77777777" w:rsidR="00333836" w:rsidRDefault="00333836" w:rsidP="00EC6BC0">
      <w:pPr>
        <w:rPr>
          <w:szCs w:val="20"/>
          <w:lang w:eastAsia="en-AU"/>
        </w:rPr>
      </w:pPr>
    </w:p>
    <w:p w14:paraId="63DEB748" w14:textId="60D4736B" w:rsidR="00333836" w:rsidRDefault="00333836" w:rsidP="00333836">
      <w:pPr>
        <w:rPr>
          <w:szCs w:val="20"/>
          <w:lang w:eastAsia="en-AU"/>
        </w:rPr>
      </w:pPr>
      <w:r>
        <w:rPr>
          <w:szCs w:val="20"/>
          <w:lang w:eastAsia="en-AU"/>
        </w:rPr>
        <w:lastRenderedPageBreak/>
        <w:t xml:space="preserve">This question is most relevant for the defensive rules in sections FH 4, 6 and 9, because if the foreign </w:t>
      </w:r>
      <w:r w:rsidR="00D43E5F">
        <w:rPr>
          <w:szCs w:val="20"/>
          <w:lang w:eastAsia="en-AU"/>
        </w:rPr>
        <w:t>country</w:t>
      </w:r>
      <w:r>
        <w:rPr>
          <w:szCs w:val="20"/>
          <w:lang w:eastAsia="en-AU"/>
        </w:rPr>
        <w:t xml:space="preserve"> has an equivalent of the </w:t>
      </w:r>
      <w:r w:rsidR="00B949CE">
        <w:rPr>
          <w:szCs w:val="20"/>
          <w:lang w:eastAsia="en-AU"/>
        </w:rPr>
        <w:t xml:space="preserve">corresponding </w:t>
      </w:r>
      <w:r>
        <w:rPr>
          <w:szCs w:val="20"/>
          <w:lang w:eastAsia="en-AU"/>
        </w:rPr>
        <w:t>primary rule</w:t>
      </w:r>
      <w:r w:rsidR="00B949CE">
        <w:rPr>
          <w:szCs w:val="20"/>
          <w:lang w:eastAsia="en-AU"/>
        </w:rPr>
        <w:t xml:space="preserve"> </w:t>
      </w:r>
      <w:r>
        <w:rPr>
          <w:szCs w:val="20"/>
          <w:lang w:eastAsia="en-AU"/>
        </w:rPr>
        <w:t xml:space="preserve">then </w:t>
      </w:r>
      <w:r w:rsidR="00B949CE">
        <w:rPr>
          <w:szCs w:val="20"/>
          <w:lang w:eastAsia="en-AU"/>
        </w:rPr>
        <w:t>the taxpayer will not apply the defensive rule in New Zealand.</w:t>
      </w:r>
    </w:p>
    <w:p w14:paraId="722A1F24" w14:textId="77777777" w:rsidR="002E7E9B" w:rsidRDefault="002E7E9B" w:rsidP="00EC6BC0">
      <w:pPr>
        <w:rPr>
          <w:szCs w:val="20"/>
          <w:lang w:eastAsia="en-AU"/>
        </w:rPr>
      </w:pPr>
    </w:p>
    <w:p w14:paraId="54F9AE0D" w14:textId="1AF4A3E4" w:rsidR="00333836" w:rsidRDefault="002E7E9B" w:rsidP="00EC6BC0">
      <w:pPr>
        <w:rPr>
          <w:szCs w:val="20"/>
          <w:lang w:eastAsia="en-AU"/>
        </w:rPr>
      </w:pPr>
      <w:r>
        <w:rPr>
          <w:szCs w:val="20"/>
          <w:lang w:eastAsia="en-AU"/>
        </w:rPr>
        <w:t>Whether foreign legislat</w:t>
      </w:r>
      <w:r w:rsidR="00B949CE">
        <w:rPr>
          <w:szCs w:val="20"/>
          <w:lang w:eastAsia="en-AU"/>
        </w:rPr>
        <w:t>ion has an intended effect corresponding to the</w:t>
      </w:r>
      <w:r>
        <w:rPr>
          <w:szCs w:val="20"/>
          <w:lang w:eastAsia="en-AU"/>
        </w:rPr>
        <w:t xml:space="preserve"> hybrid mismatch rules will need to be determined at the time of the mismatch</w:t>
      </w:r>
      <w:r w:rsidR="002D5667">
        <w:rPr>
          <w:szCs w:val="20"/>
          <w:lang w:eastAsia="en-AU"/>
        </w:rPr>
        <w:t xml:space="preserve">. </w:t>
      </w:r>
      <w:r>
        <w:rPr>
          <w:szCs w:val="20"/>
          <w:lang w:eastAsia="en-AU"/>
        </w:rPr>
        <w:t>For example, if another country has a rule that denies deductions for duplicate tax losses this could be considered to have the same effect as hybrid rules relating to DD mismatches</w:t>
      </w:r>
      <w:r w:rsidR="002D5667">
        <w:rPr>
          <w:szCs w:val="20"/>
          <w:lang w:eastAsia="en-AU"/>
        </w:rPr>
        <w:t xml:space="preserve">. </w:t>
      </w:r>
      <w:r w:rsidR="006F687E">
        <w:rPr>
          <w:szCs w:val="20"/>
          <w:lang w:eastAsia="en-AU"/>
        </w:rPr>
        <w:t>The other country would not need to have rules that correspond to each of the recommendations in the OECD hybrid report and/or branch report</w:t>
      </w:r>
      <w:r w:rsidR="002D5667">
        <w:rPr>
          <w:szCs w:val="20"/>
          <w:lang w:eastAsia="en-AU"/>
        </w:rPr>
        <w:t xml:space="preserve">. </w:t>
      </w:r>
      <w:r w:rsidR="006F687E">
        <w:rPr>
          <w:szCs w:val="20"/>
          <w:lang w:eastAsia="en-AU"/>
        </w:rPr>
        <w:t>It would only need to have a rule</w:t>
      </w:r>
      <w:r w:rsidR="00B949CE">
        <w:rPr>
          <w:szCs w:val="20"/>
          <w:lang w:eastAsia="en-AU"/>
        </w:rPr>
        <w:t xml:space="preserve"> that corresponds to the particular hybrid or branch mismatch that would be countered in New Zealand if not addressed by the foreign </w:t>
      </w:r>
      <w:r w:rsidR="00D43E5F">
        <w:rPr>
          <w:szCs w:val="20"/>
          <w:lang w:eastAsia="en-AU"/>
        </w:rPr>
        <w:t>country</w:t>
      </w:r>
      <w:r w:rsidR="00B949CE">
        <w:rPr>
          <w:szCs w:val="20"/>
          <w:lang w:eastAsia="en-AU"/>
        </w:rPr>
        <w:t>.</w:t>
      </w:r>
    </w:p>
    <w:p w14:paraId="0996F9E0" w14:textId="77777777" w:rsidR="00333836" w:rsidRDefault="00333836" w:rsidP="00EC6BC0">
      <w:pPr>
        <w:rPr>
          <w:szCs w:val="20"/>
          <w:lang w:eastAsia="en-AU"/>
        </w:rPr>
      </w:pPr>
    </w:p>
    <w:p w14:paraId="734CFF50" w14:textId="076B800E" w:rsidR="000E6CEA" w:rsidRDefault="000E6CEA" w:rsidP="000E6CEA">
      <w:pPr>
        <w:rPr>
          <w:szCs w:val="20"/>
          <w:lang w:eastAsia="en-AU"/>
        </w:rPr>
      </w:pPr>
      <w:r>
        <w:rPr>
          <w:szCs w:val="20"/>
          <w:lang w:eastAsia="en-AU"/>
        </w:rPr>
        <w:t xml:space="preserve">It is not expected that another country’s legislation will be exactly the same as New Zealand’s. </w:t>
      </w:r>
      <w:r w:rsidRPr="00925A3A">
        <w:rPr>
          <w:szCs w:val="20"/>
          <w:lang w:eastAsia="en-AU"/>
        </w:rPr>
        <w:t>This means that the amount that New Zealand might counteract, in</w:t>
      </w:r>
      <w:r>
        <w:rPr>
          <w:szCs w:val="20"/>
          <w:lang w:eastAsia="en-AU"/>
        </w:rPr>
        <w:t xml:space="preserve"> a given situation, could be</w:t>
      </w:r>
      <w:r w:rsidRPr="00925A3A">
        <w:rPr>
          <w:szCs w:val="20"/>
          <w:lang w:eastAsia="en-AU"/>
        </w:rPr>
        <w:t xml:space="preserve"> different from that which would be counteracted by another country’s rules in </w:t>
      </w:r>
      <w:r>
        <w:rPr>
          <w:szCs w:val="20"/>
          <w:lang w:eastAsia="en-AU"/>
        </w:rPr>
        <w:t xml:space="preserve">that </w:t>
      </w:r>
      <w:r w:rsidRPr="00925A3A">
        <w:rPr>
          <w:szCs w:val="20"/>
          <w:lang w:eastAsia="en-AU"/>
        </w:rPr>
        <w:t xml:space="preserve">same situation. </w:t>
      </w:r>
      <w:r>
        <w:rPr>
          <w:szCs w:val="20"/>
          <w:lang w:eastAsia="en-AU"/>
        </w:rPr>
        <w:t>Alternatively, another country’s rules may only apply to certain types of payments (</w:t>
      </w:r>
      <w:r w:rsidR="00A415BC">
        <w:rPr>
          <w:szCs w:val="20"/>
          <w:lang w:eastAsia="en-AU"/>
        </w:rPr>
        <w:t xml:space="preserve">for example, </w:t>
      </w:r>
      <w:r>
        <w:rPr>
          <w:szCs w:val="20"/>
          <w:lang w:eastAsia="en-AU"/>
        </w:rPr>
        <w:t>interest and royalty payments but not others).</w:t>
      </w:r>
      <w:r w:rsidRPr="00925A3A">
        <w:rPr>
          <w:szCs w:val="20"/>
          <w:lang w:eastAsia="en-AU"/>
        </w:rPr>
        <w:t xml:space="preserve"> </w:t>
      </w:r>
      <w:r>
        <w:rPr>
          <w:szCs w:val="20"/>
          <w:lang w:eastAsia="en-AU"/>
        </w:rPr>
        <w:t>These circumstances</w:t>
      </w:r>
      <w:r w:rsidRPr="00925A3A">
        <w:rPr>
          <w:szCs w:val="20"/>
          <w:lang w:eastAsia="en-AU"/>
        </w:rPr>
        <w:t xml:space="preserve"> should not prevent that other country’s rules qualifying as hybrid mismatch legislation.</w:t>
      </w:r>
      <w:r>
        <w:rPr>
          <w:szCs w:val="20"/>
          <w:lang w:eastAsia="en-AU"/>
        </w:rPr>
        <w:t xml:space="preserve"> However, the question of whether a defensive rule in subpart FH applies or not is not determined simply by whether or not the other country has hybrid rules. For instance, section FH 6, which is discussed in detail below, is a defensive rule that only grants priority to another country’s hybrid mismatch legislation if that country’s rule applies to the relevant payment and payer in the income year.</w:t>
      </w:r>
    </w:p>
    <w:p w14:paraId="1BD1E49F" w14:textId="77777777" w:rsidR="00EE1A43" w:rsidRDefault="00EE1A43" w:rsidP="00EE1A43">
      <w:pPr>
        <w:rPr>
          <w:snapToGrid w:val="0"/>
          <w:szCs w:val="20"/>
          <w:lang w:eastAsia="en-AU"/>
        </w:rPr>
      </w:pPr>
    </w:p>
    <w:p w14:paraId="5E3C70F7" w14:textId="56276FDC" w:rsidR="00EE1A43" w:rsidRDefault="006D26CE" w:rsidP="00EE1A43">
      <w:pPr>
        <w:rPr>
          <w:snapToGrid w:val="0"/>
          <w:szCs w:val="20"/>
          <w:lang w:eastAsia="en-AU"/>
        </w:rPr>
      </w:pPr>
      <w:r>
        <w:rPr>
          <w:snapToGrid w:val="0"/>
          <w:szCs w:val="20"/>
          <w:lang w:eastAsia="en-AU"/>
        </w:rPr>
        <w:t>T</w:t>
      </w:r>
      <w:r w:rsidR="00EE1A43">
        <w:rPr>
          <w:snapToGrid w:val="0"/>
          <w:szCs w:val="20"/>
          <w:lang w:eastAsia="en-AU"/>
        </w:rPr>
        <w:t>he US dual consolidated loss (DCL) rules</w:t>
      </w:r>
      <w:r>
        <w:rPr>
          <w:snapToGrid w:val="0"/>
          <w:szCs w:val="20"/>
          <w:lang w:eastAsia="en-AU"/>
        </w:rPr>
        <w:t xml:space="preserve"> are an example of hybrid mismatch legislation</w:t>
      </w:r>
      <w:r w:rsidR="002D5667">
        <w:rPr>
          <w:snapToGrid w:val="0"/>
          <w:szCs w:val="20"/>
          <w:lang w:eastAsia="en-AU"/>
        </w:rPr>
        <w:t xml:space="preserve">. </w:t>
      </w:r>
      <w:r w:rsidR="00EE1A43">
        <w:rPr>
          <w:snapToGrid w:val="0"/>
          <w:szCs w:val="20"/>
          <w:lang w:eastAsia="en-AU"/>
        </w:rPr>
        <w:t>Inland Revenue understands that these rules generally operate as follows:</w:t>
      </w:r>
    </w:p>
    <w:p w14:paraId="4FC69F54" w14:textId="77777777" w:rsidR="00EE1A43" w:rsidRDefault="00EE1A43" w:rsidP="00EE1A43">
      <w:pPr>
        <w:rPr>
          <w:snapToGrid w:val="0"/>
          <w:szCs w:val="20"/>
          <w:lang w:eastAsia="en-AU"/>
        </w:rPr>
      </w:pPr>
    </w:p>
    <w:p w14:paraId="11DB2D10" w14:textId="5A3CC454" w:rsidR="00EE1A43" w:rsidRDefault="00EE1A43" w:rsidP="0091475A">
      <w:pPr>
        <w:pStyle w:val="Bullets"/>
        <w:rPr>
          <w:snapToGrid w:val="0"/>
        </w:rPr>
      </w:pPr>
      <w:r>
        <w:rPr>
          <w:snapToGrid w:val="0"/>
        </w:rPr>
        <w:t xml:space="preserve">A US company is denied </w:t>
      </w:r>
      <w:r w:rsidRPr="004A78B8">
        <w:rPr>
          <w:snapToGrid w:val="0"/>
        </w:rPr>
        <w:t>the ability to reduce its US tax in relation to losses that are used</w:t>
      </w:r>
      <w:r>
        <w:rPr>
          <w:snapToGrid w:val="0"/>
        </w:rPr>
        <w:t xml:space="preserve"> under the laws of a foreign country</w:t>
      </w:r>
      <w:r w:rsidRPr="004A78B8">
        <w:rPr>
          <w:snapToGrid w:val="0"/>
        </w:rPr>
        <w:t xml:space="preserve"> to offset income that is not taxed by the US</w:t>
      </w:r>
      <w:r w:rsidR="002D5667">
        <w:rPr>
          <w:snapToGrid w:val="0"/>
        </w:rPr>
        <w:t xml:space="preserve">. </w:t>
      </w:r>
      <w:r w:rsidRPr="004A78B8">
        <w:rPr>
          <w:snapToGrid w:val="0"/>
        </w:rPr>
        <w:t xml:space="preserve">These may be losses incurred by a foreign branch of </w:t>
      </w:r>
      <w:r>
        <w:rPr>
          <w:snapToGrid w:val="0"/>
        </w:rPr>
        <w:t xml:space="preserve">the </w:t>
      </w:r>
      <w:r w:rsidRPr="004A78B8">
        <w:rPr>
          <w:snapToGrid w:val="0"/>
        </w:rPr>
        <w:t xml:space="preserve">US company, through a foreign </w:t>
      </w:r>
      <w:r>
        <w:rPr>
          <w:snapToGrid w:val="0"/>
        </w:rPr>
        <w:t>hybrid owned by the</w:t>
      </w:r>
      <w:r w:rsidRPr="004A78B8">
        <w:rPr>
          <w:snapToGrid w:val="0"/>
        </w:rPr>
        <w:t xml:space="preserve"> US company, or by a dual resident company</w:t>
      </w:r>
      <w:r w:rsidRPr="004469E8">
        <w:rPr>
          <w:snapToGrid w:val="0"/>
        </w:rPr>
        <w:t>.</w:t>
      </w:r>
    </w:p>
    <w:p w14:paraId="205C8699" w14:textId="276C6EBE" w:rsidR="00EE1A43" w:rsidRDefault="00EE1A43" w:rsidP="0091475A">
      <w:pPr>
        <w:pStyle w:val="Bullets"/>
        <w:rPr>
          <w:snapToGrid w:val="0"/>
        </w:rPr>
      </w:pPr>
      <w:r>
        <w:rPr>
          <w:snapToGrid w:val="0"/>
        </w:rPr>
        <w:t>The denial can be turned off i</w:t>
      </w:r>
      <w:r w:rsidRPr="004A78B8">
        <w:rPr>
          <w:snapToGrid w:val="0"/>
        </w:rPr>
        <w:t xml:space="preserve">f the </w:t>
      </w:r>
      <w:r>
        <w:rPr>
          <w:snapToGrid w:val="0"/>
        </w:rPr>
        <w:t xml:space="preserve">US </w:t>
      </w:r>
      <w:r w:rsidRPr="004A78B8">
        <w:rPr>
          <w:snapToGrid w:val="0"/>
        </w:rPr>
        <w:t>company makes a domestic use election</w:t>
      </w:r>
      <w:r w:rsidR="002D5667">
        <w:rPr>
          <w:snapToGrid w:val="0"/>
        </w:rPr>
        <w:t xml:space="preserve">. </w:t>
      </w:r>
      <w:r w:rsidRPr="004A78B8">
        <w:rPr>
          <w:snapToGrid w:val="0"/>
        </w:rPr>
        <w:t xml:space="preserve">This election requires the company to elect not to use the loss </w:t>
      </w:r>
      <w:r>
        <w:rPr>
          <w:snapToGrid w:val="0"/>
        </w:rPr>
        <w:t xml:space="preserve">under the laws of </w:t>
      </w:r>
      <w:r w:rsidRPr="004A78B8">
        <w:rPr>
          <w:snapToGrid w:val="0"/>
        </w:rPr>
        <w:t>another country to offset income which the</w:t>
      </w:r>
      <w:r>
        <w:rPr>
          <w:snapToGrid w:val="0"/>
        </w:rPr>
        <w:t xml:space="preserve"> US does not tax</w:t>
      </w:r>
      <w:r w:rsidR="002D5667">
        <w:rPr>
          <w:snapToGrid w:val="0"/>
        </w:rPr>
        <w:t xml:space="preserve">. </w:t>
      </w:r>
      <w:r>
        <w:rPr>
          <w:snapToGrid w:val="0"/>
        </w:rPr>
        <w:t>The non-foreign use period is limited to five years following the year of the loss.</w:t>
      </w:r>
    </w:p>
    <w:p w14:paraId="18A44F83" w14:textId="2EA0F8DD" w:rsidR="00EE1A43" w:rsidRDefault="00EE1A43" w:rsidP="0091475A">
      <w:pPr>
        <w:pStyle w:val="Bullets"/>
        <w:spacing w:after="0"/>
        <w:rPr>
          <w:snapToGrid w:val="0"/>
        </w:rPr>
      </w:pPr>
      <w:r>
        <w:rPr>
          <w:snapToGrid w:val="0"/>
        </w:rPr>
        <w:t xml:space="preserve">If </w:t>
      </w:r>
      <w:r w:rsidR="006D26CE">
        <w:rPr>
          <w:snapToGrid w:val="0"/>
        </w:rPr>
        <w:t xml:space="preserve">a domestic use election is made, but </w:t>
      </w:r>
      <w:r>
        <w:rPr>
          <w:snapToGrid w:val="0"/>
        </w:rPr>
        <w:t>the loss is used to offset income which the US does not tax during the five year period, or other “triggering events” occur (such as a sale of the foreign hybrid that incurs the loss), the US tax reduction resulting from the US use of the loss is recaptured and there is also an interest charge</w:t>
      </w:r>
      <w:r w:rsidR="002D5667">
        <w:rPr>
          <w:snapToGrid w:val="0"/>
        </w:rPr>
        <w:t xml:space="preserve">. </w:t>
      </w:r>
      <w:r>
        <w:rPr>
          <w:snapToGrid w:val="0"/>
        </w:rPr>
        <w:t>If the loss is so used (or another triggering event occurs) after the five year period, there is no penalty.</w:t>
      </w:r>
    </w:p>
    <w:p w14:paraId="728B0358" w14:textId="77777777" w:rsidR="00EE1A43" w:rsidRDefault="00EE1A43" w:rsidP="00EE1A43">
      <w:pPr>
        <w:rPr>
          <w:snapToGrid w:val="0"/>
          <w:szCs w:val="20"/>
          <w:lang w:eastAsia="en-AU"/>
        </w:rPr>
      </w:pPr>
    </w:p>
    <w:p w14:paraId="5A0C2DFE" w14:textId="31FA6DC8" w:rsidR="00EE1A43" w:rsidRPr="004A78B8" w:rsidRDefault="00EE1A43" w:rsidP="00EE1A43">
      <w:pPr>
        <w:rPr>
          <w:snapToGrid w:val="0"/>
          <w:szCs w:val="20"/>
          <w:lang w:eastAsia="en-AU"/>
        </w:rPr>
      </w:pPr>
      <w:r>
        <w:rPr>
          <w:snapToGrid w:val="0"/>
          <w:szCs w:val="20"/>
          <w:lang w:eastAsia="en-AU"/>
        </w:rPr>
        <w:t xml:space="preserve">On the basis of this understanding, the US DCL rules appear to be hybrid mismatch legislation corresponding to section </w:t>
      </w:r>
      <w:r w:rsidR="000E6CEA">
        <w:rPr>
          <w:snapToGrid w:val="0"/>
          <w:szCs w:val="20"/>
          <w:lang w:eastAsia="en-AU"/>
        </w:rPr>
        <w:t>FH 8</w:t>
      </w:r>
      <w:r w:rsidR="002D5667">
        <w:rPr>
          <w:snapToGrid w:val="0"/>
          <w:szCs w:val="20"/>
          <w:lang w:eastAsia="en-AU"/>
        </w:rPr>
        <w:t xml:space="preserve">. </w:t>
      </w:r>
      <w:r w:rsidR="000E6CEA">
        <w:rPr>
          <w:snapToGrid w:val="0"/>
          <w:szCs w:val="20"/>
          <w:lang w:eastAsia="en-AU"/>
        </w:rPr>
        <w:t>Expenditure incurred by</w:t>
      </w:r>
      <w:r>
        <w:rPr>
          <w:snapToGrid w:val="0"/>
          <w:szCs w:val="20"/>
          <w:lang w:eastAsia="en-AU"/>
        </w:rPr>
        <w:t xml:space="preserve"> a US taxpayer, or a New Zealand hybrid entity which is deductible by a US owner, will not be subject to section FH 9</w:t>
      </w:r>
      <w:r w:rsidR="00B52067">
        <w:rPr>
          <w:snapToGrid w:val="0"/>
          <w:szCs w:val="20"/>
          <w:lang w:eastAsia="en-AU"/>
        </w:rPr>
        <w:t xml:space="preserve"> </w:t>
      </w:r>
      <w:r>
        <w:rPr>
          <w:snapToGrid w:val="0"/>
          <w:szCs w:val="20"/>
          <w:lang w:eastAsia="en-AU"/>
        </w:rPr>
        <w:t>so long as the US taxpayer is subject to the DCL rules and has not made a domestic use election</w:t>
      </w:r>
      <w:r w:rsidR="002D5667">
        <w:rPr>
          <w:snapToGrid w:val="0"/>
          <w:szCs w:val="20"/>
          <w:lang w:eastAsia="en-AU"/>
        </w:rPr>
        <w:t xml:space="preserve">. </w:t>
      </w:r>
      <w:r>
        <w:rPr>
          <w:snapToGrid w:val="0"/>
          <w:szCs w:val="20"/>
          <w:lang w:eastAsia="en-AU"/>
        </w:rPr>
        <w:t>If the US taxpayer has made a domestic use election, then section FH 9 will apply to deny a deduction for the expenditure</w:t>
      </w:r>
      <w:r w:rsidR="002D5667">
        <w:rPr>
          <w:snapToGrid w:val="0"/>
          <w:szCs w:val="20"/>
          <w:lang w:eastAsia="en-AU"/>
        </w:rPr>
        <w:t xml:space="preserve">. </w:t>
      </w:r>
      <w:r>
        <w:rPr>
          <w:snapToGrid w:val="0"/>
          <w:szCs w:val="20"/>
          <w:lang w:eastAsia="en-AU"/>
        </w:rPr>
        <w:t>That is because the domestic use election is an election that the DCL rules do not apply to the US taxpayer in respect of the relevant expenditure</w:t>
      </w:r>
      <w:r w:rsidR="002D5667">
        <w:rPr>
          <w:snapToGrid w:val="0"/>
          <w:szCs w:val="20"/>
          <w:lang w:eastAsia="en-AU"/>
        </w:rPr>
        <w:t xml:space="preserve">. </w:t>
      </w:r>
      <w:r>
        <w:rPr>
          <w:snapToGrid w:val="0"/>
          <w:szCs w:val="20"/>
          <w:lang w:eastAsia="en-AU"/>
        </w:rPr>
        <w:t xml:space="preserve">During the five year “non-foreign use” period imposed by the terms of the domestic use election, this should not be a practical issue, since the terms of the domestic use election will </w:t>
      </w:r>
      <w:r>
        <w:rPr>
          <w:snapToGrid w:val="0"/>
          <w:szCs w:val="20"/>
          <w:lang w:eastAsia="en-AU"/>
        </w:rPr>
        <w:lastRenderedPageBreak/>
        <w:t>in any event prohibit the use in New Zealand of that expenditure against income which the US does not tax</w:t>
      </w:r>
      <w:r w:rsidR="002D5667">
        <w:rPr>
          <w:snapToGrid w:val="0"/>
          <w:szCs w:val="20"/>
          <w:lang w:eastAsia="en-AU"/>
        </w:rPr>
        <w:t xml:space="preserve">. </w:t>
      </w:r>
      <w:r>
        <w:rPr>
          <w:snapToGrid w:val="0"/>
          <w:szCs w:val="20"/>
          <w:lang w:eastAsia="en-AU"/>
        </w:rPr>
        <w:t>Once that period has passed, the US DCL rules will not deny the US person the ability to use the expenditure in New Zealand against income which the US does not tax</w:t>
      </w:r>
      <w:r w:rsidR="002D5667">
        <w:rPr>
          <w:snapToGrid w:val="0"/>
          <w:szCs w:val="20"/>
          <w:lang w:eastAsia="en-AU"/>
        </w:rPr>
        <w:t xml:space="preserve">. </w:t>
      </w:r>
      <w:r>
        <w:rPr>
          <w:snapToGrid w:val="0"/>
          <w:szCs w:val="20"/>
          <w:lang w:eastAsia="en-AU"/>
        </w:rPr>
        <w:t>However, section FH 9 will continue to apply, to similar effect.</w:t>
      </w:r>
    </w:p>
    <w:p w14:paraId="204D6030" w14:textId="77777777" w:rsidR="00B949CE" w:rsidRDefault="00B949CE" w:rsidP="00532DB4">
      <w:pPr>
        <w:rPr>
          <w:lang w:eastAsia="en-AU"/>
        </w:rPr>
      </w:pPr>
    </w:p>
    <w:p w14:paraId="536FCF07" w14:textId="77777777" w:rsidR="00EC6BC0" w:rsidRPr="005D604F" w:rsidRDefault="00EC6BC0" w:rsidP="005D604F">
      <w:pPr>
        <w:pStyle w:val="Heading3"/>
      </w:pPr>
      <w:r w:rsidRPr="005D604F">
        <w:t>Mismatch situation</w:t>
      </w:r>
    </w:p>
    <w:p w14:paraId="0366253A" w14:textId="77777777" w:rsidR="00EC6BC0" w:rsidRPr="00925A3A" w:rsidRDefault="00EC6BC0" w:rsidP="00EC6BC0">
      <w:pPr>
        <w:rPr>
          <w:szCs w:val="20"/>
          <w:lang w:eastAsia="en-AU"/>
        </w:rPr>
      </w:pPr>
    </w:p>
    <w:p w14:paraId="00AEC1D8" w14:textId="4878DD1E" w:rsidR="009D72E8" w:rsidRDefault="009D72E8" w:rsidP="00EC6BC0">
      <w:pPr>
        <w:rPr>
          <w:szCs w:val="20"/>
          <w:lang w:eastAsia="en-AU"/>
        </w:rPr>
      </w:pPr>
      <w:r>
        <w:rPr>
          <w:szCs w:val="20"/>
          <w:lang w:eastAsia="en-AU"/>
        </w:rPr>
        <w:t>“Mismatch situation”</w:t>
      </w:r>
      <w:r w:rsidR="00EC6BC0" w:rsidRPr="00925A3A">
        <w:rPr>
          <w:szCs w:val="20"/>
          <w:lang w:eastAsia="en-AU"/>
        </w:rPr>
        <w:t xml:space="preserve"> means a situation giving rise to denial of a deduction, or assessable income, under sections FH 5, FH 6, or FH 8 to FH 10</w:t>
      </w:r>
      <w:r w:rsidR="002D5667">
        <w:rPr>
          <w:szCs w:val="20"/>
          <w:lang w:eastAsia="en-AU"/>
        </w:rPr>
        <w:t xml:space="preserve">. </w:t>
      </w:r>
      <w:r>
        <w:rPr>
          <w:szCs w:val="20"/>
          <w:lang w:eastAsia="en-AU"/>
        </w:rPr>
        <w:t xml:space="preserve">The definition is important as </w:t>
      </w:r>
      <w:r w:rsidR="00DC5D91">
        <w:rPr>
          <w:szCs w:val="20"/>
          <w:lang w:eastAsia="en-AU"/>
        </w:rPr>
        <w:t>mismatch situations result in “mismatch amounts” discussed below, which are where the hybrid counteraction may be offset against surplus assessable income in section FH 12</w:t>
      </w:r>
      <w:r w:rsidR="002D5667">
        <w:rPr>
          <w:szCs w:val="20"/>
          <w:lang w:eastAsia="en-AU"/>
        </w:rPr>
        <w:t xml:space="preserve">. </w:t>
      </w:r>
      <w:r w:rsidR="00F866F5">
        <w:rPr>
          <w:szCs w:val="20"/>
          <w:lang w:eastAsia="en-AU"/>
        </w:rPr>
        <w:t>A situation can be a mismatch situation in a year even if there is no denial of a deduction</w:t>
      </w:r>
      <w:r w:rsidR="008C5487">
        <w:rPr>
          <w:szCs w:val="20"/>
          <w:lang w:eastAsia="en-AU"/>
        </w:rPr>
        <w:t xml:space="preserve"> (or inclusion of income under FH 6)</w:t>
      </w:r>
      <w:r w:rsidR="00F866F5">
        <w:rPr>
          <w:szCs w:val="20"/>
          <w:lang w:eastAsia="en-AU"/>
        </w:rPr>
        <w:t xml:space="preserve"> in the relevant year.</w:t>
      </w:r>
    </w:p>
    <w:p w14:paraId="4B4F2F8B" w14:textId="77777777" w:rsidR="009D72E8" w:rsidRDefault="009D72E8" w:rsidP="00EC6BC0">
      <w:pPr>
        <w:rPr>
          <w:szCs w:val="20"/>
          <w:lang w:eastAsia="en-AU"/>
        </w:rPr>
      </w:pPr>
    </w:p>
    <w:p w14:paraId="37DFCA8E" w14:textId="58B6EBEC" w:rsidR="00EC6BC0" w:rsidRPr="00925A3A" w:rsidRDefault="00EC6BC0" w:rsidP="00EC6BC0">
      <w:pPr>
        <w:rPr>
          <w:szCs w:val="20"/>
          <w:lang w:eastAsia="en-AU"/>
        </w:rPr>
      </w:pPr>
      <w:r w:rsidRPr="00925A3A">
        <w:rPr>
          <w:szCs w:val="20"/>
          <w:lang w:eastAsia="en-AU"/>
        </w:rPr>
        <w:t>A person can be involved in more th</w:t>
      </w:r>
      <w:r w:rsidR="0049653D">
        <w:rPr>
          <w:szCs w:val="20"/>
          <w:lang w:eastAsia="en-AU"/>
        </w:rPr>
        <w:t>an one mismatch situation</w:t>
      </w:r>
      <w:r w:rsidR="002D5667">
        <w:rPr>
          <w:szCs w:val="20"/>
          <w:lang w:eastAsia="en-AU"/>
        </w:rPr>
        <w:t xml:space="preserve">. </w:t>
      </w:r>
      <w:r w:rsidR="0049653D">
        <w:rPr>
          <w:szCs w:val="20"/>
          <w:lang w:eastAsia="en-AU"/>
        </w:rPr>
        <w:t>Further</w:t>
      </w:r>
      <w:r w:rsidRPr="00925A3A">
        <w:rPr>
          <w:szCs w:val="20"/>
          <w:lang w:eastAsia="en-AU"/>
        </w:rPr>
        <w:t>, a single mismatch situation can give rise to more than one kind of mismatch</w:t>
      </w:r>
      <w:r w:rsidR="002D5667">
        <w:rPr>
          <w:szCs w:val="20"/>
          <w:lang w:eastAsia="en-AU"/>
        </w:rPr>
        <w:t xml:space="preserve">. </w:t>
      </w:r>
      <w:r w:rsidRPr="00925A3A">
        <w:rPr>
          <w:szCs w:val="20"/>
          <w:lang w:eastAsia="en-AU"/>
        </w:rPr>
        <w:t xml:space="preserve">For instance, a New Zealand resident hybrid entity can make payments which are subject to both section FH 5 (because they are made to a foreign owner who disregards the entity) and section FH 9 (because they are deductible in New Zealand and </w:t>
      </w:r>
      <w:r w:rsidR="006D591E">
        <w:rPr>
          <w:szCs w:val="20"/>
          <w:lang w:eastAsia="en-AU"/>
        </w:rPr>
        <w:t>a</w:t>
      </w:r>
      <w:r w:rsidRPr="00925A3A">
        <w:rPr>
          <w:szCs w:val="20"/>
          <w:lang w:eastAsia="en-AU"/>
        </w:rPr>
        <w:t xml:space="preserve"> foreign </w:t>
      </w:r>
      <w:r w:rsidR="00D43E5F">
        <w:rPr>
          <w:szCs w:val="20"/>
          <w:lang w:eastAsia="en-AU"/>
        </w:rPr>
        <w:t>country</w:t>
      </w:r>
      <w:r w:rsidRPr="00925A3A">
        <w:rPr>
          <w:szCs w:val="20"/>
          <w:lang w:eastAsia="en-AU"/>
        </w:rPr>
        <w:t>).</w:t>
      </w:r>
    </w:p>
    <w:p w14:paraId="1F6A6D79" w14:textId="77777777" w:rsidR="00EC6BC0" w:rsidRPr="00925A3A" w:rsidRDefault="00EC6BC0" w:rsidP="00EC6BC0">
      <w:pPr>
        <w:rPr>
          <w:szCs w:val="20"/>
          <w:lang w:eastAsia="en-AU"/>
        </w:rPr>
      </w:pPr>
    </w:p>
    <w:p w14:paraId="1C39047E" w14:textId="7675DB94" w:rsidR="00395A7C" w:rsidRPr="005D604F" w:rsidRDefault="007D40FF" w:rsidP="005D604F">
      <w:pPr>
        <w:pStyle w:val="Heading3"/>
      </w:pPr>
      <w:r w:rsidRPr="005D604F">
        <w:t>Misma</w:t>
      </w:r>
      <w:r w:rsidR="00D6773F" w:rsidRPr="005D604F">
        <w:t>tch amount</w:t>
      </w:r>
    </w:p>
    <w:p w14:paraId="526E2951" w14:textId="77777777" w:rsidR="0003714F" w:rsidRDefault="0003714F" w:rsidP="0003714F">
      <w:pPr>
        <w:jc w:val="left"/>
        <w:rPr>
          <w:szCs w:val="20"/>
          <w:lang w:eastAsia="en-AU"/>
        </w:rPr>
      </w:pPr>
    </w:p>
    <w:p w14:paraId="6733F691" w14:textId="2DBA4262" w:rsidR="0003714F" w:rsidRPr="0003714F" w:rsidRDefault="006D591E" w:rsidP="000772C5">
      <w:pPr>
        <w:rPr>
          <w:lang w:eastAsia="en-AU"/>
        </w:rPr>
      </w:pPr>
      <w:r>
        <w:rPr>
          <w:lang w:eastAsia="en-AU"/>
        </w:rPr>
        <w:t>“Mismatch amount”</w:t>
      </w:r>
      <w:r w:rsidR="0003714F" w:rsidRPr="0003714F">
        <w:rPr>
          <w:lang w:eastAsia="en-AU"/>
        </w:rPr>
        <w:t xml:space="preserve"> means</w:t>
      </w:r>
      <w:r w:rsidR="0003714F">
        <w:rPr>
          <w:lang w:eastAsia="en-AU"/>
        </w:rPr>
        <w:t xml:space="preserve"> an amount, arising from a mismatch situation, for which </w:t>
      </w:r>
      <w:r w:rsidR="0049653D">
        <w:rPr>
          <w:lang w:eastAsia="en-AU"/>
        </w:rPr>
        <w:t xml:space="preserve">a deduction </w:t>
      </w:r>
      <w:r w:rsidR="000E6CEA">
        <w:rPr>
          <w:lang w:eastAsia="en-AU"/>
        </w:rPr>
        <w:t>may be</w:t>
      </w:r>
      <w:r w:rsidR="0049653D">
        <w:rPr>
          <w:lang w:eastAsia="en-AU"/>
        </w:rPr>
        <w:t xml:space="preserve"> allowed under section FH 12 when the amount is set off in a tax year against an amount of surplus assessable incom</w:t>
      </w:r>
      <w:r w:rsidR="002B6057">
        <w:rPr>
          <w:lang w:eastAsia="en-AU"/>
        </w:rPr>
        <w:t>e</w:t>
      </w:r>
      <w:r w:rsidR="002D5667">
        <w:rPr>
          <w:lang w:eastAsia="en-AU"/>
        </w:rPr>
        <w:t xml:space="preserve">. </w:t>
      </w:r>
      <w:r>
        <w:rPr>
          <w:lang w:eastAsia="en-AU"/>
        </w:rPr>
        <w:t>It can only arise from “mismatch situations”</w:t>
      </w:r>
      <w:r w:rsidR="00D43E5F">
        <w:rPr>
          <w:lang w:eastAsia="en-AU"/>
        </w:rPr>
        <w:t>.</w:t>
      </w:r>
    </w:p>
    <w:p w14:paraId="0CE380A3" w14:textId="77777777" w:rsidR="007D40FF" w:rsidRPr="000772C5" w:rsidRDefault="007D40FF" w:rsidP="00397E54">
      <w:pPr>
        <w:rPr>
          <w:caps/>
          <w:sz w:val="26"/>
          <w:szCs w:val="20"/>
          <w:lang w:eastAsia="en-AU"/>
        </w:rPr>
      </w:pPr>
    </w:p>
    <w:p w14:paraId="0ECAADE2" w14:textId="77777777" w:rsidR="008E0F95" w:rsidRDefault="008E0F95">
      <w:pPr>
        <w:jc w:val="left"/>
        <w:rPr>
          <w:b/>
          <w:caps/>
          <w:sz w:val="26"/>
          <w:szCs w:val="20"/>
          <w:lang w:eastAsia="en-AU"/>
        </w:rPr>
      </w:pPr>
      <w:r>
        <w:rPr>
          <w:b/>
          <w:caps/>
          <w:sz w:val="26"/>
          <w:szCs w:val="20"/>
          <w:lang w:eastAsia="en-AU"/>
        </w:rPr>
        <w:br w:type="page"/>
      </w:r>
    </w:p>
    <w:p w14:paraId="107D6137" w14:textId="77777777" w:rsidR="00925A3A" w:rsidRPr="00925A3A" w:rsidRDefault="00925A3A" w:rsidP="00925A3A">
      <w:pPr>
        <w:keepNext/>
        <w:pBdr>
          <w:bottom w:val="single" w:sz="4" w:space="6" w:color="auto"/>
        </w:pBdr>
        <w:jc w:val="left"/>
        <w:outlineLvl w:val="0"/>
        <w:rPr>
          <w:b/>
          <w:caps/>
          <w:sz w:val="26"/>
          <w:szCs w:val="20"/>
          <w:lang w:eastAsia="en-AU"/>
        </w:rPr>
      </w:pPr>
      <w:r w:rsidRPr="00925A3A">
        <w:rPr>
          <w:b/>
          <w:caps/>
          <w:sz w:val="26"/>
          <w:szCs w:val="20"/>
          <w:lang w:eastAsia="en-AU"/>
        </w:rPr>
        <w:lastRenderedPageBreak/>
        <w:t>Hybrid financial instrument rule</w:t>
      </w:r>
      <w:bookmarkEnd w:id="2"/>
    </w:p>
    <w:p w14:paraId="3507319B" w14:textId="77777777" w:rsidR="00925A3A" w:rsidRPr="00925A3A" w:rsidRDefault="00925A3A" w:rsidP="00925A3A">
      <w:pPr>
        <w:rPr>
          <w:szCs w:val="20"/>
          <w:lang w:eastAsia="en-AU"/>
        </w:rPr>
      </w:pPr>
    </w:p>
    <w:p w14:paraId="7006CABE" w14:textId="77777777" w:rsidR="00925A3A" w:rsidRPr="00D80A47" w:rsidRDefault="005452FD" w:rsidP="00D80A47">
      <w:pPr>
        <w:rPr>
          <w:b/>
          <w:i/>
          <w:szCs w:val="20"/>
          <w:lang w:eastAsia="en-AU"/>
        </w:rPr>
      </w:pPr>
      <w:r>
        <w:rPr>
          <w:b/>
          <w:i/>
          <w:szCs w:val="20"/>
          <w:lang w:eastAsia="en-AU"/>
        </w:rPr>
        <w:t>S</w:t>
      </w:r>
      <w:r w:rsidR="00925A3A" w:rsidRPr="00925A3A">
        <w:rPr>
          <w:b/>
          <w:i/>
          <w:szCs w:val="20"/>
          <w:lang w:eastAsia="en-AU"/>
        </w:rPr>
        <w:t>ection</w:t>
      </w:r>
      <w:r>
        <w:rPr>
          <w:b/>
          <w:i/>
          <w:szCs w:val="20"/>
          <w:lang w:eastAsia="en-AU"/>
        </w:rPr>
        <w:t>s FH 3</w:t>
      </w:r>
      <w:r w:rsidR="00B51480">
        <w:rPr>
          <w:b/>
          <w:i/>
          <w:szCs w:val="20"/>
          <w:lang w:eastAsia="en-AU"/>
        </w:rPr>
        <w:t xml:space="preserve"> and FH 4</w:t>
      </w:r>
    </w:p>
    <w:p w14:paraId="4F9CC725" w14:textId="77777777" w:rsidR="00925A3A" w:rsidRDefault="00925A3A" w:rsidP="00925A3A">
      <w:pPr>
        <w:rPr>
          <w:szCs w:val="20"/>
          <w:lang w:eastAsia="en-AU"/>
        </w:rPr>
      </w:pPr>
    </w:p>
    <w:p w14:paraId="4B18ED07" w14:textId="77777777" w:rsidR="000772C5" w:rsidRPr="00925A3A" w:rsidRDefault="000772C5" w:rsidP="00925A3A">
      <w:pPr>
        <w:rPr>
          <w:szCs w:val="20"/>
          <w:lang w:eastAsia="en-AU"/>
        </w:rPr>
      </w:pPr>
    </w:p>
    <w:p w14:paraId="4C90B47A" w14:textId="1B40D7DC" w:rsidR="00346C9D" w:rsidRDefault="00D6773F" w:rsidP="00532DB4">
      <w:pPr>
        <w:pStyle w:val="Heading2"/>
        <w:rPr>
          <w:lang w:eastAsia="en-AU"/>
        </w:rPr>
      </w:pPr>
      <w:r>
        <w:rPr>
          <w:lang w:eastAsia="en-AU"/>
        </w:rPr>
        <w:t>Background</w:t>
      </w:r>
    </w:p>
    <w:p w14:paraId="66688495" w14:textId="77777777" w:rsidR="006C463E" w:rsidRDefault="006C463E" w:rsidP="00A85777">
      <w:pPr>
        <w:rPr>
          <w:szCs w:val="20"/>
          <w:lang w:eastAsia="en-AU"/>
        </w:rPr>
      </w:pPr>
    </w:p>
    <w:p w14:paraId="52B34748" w14:textId="2BC2D78E" w:rsidR="006C463E" w:rsidRDefault="006C463E" w:rsidP="00A85777">
      <w:pPr>
        <w:rPr>
          <w:szCs w:val="20"/>
          <w:lang w:eastAsia="en-AU"/>
        </w:rPr>
      </w:pPr>
      <w:r>
        <w:rPr>
          <w:szCs w:val="20"/>
          <w:lang w:eastAsia="en-AU"/>
        </w:rPr>
        <w:t>The hybrid financial in</w:t>
      </w:r>
      <w:r w:rsidR="004E59D9">
        <w:rPr>
          <w:szCs w:val="20"/>
          <w:lang w:eastAsia="en-AU"/>
        </w:rPr>
        <w:t>strument rule is r</w:t>
      </w:r>
      <w:r>
        <w:rPr>
          <w:szCs w:val="20"/>
          <w:lang w:eastAsia="en-AU"/>
        </w:rPr>
        <w:t>ecommendation 1 of the OECD hybrid mismatch report and addresses D/NI mismatches.</w:t>
      </w:r>
    </w:p>
    <w:p w14:paraId="42C2785D" w14:textId="77777777" w:rsidR="006C463E" w:rsidRDefault="006C463E" w:rsidP="00A85777">
      <w:pPr>
        <w:rPr>
          <w:szCs w:val="20"/>
          <w:lang w:eastAsia="en-AU"/>
        </w:rPr>
      </w:pPr>
    </w:p>
    <w:p w14:paraId="39904E25" w14:textId="2E9ADD38" w:rsidR="006C463E" w:rsidRDefault="004E742A" w:rsidP="00A85777">
      <w:pPr>
        <w:rPr>
          <w:szCs w:val="20"/>
          <w:lang w:eastAsia="en-AU"/>
        </w:rPr>
      </w:pPr>
      <w:r>
        <w:rPr>
          <w:szCs w:val="20"/>
          <w:lang w:eastAsia="en-AU"/>
        </w:rPr>
        <w:t>Hybrid mismatches</w:t>
      </w:r>
      <w:r w:rsidR="00DB01A5">
        <w:rPr>
          <w:szCs w:val="20"/>
          <w:lang w:eastAsia="en-AU"/>
        </w:rPr>
        <w:t xml:space="preserve"> that fall within the scope of the hybrid financial instrument rule </w:t>
      </w:r>
      <w:r w:rsidR="00643D1E">
        <w:rPr>
          <w:szCs w:val="20"/>
          <w:lang w:eastAsia="en-AU"/>
        </w:rPr>
        <w:t>in sections FH 3 and FH 4 can be split into two categories: character mismatches and timing mismatches.</w:t>
      </w:r>
    </w:p>
    <w:p w14:paraId="2B55B1A8" w14:textId="3C664371" w:rsidR="000E6CEA" w:rsidRDefault="000E6CEA" w:rsidP="00A85777">
      <w:pPr>
        <w:rPr>
          <w:szCs w:val="20"/>
          <w:lang w:eastAsia="en-AU"/>
        </w:rPr>
      </w:pPr>
    </w:p>
    <w:p w14:paraId="3A36104E" w14:textId="08F4FACA" w:rsidR="000E6CEA" w:rsidRDefault="000E6CEA" w:rsidP="00A85777">
      <w:pPr>
        <w:rPr>
          <w:szCs w:val="20"/>
          <w:lang w:eastAsia="en-AU"/>
        </w:rPr>
      </w:pPr>
      <w:r>
        <w:rPr>
          <w:szCs w:val="20"/>
          <w:lang w:eastAsia="en-AU"/>
        </w:rPr>
        <w:t>Recommendation 2.1 of the OECD hybrid mismatch report which recommends that countries should not grant an exemption for dividends that are treated as deductible in a foreign country, is also important in considering the application of this rule.</w:t>
      </w:r>
    </w:p>
    <w:p w14:paraId="7012AA6B" w14:textId="77777777" w:rsidR="00643D1E" w:rsidRDefault="00643D1E" w:rsidP="00A85777">
      <w:pPr>
        <w:rPr>
          <w:szCs w:val="20"/>
          <w:lang w:eastAsia="en-AU"/>
        </w:rPr>
      </w:pPr>
    </w:p>
    <w:p w14:paraId="1720C7EE" w14:textId="77777777" w:rsidR="00643D1E" w:rsidRDefault="00643D1E" w:rsidP="00532DB4">
      <w:pPr>
        <w:pStyle w:val="Heading3"/>
        <w:rPr>
          <w:lang w:eastAsia="en-AU"/>
        </w:rPr>
      </w:pPr>
      <w:r w:rsidRPr="00532DB4">
        <w:t>Character</w:t>
      </w:r>
      <w:r>
        <w:rPr>
          <w:lang w:eastAsia="en-AU"/>
        </w:rPr>
        <w:t xml:space="preserve"> mismatch</w:t>
      </w:r>
    </w:p>
    <w:p w14:paraId="5FA2AF14" w14:textId="77777777" w:rsidR="00643D1E" w:rsidRDefault="00643D1E" w:rsidP="00643D1E">
      <w:pPr>
        <w:rPr>
          <w:szCs w:val="20"/>
          <w:lang w:eastAsia="en-AU"/>
        </w:rPr>
      </w:pPr>
    </w:p>
    <w:p w14:paraId="7F238640" w14:textId="684A0D0C" w:rsidR="00DB01A5" w:rsidRPr="00DB01A5" w:rsidRDefault="00643D1E" w:rsidP="006C463E">
      <w:pPr>
        <w:rPr>
          <w:szCs w:val="20"/>
          <w:lang w:eastAsia="en-AU"/>
        </w:rPr>
      </w:pPr>
      <w:r>
        <w:rPr>
          <w:szCs w:val="20"/>
          <w:lang w:eastAsia="en-AU"/>
        </w:rPr>
        <w:t>The followin</w:t>
      </w:r>
      <w:r w:rsidR="00B0114B">
        <w:rPr>
          <w:szCs w:val="20"/>
          <w:lang w:eastAsia="en-AU"/>
        </w:rPr>
        <w:t>g diagram illustrates a</w:t>
      </w:r>
      <w:r w:rsidR="00B648FD">
        <w:rPr>
          <w:szCs w:val="20"/>
          <w:lang w:eastAsia="en-AU"/>
        </w:rPr>
        <w:t xml:space="preserve"> </w:t>
      </w:r>
      <w:r>
        <w:rPr>
          <w:szCs w:val="20"/>
          <w:lang w:eastAsia="en-AU"/>
        </w:rPr>
        <w:t>characte</w:t>
      </w:r>
      <w:r w:rsidR="001510DC">
        <w:rPr>
          <w:szCs w:val="20"/>
          <w:lang w:eastAsia="en-AU"/>
        </w:rPr>
        <w:t>r mismatch arising from a</w:t>
      </w:r>
      <w:r>
        <w:rPr>
          <w:szCs w:val="20"/>
          <w:lang w:eastAsia="en-AU"/>
        </w:rPr>
        <w:t xml:space="preserve"> financial instrument</w:t>
      </w:r>
      <w:r w:rsidR="0038732C">
        <w:rPr>
          <w:szCs w:val="20"/>
          <w:lang w:eastAsia="en-AU"/>
        </w:rPr>
        <w:t xml:space="preserve"> that pays coupons</w:t>
      </w:r>
      <w:r w:rsidR="00D6773F">
        <w:rPr>
          <w:szCs w:val="20"/>
          <w:lang w:eastAsia="en-AU"/>
        </w:rPr>
        <w:t>:</w:t>
      </w:r>
    </w:p>
    <w:p w14:paraId="10E24C59" w14:textId="77777777" w:rsidR="00643D1E" w:rsidRDefault="00643D1E" w:rsidP="00DB01A5">
      <w:pPr>
        <w:jc w:val="left"/>
        <w:rPr>
          <w:snapToGrid w:val="0"/>
          <w:szCs w:val="20"/>
          <w:highlight w:val="lightGray"/>
          <w:lang w:eastAsia="en-US"/>
        </w:rPr>
      </w:pPr>
    </w:p>
    <w:p w14:paraId="5497B8FD" w14:textId="0EC75110" w:rsidR="00590C76" w:rsidRDefault="000E6CEA" w:rsidP="00DB01A5">
      <w:pPr>
        <w:jc w:val="left"/>
        <w:rPr>
          <w:snapToGrid w:val="0"/>
          <w:szCs w:val="20"/>
          <w:lang w:eastAsia="en-US"/>
        </w:rPr>
      </w:pPr>
      <w:r>
        <w:object w:dxaOrig="5415" w:dyaOrig="4846" w14:anchorId="58364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242.25pt" o:ole="">
            <v:imagedata r:id="rId12" o:title=""/>
          </v:shape>
          <o:OLEObject Type="Embed" ProgID="Visio.Drawing.15" ShapeID="_x0000_i1025" DrawAspect="Content" ObjectID="_1618044690" r:id="rId13"/>
        </w:object>
      </w:r>
    </w:p>
    <w:p w14:paraId="5BA0A6C3" w14:textId="77777777" w:rsidR="00590C76" w:rsidRDefault="00590C76" w:rsidP="00DB01A5">
      <w:pPr>
        <w:jc w:val="left"/>
        <w:rPr>
          <w:snapToGrid w:val="0"/>
          <w:szCs w:val="20"/>
          <w:lang w:eastAsia="en-US"/>
        </w:rPr>
      </w:pPr>
    </w:p>
    <w:p w14:paraId="3D2A7369" w14:textId="2A702020" w:rsidR="00367805" w:rsidRDefault="0038732C" w:rsidP="00DB01A5">
      <w:pPr>
        <w:jc w:val="left"/>
        <w:rPr>
          <w:snapToGrid w:val="0"/>
          <w:szCs w:val="20"/>
          <w:lang w:eastAsia="en-US"/>
        </w:rPr>
      </w:pPr>
      <w:r>
        <w:rPr>
          <w:snapToGrid w:val="0"/>
          <w:szCs w:val="20"/>
          <w:lang w:eastAsia="en-US"/>
        </w:rPr>
        <w:t>In this character mismatch</w:t>
      </w:r>
      <w:r w:rsidR="001510DC">
        <w:rPr>
          <w:snapToGrid w:val="0"/>
          <w:szCs w:val="20"/>
          <w:lang w:eastAsia="en-US"/>
        </w:rPr>
        <w:t xml:space="preserve">, the </w:t>
      </w:r>
      <w:r w:rsidR="00643D1E" w:rsidRPr="003B1B26">
        <w:rPr>
          <w:snapToGrid w:val="0"/>
          <w:szCs w:val="20"/>
          <w:lang w:eastAsia="en-US"/>
        </w:rPr>
        <w:t>financial instrument</w:t>
      </w:r>
      <w:r w:rsidR="006C463E">
        <w:rPr>
          <w:snapToGrid w:val="0"/>
          <w:szCs w:val="20"/>
          <w:lang w:eastAsia="en-US"/>
        </w:rPr>
        <w:t xml:space="preserve"> (loan)</w:t>
      </w:r>
      <w:r w:rsidR="00643D1E" w:rsidRPr="003B1B26">
        <w:rPr>
          <w:snapToGrid w:val="0"/>
          <w:szCs w:val="20"/>
          <w:lang w:eastAsia="en-US"/>
        </w:rPr>
        <w:t xml:space="preserve"> is treated as debt by B Co and the coupons are treated as deductible interest</w:t>
      </w:r>
      <w:r w:rsidR="002D5667">
        <w:rPr>
          <w:snapToGrid w:val="0"/>
          <w:szCs w:val="20"/>
          <w:lang w:eastAsia="en-US"/>
        </w:rPr>
        <w:t xml:space="preserve">. </w:t>
      </w:r>
      <w:r w:rsidR="00367805">
        <w:rPr>
          <w:snapToGrid w:val="0"/>
          <w:szCs w:val="20"/>
          <w:lang w:eastAsia="en-US"/>
        </w:rPr>
        <w:t xml:space="preserve">However, the instrument is treated as equity by A Co and the coupons are treated as </w:t>
      </w:r>
      <w:r w:rsidR="006C463E">
        <w:rPr>
          <w:snapToGrid w:val="0"/>
          <w:szCs w:val="20"/>
          <w:lang w:eastAsia="en-US"/>
        </w:rPr>
        <w:t>non-assessable dividends</w:t>
      </w:r>
      <w:r w:rsidR="002D5667">
        <w:rPr>
          <w:snapToGrid w:val="0"/>
          <w:szCs w:val="20"/>
          <w:lang w:eastAsia="en-US"/>
        </w:rPr>
        <w:t xml:space="preserve">. </w:t>
      </w:r>
      <w:r w:rsidR="006C463E">
        <w:rPr>
          <w:snapToGrid w:val="0"/>
          <w:szCs w:val="20"/>
          <w:lang w:eastAsia="en-US"/>
        </w:rPr>
        <w:t xml:space="preserve">This </w:t>
      </w:r>
      <w:r w:rsidR="00367805">
        <w:rPr>
          <w:snapToGrid w:val="0"/>
          <w:szCs w:val="20"/>
          <w:lang w:eastAsia="en-US"/>
        </w:rPr>
        <w:t>results in double non-taxation.</w:t>
      </w:r>
    </w:p>
    <w:p w14:paraId="209A648E" w14:textId="77777777" w:rsidR="00F90821" w:rsidRPr="00367805" w:rsidRDefault="00F90821" w:rsidP="00367805">
      <w:pPr>
        <w:jc w:val="left"/>
        <w:rPr>
          <w:snapToGrid w:val="0"/>
          <w:szCs w:val="20"/>
          <w:lang w:eastAsia="en-US"/>
        </w:rPr>
      </w:pPr>
    </w:p>
    <w:p w14:paraId="5E105428" w14:textId="2AB20F65" w:rsidR="003B1B26" w:rsidRPr="003B1B26" w:rsidRDefault="00D6773F" w:rsidP="00532DB4">
      <w:pPr>
        <w:pStyle w:val="Heading3"/>
        <w:rPr>
          <w:lang w:eastAsia="en-AU"/>
        </w:rPr>
      </w:pPr>
      <w:r>
        <w:rPr>
          <w:lang w:eastAsia="en-AU"/>
        </w:rPr>
        <w:t>Timing mismatch</w:t>
      </w:r>
    </w:p>
    <w:p w14:paraId="337961B1" w14:textId="77777777" w:rsidR="00F90821" w:rsidRDefault="00F90821" w:rsidP="00A85777">
      <w:pPr>
        <w:rPr>
          <w:b/>
          <w:i/>
          <w:szCs w:val="20"/>
          <w:lang w:eastAsia="en-AU"/>
        </w:rPr>
      </w:pPr>
    </w:p>
    <w:p w14:paraId="52A59100" w14:textId="45CB7AA4" w:rsidR="00590C76" w:rsidRDefault="00590C76" w:rsidP="00A85777">
      <w:pPr>
        <w:rPr>
          <w:szCs w:val="20"/>
          <w:lang w:eastAsia="en-AU"/>
        </w:rPr>
      </w:pPr>
      <w:r>
        <w:rPr>
          <w:szCs w:val="20"/>
          <w:lang w:eastAsia="en-AU"/>
        </w:rPr>
        <w:t>The followin</w:t>
      </w:r>
      <w:r w:rsidR="00133010">
        <w:rPr>
          <w:szCs w:val="20"/>
          <w:lang w:eastAsia="en-AU"/>
        </w:rPr>
        <w:t>g diagram illustrates a</w:t>
      </w:r>
      <w:r w:rsidR="001510DC">
        <w:rPr>
          <w:szCs w:val="20"/>
          <w:lang w:eastAsia="en-AU"/>
        </w:rPr>
        <w:t>n example of a</w:t>
      </w:r>
      <w:r w:rsidR="00133010">
        <w:rPr>
          <w:szCs w:val="20"/>
          <w:lang w:eastAsia="en-AU"/>
        </w:rPr>
        <w:t xml:space="preserve"> </w:t>
      </w:r>
      <w:r>
        <w:rPr>
          <w:szCs w:val="20"/>
          <w:lang w:eastAsia="en-AU"/>
        </w:rPr>
        <w:t>timing mismatch arising from a financial instrument</w:t>
      </w:r>
      <w:r w:rsidR="001510DC">
        <w:rPr>
          <w:szCs w:val="20"/>
          <w:lang w:eastAsia="en-AU"/>
        </w:rPr>
        <w:t xml:space="preserve"> that pays interest upon maturity</w:t>
      </w:r>
      <w:r w:rsidR="00D6773F">
        <w:rPr>
          <w:szCs w:val="20"/>
          <w:lang w:eastAsia="en-AU"/>
        </w:rPr>
        <w:t>:</w:t>
      </w:r>
    </w:p>
    <w:p w14:paraId="34B894B4" w14:textId="77777777" w:rsidR="00B0114B" w:rsidRDefault="00B0114B" w:rsidP="00A85777">
      <w:pPr>
        <w:rPr>
          <w:szCs w:val="20"/>
          <w:lang w:eastAsia="en-AU"/>
        </w:rPr>
      </w:pPr>
    </w:p>
    <w:p w14:paraId="282D7FDB" w14:textId="7113C4A8" w:rsidR="00B0114B" w:rsidRDefault="00B0114B" w:rsidP="00B0114B">
      <w:pPr>
        <w:ind w:left="2160" w:firstLine="720"/>
        <w:rPr>
          <w:szCs w:val="20"/>
          <w:lang w:eastAsia="en-AU"/>
        </w:rPr>
      </w:pPr>
    </w:p>
    <w:p w14:paraId="748EAC74" w14:textId="488205B1" w:rsidR="003B4C56" w:rsidRDefault="003B4C56" w:rsidP="00A85777">
      <w:pPr>
        <w:rPr>
          <w:szCs w:val="20"/>
          <w:lang w:eastAsia="en-AU"/>
        </w:rPr>
      </w:pPr>
    </w:p>
    <w:p w14:paraId="3F2129B9" w14:textId="3F78D936" w:rsidR="000E6CEA" w:rsidRDefault="000E6CEA" w:rsidP="00A85777">
      <w:pPr>
        <w:rPr>
          <w:szCs w:val="20"/>
          <w:lang w:eastAsia="en-AU"/>
        </w:rPr>
      </w:pPr>
      <w:r>
        <w:object w:dxaOrig="4936" w:dyaOrig="4846" w14:anchorId="009DC41A">
          <v:shape id="_x0000_i1026" type="#_x0000_t75" style="width:247.5pt;height:242.25pt" o:ole="">
            <v:imagedata r:id="rId14" o:title=""/>
          </v:shape>
          <o:OLEObject Type="Embed" ProgID="Visio.Drawing.15" ShapeID="_x0000_i1026" DrawAspect="Content" ObjectID="_1618044691" r:id="rId15"/>
        </w:object>
      </w:r>
    </w:p>
    <w:p w14:paraId="3551BE76" w14:textId="77777777" w:rsidR="000E6CEA" w:rsidRDefault="000E6CEA" w:rsidP="00A85777">
      <w:pPr>
        <w:rPr>
          <w:szCs w:val="20"/>
          <w:lang w:eastAsia="en-AU"/>
        </w:rPr>
      </w:pPr>
    </w:p>
    <w:p w14:paraId="207ACB50" w14:textId="3F39A401" w:rsidR="00346C9D" w:rsidRDefault="00B0114B" w:rsidP="00A85777">
      <w:pPr>
        <w:rPr>
          <w:szCs w:val="20"/>
          <w:lang w:eastAsia="en-AU"/>
        </w:rPr>
      </w:pPr>
      <w:r>
        <w:rPr>
          <w:szCs w:val="20"/>
          <w:lang w:eastAsia="en-AU"/>
        </w:rPr>
        <w:t xml:space="preserve">In this timing mismatch, A Co and B Co enter into a </w:t>
      </w:r>
      <w:r w:rsidR="00DA324C">
        <w:rPr>
          <w:szCs w:val="20"/>
          <w:lang w:eastAsia="en-AU"/>
        </w:rPr>
        <w:t>five</w:t>
      </w:r>
      <w:r w:rsidR="004E742A">
        <w:rPr>
          <w:szCs w:val="20"/>
          <w:lang w:eastAsia="en-AU"/>
        </w:rPr>
        <w:t>-year term loan</w:t>
      </w:r>
      <w:r>
        <w:rPr>
          <w:szCs w:val="20"/>
          <w:lang w:eastAsia="en-AU"/>
        </w:rPr>
        <w:t xml:space="preserve"> where interest accrues on the loan, but is </w:t>
      </w:r>
      <w:r w:rsidR="00A10619">
        <w:rPr>
          <w:szCs w:val="20"/>
          <w:lang w:eastAsia="en-AU"/>
        </w:rPr>
        <w:t xml:space="preserve">only </w:t>
      </w:r>
      <w:r>
        <w:rPr>
          <w:szCs w:val="20"/>
          <w:lang w:eastAsia="en-AU"/>
        </w:rPr>
        <w:t>payable</w:t>
      </w:r>
      <w:r w:rsidR="00BC52A3">
        <w:rPr>
          <w:szCs w:val="20"/>
          <w:lang w:eastAsia="en-AU"/>
        </w:rPr>
        <w:t xml:space="preserve"> at maturity</w:t>
      </w:r>
      <w:r>
        <w:rPr>
          <w:szCs w:val="20"/>
          <w:lang w:eastAsia="en-AU"/>
        </w:rPr>
        <w:t xml:space="preserve"> or</w:t>
      </w:r>
      <w:r w:rsidR="004E742A">
        <w:rPr>
          <w:szCs w:val="20"/>
          <w:lang w:eastAsia="en-AU"/>
        </w:rPr>
        <w:t xml:space="preserve"> earlier</w:t>
      </w:r>
      <w:r>
        <w:rPr>
          <w:szCs w:val="20"/>
          <w:lang w:eastAsia="en-AU"/>
        </w:rPr>
        <w:t xml:space="preserve"> at the discretion of B Co</w:t>
      </w:r>
      <w:r w:rsidR="002D5667">
        <w:rPr>
          <w:szCs w:val="20"/>
          <w:lang w:eastAsia="en-AU"/>
        </w:rPr>
        <w:t xml:space="preserve">. </w:t>
      </w:r>
      <w:r w:rsidR="00BC52A3">
        <w:rPr>
          <w:szCs w:val="20"/>
          <w:lang w:eastAsia="en-AU"/>
        </w:rPr>
        <w:t xml:space="preserve">The loan </w:t>
      </w:r>
      <w:r>
        <w:rPr>
          <w:szCs w:val="20"/>
          <w:lang w:eastAsia="en-AU"/>
        </w:rPr>
        <w:t xml:space="preserve">is treated </w:t>
      </w:r>
      <w:r w:rsidR="00BC52A3">
        <w:rPr>
          <w:szCs w:val="20"/>
          <w:lang w:eastAsia="en-AU"/>
        </w:rPr>
        <w:t>as debt by both A Co and B Co</w:t>
      </w:r>
      <w:r w:rsidR="002D5667">
        <w:rPr>
          <w:szCs w:val="20"/>
          <w:lang w:eastAsia="en-AU"/>
        </w:rPr>
        <w:t xml:space="preserve">. </w:t>
      </w:r>
      <w:r w:rsidR="00A10619">
        <w:rPr>
          <w:szCs w:val="20"/>
          <w:lang w:eastAsia="en-AU"/>
        </w:rPr>
        <w:t>Interest payments on the loan are treated as deductible by B Co in the year the interest accrues but will only be treated as income by A Co when (and if) such interest is actually paid</w:t>
      </w:r>
      <w:r w:rsidR="002D5667">
        <w:rPr>
          <w:szCs w:val="20"/>
          <w:lang w:eastAsia="en-AU"/>
        </w:rPr>
        <w:t xml:space="preserve">. </w:t>
      </w:r>
      <w:r w:rsidR="00A10619">
        <w:rPr>
          <w:szCs w:val="20"/>
          <w:lang w:eastAsia="en-AU"/>
        </w:rPr>
        <w:t xml:space="preserve">This results in double non-taxation in the sense that there is a </w:t>
      </w:r>
      <w:r w:rsidR="004E742A">
        <w:rPr>
          <w:szCs w:val="20"/>
          <w:lang w:eastAsia="en-AU"/>
        </w:rPr>
        <w:t>significant</w:t>
      </w:r>
      <w:r w:rsidR="00161319">
        <w:rPr>
          <w:szCs w:val="20"/>
          <w:lang w:eastAsia="en-AU"/>
        </w:rPr>
        <w:t xml:space="preserve"> deferral</w:t>
      </w:r>
      <w:r w:rsidR="004E742A">
        <w:rPr>
          <w:szCs w:val="20"/>
          <w:lang w:eastAsia="en-AU"/>
        </w:rPr>
        <w:t xml:space="preserve"> (</w:t>
      </w:r>
      <w:r w:rsidR="00DA324C">
        <w:rPr>
          <w:szCs w:val="20"/>
          <w:lang w:eastAsia="en-AU"/>
        </w:rPr>
        <w:t>five</w:t>
      </w:r>
      <w:r w:rsidR="004E742A">
        <w:rPr>
          <w:szCs w:val="20"/>
          <w:lang w:eastAsia="en-AU"/>
        </w:rPr>
        <w:t xml:space="preserve"> years)</w:t>
      </w:r>
      <w:r w:rsidR="00161319">
        <w:rPr>
          <w:szCs w:val="20"/>
          <w:lang w:eastAsia="en-AU"/>
        </w:rPr>
        <w:t xml:space="preserve"> between when the interest is deductible to B Co and when it is assessable to A Co.</w:t>
      </w:r>
    </w:p>
    <w:p w14:paraId="21D68891" w14:textId="77777777" w:rsidR="00346C9D" w:rsidRDefault="00346C9D" w:rsidP="00A85777">
      <w:pPr>
        <w:rPr>
          <w:szCs w:val="20"/>
          <w:lang w:eastAsia="en-AU"/>
        </w:rPr>
      </w:pPr>
    </w:p>
    <w:p w14:paraId="1649FC8A" w14:textId="77777777" w:rsidR="000772C5" w:rsidRDefault="000772C5" w:rsidP="00A85777">
      <w:pPr>
        <w:rPr>
          <w:szCs w:val="20"/>
          <w:lang w:eastAsia="en-AU"/>
        </w:rPr>
      </w:pPr>
    </w:p>
    <w:p w14:paraId="3E41E79C" w14:textId="77777777" w:rsidR="00346C9D" w:rsidRPr="00F90821" w:rsidRDefault="008E7161" w:rsidP="00532DB4">
      <w:pPr>
        <w:pStyle w:val="Heading2"/>
        <w:rPr>
          <w:lang w:eastAsia="en-AU"/>
        </w:rPr>
      </w:pPr>
      <w:r>
        <w:rPr>
          <w:lang w:eastAsia="en-AU"/>
        </w:rPr>
        <w:t>Summar</w:t>
      </w:r>
      <w:r w:rsidRPr="00BC732B">
        <w:rPr>
          <w:lang w:eastAsia="en-AU"/>
        </w:rPr>
        <w:t xml:space="preserve">y </w:t>
      </w:r>
      <w:r w:rsidR="00BC732B" w:rsidRPr="00BC732B">
        <w:rPr>
          <w:szCs w:val="20"/>
          <w:lang w:eastAsia="en-AU"/>
        </w:rPr>
        <w:t>of legislative response</w:t>
      </w:r>
    </w:p>
    <w:p w14:paraId="015F29B6" w14:textId="77777777" w:rsidR="00346C9D" w:rsidRDefault="00346C9D" w:rsidP="00A85777">
      <w:pPr>
        <w:rPr>
          <w:szCs w:val="20"/>
          <w:lang w:eastAsia="en-AU"/>
        </w:rPr>
      </w:pPr>
    </w:p>
    <w:p w14:paraId="3ACFDD05" w14:textId="24573F53" w:rsidR="001510DC" w:rsidRDefault="00A85777" w:rsidP="00925A3A">
      <w:pPr>
        <w:rPr>
          <w:szCs w:val="20"/>
          <w:lang w:eastAsia="en-AU"/>
        </w:rPr>
      </w:pPr>
      <w:r>
        <w:rPr>
          <w:szCs w:val="20"/>
          <w:lang w:eastAsia="en-AU"/>
        </w:rPr>
        <w:t>S</w:t>
      </w:r>
      <w:r w:rsidRPr="00925A3A">
        <w:rPr>
          <w:szCs w:val="20"/>
          <w:lang w:eastAsia="en-AU"/>
        </w:rPr>
        <w:t>ections FH 3 and FH 4 implemen</w:t>
      </w:r>
      <w:r w:rsidR="008E7161">
        <w:rPr>
          <w:szCs w:val="20"/>
          <w:lang w:eastAsia="en-AU"/>
        </w:rPr>
        <w:t>t recommendation 1 of the OECD hybrid mismatch r</w:t>
      </w:r>
      <w:r w:rsidRPr="00925A3A">
        <w:rPr>
          <w:szCs w:val="20"/>
          <w:lang w:eastAsia="en-AU"/>
        </w:rPr>
        <w:t>eport</w:t>
      </w:r>
      <w:r w:rsidR="002D5667">
        <w:rPr>
          <w:szCs w:val="20"/>
          <w:lang w:eastAsia="en-AU"/>
        </w:rPr>
        <w:t xml:space="preserve">. </w:t>
      </w:r>
      <w:r w:rsidRPr="00925A3A">
        <w:rPr>
          <w:szCs w:val="20"/>
          <w:lang w:eastAsia="en-AU"/>
        </w:rPr>
        <w:t>They are respectively the primary and defensive rules relating to hybrid fi</w:t>
      </w:r>
      <w:r w:rsidR="008E7161">
        <w:rPr>
          <w:szCs w:val="20"/>
          <w:lang w:eastAsia="en-AU"/>
        </w:rPr>
        <w:t>nancial instruments (</w:t>
      </w:r>
      <w:r w:rsidR="001510DC">
        <w:rPr>
          <w:szCs w:val="20"/>
          <w:lang w:eastAsia="en-AU"/>
        </w:rPr>
        <w:t xml:space="preserve">which include, but are not limited to, </w:t>
      </w:r>
      <w:r w:rsidRPr="00925A3A">
        <w:rPr>
          <w:szCs w:val="20"/>
          <w:lang w:eastAsia="en-AU"/>
        </w:rPr>
        <w:t>financial arrangements plus shares).</w:t>
      </w:r>
    </w:p>
    <w:p w14:paraId="535EE19B" w14:textId="77777777" w:rsidR="001510DC" w:rsidRDefault="001510DC" w:rsidP="00925A3A">
      <w:pPr>
        <w:rPr>
          <w:szCs w:val="20"/>
          <w:lang w:eastAsia="en-AU"/>
        </w:rPr>
      </w:pPr>
    </w:p>
    <w:p w14:paraId="7A01E5F9" w14:textId="675B0F5A" w:rsidR="001510DC" w:rsidRDefault="00A85777" w:rsidP="00925A3A">
      <w:pPr>
        <w:rPr>
          <w:szCs w:val="20"/>
          <w:lang w:eastAsia="en-AU"/>
        </w:rPr>
      </w:pPr>
      <w:r w:rsidRPr="00925A3A">
        <w:rPr>
          <w:szCs w:val="20"/>
          <w:lang w:eastAsia="en-AU"/>
        </w:rPr>
        <w:t xml:space="preserve">Section FH 3 </w:t>
      </w:r>
      <w:r w:rsidR="008D666D">
        <w:rPr>
          <w:szCs w:val="20"/>
          <w:lang w:eastAsia="en-AU"/>
        </w:rPr>
        <w:t>is the primary rule and applies to inbound investment to deny a New Zealand</w:t>
      </w:r>
      <w:r w:rsidR="00B51480">
        <w:rPr>
          <w:szCs w:val="20"/>
          <w:lang w:eastAsia="en-AU"/>
        </w:rPr>
        <w:t xml:space="preserve"> income</w:t>
      </w:r>
      <w:r w:rsidR="008D666D">
        <w:rPr>
          <w:szCs w:val="20"/>
          <w:lang w:eastAsia="en-AU"/>
        </w:rPr>
        <w:t xml:space="preserve"> tax deduction for a payment under a hybrid financial instrument</w:t>
      </w:r>
      <w:r w:rsidR="009D0970">
        <w:rPr>
          <w:szCs w:val="20"/>
          <w:lang w:eastAsia="en-AU"/>
        </w:rPr>
        <w:t xml:space="preserve"> taking into account the extent to which it is subject to tax in the payee </w:t>
      </w:r>
      <w:r w:rsidR="00DD3640">
        <w:rPr>
          <w:szCs w:val="20"/>
          <w:lang w:eastAsia="en-AU"/>
        </w:rPr>
        <w:t>country</w:t>
      </w:r>
      <w:r w:rsidR="009D0970">
        <w:rPr>
          <w:szCs w:val="20"/>
          <w:lang w:eastAsia="en-AU"/>
        </w:rPr>
        <w:t>.</w:t>
      </w:r>
    </w:p>
    <w:p w14:paraId="35E08C86" w14:textId="77777777" w:rsidR="001510DC" w:rsidRDefault="001510DC" w:rsidP="00925A3A">
      <w:pPr>
        <w:rPr>
          <w:szCs w:val="20"/>
          <w:lang w:eastAsia="en-AU"/>
        </w:rPr>
      </w:pPr>
    </w:p>
    <w:p w14:paraId="027BCF51" w14:textId="22FD4ED5" w:rsidR="00B51480" w:rsidRDefault="00A85777" w:rsidP="00925A3A">
      <w:pPr>
        <w:rPr>
          <w:szCs w:val="20"/>
          <w:lang w:eastAsia="en-AU"/>
        </w:rPr>
      </w:pPr>
      <w:r w:rsidRPr="00925A3A">
        <w:rPr>
          <w:szCs w:val="20"/>
          <w:lang w:eastAsia="en-AU"/>
        </w:rPr>
        <w:t xml:space="preserve">Section FH 4 </w:t>
      </w:r>
      <w:r w:rsidR="008D666D">
        <w:rPr>
          <w:szCs w:val="20"/>
          <w:lang w:eastAsia="en-AU"/>
        </w:rPr>
        <w:t xml:space="preserve">is the defensive rule </w:t>
      </w:r>
      <w:r w:rsidR="0008416C">
        <w:rPr>
          <w:szCs w:val="20"/>
          <w:lang w:eastAsia="en-AU"/>
        </w:rPr>
        <w:t xml:space="preserve">and </w:t>
      </w:r>
      <w:r w:rsidR="00FD780E">
        <w:rPr>
          <w:szCs w:val="20"/>
          <w:lang w:eastAsia="en-AU"/>
        </w:rPr>
        <w:t>ap</w:t>
      </w:r>
      <w:r w:rsidR="0008416C">
        <w:rPr>
          <w:szCs w:val="20"/>
          <w:lang w:eastAsia="en-AU"/>
        </w:rPr>
        <w:t>plies to outbound investment to</w:t>
      </w:r>
      <w:r w:rsidR="00FD780E">
        <w:rPr>
          <w:szCs w:val="20"/>
          <w:lang w:eastAsia="en-AU"/>
        </w:rPr>
        <w:t xml:space="preserve"> </w:t>
      </w:r>
      <w:r w:rsidRPr="00925A3A">
        <w:rPr>
          <w:szCs w:val="20"/>
          <w:lang w:eastAsia="en-AU"/>
        </w:rPr>
        <w:t xml:space="preserve">tax a payment under a hybrid financial instrument </w:t>
      </w:r>
      <w:r w:rsidR="009D0970">
        <w:rPr>
          <w:szCs w:val="20"/>
          <w:lang w:eastAsia="en-AU"/>
        </w:rPr>
        <w:t xml:space="preserve">in New Zealand taking into account the extent to which it is deductible in the payer </w:t>
      </w:r>
      <w:r w:rsidR="00DD3640">
        <w:rPr>
          <w:szCs w:val="20"/>
          <w:lang w:eastAsia="en-AU"/>
        </w:rPr>
        <w:t>country</w:t>
      </w:r>
      <w:r w:rsidR="002D5667">
        <w:rPr>
          <w:szCs w:val="20"/>
          <w:lang w:eastAsia="en-AU"/>
        </w:rPr>
        <w:t xml:space="preserve">. </w:t>
      </w:r>
      <w:r w:rsidR="00F37239">
        <w:rPr>
          <w:szCs w:val="20"/>
          <w:lang w:eastAsia="en-AU"/>
        </w:rPr>
        <w:t xml:space="preserve">Section FH 4 </w:t>
      </w:r>
      <w:r w:rsidR="00B51480">
        <w:rPr>
          <w:szCs w:val="20"/>
          <w:lang w:eastAsia="en-AU"/>
        </w:rPr>
        <w:t>is expected to</w:t>
      </w:r>
      <w:r w:rsidR="00FD780E">
        <w:rPr>
          <w:szCs w:val="20"/>
          <w:lang w:eastAsia="en-AU"/>
        </w:rPr>
        <w:t xml:space="preserve"> have limited application in New Zealand as deductible payments under a</w:t>
      </w:r>
      <w:r w:rsidR="00F37239">
        <w:rPr>
          <w:szCs w:val="20"/>
          <w:lang w:eastAsia="en-AU"/>
        </w:rPr>
        <w:t xml:space="preserve"> hybrid financial instrument would not qualify as exempt foreign dividends </w:t>
      </w:r>
      <w:r w:rsidR="00FD780E">
        <w:rPr>
          <w:szCs w:val="20"/>
          <w:lang w:eastAsia="en-AU"/>
        </w:rPr>
        <w:t>under existing section CW 9.</w:t>
      </w:r>
    </w:p>
    <w:p w14:paraId="6FEF120B" w14:textId="0792F127" w:rsidR="000E6CEA" w:rsidRDefault="000E6CEA" w:rsidP="00925A3A">
      <w:pPr>
        <w:rPr>
          <w:szCs w:val="20"/>
          <w:lang w:eastAsia="en-AU"/>
        </w:rPr>
      </w:pPr>
    </w:p>
    <w:p w14:paraId="2B3A17BF" w14:textId="0AB7E24D" w:rsidR="000E6CEA" w:rsidRDefault="000E6CEA" w:rsidP="00925A3A">
      <w:pPr>
        <w:rPr>
          <w:szCs w:val="20"/>
          <w:lang w:eastAsia="en-AU"/>
        </w:rPr>
      </w:pPr>
      <w:r>
        <w:rPr>
          <w:szCs w:val="20"/>
          <w:lang w:eastAsia="en-AU"/>
        </w:rPr>
        <w:t>The definition of “deductible foreign equity distribution” has also been amended in section YA 1.</w:t>
      </w:r>
    </w:p>
    <w:p w14:paraId="2CA87845" w14:textId="3443BF3A" w:rsidR="00182C4D" w:rsidRDefault="00182C4D" w:rsidP="00532DB4">
      <w:pPr>
        <w:rPr>
          <w:lang w:eastAsia="en-AU"/>
        </w:rPr>
      </w:pPr>
      <w:bookmarkStart w:id="4" w:name="_Toc530544840"/>
    </w:p>
    <w:p w14:paraId="2F69E930" w14:textId="77777777" w:rsidR="000772C5" w:rsidRDefault="000772C5" w:rsidP="00532DB4">
      <w:pPr>
        <w:rPr>
          <w:lang w:eastAsia="en-AU"/>
        </w:rPr>
      </w:pPr>
    </w:p>
    <w:p w14:paraId="7568A7A4" w14:textId="77777777" w:rsidR="006F2A96" w:rsidRDefault="006F2A96">
      <w:pPr>
        <w:jc w:val="left"/>
        <w:rPr>
          <w:b/>
          <w:szCs w:val="20"/>
          <w:lang w:eastAsia="en-AU"/>
        </w:rPr>
      </w:pPr>
      <w:r>
        <w:rPr>
          <w:b/>
          <w:szCs w:val="20"/>
          <w:lang w:eastAsia="en-AU"/>
        </w:rPr>
        <w:br w:type="page"/>
      </w:r>
    </w:p>
    <w:p w14:paraId="561AB473" w14:textId="02C908F1" w:rsidR="00925A3A" w:rsidRPr="00925A3A" w:rsidRDefault="00925A3A" w:rsidP="00925A3A">
      <w:pPr>
        <w:keepNext/>
        <w:outlineLvl w:val="1"/>
        <w:rPr>
          <w:b/>
          <w:szCs w:val="20"/>
          <w:lang w:eastAsia="en-AU"/>
        </w:rPr>
      </w:pPr>
      <w:r w:rsidRPr="00925A3A">
        <w:rPr>
          <w:b/>
          <w:szCs w:val="20"/>
          <w:lang w:eastAsia="en-AU"/>
        </w:rPr>
        <w:lastRenderedPageBreak/>
        <w:t>Application date</w:t>
      </w:r>
      <w:bookmarkEnd w:id="4"/>
    </w:p>
    <w:p w14:paraId="59898142" w14:textId="77777777" w:rsidR="00925A3A" w:rsidRPr="00925A3A" w:rsidRDefault="00925A3A" w:rsidP="00925A3A">
      <w:pPr>
        <w:rPr>
          <w:szCs w:val="20"/>
          <w:lang w:eastAsia="en-AU"/>
        </w:rPr>
      </w:pPr>
    </w:p>
    <w:p w14:paraId="0B30A6E2" w14:textId="17B9EB50" w:rsidR="00925A3A" w:rsidRDefault="00DA675F" w:rsidP="00925A3A">
      <w:pPr>
        <w:rPr>
          <w:szCs w:val="20"/>
          <w:lang w:eastAsia="en-AU"/>
        </w:rPr>
      </w:pPr>
      <w:r>
        <w:rPr>
          <w:szCs w:val="20"/>
          <w:lang w:eastAsia="en-AU"/>
        </w:rPr>
        <w:t>Sections FH 3 and 4</w:t>
      </w:r>
      <w:r w:rsidR="00925A3A" w:rsidRPr="00925A3A">
        <w:rPr>
          <w:szCs w:val="20"/>
          <w:lang w:eastAsia="en-AU"/>
        </w:rPr>
        <w:t xml:space="preserve"> apply for income years beginning on or </w:t>
      </w:r>
      <w:r>
        <w:rPr>
          <w:szCs w:val="20"/>
          <w:lang w:eastAsia="en-AU"/>
        </w:rPr>
        <w:t>after 1 July 2018</w:t>
      </w:r>
      <w:r w:rsidR="002D5667">
        <w:rPr>
          <w:szCs w:val="20"/>
          <w:lang w:eastAsia="en-AU"/>
        </w:rPr>
        <w:t xml:space="preserve">. </w:t>
      </w:r>
      <w:r w:rsidR="00925A3A" w:rsidRPr="00925A3A">
        <w:rPr>
          <w:szCs w:val="20"/>
          <w:lang w:eastAsia="en-AU"/>
        </w:rPr>
        <w:t>This means that section FH 3 applies to payments for which deductions are claimed in that income year or subsequently</w:t>
      </w:r>
      <w:r w:rsidR="002D5667">
        <w:rPr>
          <w:szCs w:val="20"/>
          <w:lang w:eastAsia="en-AU"/>
        </w:rPr>
        <w:t xml:space="preserve">. </w:t>
      </w:r>
      <w:r w:rsidR="00925A3A" w:rsidRPr="00925A3A">
        <w:rPr>
          <w:szCs w:val="20"/>
          <w:lang w:eastAsia="en-AU"/>
        </w:rPr>
        <w:t>The date on which the payment giving rise to the deduction is paid is not relevant</w:t>
      </w:r>
      <w:r w:rsidR="002D5667">
        <w:rPr>
          <w:szCs w:val="20"/>
          <w:lang w:eastAsia="en-AU"/>
        </w:rPr>
        <w:t xml:space="preserve">. </w:t>
      </w:r>
      <w:r w:rsidR="00925A3A" w:rsidRPr="00925A3A">
        <w:rPr>
          <w:szCs w:val="20"/>
          <w:lang w:eastAsia="en-AU"/>
        </w:rPr>
        <w:t>Section FH 4 on the other hand applies only to payments received on or after the start of a person’s income year</w:t>
      </w:r>
      <w:r w:rsidR="006355F6">
        <w:rPr>
          <w:szCs w:val="20"/>
          <w:lang w:eastAsia="en-AU"/>
        </w:rPr>
        <w:t xml:space="preserve"> beginning on or after 1 July 2018</w:t>
      </w:r>
      <w:r w:rsidR="00925A3A" w:rsidRPr="00925A3A">
        <w:rPr>
          <w:szCs w:val="20"/>
          <w:lang w:eastAsia="en-AU"/>
        </w:rPr>
        <w:t>.</w:t>
      </w:r>
    </w:p>
    <w:p w14:paraId="647EE0C6" w14:textId="77777777" w:rsidR="00DA675F" w:rsidRDefault="00DA675F" w:rsidP="00925A3A">
      <w:pPr>
        <w:rPr>
          <w:szCs w:val="20"/>
          <w:lang w:eastAsia="en-AU"/>
        </w:rPr>
      </w:pPr>
    </w:p>
    <w:p w14:paraId="7282005E" w14:textId="55DA30FE" w:rsidR="00925A3A" w:rsidRPr="00925A3A" w:rsidRDefault="00DA675F" w:rsidP="00925A3A">
      <w:pPr>
        <w:rPr>
          <w:szCs w:val="20"/>
          <w:lang w:eastAsia="en-AU"/>
        </w:rPr>
      </w:pPr>
      <w:r>
        <w:t>The</w:t>
      </w:r>
      <w:r w:rsidR="00DD3640">
        <w:t>re is an</w:t>
      </w:r>
      <w:r>
        <w:t xml:space="preserve"> exception </w:t>
      </w:r>
      <w:r w:rsidR="00DD3640">
        <w:t>to section FH 3</w:t>
      </w:r>
      <w:r>
        <w:t xml:space="preserve"> </w:t>
      </w:r>
      <w:r w:rsidR="0051102E">
        <w:t xml:space="preserve">for </w:t>
      </w:r>
      <w:r>
        <w:t xml:space="preserve">banking and insurance regulatory capital entered into on or before 6 September 2016 (the date the Government discussion document </w:t>
      </w:r>
      <w:r w:rsidRPr="00945A7C">
        <w:rPr>
          <w:i/>
        </w:rPr>
        <w:t>Addressing hybrid mismatch arrangements</w:t>
      </w:r>
      <w:r w:rsidR="0051102E">
        <w:t xml:space="preserve"> was released)</w:t>
      </w:r>
      <w:r w:rsidR="002D5667">
        <w:t xml:space="preserve">. </w:t>
      </w:r>
      <w:r w:rsidR="0051102E">
        <w:t>Such</w:t>
      </w:r>
      <w:r>
        <w:t xml:space="preserve"> regulatory capital </w:t>
      </w:r>
      <w:r w:rsidR="006355F6">
        <w:t>is</w:t>
      </w:r>
      <w:r>
        <w:t xml:space="preserve"> grand</w:t>
      </w:r>
      <w:r w:rsidR="00811E97">
        <w:t>-</w:t>
      </w:r>
      <w:r>
        <w:t xml:space="preserve">parented until the first date on which the </w:t>
      </w:r>
      <w:r w:rsidR="00DD3640">
        <w:t>issuer</w:t>
      </w:r>
      <w:r>
        <w:t xml:space="preserve"> has an unconditional right to call or otherwise cancel the financial instrument without penalty.</w:t>
      </w:r>
    </w:p>
    <w:p w14:paraId="0054FA55" w14:textId="77777777" w:rsidR="00182C4D" w:rsidRDefault="00182C4D" w:rsidP="00532DB4">
      <w:pPr>
        <w:rPr>
          <w:lang w:eastAsia="en-AU"/>
        </w:rPr>
      </w:pPr>
      <w:bookmarkStart w:id="5" w:name="_Toc521380845"/>
      <w:bookmarkStart w:id="6" w:name="_Toc530544843"/>
    </w:p>
    <w:p w14:paraId="57143CCF" w14:textId="77777777" w:rsidR="00182C4D" w:rsidRDefault="00182C4D" w:rsidP="00532DB4">
      <w:pPr>
        <w:rPr>
          <w:lang w:eastAsia="en-AU"/>
        </w:rPr>
      </w:pPr>
    </w:p>
    <w:p w14:paraId="3E6DB84D" w14:textId="77777777" w:rsidR="00925A3A" w:rsidRPr="00925A3A" w:rsidRDefault="00925A3A" w:rsidP="00925A3A">
      <w:pPr>
        <w:keepNext/>
        <w:outlineLvl w:val="1"/>
        <w:rPr>
          <w:b/>
          <w:szCs w:val="20"/>
          <w:lang w:eastAsia="en-AU"/>
        </w:rPr>
      </w:pPr>
      <w:r w:rsidRPr="00925A3A">
        <w:rPr>
          <w:b/>
          <w:szCs w:val="20"/>
          <w:lang w:eastAsia="en-AU"/>
        </w:rPr>
        <w:t>Detailed analysis</w:t>
      </w:r>
      <w:bookmarkEnd w:id="5"/>
      <w:bookmarkEnd w:id="6"/>
    </w:p>
    <w:p w14:paraId="124447CE" w14:textId="77777777" w:rsidR="00925A3A" w:rsidRPr="00925A3A" w:rsidRDefault="00925A3A" w:rsidP="00925A3A">
      <w:pPr>
        <w:rPr>
          <w:szCs w:val="20"/>
          <w:lang w:eastAsia="en-AU"/>
        </w:rPr>
      </w:pPr>
    </w:p>
    <w:p w14:paraId="6083578A" w14:textId="77777777" w:rsidR="00925A3A" w:rsidRPr="00925A3A" w:rsidRDefault="00925A3A" w:rsidP="00925A3A">
      <w:pPr>
        <w:keepNext/>
        <w:outlineLvl w:val="2"/>
        <w:rPr>
          <w:b/>
          <w:i/>
          <w:szCs w:val="20"/>
          <w:lang w:eastAsia="en-AU"/>
        </w:rPr>
      </w:pPr>
      <w:r w:rsidRPr="00925A3A">
        <w:rPr>
          <w:b/>
          <w:i/>
          <w:szCs w:val="20"/>
          <w:lang w:eastAsia="en-AU"/>
        </w:rPr>
        <w:t>Section FH 3</w:t>
      </w:r>
      <w:r w:rsidR="00A8140F">
        <w:rPr>
          <w:b/>
          <w:i/>
          <w:szCs w:val="20"/>
          <w:lang w:eastAsia="en-AU"/>
        </w:rPr>
        <w:t xml:space="preserve"> – primary rule</w:t>
      </w:r>
    </w:p>
    <w:p w14:paraId="29C241B2" w14:textId="77777777" w:rsidR="00925A3A" w:rsidRPr="00925A3A" w:rsidRDefault="00925A3A" w:rsidP="00925A3A">
      <w:pPr>
        <w:rPr>
          <w:szCs w:val="20"/>
          <w:lang w:eastAsia="en-AU"/>
        </w:rPr>
      </w:pPr>
    </w:p>
    <w:p w14:paraId="1C5F071C" w14:textId="5BD4BC22" w:rsidR="00925A3A" w:rsidRPr="00925A3A" w:rsidRDefault="00927421" w:rsidP="00925A3A">
      <w:pPr>
        <w:rPr>
          <w:szCs w:val="20"/>
          <w:lang w:eastAsia="en-AU"/>
        </w:rPr>
      </w:pPr>
      <w:r>
        <w:rPr>
          <w:szCs w:val="20"/>
          <w:lang w:eastAsia="en-AU"/>
        </w:rPr>
        <w:t>Section FH 3 is the primary rule of recommendation 1 of the OECD hybrid mismatch report</w:t>
      </w:r>
      <w:r w:rsidR="002D5667">
        <w:rPr>
          <w:szCs w:val="20"/>
          <w:lang w:eastAsia="en-AU"/>
        </w:rPr>
        <w:t xml:space="preserve">. </w:t>
      </w:r>
      <w:r w:rsidR="000E6CEA">
        <w:rPr>
          <w:szCs w:val="20"/>
          <w:lang w:eastAsia="en-AU"/>
        </w:rPr>
        <w:t xml:space="preserve">It applies with priority over the defensive rules of foreign countries. </w:t>
      </w:r>
      <w:r w:rsidR="00182C4D">
        <w:rPr>
          <w:szCs w:val="20"/>
          <w:lang w:eastAsia="en-AU"/>
        </w:rPr>
        <w:t xml:space="preserve">It </w:t>
      </w:r>
      <w:r w:rsidR="002E00E9">
        <w:rPr>
          <w:szCs w:val="20"/>
          <w:lang w:eastAsia="en-AU"/>
        </w:rPr>
        <w:t xml:space="preserve">applies when a person </w:t>
      </w:r>
      <w:r w:rsidR="00925A3A" w:rsidRPr="00925A3A">
        <w:rPr>
          <w:szCs w:val="20"/>
          <w:lang w:eastAsia="en-AU"/>
        </w:rPr>
        <w:t xml:space="preserve">is </w:t>
      </w:r>
      <w:r w:rsidR="002E00E9">
        <w:rPr>
          <w:szCs w:val="20"/>
          <w:lang w:eastAsia="en-AU"/>
        </w:rPr>
        <w:t xml:space="preserve">a </w:t>
      </w:r>
      <w:r w:rsidR="00925A3A" w:rsidRPr="00925A3A">
        <w:rPr>
          <w:szCs w:val="20"/>
          <w:lang w:eastAsia="en-AU"/>
        </w:rPr>
        <w:t xml:space="preserve">party to a financial instrument </w:t>
      </w:r>
      <w:r w:rsidR="0051102E">
        <w:rPr>
          <w:szCs w:val="20"/>
          <w:lang w:eastAsia="en-AU"/>
        </w:rPr>
        <w:t>under which the person makes a payment</w:t>
      </w:r>
      <w:r w:rsidR="00925A3A" w:rsidRPr="00925A3A">
        <w:rPr>
          <w:szCs w:val="20"/>
          <w:lang w:eastAsia="en-AU"/>
        </w:rPr>
        <w:t xml:space="preserve"> if:</w:t>
      </w:r>
    </w:p>
    <w:p w14:paraId="04A06E8E" w14:textId="77777777" w:rsidR="00925A3A" w:rsidRPr="00925A3A" w:rsidRDefault="00925A3A" w:rsidP="00925A3A">
      <w:pPr>
        <w:rPr>
          <w:szCs w:val="20"/>
          <w:lang w:eastAsia="en-AU"/>
        </w:rPr>
      </w:pPr>
    </w:p>
    <w:p w14:paraId="19BDE59A" w14:textId="0B9F32A9" w:rsidR="002E00E9" w:rsidRPr="002E00E9" w:rsidRDefault="004A409D" w:rsidP="000772C5">
      <w:pPr>
        <w:pStyle w:val="Bullets"/>
      </w:pPr>
      <w:r>
        <w:t>the person inc</w:t>
      </w:r>
      <w:r w:rsidR="002E00E9">
        <w:t xml:space="preserve">urs in an income year </w:t>
      </w:r>
      <w:r w:rsidR="0017290D">
        <w:t xml:space="preserve">expenditure </w:t>
      </w:r>
      <w:r w:rsidRPr="002E00E9">
        <w:t xml:space="preserve">that relates to the financial instrument and does not </w:t>
      </w:r>
      <w:r w:rsidR="009E7CBF" w:rsidRPr="002E00E9">
        <w:t xml:space="preserve">arise </w:t>
      </w:r>
      <w:r w:rsidR="0017290D">
        <w:t xml:space="preserve">solely </w:t>
      </w:r>
      <w:r w:rsidRPr="002E00E9">
        <w:t>from a foreign</w:t>
      </w:r>
      <w:r w:rsidR="00D6773F">
        <w:t xml:space="preserve"> exchange fluctuation;</w:t>
      </w:r>
    </w:p>
    <w:p w14:paraId="251DF846" w14:textId="70CE31E5" w:rsidR="004A409D" w:rsidRDefault="002E00E9" w:rsidP="000772C5">
      <w:pPr>
        <w:pStyle w:val="Bullets"/>
      </w:pPr>
      <w:r>
        <w:t>the expenditure is deductible (in the absence of the hybrid mismatch rules);</w:t>
      </w:r>
    </w:p>
    <w:p w14:paraId="09CA592B" w14:textId="09585875" w:rsidR="00925A3A" w:rsidRPr="00925A3A" w:rsidRDefault="00925A3A" w:rsidP="000772C5">
      <w:pPr>
        <w:pStyle w:val="Bullets"/>
      </w:pPr>
      <w:r w:rsidRPr="00925A3A">
        <w:t xml:space="preserve">the tax law of a country outside New Zealand treats the payment </w:t>
      </w:r>
      <w:r w:rsidR="004A409D">
        <w:t xml:space="preserve">when made </w:t>
      </w:r>
      <w:r w:rsidRPr="00925A3A">
        <w:t>as received by a person in that country (who may be a resident of that country or a non-resident carrying on business there)</w:t>
      </w:r>
      <w:r w:rsidR="002D5667">
        <w:t xml:space="preserve">. </w:t>
      </w:r>
      <w:r w:rsidRPr="00925A3A">
        <w:t xml:space="preserve">It </w:t>
      </w:r>
      <w:r w:rsidR="0017290D">
        <w:t>does</w:t>
      </w:r>
      <w:r w:rsidRPr="00925A3A">
        <w:t xml:space="preserve"> not matter </w:t>
      </w:r>
      <w:r w:rsidR="0017290D">
        <w:t>if</w:t>
      </w:r>
      <w:r w:rsidRPr="00925A3A">
        <w:t xml:space="preserve"> the other country will not treat the payment as received until a later year than the year in which the deduction </w:t>
      </w:r>
      <w:r w:rsidR="0017290D">
        <w:t>arises in New Zealand</w:t>
      </w:r>
      <w:r w:rsidRPr="00925A3A">
        <w:t>;</w:t>
      </w:r>
    </w:p>
    <w:p w14:paraId="32CB81E4" w14:textId="554CD09D" w:rsidR="00925A3A" w:rsidRPr="00925A3A" w:rsidRDefault="00925A3A" w:rsidP="000772C5">
      <w:pPr>
        <w:pStyle w:val="Bullets"/>
      </w:pPr>
      <w:r w:rsidRPr="00925A3A">
        <w:t>the financial instrument is or is part of a structured arrangement or the payer and payee are related;</w:t>
      </w:r>
      <w:r w:rsidR="00FE33CE">
        <w:t xml:space="preserve"> and</w:t>
      </w:r>
    </w:p>
    <w:p w14:paraId="4442D54E" w14:textId="28817EA7" w:rsidR="00925A3A" w:rsidRPr="00925A3A" w:rsidRDefault="00925A3A" w:rsidP="000772C5">
      <w:pPr>
        <w:pStyle w:val="Bullets"/>
        <w:spacing w:after="0"/>
      </w:pPr>
      <w:r w:rsidRPr="00925A3A">
        <w:t>the tax treatment of the payee in its country meets either subsection (2) or subsection (3)</w:t>
      </w:r>
      <w:r w:rsidR="002D5667">
        <w:t xml:space="preserve">. </w:t>
      </w:r>
      <w:r w:rsidR="00167F30">
        <w:t>Subsection (2) relates to character mismatches and subsection (3) relates to timing mismatches.</w:t>
      </w:r>
    </w:p>
    <w:p w14:paraId="52FDE422" w14:textId="77777777" w:rsidR="00925A3A" w:rsidRDefault="00925A3A" w:rsidP="00925A3A">
      <w:pPr>
        <w:rPr>
          <w:szCs w:val="20"/>
          <w:lang w:eastAsia="en-AU"/>
        </w:rPr>
      </w:pPr>
    </w:p>
    <w:p w14:paraId="4AF43138" w14:textId="77777777" w:rsidR="006F2A96" w:rsidRDefault="006F2A96" w:rsidP="00925A3A">
      <w:pPr>
        <w:rPr>
          <w:szCs w:val="20"/>
          <w:lang w:eastAsia="en-AU"/>
        </w:rPr>
      </w:pPr>
    </w:p>
    <w:p w14:paraId="7125BB2C" w14:textId="4C72879A" w:rsidR="00F57FBD" w:rsidRPr="00925A3A" w:rsidRDefault="00F57FBD" w:rsidP="00F57FBD">
      <w:pPr>
        <w:pBdr>
          <w:top w:val="single" w:sz="4" w:space="10" w:color="auto"/>
          <w:left w:val="single" w:sz="4" w:space="10" w:color="auto"/>
          <w:bottom w:val="single" w:sz="4" w:space="10" w:color="auto"/>
          <w:right w:val="single" w:sz="4" w:space="10" w:color="auto"/>
        </w:pBdr>
        <w:rPr>
          <w:b/>
          <w:sz w:val="20"/>
          <w:szCs w:val="20"/>
          <w:lang w:eastAsia="en-AU"/>
        </w:rPr>
      </w:pPr>
      <w:r>
        <w:rPr>
          <w:b/>
          <w:sz w:val="20"/>
          <w:szCs w:val="20"/>
          <w:lang w:eastAsia="en-AU"/>
        </w:rPr>
        <w:t>Example</w:t>
      </w:r>
      <w:r w:rsidR="006B6A41">
        <w:rPr>
          <w:b/>
          <w:sz w:val="20"/>
          <w:szCs w:val="20"/>
          <w:lang w:eastAsia="en-AU"/>
        </w:rPr>
        <w:t xml:space="preserve"> </w:t>
      </w:r>
      <w:r w:rsidR="007A382F">
        <w:rPr>
          <w:b/>
          <w:sz w:val="20"/>
          <w:szCs w:val="20"/>
          <w:lang w:eastAsia="en-AU"/>
        </w:rPr>
        <w:t>6</w:t>
      </w:r>
      <w:r w:rsidR="00824EF8">
        <w:rPr>
          <w:b/>
          <w:sz w:val="20"/>
          <w:szCs w:val="20"/>
          <w:lang w:eastAsia="en-AU"/>
        </w:rPr>
        <w:t>: N</w:t>
      </w:r>
      <w:r>
        <w:rPr>
          <w:b/>
          <w:sz w:val="20"/>
          <w:szCs w:val="20"/>
          <w:lang w:eastAsia="en-AU"/>
        </w:rPr>
        <w:t>o mismatch with respect to measurement of foreign exchange differences</w:t>
      </w:r>
    </w:p>
    <w:p w14:paraId="4F8A8A7C" w14:textId="77777777" w:rsidR="00F57FBD" w:rsidRDefault="00F57FBD" w:rsidP="00F57FBD">
      <w:pPr>
        <w:pBdr>
          <w:top w:val="single" w:sz="4" w:space="10" w:color="auto"/>
          <w:left w:val="single" w:sz="4" w:space="10" w:color="auto"/>
          <w:bottom w:val="single" w:sz="4" w:space="10" w:color="auto"/>
          <w:right w:val="single" w:sz="4" w:space="10" w:color="auto"/>
        </w:pBdr>
        <w:rPr>
          <w:sz w:val="20"/>
          <w:szCs w:val="20"/>
          <w:lang w:eastAsia="en-AU"/>
        </w:rPr>
      </w:pPr>
    </w:p>
    <w:p w14:paraId="5054349F" w14:textId="438A4547" w:rsidR="00F57FBD" w:rsidRDefault="00C371F6" w:rsidP="00F57FBD">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Falcon</w:t>
      </w:r>
      <w:r w:rsidR="00F57FBD">
        <w:rPr>
          <w:sz w:val="20"/>
          <w:szCs w:val="20"/>
          <w:lang w:eastAsia="en-AU"/>
        </w:rPr>
        <w:t xml:space="preserve"> Co (a company resident in Country F) owns all the shares in </w:t>
      </w:r>
      <w:r w:rsidR="00586434">
        <w:rPr>
          <w:sz w:val="20"/>
          <w:szCs w:val="20"/>
          <w:lang w:eastAsia="en-AU"/>
        </w:rPr>
        <w:t>Kiwi</w:t>
      </w:r>
      <w:r w:rsidR="00F57FBD">
        <w:rPr>
          <w:sz w:val="20"/>
          <w:szCs w:val="20"/>
          <w:lang w:eastAsia="en-AU"/>
        </w:rPr>
        <w:t xml:space="preserve"> Co (a company resident in </w:t>
      </w:r>
      <w:r>
        <w:rPr>
          <w:sz w:val="20"/>
          <w:szCs w:val="20"/>
          <w:lang w:eastAsia="en-AU"/>
        </w:rPr>
        <w:t>New Zealand</w:t>
      </w:r>
      <w:r w:rsidR="00F57FBD">
        <w:rPr>
          <w:sz w:val="20"/>
          <w:szCs w:val="20"/>
          <w:lang w:eastAsia="en-AU"/>
        </w:rPr>
        <w:t>)</w:t>
      </w:r>
      <w:r w:rsidR="002D5667">
        <w:rPr>
          <w:sz w:val="20"/>
          <w:szCs w:val="20"/>
          <w:lang w:eastAsia="en-AU"/>
        </w:rPr>
        <w:t xml:space="preserve">. </w:t>
      </w:r>
      <w:r>
        <w:rPr>
          <w:sz w:val="20"/>
          <w:szCs w:val="20"/>
          <w:lang w:eastAsia="en-AU"/>
        </w:rPr>
        <w:t>Falcon</w:t>
      </w:r>
      <w:r w:rsidR="00F57FBD">
        <w:rPr>
          <w:sz w:val="20"/>
          <w:szCs w:val="20"/>
          <w:lang w:eastAsia="en-AU"/>
        </w:rPr>
        <w:t xml:space="preserve"> Co provides </w:t>
      </w:r>
      <w:r>
        <w:rPr>
          <w:sz w:val="20"/>
          <w:szCs w:val="20"/>
          <w:lang w:eastAsia="en-AU"/>
        </w:rPr>
        <w:t>Kiwi</w:t>
      </w:r>
      <w:r w:rsidR="00F57FBD">
        <w:rPr>
          <w:sz w:val="20"/>
          <w:szCs w:val="20"/>
          <w:lang w:eastAsia="en-AU"/>
        </w:rPr>
        <w:t xml:space="preserve"> Co with an ordinary loan</w:t>
      </w:r>
      <w:r w:rsidR="0017290D">
        <w:rPr>
          <w:sz w:val="20"/>
          <w:szCs w:val="20"/>
          <w:lang w:eastAsia="en-AU"/>
        </w:rPr>
        <w:t xml:space="preserve"> denominated in F$ (FD)</w:t>
      </w:r>
      <w:r w:rsidR="002D5667">
        <w:rPr>
          <w:sz w:val="20"/>
          <w:szCs w:val="20"/>
          <w:lang w:eastAsia="en-AU"/>
        </w:rPr>
        <w:t xml:space="preserve">. </w:t>
      </w:r>
      <w:r w:rsidR="00F57FBD">
        <w:rPr>
          <w:sz w:val="20"/>
          <w:szCs w:val="20"/>
          <w:lang w:eastAsia="en-AU"/>
        </w:rPr>
        <w:t>Interest on the loan is payable annually in arrears at a market rate and the principal on the loan is payable at maturity</w:t>
      </w:r>
      <w:r w:rsidR="002D5667">
        <w:rPr>
          <w:sz w:val="20"/>
          <w:szCs w:val="20"/>
          <w:lang w:eastAsia="en-AU"/>
        </w:rPr>
        <w:t xml:space="preserve">. </w:t>
      </w:r>
      <w:r w:rsidR="00F57FBD">
        <w:rPr>
          <w:sz w:val="20"/>
          <w:szCs w:val="20"/>
          <w:lang w:eastAsia="en-AU"/>
        </w:rPr>
        <w:t xml:space="preserve">The loan is treated as a debt instrument under the laws of both </w:t>
      </w:r>
      <w:r>
        <w:rPr>
          <w:sz w:val="20"/>
          <w:szCs w:val="20"/>
          <w:lang w:eastAsia="en-AU"/>
        </w:rPr>
        <w:t>Country F</w:t>
      </w:r>
      <w:r w:rsidR="00F57FBD">
        <w:rPr>
          <w:sz w:val="20"/>
          <w:szCs w:val="20"/>
          <w:lang w:eastAsia="en-AU"/>
        </w:rPr>
        <w:t xml:space="preserve"> and </w:t>
      </w:r>
      <w:r>
        <w:rPr>
          <w:sz w:val="20"/>
          <w:szCs w:val="20"/>
          <w:lang w:eastAsia="en-AU"/>
        </w:rPr>
        <w:t>New Zealand</w:t>
      </w:r>
      <w:r w:rsidR="00F57FBD">
        <w:rPr>
          <w:sz w:val="20"/>
          <w:szCs w:val="20"/>
          <w:lang w:eastAsia="en-AU"/>
        </w:rPr>
        <w:t xml:space="preserve"> and the countries take a consistent position on the characterisation of the payments made under the loan</w:t>
      </w:r>
      <w:r w:rsidR="002D5667">
        <w:rPr>
          <w:sz w:val="20"/>
          <w:szCs w:val="20"/>
          <w:lang w:eastAsia="en-AU"/>
        </w:rPr>
        <w:t xml:space="preserve">. </w:t>
      </w:r>
      <w:r w:rsidR="00F57FBD">
        <w:rPr>
          <w:sz w:val="20"/>
          <w:szCs w:val="20"/>
          <w:lang w:eastAsia="en-AU"/>
        </w:rPr>
        <w:t xml:space="preserve">The interest payable on the loan is deductible in </w:t>
      </w:r>
      <w:r>
        <w:rPr>
          <w:sz w:val="20"/>
          <w:szCs w:val="20"/>
          <w:lang w:eastAsia="en-AU"/>
        </w:rPr>
        <w:t>Kiwi</w:t>
      </w:r>
      <w:r w:rsidR="00F57FBD">
        <w:rPr>
          <w:sz w:val="20"/>
          <w:szCs w:val="20"/>
          <w:lang w:eastAsia="en-AU"/>
        </w:rPr>
        <w:t xml:space="preserve"> Co and included in ordinary income under the laws of Country F.</w:t>
      </w:r>
    </w:p>
    <w:p w14:paraId="21F1EC03" w14:textId="77777777" w:rsidR="00D6773F" w:rsidRDefault="00D6773F" w:rsidP="00F57FBD">
      <w:pPr>
        <w:pBdr>
          <w:top w:val="single" w:sz="4" w:space="10" w:color="auto"/>
          <w:left w:val="single" w:sz="4" w:space="10" w:color="auto"/>
          <w:bottom w:val="single" w:sz="4" w:space="10" w:color="auto"/>
          <w:right w:val="single" w:sz="4" w:space="10" w:color="auto"/>
        </w:pBdr>
        <w:rPr>
          <w:sz w:val="20"/>
          <w:szCs w:val="20"/>
          <w:lang w:eastAsia="en-AU"/>
        </w:rPr>
      </w:pPr>
    </w:p>
    <w:p w14:paraId="4973925A" w14:textId="19EBD317" w:rsidR="00F57FBD" w:rsidRDefault="00F57FBD" w:rsidP="00F57FBD">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The value of NZD falls in relation to </w:t>
      </w:r>
      <w:r w:rsidR="0017290D">
        <w:rPr>
          <w:sz w:val="20"/>
          <w:szCs w:val="20"/>
          <w:lang w:eastAsia="en-AU"/>
        </w:rPr>
        <w:t>FD</w:t>
      </w:r>
      <w:r>
        <w:rPr>
          <w:sz w:val="20"/>
          <w:szCs w:val="20"/>
          <w:lang w:eastAsia="en-AU"/>
        </w:rPr>
        <w:t xml:space="preserve"> while the loan is still outstanding so that payments of interest and principal under the loan become more expensive in NZD terns</w:t>
      </w:r>
      <w:r w:rsidR="002D5667">
        <w:rPr>
          <w:sz w:val="20"/>
          <w:szCs w:val="20"/>
          <w:lang w:eastAsia="en-AU"/>
        </w:rPr>
        <w:t xml:space="preserve">. </w:t>
      </w:r>
      <w:r>
        <w:rPr>
          <w:sz w:val="20"/>
          <w:szCs w:val="20"/>
          <w:lang w:eastAsia="en-AU"/>
        </w:rPr>
        <w:t xml:space="preserve">Under NZ law, </w:t>
      </w:r>
      <w:r w:rsidR="00C371F6">
        <w:rPr>
          <w:sz w:val="20"/>
          <w:szCs w:val="20"/>
          <w:lang w:eastAsia="en-AU"/>
        </w:rPr>
        <w:t>Kiwi</w:t>
      </w:r>
      <w:r>
        <w:rPr>
          <w:sz w:val="20"/>
          <w:szCs w:val="20"/>
          <w:lang w:eastAsia="en-AU"/>
        </w:rPr>
        <w:t xml:space="preserve"> Co is entitled to a deduction for this increased cost</w:t>
      </w:r>
      <w:r w:rsidR="002D5667">
        <w:rPr>
          <w:sz w:val="20"/>
          <w:szCs w:val="20"/>
          <w:lang w:eastAsia="en-AU"/>
        </w:rPr>
        <w:t xml:space="preserve">. </w:t>
      </w:r>
      <w:r>
        <w:rPr>
          <w:sz w:val="20"/>
          <w:szCs w:val="20"/>
          <w:lang w:eastAsia="en-AU"/>
        </w:rPr>
        <w:t xml:space="preserve">There is no similar adjustment under Country F law as it is simply receiving the payments it expected to receive in </w:t>
      </w:r>
      <w:r w:rsidR="0017290D">
        <w:rPr>
          <w:sz w:val="20"/>
          <w:szCs w:val="20"/>
          <w:lang w:eastAsia="en-AU"/>
        </w:rPr>
        <w:t>FD</w:t>
      </w:r>
      <w:r>
        <w:rPr>
          <w:sz w:val="20"/>
          <w:szCs w:val="20"/>
          <w:lang w:eastAsia="en-AU"/>
        </w:rPr>
        <w:t>.</w:t>
      </w:r>
    </w:p>
    <w:p w14:paraId="71C25152" w14:textId="77777777" w:rsidR="00F57FBD" w:rsidRDefault="00F57FBD" w:rsidP="00F57FBD">
      <w:pPr>
        <w:pBdr>
          <w:top w:val="single" w:sz="4" w:space="10" w:color="auto"/>
          <w:left w:val="single" w:sz="4" w:space="10" w:color="auto"/>
          <w:bottom w:val="single" w:sz="4" w:space="10" w:color="auto"/>
          <w:right w:val="single" w:sz="4" w:space="10" w:color="auto"/>
        </w:pBdr>
        <w:rPr>
          <w:sz w:val="20"/>
          <w:szCs w:val="20"/>
          <w:lang w:eastAsia="en-AU"/>
        </w:rPr>
      </w:pPr>
    </w:p>
    <w:p w14:paraId="6A1885B5" w14:textId="13DC288D" w:rsidR="00F57FBD" w:rsidRDefault="00F57FBD" w:rsidP="00F57FBD">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lastRenderedPageBreak/>
        <w:t>Question</w:t>
      </w:r>
    </w:p>
    <w:p w14:paraId="58F7E962" w14:textId="77777777" w:rsidR="00D6773F" w:rsidRDefault="00D6773F" w:rsidP="00F57FBD">
      <w:pPr>
        <w:pBdr>
          <w:top w:val="single" w:sz="4" w:space="10" w:color="auto"/>
          <w:left w:val="single" w:sz="4" w:space="10" w:color="auto"/>
          <w:bottom w:val="single" w:sz="4" w:space="10" w:color="auto"/>
          <w:right w:val="single" w:sz="4" w:space="10" w:color="auto"/>
        </w:pBdr>
        <w:rPr>
          <w:sz w:val="20"/>
          <w:szCs w:val="20"/>
          <w:lang w:eastAsia="en-AU"/>
        </w:rPr>
      </w:pPr>
    </w:p>
    <w:p w14:paraId="49CE6CFC" w14:textId="6AE70347" w:rsidR="00F57FBD" w:rsidRDefault="00F57FBD" w:rsidP="00F57FBD">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Whether the adjustment under </w:t>
      </w:r>
      <w:r w:rsidR="00C371F6">
        <w:rPr>
          <w:sz w:val="20"/>
          <w:szCs w:val="20"/>
          <w:lang w:eastAsia="en-AU"/>
        </w:rPr>
        <w:t>New Zealand</w:t>
      </w:r>
      <w:r>
        <w:rPr>
          <w:sz w:val="20"/>
          <w:szCs w:val="20"/>
          <w:lang w:eastAsia="en-AU"/>
        </w:rPr>
        <w:t xml:space="preserve"> law for the increase in costs attributable to the fall in the value of NZD </w:t>
      </w:r>
      <w:r w:rsidR="0017290D">
        <w:rPr>
          <w:sz w:val="20"/>
          <w:szCs w:val="20"/>
          <w:lang w:eastAsia="en-AU"/>
        </w:rPr>
        <w:t xml:space="preserve">against FD </w:t>
      </w:r>
      <w:r>
        <w:rPr>
          <w:sz w:val="20"/>
          <w:szCs w:val="20"/>
          <w:lang w:eastAsia="en-AU"/>
        </w:rPr>
        <w:t>give</w:t>
      </w:r>
      <w:r w:rsidR="006355F6">
        <w:rPr>
          <w:sz w:val="20"/>
          <w:szCs w:val="20"/>
          <w:lang w:eastAsia="en-AU"/>
        </w:rPr>
        <w:t>s</w:t>
      </w:r>
      <w:r>
        <w:rPr>
          <w:sz w:val="20"/>
          <w:szCs w:val="20"/>
          <w:lang w:eastAsia="en-AU"/>
        </w:rPr>
        <w:t xml:space="preserve"> rise to a hybrid mismatch within the scope of the hybrid financial i</w:t>
      </w:r>
      <w:r w:rsidR="00DA324C">
        <w:rPr>
          <w:sz w:val="20"/>
          <w:szCs w:val="20"/>
          <w:lang w:eastAsia="en-AU"/>
        </w:rPr>
        <w:t>nstrument rule in section FH 3?</w:t>
      </w:r>
    </w:p>
    <w:p w14:paraId="0F37DF89" w14:textId="77777777" w:rsidR="00F57FBD" w:rsidRDefault="00F57FBD" w:rsidP="00F57FBD">
      <w:pPr>
        <w:pBdr>
          <w:top w:val="single" w:sz="4" w:space="10" w:color="auto"/>
          <w:left w:val="single" w:sz="4" w:space="10" w:color="auto"/>
          <w:bottom w:val="single" w:sz="4" w:space="10" w:color="auto"/>
          <w:right w:val="single" w:sz="4" w:space="10" w:color="auto"/>
        </w:pBdr>
        <w:rPr>
          <w:sz w:val="20"/>
          <w:szCs w:val="20"/>
          <w:lang w:eastAsia="en-AU"/>
        </w:rPr>
      </w:pPr>
    </w:p>
    <w:p w14:paraId="6D873208" w14:textId="427DB35E" w:rsidR="00F57FBD" w:rsidRDefault="000772C5" w:rsidP="00F57FBD">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Answer</w:t>
      </w:r>
    </w:p>
    <w:p w14:paraId="76973DA3" w14:textId="77777777" w:rsidR="00F57FBD" w:rsidRDefault="00F57FBD" w:rsidP="00F57FBD">
      <w:pPr>
        <w:pBdr>
          <w:top w:val="single" w:sz="4" w:space="10" w:color="auto"/>
          <w:left w:val="single" w:sz="4" w:space="10" w:color="auto"/>
          <w:bottom w:val="single" w:sz="4" w:space="10" w:color="auto"/>
          <w:right w:val="single" w:sz="4" w:space="10" w:color="auto"/>
        </w:pBdr>
        <w:rPr>
          <w:i/>
          <w:sz w:val="20"/>
          <w:szCs w:val="20"/>
          <w:lang w:eastAsia="en-AU"/>
        </w:rPr>
      </w:pPr>
    </w:p>
    <w:p w14:paraId="2324833D" w14:textId="60CF6088" w:rsidR="00F57FBD" w:rsidRPr="004D2371" w:rsidRDefault="00BA3B2C" w:rsidP="00F57FBD">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No</w:t>
      </w:r>
      <w:r w:rsidR="002D5667">
        <w:rPr>
          <w:sz w:val="20"/>
          <w:szCs w:val="20"/>
          <w:lang w:eastAsia="en-AU"/>
        </w:rPr>
        <w:t xml:space="preserve">. </w:t>
      </w:r>
      <w:r w:rsidR="00F57FBD">
        <w:rPr>
          <w:sz w:val="20"/>
          <w:szCs w:val="20"/>
          <w:lang w:eastAsia="en-AU"/>
        </w:rPr>
        <w:t xml:space="preserve">While the fall in the value of NZD gives rise to a deduction under NZ law that is not reflected by a corresponding inclusion in Country F, this difference does not give rise to a D/NI outcome provided the proportion of the interest and principal payable under the loan is the same under the laws of both </w:t>
      </w:r>
      <w:r w:rsidR="0017290D">
        <w:rPr>
          <w:sz w:val="20"/>
          <w:szCs w:val="20"/>
          <w:lang w:eastAsia="en-AU"/>
        </w:rPr>
        <w:t>countries</w:t>
      </w:r>
      <w:r w:rsidR="002D5667">
        <w:rPr>
          <w:sz w:val="20"/>
          <w:szCs w:val="20"/>
          <w:lang w:eastAsia="en-AU"/>
        </w:rPr>
        <w:t xml:space="preserve">. </w:t>
      </w:r>
      <w:r w:rsidR="00F57FBD">
        <w:rPr>
          <w:sz w:val="20"/>
          <w:szCs w:val="20"/>
          <w:lang w:eastAsia="en-AU"/>
        </w:rPr>
        <w:t xml:space="preserve">Gains and losses that result from converting foreign exchange into local or functional currency are attributable to the way </w:t>
      </w:r>
      <w:r w:rsidR="0017290D">
        <w:rPr>
          <w:sz w:val="20"/>
          <w:szCs w:val="20"/>
          <w:lang w:eastAsia="en-AU"/>
        </w:rPr>
        <w:t>countries</w:t>
      </w:r>
      <w:r w:rsidR="00F57FBD">
        <w:rPr>
          <w:sz w:val="20"/>
          <w:szCs w:val="20"/>
          <w:lang w:eastAsia="en-AU"/>
        </w:rPr>
        <w:t xml:space="preserve"> measure the value of money, rather than the value of the payment itself.</w:t>
      </w:r>
    </w:p>
    <w:p w14:paraId="4ACB79BA" w14:textId="77777777" w:rsidR="00F57FBD" w:rsidRDefault="00F57FBD" w:rsidP="00925A3A">
      <w:pPr>
        <w:rPr>
          <w:szCs w:val="20"/>
          <w:lang w:eastAsia="en-AU"/>
        </w:rPr>
      </w:pPr>
    </w:p>
    <w:p w14:paraId="01F7DD77" w14:textId="77777777" w:rsidR="000772C5" w:rsidRDefault="000772C5" w:rsidP="00925A3A">
      <w:pPr>
        <w:rPr>
          <w:szCs w:val="20"/>
          <w:lang w:eastAsia="en-AU"/>
        </w:rPr>
      </w:pPr>
    </w:p>
    <w:p w14:paraId="7B09A1BE" w14:textId="5122F9BA" w:rsidR="00A86A46" w:rsidRDefault="00D6773F" w:rsidP="00532DB4">
      <w:pPr>
        <w:pStyle w:val="Heading4"/>
        <w:rPr>
          <w:lang w:eastAsia="en-AU"/>
        </w:rPr>
      </w:pPr>
      <w:r>
        <w:rPr>
          <w:lang w:eastAsia="en-AU"/>
        </w:rPr>
        <w:t>Character mismatches</w:t>
      </w:r>
    </w:p>
    <w:p w14:paraId="3B8EF9AC" w14:textId="77777777" w:rsidR="00A86A46" w:rsidRPr="00925A3A" w:rsidRDefault="00A86A46" w:rsidP="00925A3A">
      <w:pPr>
        <w:rPr>
          <w:szCs w:val="20"/>
          <w:lang w:eastAsia="en-AU"/>
        </w:rPr>
      </w:pPr>
    </w:p>
    <w:p w14:paraId="770D1ADD" w14:textId="267F794E" w:rsidR="00A86A46" w:rsidRDefault="00925A3A" w:rsidP="00925A3A">
      <w:pPr>
        <w:rPr>
          <w:szCs w:val="20"/>
          <w:lang w:eastAsia="en-AU"/>
        </w:rPr>
      </w:pPr>
      <w:r w:rsidRPr="00925A3A">
        <w:rPr>
          <w:szCs w:val="20"/>
          <w:lang w:eastAsia="en-AU"/>
        </w:rPr>
        <w:t>Subsection (2) applies to character mismatches</w:t>
      </w:r>
      <w:r w:rsidR="002D5667">
        <w:rPr>
          <w:szCs w:val="20"/>
          <w:lang w:eastAsia="en-AU"/>
        </w:rPr>
        <w:t xml:space="preserve">. </w:t>
      </w:r>
      <w:r w:rsidR="00A86A46">
        <w:rPr>
          <w:szCs w:val="20"/>
          <w:lang w:eastAsia="en-AU"/>
        </w:rPr>
        <w:t>Character mismatches arise if</w:t>
      </w:r>
      <w:r w:rsidR="00252B64">
        <w:rPr>
          <w:szCs w:val="20"/>
          <w:lang w:eastAsia="en-AU"/>
        </w:rPr>
        <w:t xml:space="preserve"> two criteria are met.</w:t>
      </w:r>
    </w:p>
    <w:p w14:paraId="4CCC9941" w14:textId="77777777" w:rsidR="00A86A46" w:rsidRDefault="00A86A46" w:rsidP="00925A3A">
      <w:pPr>
        <w:rPr>
          <w:szCs w:val="20"/>
          <w:lang w:eastAsia="en-AU"/>
        </w:rPr>
      </w:pPr>
    </w:p>
    <w:p w14:paraId="60202DF3" w14:textId="0B20EA13" w:rsidR="00A86A46" w:rsidRDefault="00252B64" w:rsidP="00925A3A">
      <w:pPr>
        <w:rPr>
          <w:szCs w:val="20"/>
          <w:lang w:eastAsia="en-AU"/>
        </w:rPr>
      </w:pPr>
      <w:r>
        <w:rPr>
          <w:szCs w:val="20"/>
          <w:lang w:eastAsia="en-AU"/>
        </w:rPr>
        <w:t xml:space="preserve">The first </w:t>
      </w:r>
      <w:r w:rsidR="002A4E82">
        <w:rPr>
          <w:szCs w:val="20"/>
          <w:lang w:eastAsia="en-AU"/>
        </w:rPr>
        <w:t xml:space="preserve">criterion </w:t>
      </w:r>
      <w:r>
        <w:rPr>
          <w:szCs w:val="20"/>
          <w:lang w:eastAsia="en-AU"/>
        </w:rPr>
        <w:t xml:space="preserve">is that neither the foreign payee </w:t>
      </w:r>
      <w:r w:rsidR="0017290D">
        <w:rPr>
          <w:szCs w:val="20"/>
          <w:lang w:eastAsia="en-AU"/>
        </w:rPr>
        <w:t>country</w:t>
      </w:r>
      <w:r>
        <w:rPr>
          <w:szCs w:val="20"/>
          <w:lang w:eastAsia="en-AU"/>
        </w:rPr>
        <w:t xml:space="preserve">, nor any other foreign </w:t>
      </w:r>
      <w:r w:rsidR="0017290D">
        <w:rPr>
          <w:szCs w:val="20"/>
          <w:lang w:eastAsia="en-AU"/>
        </w:rPr>
        <w:t>country</w:t>
      </w:r>
      <w:r>
        <w:rPr>
          <w:szCs w:val="20"/>
          <w:lang w:eastAsia="en-AU"/>
        </w:rPr>
        <w:t>, recognises the payment as ordinary income</w:t>
      </w:r>
      <w:r w:rsidR="00342EF4">
        <w:rPr>
          <w:szCs w:val="20"/>
          <w:lang w:eastAsia="en-AU"/>
        </w:rPr>
        <w:t xml:space="preserve"> of the payee</w:t>
      </w:r>
      <w:r w:rsidR="002D5667">
        <w:rPr>
          <w:szCs w:val="20"/>
          <w:lang w:eastAsia="en-AU"/>
        </w:rPr>
        <w:t xml:space="preserve">. </w:t>
      </w:r>
      <w:r>
        <w:rPr>
          <w:szCs w:val="20"/>
          <w:lang w:eastAsia="en-AU"/>
        </w:rPr>
        <w:t>For instance, if the foreign payee</w:t>
      </w:r>
      <w:r w:rsidR="00920DD6">
        <w:rPr>
          <w:szCs w:val="20"/>
          <w:lang w:eastAsia="en-AU"/>
        </w:rPr>
        <w:t>’s</w:t>
      </w:r>
      <w:r>
        <w:rPr>
          <w:szCs w:val="20"/>
          <w:lang w:eastAsia="en-AU"/>
        </w:rPr>
        <w:t xml:space="preserve"> </w:t>
      </w:r>
      <w:r w:rsidR="000428DE">
        <w:rPr>
          <w:szCs w:val="20"/>
          <w:lang w:eastAsia="en-AU"/>
        </w:rPr>
        <w:t>country</w:t>
      </w:r>
      <w:r w:rsidR="00920DD6">
        <w:rPr>
          <w:szCs w:val="20"/>
          <w:lang w:eastAsia="en-AU"/>
        </w:rPr>
        <w:t xml:space="preserve"> of residence</w:t>
      </w:r>
      <w:r w:rsidR="000428DE">
        <w:rPr>
          <w:szCs w:val="20"/>
          <w:lang w:eastAsia="en-AU"/>
        </w:rPr>
        <w:t xml:space="preserve"> </w:t>
      </w:r>
      <w:r>
        <w:rPr>
          <w:szCs w:val="20"/>
          <w:lang w:eastAsia="en-AU"/>
        </w:rPr>
        <w:t>did not recognise the payment as ordinary income, but it was included as part of the ordinary income of the payee</w:t>
      </w:r>
      <w:r w:rsidR="00920DD6">
        <w:rPr>
          <w:szCs w:val="20"/>
          <w:lang w:eastAsia="en-AU"/>
        </w:rPr>
        <w:t xml:space="preserve"> in another country through a branch</w:t>
      </w:r>
      <w:r w:rsidR="002A4E82">
        <w:rPr>
          <w:szCs w:val="20"/>
          <w:lang w:eastAsia="en-AU"/>
        </w:rPr>
        <w:t>, then the first criteri</w:t>
      </w:r>
      <w:r w:rsidR="0017290D">
        <w:rPr>
          <w:szCs w:val="20"/>
          <w:lang w:eastAsia="en-AU"/>
        </w:rPr>
        <w:t>on</w:t>
      </w:r>
      <w:r w:rsidR="002A4E82">
        <w:rPr>
          <w:szCs w:val="20"/>
          <w:lang w:eastAsia="en-AU"/>
        </w:rPr>
        <w:t xml:space="preserve"> would not be met (</w:t>
      </w:r>
      <w:r w:rsidR="0047243A">
        <w:rPr>
          <w:szCs w:val="20"/>
          <w:lang w:eastAsia="en-AU"/>
        </w:rPr>
        <w:t>that is,</w:t>
      </w:r>
      <w:r w:rsidR="002A4E82">
        <w:rPr>
          <w:szCs w:val="20"/>
          <w:lang w:eastAsia="en-AU"/>
        </w:rPr>
        <w:t xml:space="preserve"> there could be no character mismatch).</w:t>
      </w:r>
    </w:p>
    <w:p w14:paraId="4D8FAD3A" w14:textId="77777777" w:rsidR="00A86A46" w:rsidRDefault="00A86A46" w:rsidP="00925A3A">
      <w:pPr>
        <w:rPr>
          <w:szCs w:val="20"/>
          <w:lang w:eastAsia="en-AU"/>
        </w:rPr>
      </w:pPr>
    </w:p>
    <w:p w14:paraId="1BF55DC5" w14:textId="7E7822A1" w:rsidR="0032017A" w:rsidRPr="0032017A" w:rsidRDefault="002A4E82" w:rsidP="00925A3A">
      <w:pPr>
        <w:rPr>
          <w:szCs w:val="20"/>
          <w:lang w:eastAsia="en-AU"/>
        </w:rPr>
      </w:pPr>
      <w:r>
        <w:rPr>
          <w:szCs w:val="20"/>
          <w:lang w:eastAsia="en-AU"/>
        </w:rPr>
        <w:t xml:space="preserve">The second criterion is that </w:t>
      </w:r>
      <w:r w:rsidR="00A86A46">
        <w:rPr>
          <w:szCs w:val="20"/>
          <w:lang w:eastAsia="en-AU"/>
        </w:rPr>
        <w:t xml:space="preserve">the payment would be recognised as ordinary income in the payee </w:t>
      </w:r>
      <w:r w:rsidR="0017290D">
        <w:rPr>
          <w:szCs w:val="20"/>
          <w:lang w:eastAsia="en-AU"/>
        </w:rPr>
        <w:t>country</w:t>
      </w:r>
      <w:r w:rsidR="00A86A46">
        <w:rPr>
          <w:szCs w:val="20"/>
          <w:lang w:eastAsia="en-AU"/>
        </w:rPr>
        <w:t xml:space="preserve"> if the classification of the payment </w:t>
      </w:r>
      <w:r w:rsidR="00621A15">
        <w:rPr>
          <w:szCs w:val="20"/>
          <w:lang w:eastAsia="en-AU"/>
        </w:rPr>
        <w:t xml:space="preserve">or payment instrument </w:t>
      </w:r>
      <w:r w:rsidR="00A86A46">
        <w:rPr>
          <w:szCs w:val="20"/>
          <w:lang w:eastAsia="en-AU"/>
        </w:rPr>
        <w:t>were varied, and the payee had the usual tax status for a person or entity of the payee’s class</w:t>
      </w:r>
      <w:r w:rsidR="002D5667">
        <w:rPr>
          <w:szCs w:val="20"/>
          <w:lang w:eastAsia="en-AU"/>
        </w:rPr>
        <w:t xml:space="preserve">. </w:t>
      </w:r>
      <w:r w:rsidR="0032017A">
        <w:rPr>
          <w:szCs w:val="20"/>
          <w:lang w:eastAsia="en-AU"/>
        </w:rPr>
        <w:t>This criterion is based on two key principles:</w:t>
      </w:r>
    </w:p>
    <w:p w14:paraId="2F1AFDEC" w14:textId="77777777" w:rsidR="0032017A" w:rsidRDefault="0032017A" w:rsidP="00547BCF">
      <w:pPr>
        <w:pStyle w:val="ListParagraph"/>
        <w:ind w:left="360"/>
        <w:rPr>
          <w:szCs w:val="20"/>
          <w:lang w:eastAsia="en-AU"/>
        </w:rPr>
      </w:pPr>
    </w:p>
    <w:p w14:paraId="398C18C8" w14:textId="1D63DA3E" w:rsidR="009A0D11" w:rsidRPr="00547BCF" w:rsidRDefault="0032017A" w:rsidP="00547BCF">
      <w:pPr>
        <w:pStyle w:val="ListParagraph"/>
        <w:numPr>
          <w:ilvl w:val="0"/>
          <w:numId w:val="51"/>
        </w:numPr>
        <w:rPr>
          <w:i/>
          <w:szCs w:val="20"/>
          <w:lang w:eastAsia="en-AU"/>
        </w:rPr>
      </w:pPr>
      <w:r w:rsidRPr="00547BCF">
        <w:rPr>
          <w:i/>
          <w:szCs w:val="20"/>
          <w:lang w:eastAsia="en-AU"/>
        </w:rPr>
        <w:t xml:space="preserve">The rule should only apply where the mismatch in tax treatment between the two </w:t>
      </w:r>
      <w:r w:rsidR="0017290D">
        <w:rPr>
          <w:i/>
          <w:szCs w:val="20"/>
          <w:lang w:eastAsia="en-AU"/>
        </w:rPr>
        <w:t>countries</w:t>
      </w:r>
      <w:r w:rsidRPr="00547BCF">
        <w:rPr>
          <w:i/>
          <w:szCs w:val="20"/>
          <w:lang w:eastAsia="en-AU"/>
        </w:rPr>
        <w:t xml:space="preserve"> is attribut</w:t>
      </w:r>
      <w:r w:rsidR="00621A15" w:rsidRPr="00547BCF">
        <w:rPr>
          <w:i/>
          <w:szCs w:val="20"/>
          <w:lang w:eastAsia="en-AU"/>
        </w:rPr>
        <w:t xml:space="preserve">able to how the payee and payer </w:t>
      </w:r>
      <w:r w:rsidR="000428DE">
        <w:rPr>
          <w:i/>
          <w:szCs w:val="20"/>
          <w:lang w:eastAsia="en-AU"/>
        </w:rPr>
        <w:t>countries</w:t>
      </w:r>
      <w:r w:rsidR="000428DE" w:rsidRPr="00547BCF">
        <w:rPr>
          <w:i/>
          <w:szCs w:val="20"/>
          <w:lang w:eastAsia="en-AU"/>
        </w:rPr>
        <w:t xml:space="preserve"> </w:t>
      </w:r>
      <w:r w:rsidR="00621A15" w:rsidRPr="00547BCF">
        <w:rPr>
          <w:i/>
          <w:szCs w:val="20"/>
          <w:lang w:eastAsia="en-AU"/>
        </w:rPr>
        <w:t>treat the instrument for tax purposes</w:t>
      </w:r>
    </w:p>
    <w:p w14:paraId="4E9F8686" w14:textId="77777777" w:rsidR="009A0D11" w:rsidRDefault="009A0D11" w:rsidP="00547BCF">
      <w:pPr>
        <w:pStyle w:val="ListParagraph"/>
        <w:ind w:left="360"/>
        <w:rPr>
          <w:szCs w:val="20"/>
          <w:lang w:eastAsia="en-AU"/>
        </w:rPr>
      </w:pPr>
    </w:p>
    <w:p w14:paraId="58F8A2A9" w14:textId="5280C70D" w:rsidR="00407983" w:rsidRDefault="009A0D11" w:rsidP="00547BCF">
      <w:pPr>
        <w:pStyle w:val="ListParagraph"/>
        <w:ind w:left="360"/>
        <w:rPr>
          <w:szCs w:val="20"/>
          <w:lang w:eastAsia="en-AU"/>
        </w:rPr>
      </w:pPr>
      <w:r>
        <w:rPr>
          <w:szCs w:val="20"/>
          <w:lang w:eastAsia="en-AU"/>
        </w:rPr>
        <w:t xml:space="preserve">The primary example </w:t>
      </w:r>
      <w:r w:rsidR="00DD271E">
        <w:rPr>
          <w:szCs w:val="20"/>
          <w:lang w:eastAsia="en-AU"/>
        </w:rPr>
        <w:t xml:space="preserve">of a character mismatch </w:t>
      </w:r>
      <w:r>
        <w:rPr>
          <w:szCs w:val="20"/>
          <w:lang w:eastAsia="en-AU"/>
        </w:rPr>
        <w:t>is where the payer</w:t>
      </w:r>
      <w:r w:rsidR="0017290D">
        <w:rPr>
          <w:szCs w:val="20"/>
          <w:lang w:eastAsia="en-AU"/>
        </w:rPr>
        <w:t xml:space="preserve"> country</w:t>
      </w:r>
      <w:r>
        <w:rPr>
          <w:szCs w:val="20"/>
          <w:lang w:eastAsia="en-AU"/>
        </w:rPr>
        <w:t xml:space="preserve"> treats the instrument as debt and the payee </w:t>
      </w:r>
      <w:r w:rsidR="0017290D">
        <w:rPr>
          <w:szCs w:val="20"/>
          <w:lang w:eastAsia="en-AU"/>
        </w:rPr>
        <w:t>country</w:t>
      </w:r>
      <w:r>
        <w:rPr>
          <w:szCs w:val="20"/>
          <w:lang w:eastAsia="en-AU"/>
        </w:rPr>
        <w:t xml:space="preserve"> treats the instrument as equity resulting in deductible interest in the payer </w:t>
      </w:r>
      <w:r w:rsidR="0017290D">
        <w:rPr>
          <w:szCs w:val="20"/>
          <w:lang w:eastAsia="en-AU"/>
        </w:rPr>
        <w:t>country</w:t>
      </w:r>
      <w:r>
        <w:rPr>
          <w:szCs w:val="20"/>
          <w:lang w:eastAsia="en-AU"/>
        </w:rPr>
        <w:t xml:space="preserve"> and exempt dividends in the payee </w:t>
      </w:r>
      <w:r w:rsidR="0017290D">
        <w:rPr>
          <w:szCs w:val="20"/>
          <w:lang w:eastAsia="en-AU"/>
        </w:rPr>
        <w:t>country</w:t>
      </w:r>
      <w:r w:rsidR="002D5667">
        <w:rPr>
          <w:szCs w:val="20"/>
          <w:lang w:eastAsia="en-AU"/>
        </w:rPr>
        <w:t xml:space="preserve">. </w:t>
      </w:r>
      <w:r>
        <w:rPr>
          <w:szCs w:val="20"/>
          <w:lang w:eastAsia="en-AU"/>
        </w:rPr>
        <w:t>The D/NI mismatch in such a case is attributable to the classification of the payment or payment instrument.</w:t>
      </w:r>
    </w:p>
    <w:p w14:paraId="55852162" w14:textId="77777777" w:rsidR="00407983" w:rsidRDefault="00407983" w:rsidP="00547BCF">
      <w:pPr>
        <w:pStyle w:val="ListParagraph"/>
        <w:ind w:left="360"/>
        <w:rPr>
          <w:szCs w:val="20"/>
          <w:lang w:eastAsia="en-AU"/>
        </w:rPr>
      </w:pPr>
    </w:p>
    <w:p w14:paraId="6F5E8D55" w14:textId="09D0DC62" w:rsidR="00660B8B" w:rsidRPr="0018757D" w:rsidRDefault="00B90E29" w:rsidP="00547BCF">
      <w:pPr>
        <w:pStyle w:val="ListParagraph"/>
        <w:ind w:left="360"/>
        <w:rPr>
          <w:szCs w:val="20"/>
          <w:lang w:eastAsia="en-AU"/>
        </w:rPr>
      </w:pPr>
      <w:r>
        <w:rPr>
          <w:szCs w:val="20"/>
          <w:lang w:eastAsia="en-AU"/>
        </w:rPr>
        <w:t>The test</w:t>
      </w:r>
      <w:r w:rsidR="00407983">
        <w:rPr>
          <w:szCs w:val="20"/>
          <w:lang w:eastAsia="en-AU"/>
        </w:rPr>
        <w:t xml:space="preserve"> the legislation effectively </w:t>
      </w:r>
      <w:r>
        <w:rPr>
          <w:szCs w:val="20"/>
          <w:lang w:eastAsia="en-AU"/>
        </w:rPr>
        <w:t>sets</w:t>
      </w:r>
      <w:r w:rsidR="00407983">
        <w:rPr>
          <w:szCs w:val="20"/>
          <w:lang w:eastAsia="en-AU"/>
        </w:rPr>
        <w:t xml:space="preserve"> is whether the </w:t>
      </w:r>
      <w:r w:rsidR="0057315A">
        <w:rPr>
          <w:szCs w:val="20"/>
          <w:lang w:eastAsia="en-AU"/>
        </w:rPr>
        <w:t>D/NI mismatch</w:t>
      </w:r>
      <w:r w:rsidR="00407983">
        <w:rPr>
          <w:szCs w:val="20"/>
          <w:lang w:eastAsia="en-AU"/>
        </w:rPr>
        <w:t xml:space="preserve"> wou</w:t>
      </w:r>
      <w:r w:rsidR="0057315A">
        <w:rPr>
          <w:szCs w:val="20"/>
          <w:lang w:eastAsia="en-AU"/>
        </w:rPr>
        <w:t xml:space="preserve">ld cease to exist if the payee </w:t>
      </w:r>
      <w:r w:rsidR="0017290D">
        <w:rPr>
          <w:szCs w:val="20"/>
          <w:lang w:eastAsia="en-AU"/>
        </w:rPr>
        <w:t>country</w:t>
      </w:r>
      <w:r w:rsidR="0057315A">
        <w:rPr>
          <w:szCs w:val="20"/>
          <w:lang w:eastAsia="en-AU"/>
        </w:rPr>
        <w:t xml:space="preserve"> </w:t>
      </w:r>
      <w:r w:rsidR="00570DA8">
        <w:rPr>
          <w:szCs w:val="20"/>
          <w:lang w:eastAsia="en-AU"/>
        </w:rPr>
        <w:t>treated</w:t>
      </w:r>
      <w:r w:rsidR="0057315A">
        <w:rPr>
          <w:szCs w:val="20"/>
          <w:lang w:eastAsia="en-AU"/>
        </w:rPr>
        <w:t xml:space="preserve"> the financial instrument and/or payment in the same way as the payer </w:t>
      </w:r>
      <w:r w:rsidR="0017290D">
        <w:rPr>
          <w:szCs w:val="20"/>
          <w:lang w:eastAsia="en-AU"/>
        </w:rPr>
        <w:t>country</w:t>
      </w:r>
      <w:r w:rsidR="002D5667">
        <w:rPr>
          <w:szCs w:val="20"/>
          <w:lang w:eastAsia="en-AU"/>
        </w:rPr>
        <w:t xml:space="preserve">. </w:t>
      </w:r>
      <w:r w:rsidRPr="00D01D7E">
        <w:rPr>
          <w:szCs w:val="20"/>
          <w:lang w:eastAsia="en-AU"/>
        </w:rPr>
        <w:t xml:space="preserve">Taking this approach to the example in the preceding paragraph, if the payee </w:t>
      </w:r>
      <w:r w:rsidR="0017290D">
        <w:rPr>
          <w:szCs w:val="20"/>
          <w:lang w:eastAsia="en-AU"/>
        </w:rPr>
        <w:t>country</w:t>
      </w:r>
      <w:r w:rsidRPr="00D01D7E">
        <w:rPr>
          <w:szCs w:val="20"/>
          <w:lang w:eastAsia="en-AU"/>
        </w:rPr>
        <w:t xml:space="preserve"> </w:t>
      </w:r>
      <w:r w:rsidRPr="0018757D">
        <w:rPr>
          <w:szCs w:val="20"/>
          <w:lang w:eastAsia="en-AU"/>
        </w:rPr>
        <w:t>treated the instrument as debt (instead of equity), it would treat the payments received as interest (rathe</w:t>
      </w:r>
      <w:r w:rsidRPr="00D67607">
        <w:rPr>
          <w:szCs w:val="20"/>
          <w:lang w:eastAsia="en-AU"/>
        </w:rPr>
        <w:t>r than dividends)</w:t>
      </w:r>
      <w:r w:rsidR="002D5667">
        <w:rPr>
          <w:szCs w:val="20"/>
          <w:lang w:eastAsia="en-AU"/>
        </w:rPr>
        <w:t xml:space="preserve">. </w:t>
      </w:r>
      <w:r w:rsidRPr="006B6A41">
        <w:rPr>
          <w:szCs w:val="20"/>
          <w:lang w:eastAsia="en-AU"/>
        </w:rPr>
        <w:t xml:space="preserve">Therefore, as long as the interest payments </w:t>
      </w:r>
      <w:r w:rsidRPr="00547BCF">
        <w:rPr>
          <w:szCs w:val="20"/>
          <w:lang w:eastAsia="en-AU"/>
        </w:rPr>
        <w:t>would be treated as ordinary income</w:t>
      </w:r>
      <w:r>
        <w:rPr>
          <w:szCs w:val="20"/>
          <w:lang w:eastAsia="en-AU"/>
        </w:rPr>
        <w:t xml:space="preserve"> in the payee </w:t>
      </w:r>
      <w:r w:rsidR="0017290D">
        <w:rPr>
          <w:szCs w:val="20"/>
          <w:lang w:eastAsia="en-AU"/>
        </w:rPr>
        <w:t>country</w:t>
      </w:r>
      <w:r>
        <w:rPr>
          <w:szCs w:val="20"/>
          <w:lang w:eastAsia="en-AU"/>
        </w:rPr>
        <w:t xml:space="preserve"> (assuming a usual tax status of the payee as discussed below), the D/NI mismatch would cease to exist</w:t>
      </w:r>
      <w:r w:rsidR="00F542E3">
        <w:rPr>
          <w:szCs w:val="20"/>
          <w:lang w:eastAsia="en-AU"/>
        </w:rPr>
        <w:t>, which means that there is a character mismatch.</w:t>
      </w:r>
    </w:p>
    <w:p w14:paraId="1960E2D4" w14:textId="77777777" w:rsidR="0032017A" w:rsidRPr="00D67607" w:rsidRDefault="0032017A">
      <w:pPr>
        <w:rPr>
          <w:szCs w:val="20"/>
          <w:lang w:eastAsia="en-AU"/>
        </w:rPr>
      </w:pPr>
    </w:p>
    <w:p w14:paraId="34EA96B0" w14:textId="7BC22691" w:rsidR="009A0D11" w:rsidRPr="00547BCF" w:rsidRDefault="00621A15" w:rsidP="00547BCF">
      <w:pPr>
        <w:pStyle w:val="ListParagraph"/>
        <w:numPr>
          <w:ilvl w:val="0"/>
          <w:numId w:val="51"/>
        </w:numPr>
        <w:rPr>
          <w:i/>
          <w:szCs w:val="20"/>
          <w:lang w:eastAsia="en-AU"/>
        </w:rPr>
      </w:pPr>
      <w:r w:rsidRPr="00547BCF">
        <w:rPr>
          <w:i/>
          <w:szCs w:val="20"/>
          <w:lang w:eastAsia="en-AU"/>
        </w:rPr>
        <w:t>The rule should not apply where the mismatch is solely attributable to the status of the taxpayer</w:t>
      </w:r>
      <w:r w:rsidR="0037132A">
        <w:rPr>
          <w:i/>
          <w:szCs w:val="20"/>
          <w:lang w:eastAsia="en-AU"/>
        </w:rPr>
        <w:t xml:space="preserve"> or the context in which the instrument is held</w:t>
      </w:r>
    </w:p>
    <w:p w14:paraId="26A3B634" w14:textId="77777777" w:rsidR="009A0D11" w:rsidRDefault="009A0D11" w:rsidP="00547BCF">
      <w:pPr>
        <w:pStyle w:val="ListParagraph"/>
        <w:ind w:left="360"/>
        <w:rPr>
          <w:szCs w:val="20"/>
          <w:lang w:eastAsia="en-AU"/>
        </w:rPr>
      </w:pPr>
    </w:p>
    <w:p w14:paraId="7191C1AE" w14:textId="129027BF" w:rsidR="0085260C" w:rsidRDefault="00974F37" w:rsidP="00547BCF">
      <w:pPr>
        <w:pStyle w:val="ListParagraph"/>
        <w:ind w:left="360"/>
        <w:rPr>
          <w:szCs w:val="20"/>
          <w:lang w:eastAsia="en-AU"/>
        </w:rPr>
      </w:pPr>
      <w:r>
        <w:rPr>
          <w:szCs w:val="20"/>
          <w:lang w:eastAsia="en-AU"/>
        </w:rPr>
        <w:lastRenderedPageBreak/>
        <w:t xml:space="preserve">This </w:t>
      </w:r>
      <w:r w:rsidR="00F542E3">
        <w:rPr>
          <w:szCs w:val="20"/>
          <w:lang w:eastAsia="en-AU"/>
        </w:rPr>
        <w:t xml:space="preserve">reflects that D/NI results can </w:t>
      </w:r>
      <w:r w:rsidR="005136CB">
        <w:rPr>
          <w:szCs w:val="20"/>
          <w:lang w:eastAsia="en-AU"/>
        </w:rPr>
        <w:t xml:space="preserve">be due to factors </w:t>
      </w:r>
      <w:r w:rsidR="000131B9">
        <w:rPr>
          <w:szCs w:val="20"/>
          <w:lang w:eastAsia="en-AU"/>
        </w:rPr>
        <w:t>other than the hybridity of a financial instrument</w:t>
      </w:r>
      <w:r w:rsidR="002D5667">
        <w:rPr>
          <w:szCs w:val="20"/>
          <w:lang w:eastAsia="en-AU"/>
        </w:rPr>
        <w:t xml:space="preserve">. </w:t>
      </w:r>
      <w:r w:rsidR="00DD271E">
        <w:rPr>
          <w:szCs w:val="20"/>
          <w:lang w:eastAsia="en-AU"/>
        </w:rPr>
        <w:t xml:space="preserve">However, character mismatches should only arise </w:t>
      </w:r>
      <w:r w:rsidR="0037132A">
        <w:rPr>
          <w:szCs w:val="20"/>
          <w:lang w:eastAsia="en-AU"/>
        </w:rPr>
        <w:t xml:space="preserve">because of the contrasting ways in which the payee and payer </w:t>
      </w:r>
      <w:r w:rsidR="005136CB">
        <w:rPr>
          <w:szCs w:val="20"/>
          <w:lang w:eastAsia="en-AU"/>
        </w:rPr>
        <w:t>countries</w:t>
      </w:r>
      <w:r w:rsidR="0037132A">
        <w:rPr>
          <w:szCs w:val="20"/>
          <w:lang w:eastAsia="en-AU"/>
        </w:rPr>
        <w:t xml:space="preserve"> treat the instrument for tax purposes.</w:t>
      </w:r>
    </w:p>
    <w:p w14:paraId="7FC0136A" w14:textId="77777777" w:rsidR="00F57FBD" w:rsidRDefault="00F57FBD" w:rsidP="00547BCF">
      <w:pPr>
        <w:pStyle w:val="ListParagraph"/>
        <w:ind w:left="360"/>
        <w:rPr>
          <w:szCs w:val="20"/>
          <w:lang w:eastAsia="en-AU"/>
        </w:rPr>
      </w:pPr>
    </w:p>
    <w:p w14:paraId="06B5B63C" w14:textId="379DB332" w:rsidR="00F57FBD" w:rsidRDefault="00F57FBD" w:rsidP="00F57FBD">
      <w:pPr>
        <w:pStyle w:val="ListParagraph"/>
        <w:ind w:left="360"/>
        <w:rPr>
          <w:szCs w:val="20"/>
          <w:lang w:eastAsia="en-AU"/>
        </w:rPr>
      </w:pPr>
      <w:r>
        <w:rPr>
          <w:szCs w:val="20"/>
          <w:lang w:eastAsia="en-AU"/>
        </w:rPr>
        <w:t xml:space="preserve">For example, a vanilla loan paying interest could produce a D/NI result where the payee is a sovereign wealth fund or tax resident in a </w:t>
      </w:r>
      <w:r w:rsidR="000428DE">
        <w:rPr>
          <w:szCs w:val="20"/>
          <w:lang w:eastAsia="en-AU"/>
        </w:rPr>
        <w:t xml:space="preserve">country </w:t>
      </w:r>
      <w:r>
        <w:rPr>
          <w:szCs w:val="20"/>
          <w:lang w:eastAsia="en-AU"/>
        </w:rPr>
        <w:t>with no income tax or a territorial tax regime</w:t>
      </w:r>
      <w:r w:rsidR="002D5667">
        <w:rPr>
          <w:szCs w:val="20"/>
          <w:lang w:eastAsia="en-AU"/>
        </w:rPr>
        <w:t xml:space="preserve">. </w:t>
      </w:r>
      <w:r w:rsidR="005136CB">
        <w:rPr>
          <w:szCs w:val="20"/>
          <w:lang w:eastAsia="en-AU"/>
        </w:rPr>
        <w:t>However, this would not</w:t>
      </w:r>
      <w:r w:rsidR="000E6CEA">
        <w:rPr>
          <w:szCs w:val="20"/>
          <w:lang w:eastAsia="en-AU"/>
        </w:rPr>
        <w:t xml:space="preserve"> be</w:t>
      </w:r>
      <w:r w:rsidR="005136CB">
        <w:rPr>
          <w:szCs w:val="20"/>
          <w:lang w:eastAsia="en-AU"/>
        </w:rPr>
        <w:t xml:space="preserve"> a hybrid mismatch.</w:t>
      </w:r>
    </w:p>
    <w:p w14:paraId="041CBE7E" w14:textId="77777777" w:rsidR="0085260C" w:rsidRPr="00D67607" w:rsidRDefault="0085260C" w:rsidP="00D67607">
      <w:pPr>
        <w:rPr>
          <w:szCs w:val="20"/>
          <w:lang w:eastAsia="en-AU"/>
        </w:rPr>
      </w:pPr>
    </w:p>
    <w:p w14:paraId="79B7BE58" w14:textId="194BD421" w:rsidR="0061762B" w:rsidRDefault="0085260C" w:rsidP="00547BCF">
      <w:pPr>
        <w:pStyle w:val="ListParagraph"/>
        <w:ind w:left="360"/>
        <w:rPr>
          <w:szCs w:val="20"/>
          <w:lang w:eastAsia="en-AU"/>
        </w:rPr>
      </w:pPr>
      <w:r>
        <w:rPr>
          <w:szCs w:val="20"/>
          <w:lang w:eastAsia="en-AU"/>
        </w:rPr>
        <w:t xml:space="preserve">The test </w:t>
      </w:r>
      <w:r w:rsidR="00F57FBD">
        <w:rPr>
          <w:szCs w:val="20"/>
          <w:lang w:eastAsia="en-AU"/>
        </w:rPr>
        <w:t xml:space="preserve">the legislation </w:t>
      </w:r>
      <w:r w:rsidR="005136CB">
        <w:rPr>
          <w:szCs w:val="20"/>
          <w:lang w:eastAsia="en-AU"/>
        </w:rPr>
        <w:t xml:space="preserve">applies </w:t>
      </w:r>
      <w:r w:rsidR="00F57FBD">
        <w:rPr>
          <w:szCs w:val="20"/>
          <w:lang w:eastAsia="en-AU"/>
        </w:rPr>
        <w:t>is whether the mismatch would still arise if the instrument was</w:t>
      </w:r>
      <w:r w:rsidR="005136CB">
        <w:rPr>
          <w:szCs w:val="20"/>
          <w:lang w:eastAsia="en-AU"/>
        </w:rPr>
        <w:t xml:space="preserve"> a debt instr</w:t>
      </w:r>
      <w:r w:rsidR="000A6F06">
        <w:rPr>
          <w:szCs w:val="20"/>
          <w:lang w:eastAsia="en-AU"/>
        </w:rPr>
        <w:t>ument in the payee country, and</w:t>
      </w:r>
      <w:r w:rsidR="00F57FBD">
        <w:rPr>
          <w:szCs w:val="20"/>
          <w:lang w:eastAsia="en-AU"/>
        </w:rPr>
        <w:t xml:space="preserve"> entered into by a payee of usual or ordinary status for a person in the payee’s class</w:t>
      </w:r>
      <w:r w:rsidR="002D5667">
        <w:rPr>
          <w:szCs w:val="20"/>
          <w:lang w:eastAsia="en-AU"/>
        </w:rPr>
        <w:t xml:space="preserve">. </w:t>
      </w:r>
      <w:r w:rsidR="00F57FBD">
        <w:rPr>
          <w:szCs w:val="20"/>
          <w:lang w:eastAsia="en-AU"/>
        </w:rPr>
        <w:t>If it would, then the mismatch should be attributed to the classification of the instrument, rather than the status of the taxpayer or the context in which the instrument is held</w:t>
      </w:r>
      <w:r w:rsidR="005136CB">
        <w:rPr>
          <w:szCs w:val="20"/>
          <w:lang w:eastAsia="en-AU"/>
        </w:rPr>
        <w:t>, and section FH 3 can apply to the New Zealand payer.</w:t>
      </w:r>
    </w:p>
    <w:p w14:paraId="16EF184D" w14:textId="77777777" w:rsidR="0061762B" w:rsidRDefault="0061762B" w:rsidP="00547BCF">
      <w:pPr>
        <w:pStyle w:val="ListParagraph"/>
        <w:ind w:left="360"/>
        <w:rPr>
          <w:szCs w:val="20"/>
          <w:lang w:eastAsia="en-AU"/>
        </w:rPr>
      </w:pPr>
    </w:p>
    <w:p w14:paraId="15111EAB" w14:textId="77777777" w:rsidR="006F2A96" w:rsidRDefault="006F2A96" w:rsidP="00547BCF">
      <w:pPr>
        <w:pStyle w:val="ListParagraph"/>
        <w:ind w:left="360"/>
        <w:rPr>
          <w:szCs w:val="20"/>
          <w:lang w:eastAsia="en-AU"/>
        </w:rPr>
      </w:pPr>
    </w:p>
    <w:p w14:paraId="50D887FA" w14:textId="7988D23B" w:rsidR="0061762B" w:rsidRPr="00925A3A" w:rsidRDefault="0061762B" w:rsidP="0061762B">
      <w:pPr>
        <w:pBdr>
          <w:top w:val="single" w:sz="4" w:space="10" w:color="auto"/>
          <w:left w:val="single" w:sz="4" w:space="10" w:color="auto"/>
          <w:bottom w:val="single" w:sz="4" w:space="10" w:color="auto"/>
          <w:right w:val="single" w:sz="4" w:space="10" w:color="auto"/>
        </w:pBdr>
        <w:rPr>
          <w:b/>
          <w:sz w:val="20"/>
          <w:szCs w:val="20"/>
          <w:lang w:eastAsia="en-AU"/>
        </w:rPr>
      </w:pPr>
      <w:r>
        <w:rPr>
          <w:b/>
          <w:sz w:val="20"/>
          <w:szCs w:val="20"/>
          <w:lang w:eastAsia="en-AU"/>
        </w:rPr>
        <w:t xml:space="preserve">Example </w:t>
      </w:r>
      <w:r w:rsidR="007A382F">
        <w:rPr>
          <w:b/>
          <w:sz w:val="20"/>
          <w:szCs w:val="20"/>
          <w:lang w:eastAsia="en-AU"/>
        </w:rPr>
        <w:t>7</w:t>
      </w:r>
      <w:r w:rsidR="00824EF8">
        <w:rPr>
          <w:b/>
          <w:sz w:val="20"/>
          <w:szCs w:val="20"/>
          <w:lang w:eastAsia="en-AU"/>
        </w:rPr>
        <w:t>: H</w:t>
      </w:r>
      <w:r w:rsidR="00D6773F">
        <w:rPr>
          <w:b/>
          <w:sz w:val="20"/>
          <w:szCs w:val="20"/>
          <w:lang w:eastAsia="en-AU"/>
        </w:rPr>
        <w:t>ybrid financial instrument</w:t>
      </w:r>
    </w:p>
    <w:p w14:paraId="1DE5603B" w14:textId="77777777" w:rsidR="0061762B" w:rsidRDefault="0061762B" w:rsidP="0061762B">
      <w:pPr>
        <w:pBdr>
          <w:top w:val="single" w:sz="4" w:space="10" w:color="auto"/>
          <w:left w:val="single" w:sz="4" w:space="10" w:color="auto"/>
          <w:bottom w:val="single" w:sz="4" w:space="10" w:color="auto"/>
          <w:right w:val="single" w:sz="4" w:space="10" w:color="auto"/>
        </w:pBdr>
        <w:rPr>
          <w:sz w:val="20"/>
          <w:szCs w:val="20"/>
          <w:lang w:eastAsia="en-AU"/>
        </w:rPr>
      </w:pPr>
    </w:p>
    <w:p w14:paraId="1986C57C" w14:textId="191F5BF0" w:rsidR="0061762B" w:rsidRDefault="0061762B" w:rsidP="0061762B">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Zebra Co (a company resident in Country Z) owns all the shares in Kiwi Co (a company resident in NZ)</w:t>
      </w:r>
      <w:r w:rsidR="002D5667">
        <w:rPr>
          <w:sz w:val="20"/>
          <w:szCs w:val="20"/>
          <w:lang w:eastAsia="en-AU"/>
        </w:rPr>
        <w:t xml:space="preserve">. </w:t>
      </w:r>
      <w:r>
        <w:rPr>
          <w:sz w:val="20"/>
          <w:szCs w:val="20"/>
          <w:lang w:eastAsia="en-AU"/>
        </w:rPr>
        <w:t>Zebra Co lends money to Kiwi Co</w:t>
      </w:r>
      <w:r w:rsidR="002D5667">
        <w:rPr>
          <w:sz w:val="20"/>
          <w:szCs w:val="20"/>
          <w:lang w:eastAsia="en-AU"/>
        </w:rPr>
        <w:t xml:space="preserve">. </w:t>
      </w:r>
      <w:r>
        <w:rPr>
          <w:sz w:val="20"/>
          <w:szCs w:val="20"/>
          <w:lang w:eastAsia="en-AU"/>
        </w:rPr>
        <w:t>The loan carries a market rate of interest which is payable every six months in arrears</w:t>
      </w:r>
      <w:r w:rsidR="002D5667">
        <w:rPr>
          <w:sz w:val="20"/>
          <w:szCs w:val="20"/>
          <w:lang w:eastAsia="en-AU"/>
        </w:rPr>
        <w:t xml:space="preserve">. </w:t>
      </w:r>
      <w:r>
        <w:rPr>
          <w:sz w:val="20"/>
          <w:szCs w:val="20"/>
          <w:lang w:eastAsia="en-AU"/>
        </w:rPr>
        <w:t>Payments of interest and principal under the loan are subordinated to the ordinary creditors of NZ Co and can be suspended in the event Kiwi Co fails to meet certain solvency requirements</w:t>
      </w:r>
      <w:r w:rsidR="002D5667">
        <w:rPr>
          <w:sz w:val="20"/>
          <w:szCs w:val="20"/>
          <w:lang w:eastAsia="en-AU"/>
        </w:rPr>
        <w:t xml:space="preserve">. </w:t>
      </w:r>
      <w:r>
        <w:rPr>
          <w:sz w:val="20"/>
          <w:szCs w:val="20"/>
          <w:lang w:eastAsia="en-AU"/>
        </w:rPr>
        <w:t>New Zealand treats the subordinated loan as a debt instrument, while Country Z treats the loan as akin to equity and treats payments under the loan as exempt foreign-sourced dividends.</w:t>
      </w:r>
    </w:p>
    <w:p w14:paraId="1EAC8ED4" w14:textId="77777777" w:rsidR="0061762B" w:rsidRDefault="0061762B" w:rsidP="0061762B">
      <w:pPr>
        <w:pBdr>
          <w:top w:val="single" w:sz="4" w:space="10" w:color="auto"/>
          <w:left w:val="single" w:sz="4" w:space="10" w:color="auto"/>
          <w:bottom w:val="single" w:sz="4" w:space="10" w:color="auto"/>
          <w:right w:val="single" w:sz="4" w:space="10" w:color="auto"/>
        </w:pBdr>
        <w:rPr>
          <w:sz w:val="20"/>
          <w:szCs w:val="20"/>
          <w:lang w:eastAsia="en-AU"/>
        </w:rPr>
      </w:pPr>
    </w:p>
    <w:p w14:paraId="5CBE2A45" w14:textId="3E1AA158" w:rsidR="0061762B" w:rsidRPr="0061762B" w:rsidRDefault="0061762B" w:rsidP="0061762B">
      <w:pPr>
        <w:pBdr>
          <w:top w:val="single" w:sz="4" w:space="10" w:color="auto"/>
          <w:left w:val="single" w:sz="4" w:space="10" w:color="auto"/>
          <w:bottom w:val="single" w:sz="4" w:space="10" w:color="auto"/>
          <w:right w:val="single" w:sz="4" w:space="10" w:color="auto"/>
        </w:pBdr>
        <w:rPr>
          <w:sz w:val="20"/>
          <w:szCs w:val="20"/>
          <w:lang w:eastAsia="en-AU"/>
        </w:rPr>
      </w:pPr>
      <w:r w:rsidRPr="0061762B">
        <w:rPr>
          <w:sz w:val="20"/>
          <w:szCs w:val="20"/>
          <w:lang w:eastAsia="en-AU"/>
        </w:rPr>
        <w:t>The payments on the loan fall within the scope of the hybrid financial instrument rule. Country Z’s does not recognise the arrangement between Zebra Co ad Kiwi Co as giving rise to ordinary income for Zebra Co, as it is an exempt dividend that is not taxed at the payee’s full marginal rate. If the classification of the arrangement were varied such that Country Z viewed the arrangement as an ordinary loan, the dividends would be recognised as interest income that is fully taxable to Zebra Co. As a result, the counterfactual requirement in FH 3(2) is satisfied. Kiwi Co is denied a deduction for its interest expenditure under FH 3(4).</w:t>
      </w:r>
    </w:p>
    <w:p w14:paraId="5DC49F12" w14:textId="54DEA970" w:rsidR="00DD271E" w:rsidRPr="0061762B" w:rsidRDefault="00DD271E" w:rsidP="0061762B">
      <w:pPr>
        <w:rPr>
          <w:szCs w:val="20"/>
          <w:lang w:eastAsia="en-AU"/>
        </w:rPr>
      </w:pPr>
    </w:p>
    <w:p w14:paraId="2897CA8D" w14:textId="3860F60B" w:rsidR="00C1683B" w:rsidRPr="00925A3A" w:rsidRDefault="00C1683B" w:rsidP="00C1683B">
      <w:pPr>
        <w:pBdr>
          <w:top w:val="single" w:sz="4" w:space="10" w:color="auto"/>
          <w:left w:val="single" w:sz="4" w:space="10" w:color="auto"/>
          <w:bottom w:val="single" w:sz="4" w:space="10" w:color="auto"/>
          <w:right w:val="single" w:sz="4" w:space="10" w:color="auto"/>
        </w:pBdr>
        <w:rPr>
          <w:b/>
          <w:sz w:val="20"/>
          <w:szCs w:val="20"/>
          <w:lang w:eastAsia="en-AU"/>
        </w:rPr>
      </w:pPr>
      <w:r>
        <w:rPr>
          <w:b/>
          <w:sz w:val="20"/>
          <w:szCs w:val="20"/>
          <w:lang w:eastAsia="en-AU"/>
        </w:rPr>
        <w:t>Example</w:t>
      </w:r>
      <w:r w:rsidR="006B6A41">
        <w:rPr>
          <w:b/>
          <w:sz w:val="20"/>
          <w:szCs w:val="20"/>
          <w:lang w:eastAsia="en-AU"/>
        </w:rPr>
        <w:t xml:space="preserve"> </w:t>
      </w:r>
      <w:r w:rsidR="007A382F">
        <w:rPr>
          <w:b/>
          <w:sz w:val="20"/>
          <w:szCs w:val="20"/>
          <w:lang w:eastAsia="en-AU"/>
        </w:rPr>
        <w:t>8</w:t>
      </w:r>
      <w:r w:rsidR="00824EF8">
        <w:rPr>
          <w:b/>
          <w:sz w:val="20"/>
          <w:szCs w:val="20"/>
          <w:lang w:eastAsia="en-AU"/>
        </w:rPr>
        <w:t>: I</w:t>
      </w:r>
      <w:r>
        <w:rPr>
          <w:b/>
          <w:sz w:val="20"/>
          <w:szCs w:val="20"/>
          <w:lang w:eastAsia="en-AU"/>
        </w:rPr>
        <w:t>nter</w:t>
      </w:r>
      <w:r w:rsidR="00D6773F">
        <w:rPr>
          <w:b/>
          <w:sz w:val="20"/>
          <w:szCs w:val="20"/>
          <w:lang w:eastAsia="en-AU"/>
        </w:rPr>
        <w:t>est payment to an exempt person</w:t>
      </w:r>
    </w:p>
    <w:p w14:paraId="62423E31" w14:textId="77777777" w:rsidR="00C1683B" w:rsidRDefault="00C1683B" w:rsidP="00C1683B">
      <w:pPr>
        <w:pBdr>
          <w:top w:val="single" w:sz="4" w:space="10" w:color="auto"/>
          <w:left w:val="single" w:sz="4" w:space="10" w:color="auto"/>
          <w:bottom w:val="single" w:sz="4" w:space="10" w:color="auto"/>
          <w:right w:val="single" w:sz="4" w:space="10" w:color="auto"/>
        </w:pBdr>
        <w:rPr>
          <w:sz w:val="20"/>
          <w:szCs w:val="20"/>
          <w:lang w:eastAsia="en-AU"/>
        </w:rPr>
      </w:pPr>
    </w:p>
    <w:p w14:paraId="2258B5C5" w14:textId="516FD563" w:rsidR="00C1683B" w:rsidRDefault="00C371F6" w:rsidP="00C1683B">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Elephant</w:t>
      </w:r>
      <w:r w:rsidR="00C1683B">
        <w:rPr>
          <w:sz w:val="20"/>
          <w:szCs w:val="20"/>
          <w:lang w:eastAsia="en-AU"/>
        </w:rPr>
        <w:t xml:space="preserve"> Co (a company resident in Country E) owns </w:t>
      </w:r>
      <w:r w:rsidR="00C53D74">
        <w:rPr>
          <w:sz w:val="20"/>
          <w:szCs w:val="20"/>
          <w:lang w:eastAsia="en-AU"/>
        </w:rPr>
        <w:t>forty percent</w:t>
      </w:r>
      <w:r w:rsidR="005136CB">
        <w:rPr>
          <w:sz w:val="20"/>
          <w:szCs w:val="20"/>
          <w:lang w:eastAsia="en-AU"/>
        </w:rPr>
        <w:t xml:space="preserve"> of</w:t>
      </w:r>
      <w:r w:rsidR="00C1683B">
        <w:rPr>
          <w:sz w:val="20"/>
          <w:szCs w:val="20"/>
          <w:lang w:eastAsia="en-AU"/>
        </w:rPr>
        <w:t xml:space="preserve"> the shares in </w:t>
      </w:r>
      <w:r>
        <w:rPr>
          <w:sz w:val="20"/>
          <w:szCs w:val="20"/>
          <w:lang w:eastAsia="en-AU"/>
        </w:rPr>
        <w:t>Kiwi</w:t>
      </w:r>
      <w:r w:rsidR="00C1683B">
        <w:rPr>
          <w:sz w:val="20"/>
          <w:szCs w:val="20"/>
          <w:lang w:eastAsia="en-AU"/>
        </w:rPr>
        <w:t xml:space="preserve"> Co (a company resident in NZ)</w:t>
      </w:r>
      <w:r w:rsidR="002D5667">
        <w:rPr>
          <w:sz w:val="20"/>
          <w:szCs w:val="20"/>
          <w:lang w:eastAsia="en-AU"/>
        </w:rPr>
        <w:t xml:space="preserve">. </w:t>
      </w:r>
      <w:r>
        <w:rPr>
          <w:sz w:val="20"/>
          <w:szCs w:val="20"/>
          <w:lang w:eastAsia="en-AU"/>
        </w:rPr>
        <w:t>Elephant</w:t>
      </w:r>
      <w:r w:rsidR="00C1683B">
        <w:rPr>
          <w:sz w:val="20"/>
          <w:szCs w:val="20"/>
          <w:lang w:eastAsia="en-AU"/>
        </w:rPr>
        <w:t xml:space="preserve"> Co lends money to </w:t>
      </w:r>
      <w:r>
        <w:rPr>
          <w:sz w:val="20"/>
          <w:szCs w:val="20"/>
          <w:lang w:eastAsia="en-AU"/>
        </w:rPr>
        <w:t>Kiwi</w:t>
      </w:r>
      <w:r w:rsidR="00C1683B">
        <w:rPr>
          <w:sz w:val="20"/>
          <w:szCs w:val="20"/>
          <w:lang w:eastAsia="en-AU"/>
        </w:rPr>
        <w:t xml:space="preserve"> Co</w:t>
      </w:r>
      <w:r w:rsidR="002D5667">
        <w:rPr>
          <w:sz w:val="20"/>
          <w:szCs w:val="20"/>
          <w:lang w:eastAsia="en-AU"/>
        </w:rPr>
        <w:t xml:space="preserve">. </w:t>
      </w:r>
      <w:r w:rsidR="00C1683B">
        <w:rPr>
          <w:sz w:val="20"/>
          <w:szCs w:val="20"/>
          <w:lang w:eastAsia="en-AU"/>
        </w:rPr>
        <w:t>The loan carries a market rate of interest which is payable every six months in arrears</w:t>
      </w:r>
      <w:r w:rsidR="002D5667">
        <w:rPr>
          <w:sz w:val="20"/>
          <w:szCs w:val="20"/>
          <w:lang w:eastAsia="en-AU"/>
        </w:rPr>
        <w:t xml:space="preserve">. </w:t>
      </w:r>
      <w:r w:rsidR="00C1683B">
        <w:rPr>
          <w:sz w:val="20"/>
          <w:szCs w:val="20"/>
          <w:lang w:eastAsia="en-AU"/>
        </w:rPr>
        <w:t xml:space="preserve">Payments of interest and principal under the loan are subordinated to the ordinary creditors of NZ Co and can be suspended in the event </w:t>
      </w:r>
      <w:r>
        <w:rPr>
          <w:sz w:val="20"/>
          <w:szCs w:val="20"/>
          <w:lang w:eastAsia="en-AU"/>
        </w:rPr>
        <w:t>Kiwi</w:t>
      </w:r>
      <w:r w:rsidR="00C1683B">
        <w:rPr>
          <w:sz w:val="20"/>
          <w:szCs w:val="20"/>
          <w:lang w:eastAsia="en-AU"/>
        </w:rPr>
        <w:t xml:space="preserve"> Co fails to meet certain solvency requirements</w:t>
      </w:r>
      <w:r w:rsidR="002D5667">
        <w:rPr>
          <w:sz w:val="20"/>
          <w:szCs w:val="20"/>
          <w:lang w:eastAsia="en-AU"/>
        </w:rPr>
        <w:t xml:space="preserve">. </w:t>
      </w:r>
      <w:r w:rsidR="00C1683B">
        <w:rPr>
          <w:sz w:val="20"/>
          <w:szCs w:val="20"/>
          <w:lang w:eastAsia="en-AU"/>
        </w:rPr>
        <w:t xml:space="preserve">Both </w:t>
      </w:r>
      <w:r w:rsidR="0005115C">
        <w:rPr>
          <w:sz w:val="20"/>
          <w:szCs w:val="20"/>
          <w:lang w:eastAsia="en-AU"/>
        </w:rPr>
        <w:t>Country E and New Zealand</w:t>
      </w:r>
      <w:r w:rsidR="00C1683B">
        <w:rPr>
          <w:sz w:val="20"/>
          <w:szCs w:val="20"/>
          <w:lang w:eastAsia="en-AU"/>
        </w:rPr>
        <w:t xml:space="preserve"> treat the subordinated loan as a debt instrument.</w:t>
      </w:r>
    </w:p>
    <w:p w14:paraId="4042037C" w14:textId="77777777" w:rsidR="00C1683B" w:rsidRDefault="00C1683B" w:rsidP="00C1683B">
      <w:pPr>
        <w:pBdr>
          <w:top w:val="single" w:sz="4" w:space="10" w:color="auto"/>
          <w:left w:val="single" w:sz="4" w:space="10" w:color="auto"/>
          <w:bottom w:val="single" w:sz="4" w:space="10" w:color="auto"/>
          <w:right w:val="single" w:sz="4" w:space="10" w:color="auto"/>
        </w:pBdr>
        <w:rPr>
          <w:sz w:val="20"/>
          <w:szCs w:val="20"/>
          <w:lang w:eastAsia="en-AU"/>
        </w:rPr>
      </w:pPr>
    </w:p>
    <w:p w14:paraId="3F8C7960" w14:textId="4621A8EE" w:rsidR="00C1683B" w:rsidRDefault="00C1683B" w:rsidP="00C1683B">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E</w:t>
      </w:r>
      <w:r w:rsidR="00C371F6">
        <w:rPr>
          <w:sz w:val="20"/>
          <w:szCs w:val="20"/>
          <w:lang w:eastAsia="en-AU"/>
        </w:rPr>
        <w:t>lephant</w:t>
      </w:r>
      <w:r>
        <w:rPr>
          <w:sz w:val="20"/>
          <w:szCs w:val="20"/>
          <w:lang w:eastAsia="en-AU"/>
        </w:rPr>
        <w:t xml:space="preserve"> Co is a sovereign wealth fund established under Country E law that is exempt from tax on all income</w:t>
      </w:r>
      <w:r w:rsidR="002D5667">
        <w:rPr>
          <w:sz w:val="20"/>
          <w:szCs w:val="20"/>
          <w:lang w:eastAsia="en-AU"/>
        </w:rPr>
        <w:t xml:space="preserve">. </w:t>
      </w:r>
      <w:r>
        <w:rPr>
          <w:sz w:val="20"/>
          <w:szCs w:val="20"/>
          <w:lang w:eastAsia="en-AU"/>
        </w:rPr>
        <w:t>E Co is therefore not taxable on the interest payment.</w:t>
      </w:r>
    </w:p>
    <w:p w14:paraId="0B191CBD" w14:textId="77777777" w:rsidR="00C1683B" w:rsidRDefault="00C1683B" w:rsidP="00C1683B">
      <w:pPr>
        <w:pBdr>
          <w:top w:val="single" w:sz="4" w:space="10" w:color="auto"/>
          <w:left w:val="single" w:sz="4" w:space="10" w:color="auto"/>
          <w:bottom w:val="single" w:sz="4" w:space="10" w:color="auto"/>
          <w:right w:val="single" w:sz="4" w:space="10" w:color="auto"/>
        </w:pBdr>
        <w:rPr>
          <w:sz w:val="20"/>
          <w:szCs w:val="20"/>
          <w:lang w:eastAsia="en-AU"/>
        </w:rPr>
      </w:pPr>
    </w:p>
    <w:p w14:paraId="5D702F5D" w14:textId="77777777" w:rsidR="00C1683B" w:rsidRDefault="00C1683B" w:rsidP="00C1683B">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Question 1</w:t>
      </w:r>
    </w:p>
    <w:p w14:paraId="33D5DF2C" w14:textId="77777777" w:rsidR="00C1683B" w:rsidRDefault="00C1683B" w:rsidP="00C1683B">
      <w:pPr>
        <w:pBdr>
          <w:top w:val="single" w:sz="4" w:space="10" w:color="auto"/>
          <w:left w:val="single" w:sz="4" w:space="10" w:color="auto"/>
          <w:bottom w:val="single" w:sz="4" w:space="10" w:color="auto"/>
          <w:right w:val="single" w:sz="4" w:space="10" w:color="auto"/>
        </w:pBdr>
        <w:rPr>
          <w:i/>
          <w:sz w:val="20"/>
          <w:szCs w:val="20"/>
          <w:lang w:eastAsia="en-AU"/>
        </w:rPr>
      </w:pPr>
    </w:p>
    <w:p w14:paraId="2EDF7367" w14:textId="016E3812" w:rsidR="00C1683B" w:rsidRDefault="00C1683B" w:rsidP="00C1683B">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Whether the interest payments under the loan fall within the scope of the hybrid financial i</w:t>
      </w:r>
      <w:r w:rsidR="00D6773F">
        <w:rPr>
          <w:sz w:val="20"/>
          <w:szCs w:val="20"/>
          <w:lang w:eastAsia="en-AU"/>
        </w:rPr>
        <w:t>nstrument rule in section FH 3?</w:t>
      </w:r>
    </w:p>
    <w:p w14:paraId="4D5AF6C8" w14:textId="77777777" w:rsidR="00C1683B" w:rsidRDefault="00C1683B" w:rsidP="00C1683B">
      <w:pPr>
        <w:pBdr>
          <w:top w:val="single" w:sz="4" w:space="10" w:color="auto"/>
          <w:left w:val="single" w:sz="4" w:space="10" w:color="auto"/>
          <w:bottom w:val="single" w:sz="4" w:space="10" w:color="auto"/>
          <w:right w:val="single" w:sz="4" w:space="10" w:color="auto"/>
        </w:pBdr>
        <w:rPr>
          <w:sz w:val="20"/>
          <w:szCs w:val="20"/>
          <w:lang w:eastAsia="en-AU"/>
        </w:rPr>
      </w:pPr>
    </w:p>
    <w:p w14:paraId="35BA319F" w14:textId="7C69BF0F" w:rsidR="00C1683B" w:rsidRDefault="00C1683B" w:rsidP="00C1683B">
      <w:pPr>
        <w:pBdr>
          <w:top w:val="single" w:sz="4" w:space="10" w:color="auto"/>
          <w:left w:val="single" w:sz="4" w:space="10" w:color="auto"/>
          <w:bottom w:val="single" w:sz="4" w:space="10" w:color="auto"/>
          <w:right w:val="single" w:sz="4" w:space="10" w:color="auto"/>
        </w:pBdr>
        <w:rPr>
          <w:sz w:val="20"/>
          <w:szCs w:val="20"/>
          <w:lang w:eastAsia="en-AU"/>
        </w:rPr>
      </w:pPr>
      <w:r>
        <w:rPr>
          <w:i/>
          <w:sz w:val="20"/>
          <w:szCs w:val="20"/>
          <w:lang w:eastAsia="en-AU"/>
        </w:rPr>
        <w:t>Answe</w:t>
      </w:r>
      <w:r w:rsidRPr="00547BCF">
        <w:rPr>
          <w:i/>
          <w:sz w:val="20"/>
          <w:szCs w:val="20"/>
          <w:lang w:eastAsia="en-AU"/>
        </w:rPr>
        <w:t>r 1</w:t>
      </w:r>
    </w:p>
    <w:p w14:paraId="430E67DE" w14:textId="77777777" w:rsidR="00C1683B" w:rsidRDefault="00C1683B" w:rsidP="00C1683B">
      <w:pPr>
        <w:pBdr>
          <w:top w:val="single" w:sz="4" w:space="10" w:color="auto"/>
          <w:left w:val="single" w:sz="4" w:space="10" w:color="auto"/>
          <w:bottom w:val="single" w:sz="4" w:space="10" w:color="auto"/>
          <w:right w:val="single" w:sz="4" w:space="10" w:color="auto"/>
        </w:pBdr>
        <w:rPr>
          <w:sz w:val="20"/>
          <w:szCs w:val="20"/>
          <w:lang w:eastAsia="en-AU"/>
        </w:rPr>
      </w:pPr>
    </w:p>
    <w:p w14:paraId="1AB397F4" w14:textId="3B218E67" w:rsidR="00C1683B" w:rsidRDefault="001674C0" w:rsidP="00C1683B">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No</w:t>
      </w:r>
      <w:r w:rsidR="002D5667">
        <w:rPr>
          <w:sz w:val="20"/>
          <w:szCs w:val="20"/>
          <w:lang w:eastAsia="en-AU"/>
        </w:rPr>
        <w:t xml:space="preserve">. </w:t>
      </w:r>
      <w:r w:rsidR="00C1683B">
        <w:rPr>
          <w:sz w:val="20"/>
          <w:szCs w:val="20"/>
          <w:lang w:eastAsia="en-AU"/>
        </w:rPr>
        <w:t xml:space="preserve">The </w:t>
      </w:r>
      <w:r w:rsidR="0018757D">
        <w:rPr>
          <w:sz w:val="20"/>
          <w:szCs w:val="20"/>
          <w:lang w:eastAsia="en-AU"/>
        </w:rPr>
        <w:t>interest payments</w:t>
      </w:r>
      <w:r w:rsidR="00C1683B">
        <w:rPr>
          <w:sz w:val="20"/>
          <w:szCs w:val="20"/>
          <w:lang w:eastAsia="en-AU"/>
        </w:rPr>
        <w:t xml:space="preserve"> under the loan give rise to a mismatch in tax outcomes as </w:t>
      </w:r>
      <w:r w:rsidR="0018757D">
        <w:rPr>
          <w:sz w:val="20"/>
          <w:szCs w:val="20"/>
          <w:lang w:eastAsia="en-AU"/>
        </w:rPr>
        <w:t>they are</w:t>
      </w:r>
      <w:r w:rsidR="00C1683B">
        <w:rPr>
          <w:sz w:val="20"/>
          <w:szCs w:val="20"/>
          <w:lang w:eastAsia="en-AU"/>
        </w:rPr>
        <w:t xml:space="preserve"> deductible under NZ law, but </w:t>
      </w:r>
      <w:r w:rsidR="00851B16">
        <w:rPr>
          <w:sz w:val="20"/>
          <w:szCs w:val="20"/>
          <w:lang w:eastAsia="en-AU"/>
        </w:rPr>
        <w:t xml:space="preserve">are </w:t>
      </w:r>
      <w:r w:rsidR="00C1683B">
        <w:rPr>
          <w:sz w:val="20"/>
          <w:szCs w:val="20"/>
          <w:lang w:eastAsia="en-AU"/>
        </w:rPr>
        <w:t xml:space="preserve">not included in ordinary income under Country </w:t>
      </w:r>
      <w:r w:rsidR="005136CB">
        <w:rPr>
          <w:sz w:val="20"/>
          <w:szCs w:val="20"/>
          <w:lang w:eastAsia="en-AU"/>
        </w:rPr>
        <w:t>E</w:t>
      </w:r>
      <w:r w:rsidR="00C1683B">
        <w:rPr>
          <w:sz w:val="20"/>
          <w:szCs w:val="20"/>
          <w:lang w:eastAsia="en-AU"/>
        </w:rPr>
        <w:t xml:space="preserve"> law</w:t>
      </w:r>
      <w:r w:rsidR="002D5667">
        <w:rPr>
          <w:sz w:val="20"/>
          <w:szCs w:val="20"/>
          <w:lang w:eastAsia="en-AU"/>
        </w:rPr>
        <w:t xml:space="preserve">. </w:t>
      </w:r>
      <w:r w:rsidR="00C1683B">
        <w:rPr>
          <w:sz w:val="20"/>
          <w:szCs w:val="20"/>
          <w:lang w:eastAsia="en-AU"/>
        </w:rPr>
        <w:t>However, the D/NI</w:t>
      </w:r>
      <w:r w:rsidR="005E7FF9">
        <w:rPr>
          <w:sz w:val="20"/>
          <w:szCs w:val="20"/>
          <w:lang w:eastAsia="en-AU"/>
        </w:rPr>
        <w:t xml:space="preserve"> result </w:t>
      </w:r>
      <w:r w:rsidR="00C1683B">
        <w:rPr>
          <w:sz w:val="20"/>
          <w:szCs w:val="20"/>
          <w:lang w:eastAsia="en-AU"/>
        </w:rPr>
        <w:t>is not dependent on the classification of the financial instrument (</w:t>
      </w:r>
      <w:r w:rsidR="00DA324C">
        <w:rPr>
          <w:sz w:val="20"/>
          <w:szCs w:val="20"/>
          <w:lang w:eastAsia="en-AU"/>
        </w:rPr>
        <w:t>that is,</w:t>
      </w:r>
      <w:r w:rsidR="00C1683B">
        <w:rPr>
          <w:sz w:val="20"/>
          <w:szCs w:val="20"/>
          <w:lang w:eastAsia="en-AU"/>
        </w:rPr>
        <w:t xml:space="preserve"> the subordinated loan)</w:t>
      </w:r>
      <w:r w:rsidR="002D5667">
        <w:rPr>
          <w:sz w:val="20"/>
          <w:szCs w:val="20"/>
          <w:lang w:eastAsia="en-AU"/>
        </w:rPr>
        <w:t xml:space="preserve">. </w:t>
      </w:r>
      <w:r w:rsidR="00C1683B">
        <w:rPr>
          <w:sz w:val="20"/>
          <w:szCs w:val="20"/>
          <w:lang w:eastAsia="en-AU"/>
        </w:rPr>
        <w:t xml:space="preserve">Rather, it applies solely because of the tax exempt status of </w:t>
      </w:r>
      <w:r w:rsidR="00C371F6">
        <w:rPr>
          <w:sz w:val="20"/>
          <w:szCs w:val="20"/>
          <w:lang w:eastAsia="en-AU"/>
        </w:rPr>
        <w:t>Elephant</w:t>
      </w:r>
      <w:r w:rsidR="00C1683B">
        <w:rPr>
          <w:sz w:val="20"/>
          <w:szCs w:val="20"/>
          <w:lang w:eastAsia="en-AU"/>
        </w:rPr>
        <w:t xml:space="preserve"> Co as a sovereign wealth fund</w:t>
      </w:r>
      <w:r w:rsidR="002D5667">
        <w:rPr>
          <w:sz w:val="20"/>
          <w:szCs w:val="20"/>
          <w:lang w:eastAsia="en-AU"/>
        </w:rPr>
        <w:t xml:space="preserve">. </w:t>
      </w:r>
      <w:r w:rsidR="00C1683B">
        <w:rPr>
          <w:sz w:val="20"/>
          <w:szCs w:val="20"/>
          <w:lang w:eastAsia="en-AU"/>
        </w:rPr>
        <w:t>The mismatch in tax outcomes would not have arisen had the interest been paid to a taxpayer of usual status (say a company), so cannot be attributed to the classification of the instrument.</w:t>
      </w:r>
    </w:p>
    <w:p w14:paraId="76D9191E" w14:textId="77777777" w:rsidR="00C1683B" w:rsidRDefault="00C1683B" w:rsidP="00C1683B">
      <w:pPr>
        <w:pBdr>
          <w:top w:val="single" w:sz="4" w:space="10" w:color="auto"/>
          <w:left w:val="single" w:sz="4" w:space="10" w:color="auto"/>
          <w:bottom w:val="single" w:sz="4" w:space="10" w:color="auto"/>
          <w:right w:val="single" w:sz="4" w:space="10" w:color="auto"/>
        </w:pBdr>
        <w:rPr>
          <w:sz w:val="20"/>
          <w:szCs w:val="20"/>
          <w:lang w:eastAsia="en-AU"/>
        </w:rPr>
      </w:pPr>
    </w:p>
    <w:p w14:paraId="01A59DEC" w14:textId="13C6663D" w:rsidR="005E7FF9" w:rsidRDefault="00C1683B" w:rsidP="00C1683B">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lastRenderedPageBreak/>
        <w:t>Question 2</w:t>
      </w:r>
    </w:p>
    <w:p w14:paraId="49A80A53" w14:textId="77777777" w:rsidR="0018757D" w:rsidRDefault="0018757D" w:rsidP="00C1683B">
      <w:pPr>
        <w:pBdr>
          <w:top w:val="single" w:sz="4" w:space="10" w:color="auto"/>
          <w:left w:val="single" w:sz="4" w:space="10" w:color="auto"/>
          <w:bottom w:val="single" w:sz="4" w:space="10" w:color="auto"/>
          <w:right w:val="single" w:sz="4" w:space="10" w:color="auto"/>
        </w:pBdr>
        <w:rPr>
          <w:sz w:val="20"/>
          <w:szCs w:val="20"/>
          <w:lang w:eastAsia="en-AU"/>
        </w:rPr>
      </w:pPr>
    </w:p>
    <w:p w14:paraId="4EA0F6B5" w14:textId="4E14A1B8" w:rsidR="00C1683B" w:rsidRPr="00547BCF" w:rsidRDefault="005E7FF9" w:rsidP="00C1683B">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Whether </w:t>
      </w:r>
      <w:r w:rsidR="00477362">
        <w:rPr>
          <w:sz w:val="20"/>
          <w:szCs w:val="20"/>
          <w:lang w:eastAsia="en-AU"/>
        </w:rPr>
        <w:t xml:space="preserve">the outcome above changes if the subordinated loan is instead a hybrid financial instrument that is treated as an equity instrument by </w:t>
      </w:r>
      <w:r w:rsidR="004D346F">
        <w:rPr>
          <w:sz w:val="20"/>
          <w:szCs w:val="20"/>
          <w:lang w:eastAsia="en-AU"/>
        </w:rPr>
        <w:t>Country E</w:t>
      </w:r>
      <w:r w:rsidR="00477362">
        <w:rPr>
          <w:sz w:val="20"/>
          <w:szCs w:val="20"/>
          <w:lang w:eastAsia="en-AU"/>
        </w:rPr>
        <w:t xml:space="preserve"> </w:t>
      </w:r>
      <w:r w:rsidR="006F1BA1">
        <w:rPr>
          <w:sz w:val="20"/>
          <w:szCs w:val="20"/>
          <w:lang w:eastAsia="en-AU"/>
        </w:rPr>
        <w:t xml:space="preserve">(with dividends treated as exempt) </w:t>
      </w:r>
      <w:r w:rsidR="00477362">
        <w:rPr>
          <w:sz w:val="20"/>
          <w:szCs w:val="20"/>
          <w:lang w:eastAsia="en-AU"/>
        </w:rPr>
        <w:t xml:space="preserve">but a debt instrument by </w:t>
      </w:r>
      <w:r w:rsidR="004D346F">
        <w:rPr>
          <w:sz w:val="20"/>
          <w:szCs w:val="20"/>
          <w:lang w:eastAsia="en-AU"/>
        </w:rPr>
        <w:t>New Zealand</w:t>
      </w:r>
      <w:r w:rsidR="006F1BA1">
        <w:rPr>
          <w:sz w:val="20"/>
          <w:szCs w:val="20"/>
          <w:lang w:eastAsia="en-AU"/>
        </w:rPr>
        <w:t xml:space="preserve"> (with interest treated as deductible)</w:t>
      </w:r>
      <w:r w:rsidR="00D6773F">
        <w:rPr>
          <w:sz w:val="20"/>
          <w:szCs w:val="20"/>
          <w:lang w:eastAsia="en-AU"/>
        </w:rPr>
        <w:t>?</w:t>
      </w:r>
    </w:p>
    <w:p w14:paraId="102559EB" w14:textId="77777777" w:rsidR="00C1683B" w:rsidRDefault="00C1683B" w:rsidP="00C1683B">
      <w:pPr>
        <w:pBdr>
          <w:top w:val="single" w:sz="4" w:space="10" w:color="auto"/>
          <w:left w:val="single" w:sz="4" w:space="10" w:color="auto"/>
          <w:bottom w:val="single" w:sz="4" w:space="10" w:color="auto"/>
          <w:right w:val="single" w:sz="4" w:space="10" w:color="auto"/>
        </w:pBdr>
        <w:rPr>
          <w:i/>
          <w:sz w:val="20"/>
          <w:szCs w:val="20"/>
          <w:lang w:eastAsia="en-AU"/>
        </w:rPr>
      </w:pPr>
    </w:p>
    <w:p w14:paraId="03F74FE3" w14:textId="28ACB481" w:rsidR="00C1683B" w:rsidRDefault="00C1683B" w:rsidP="00C1683B">
      <w:pPr>
        <w:pBdr>
          <w:top w:val="single" w:sz="4" w:space="10" w:color="auto"/>
          <w:left w:val="single" w:sz="4" w:space="10" w:color="auto"/>
          <w:bottom w:val="single" w:sz="4" w:space="10" w:color="auto"/>
          <w:right w:val="single" w:sz="4" w:space="10" w:color="auto"/>
        </w:pBdr>
        <w:rPr>
          <w:sz w:val="20"/>
          <w:szCs w:val="20"/>
          <w:lang w:eastAsia="en-AU"/>
        </w:rPr>
      </w:pPr>
      <w:r>
        <w:rPr>
          <w:i/>
          <w:sz w:val="20"/>
          <w:szCs w:val="20"/>
          <w:lang w:eastAsia="en-AU"/>
        </w:rPr>
        <w:t>Answer 2</w:t>
      </w:r>
    </w:p>
    <w:p w14:paraId="41C05DD4" w14:textId="77777777" w:rsidR="00477362" w:rsidRDefault="00477362" w:rsidP="00C1683B">
      <w:pPr>
        <w:pBdr>
          <w:top w:val="single" w:sz="4" w:space="10" w:color="auto"/>
          <w:left w:val="single" w:sz="4" w:space="10" w:color="auto"/>
          <w:bottom w:val="single" w:sz="4" w:space="10" w:color="auto"/>
          <w:right w:val="single" w:sz="4" w:space="10" w:color="auto"/>
        </w:pBdr>
        <w:rPr>
          <w:sz w:val="20"/>
          <w:szCs w:val="20"/>
          <w:lang w:eastAsia="en-AU"/>
        </w:rPr>
      </w:pPr>
    </w:p>
    <w:p w14:paraId="0BDC67DC" w14:textId="2B1C27CB" w:rsidR="00F403E4" w:rsidRDefault="006F1BA1" w:rsidP="00C1683B">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Yes</w:t>
      </w:r>
      <w:r w:rsidR="002D5667">
        <w:rPr>
          <w:sz w:val="20"/>
          <w:szCs w:val="20"/>
          <w:lang w:eastAsia="en-AU"/>
        </w:rPr>
        <w:t xml:space="preserve">. </w:t>
      </w:r>
      <w:r>
        <w:rPr>
          <w:sz w:val="20"/>
          <w:szCs w:val="20"/>
          <w:lang w:eastAsia="en-AU"/>
        </w:rPr>
        <w:t>The D/NI result now arise</w:t>
      </w:r>
      <w:r w:rsidR="006355F6">
        <w:rPr>
          <w:sz w:val="20"/>
          <w:szCs w:val="20"/>
          <w:lang w:eastAsia="en-AU"/>
        </w:rPr>
        <w:t>s</w:t>
      </w:r>
      <w:r>
        <w:rPr>
          <w:sz w:val="20"/>
          <w:szCs w:val="20"/>
          <w:lang w:eastAsia="en-AU"/>
        </w:rPr>
        <w:t xml:space="preserve"> for two reasons</w:t>
      </w:r>
      <w:r w:rsidR="009160EE">
        <w:rPr>
          <w:sz w:val="20"/>
          <w:szCs w:val="20"/>
          <w:lang w:eastAsia="en-AU"/>
        </w:rPr>
        <w:t>: (1</w:t>
      </w:r>
      <w:r>
        <w:rPr>
          <w:sz w:val="20"/>
          <w:szCs w:val="20"/>
          <w:lang w:eastAsia="en-AU"/>
        </w:rPr>
        <w:t xml:space="preserve">) </w:t>
      </w:r>
      <w:r w:rsidR="00C371F6">
        <w:rPr>
          <w:sz w:val="20"/>
          <w:szCs w:val="20"/>
          <w:lang w:eastAsia="en-AU"/>
        </w:rPr>
        <w:t>Elephant</w:t>
      </w:r>
      <w:r>
        <w:rPr>
          <w:sz w:val="20"/>
          <w:szCs w:val="20"/>
          <w:lang w:eastAsia="en-AU"/>
        </w:rPr>
        <w:t xml:space="preserve"> Co is a tax exempt sovereign wealth fund; </w:t>
      </w:r>
      <w:r w:rsidR="009160EE">
        <w:rPr>
          <w:sz w:val="20"/>
          <w:szCs w:val="20"/>
          <w:lang w:eastAsia="en-AU"/>
        </w:rPr>
        <w:t>and (2</w:t>
      </w:r>
      <w:r>
        <w:rPr>
          <w:sz w:val="20"/>
          <w:szCs w:val="20"/>
          <w:lang w:eastAsia="en-AU"/>
        </w:rPr>
        <w:t xml:space="preserve">) Country E treats the hybrid financial instrument as an equity instrument but </w:t>
      </w:r>
      <w:r w:rsidR="00C371F6">
        <w:rPr>
          <w:sz w:val="20"/>
          <w:szCs w:val="20"/>
          <w:lang w:eastAsia="en-AU"/>
        </w:rPr>
        <w:t>Kiwi</w:t>
      </w:r>
      <w:r>
        <w:rPr>
          <w:sz w:val="20"/>
          <w:szCs w:val="20"/>
          <w:lang w:eastAsia="en-AU"/>
        </w:rPr>
        <w:t xml:space="preserve"> Co treats it as a debt instrument</w:t>
      </w:r>
      <w:r w:rsidR="002D5667">
        <w:rPr>
          <w:sz w:val="20"/>
          <w:szCs w:val="20"/>
          <w:lang w:eastAsia="en-AU"/>
        </w:rPr>
        <w:t xml:space="preserve">. </w:t>
      </w:r>
      <w:r w:rsidR="0010728D">
        <w:rPr>
          <w:sz w:val="20"/>
          <w:szCs w:val="20"/>
          <w:lang w:eastAsia="en-AU"/>
        </w:rPr>
        <w:t>W</w:t>
      </w:r>
      <w:r w:rsidR="00C4646B">
        <w:rPr>
          <w:sz w:val="20"/>
          <w:szCs w:val="20"/>
          <w:lang w:eastAsia="en-AU"/>
        </w:rPr>
        <w:t xml:space="preserve">hether there is a character mismatch under subsection FH 3(2) </w:t>
      </w:r>
      <w:r w:rsidR="00371B58">
        <w:rPr>
          <w:sz w:val="20"/>
          <w:szCs w:val="20"/>
          <w:lang w:eastAsia="en-AU"/>
        </w:rPr>
        <w:t xml:space="preserve">then depends on whether there would be a D/NI result if </w:t>
      </w:r>
      <w:r w:rsidR="00C371F6">
        <w:rPr>
          <w:sz w:val="20"/>
          <w:szCs w:val="20"/>
          <w:lang w:eastAsia="en-AU"/>
        </w:rPr>
        <w:t>Elephant</w:t>
      </w:r>
      <w:r w:rsidR="00371B58">
        <w:rPr>
          <w:sz w:val="20"/>
          <w:szCs w:val="20"/>
          <w:lang w:eastAsia="en-AU"/>
        </w:rPr>
        <w:t xml:space="preserve"> Co had the usual tax status for a person of the </w:t>
      </w:r>
      <w:r w:rsidR="005136CB">
        <w:rPr>
          <w:sz w:val="20"/>
          <w:szCs w:val="20"/>
          <w:lang w:eastAsia="en-AU"/>
        </w:rPr>
        <w:t>its</w:t>
      </w:r>
      <w:r w:rsidR="00371B58">
        <w:rPr>
          <w:sz w:val="20"/>
          <w:szCs w:val="20"/>
          <w:lang w:eastAsia="en-AU"/>
        </w:rPr>
        <w:t xml:space="preserve"> class (say a company in this case)</w:t>
      </w:r>
      <w:r w:rsidR="002D5667">
        <w:rPr>
          <w:sz w:val="20"/>
          <w:szCs w:val="20"/>
          <w:lang w:eastAsia="en-AU"/>
        </w:rPr>
        <w:t xml:space="preserve">. </w:t>
      </w:r>
      <w:r w:rsidR="006355F6">
        <w:rPr>
          <w:sz w:val="20"/>
          <w:szCs w:val="20"/>
          <w:lang w:eastAsia="en-AU"/>
        </w:rPr>
        <w:t>This will depend on how Elephant Co would be taxed if it were not specifically tax exempt</w:t>
      </w:r>
      <w:r w:rsidR="002D5667">
        <w:rPr>
          <w:sz w:val="20"/>
          <w:szCs w:val="20"/>
          <w:lang w:eastAsia="en-AU"/>
        </w:rPr>
        <w:t xml:space="preserve">. </w:t>
      </w:r>
      <w:r w:rsidR="006355F6">
        <w:rPr>
          <w:sz w:val="20"/>
          <w:szCs w:val="20"/>
          <w:lang w:eastAsia="en-AU"/>
        </w:rPr>
        <w:t>Suppose Elephant Co takes the form of a trust, which would be taxed on the instrument if it were treated as interest in Country E</w:t>
      </w:r>
      <w:r w:rsidR="002D5667">
        <w:rPr>
          <w:sz w:val="20"/>
          <w:szCs w:val="20"/>
          <w:lang w:eastAsia="en-AU"/>
        </w:rPr>
        <w:t xml:space="preserve">. </w:t>
      </w:r>
      <w:r w:rsidR="006355F6">
        <w:rPr>
          <w:sz w:val="20"/>
          <w:szCs w:val="20"/>
          <w:lang w:eastAsia="en-AU"/>
        </w:rPr>
        <w:t xml:space="preserve">In that case there would be </w:t>
      </w:r>
      <w:r w:rsidR="00371B58">
        <w:rPr>
          <w:sz w:val="20"/>
          <w:szCs w:val="20"/>
          <w:lang w:eastAsia="en-AU"/>
        </w:rPr>
        <w:t>a character mismatch under subsection FH 3(2).</w:t>
      </w:r>
    </w:p>
    <w:p w14:paraId="21890E3C" w14:textId="77777777" w:rsidR="009C4BAC" w:rsidRPr="00D01D7E" w:rsidRDefault="009C4BAC">
      <w:pPr>
        <w:rPr>
          <w:szCs w:val="20"/>
          <w:lang w:eastAsia="en-AU"/>
        </w:rPr>
      </w:pPr>
    </w:p>
    <w:p w14:paraId="21F3C6D3" w14:textId="1B762221" w:rsidR="00D01D7E" w:rsidRDefault="00D01D7E" w:rsidP="00D01D7E">
      <w:pPr>
        <w:pBdr>
          <w:top w:val="single" w:sz="4" w:space="10" w:color="auto"/>
          <w:left w:val="single" w:sz="4" w:space="10" w:color="auto"/>
          <w:bottom w:val="single" w:sz="4" w:space="10" w:color="auto"/>
          <w:right w:val="single" w:sz="4" w:space="10" w:color="auto"/>
        </w:pBdr>
        <w:rPr>
          <w:b/>
          <w:sz w:val="20"/>
          <w:szCs w:val="20"/>
          <w:lang w:eastAsia="en-AU"/>
        </w:rPr>
      </w:pPr>
      <w:r>
        <w:rPr>
          <w:b/>
          <w:sz w:val="20"/>
          <w:szCs w:val="20"/>
          <w:lang w:eastAsia="en-AU"/>
        </w:rPr>
        <w:t xml:space="preserve">Example </w:t>
      </w:r>
      <w:r w:rsidR="007A382F">
        <w:rPr>
          <w:b/>
          <w:sz w:val="20"/>
          <w:szCs w:val="20"/>
          <w:lang w:eastAsia="en-AU"/>
        </w:rPr>
        <w:t>9</w:t>
      </w:r>
      <w:r w:rsidR="00824EF8">
        <w:rPr>
          <w:b/>
          <w:sz w:val="20"/>
          <w:szCs w:val="20"/>
          <w:lang w:eastAsia="en-AU"/>
        </w:rPr>
        <w:t>: I</w:t>
      </w:r>
      <w:r>
        <w:rPr>
          <w:b/>
          <w:sz w:val="20"/>
          <w:szCs w:val="20"/>
          <w:lang w:eastAsia="en-AU"/>
        </w:rPr>
        <w:t>nterest payment to a person estab</w:t>
      </w:r>
      <w:r w:rsidR="00D6773F">
        <w:rPr>
          <w:b/>
          <w:sz w:val="20"/>
          <w:szCs w:val="20"/>
          <w:lang w:eastAsia="en-AU"/>
        </w:rPr>
        <w:t>lished in a no-tax jurisdiction</w:t>
      </w:r>
    </w:p>
    <w:p w14:paraId="201F5AE1" w14:textId="77777777" w:rsidR="00D01D7E" w:rsidRPr="000772C5" w:rsidRDefault="00D01D7E" w:rsidP="00D01D7E">
      <w:pPr>
        <w:pBdr>
          <w:top w:val="single" w:sz="4" w:space="10" w:color="auto"/>
          <w:left w:val="single" w:sz="4" w:space="10" w:color="auto"/>
          <w:bottom w:val="single" w:sz="4" w:space="10" w:color="auto"/>
          <w:right w:val="single" w:sz="4" w:space="10" w:color="auto"/>
        </w:pBdr>
        <w:rPr>
          <w:sz w:val="20"/>
          <w:szCs w:val="20"/>
          <w:lang w:eastAsia="en-AU"/>
        </w:rPr>
      </w:pPr>
    </w:p>
    <w:p w14:paraId="6DEE357D" w14:textId="1A50EFD7" w:rsidR="00D01D7E" w:rsidRDefault="00D01D7E" w:rsidP="00D01D7E">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H</w:t>
      </w:r>
      <w:r w:rsidR="00C371F6">
        <w:rPr>
          <w:sz w:val="20"/>
          <w:szCs w:val="20"/>
          <w:lang w:eastAsia="en-AU"/>
        </w:rPr>
        <w:t>orse</w:t>
      </w:r>
      <w:r w:rsidRPr="005142E3">
        <w:rPr>
          <w:sz w:val="20"/>
          <w:szCs w:val="20"/>
          <w:lang w:eastAsia="en-AU"/>
        </w:rPr>
        <w:t xml:space="preserve"> </w:t>
      </w:r>
      <w:r>
        <w:rPr>
          <w:sz w:val="20"/>
          <w:szCs w:val="20"/>
          <w:lang w:eastAsia="en-AU"/>
        </w:rPr>
        <w:t xml:space="preserve">Co (a company resident in Country H) owns all the shares in </w:t>
      </w:r>
      <w:r w:rsidR="00C371F6">
        <w:rPr>
          <w:sz w:val="20"/>
          <w:szCs w:val="20"/>
          <w:lang w:eastAsia="en-AU"/>
        </w:rPr>
        <w:t>Kiwi</w:t>
      </w:r>
      <w:r>
        <w:rPr>
          <w:sz w:val="20"/>
          <w:szCs w:val="20"/>
          <w:lang w:eastAsia="en-AU"/>
        </w:rPr>
        <w:t xml:space="preserve"> Co (a company resident in </w:t>
      </w:r>
      <w:r w:rsidR="00C371F6">
        <w:rPr>
          <w:sz w:val="20"/>
          <w:szCs w:val="20"/>
          <w:lang w:eastAsia="en-AU"/>
        </w:rPr>
        <w:t>New Zealand</w:t>
      </w:r>
      <w:r>
        <w:rPr>
          <w:sz w:val="20"/>
          <w:szCs w:val="20"/>
          <w:lang w:eastAsia="en-AU"/>
        </w:rPr>
        <w:t>)</w:t>
      </w:r>
      <w:r w:rsidR="002D5667">
        <w:rPr>
          <w:sz w:val="20"/>
          <w:szCs w:val="20"/>
          <w:lang w:eastAsia="en-AU"/>
        </w:rPr>
        <w:t xml:space="preserve">. </w:t>
      </w:r>
      <w:r w:rsidR="00C371F6">
        <w:rPr>
          <w:sz w:val="20"/>
          <w:szCs w:val="20"/>
          <w:lang w:eastAsia="en-AU"/>
        </w:rPr>
        <w:t>Horse</w:t>
      </w:r>
      <w:r>
        <w:rPr>
          <w:sz w:val="20"/>
          <w:szCs w:val="20"/>
          <w:lang w:eastAsia="en-AU"/>
        </w:rPr>
        <w:t xml:space="preserve"> Co lends money to </w:t>
      </w:r>
      <w:r w:rsidR="00C371F6">
        <w:rPr>
          <w:sz w:val="20"/>
          <w:szCs w:val="20"/>
          <w:lang w:eastAsia="en-AU"/>
        </w:rPr>
        <w:t xml:space="preserve">Kiwi </w:t>
      </w:r>
      <w:r>
        <w:rPr>
          <w:sz w:val="20"/>
          <w:szCs w:val="20"/>
          <w:lang w:eastAsia="en-AU"/>
        </w:rPr>
        <w:t>Co</w:t>
      </w:r>
      <w:r w:rsidR="002D5667">
        <w:rPr>
          <w:sz w:val="20"/>
          <w:szCs w:val="20"/>
          <w:lang w:eastAsia="en-AU"/>
        </w:rPr>
        <w:t xml:space="preserve">. </w:t>
      </w:r>
      <w:r>
        <w:rPr>
          <w:sz w:val="20"/>
          <w:szCs w:val="20"/>
          <w:lang w:eastAsia="en-AU"/>
        </w:rPr>
        <w:t>The loan carries a market rate of interest which is payable every six months in arrears</w:t>
      </w:r>
      <w:r w:rsidR="002D5667">
        <w:rPr>
          <w:sz w:val="20"/>
          <w:szCs w:val="20"/>
          <w:lang w:eastAsia="en-AU"/>
        </w:rPr>
        <w:t xml:space="preserve">. </w:t>
      </w:r>
      <w:r>
        <w:rPr>
          <w:sz w:val="20"/>
          <w:szCs w:val="20"/>
          <w:lang w:eastAsia="en-AU"/>
        </w:rPr>
        <w:t xml:space="preserve">Payments of interest and principal under the loan are subordinated to the ordinary creditors of </w:t>
      </w:r>
      <w:r w:rsidR="00C371F6">
        <w:rPr>
          <w:sz w:val="20"/>
          <w:szCs w:val="20"/>
          <w:lang w:eastAsia="en-AU"/>
        </w:rPr>
        <w:t xml:space="preserve">Kiwi </w:t>
      </w:r>
      <w:r>
        <w:rPr>
          <w:sz w:val="20"/>
          <w:szCs w:val="20"/>
          <w:lang w:eastAsia="en-AU"/>
        </w:rPr>
        <w:t xml:space="preserve">Co and can be suspended in the event </w:t>
      </w:r>
      <w:r w:rsidR="00C371F6">
        <w:rPr>
          <w:sz w:val="20"/>
          <w:szCs w:val="20"/>
          <w:lang w:eastAsia="en-AU"/>
        </w:rPr>
        <w:t>Kiwi</w:t>
      </w:r>
      <w:r>
        <w:rPr>
          <w:sz w:val="20"/>
          <w:szCs w:val="20"/>
          <w:lang w:eastAsia="en-AU"/>
        </w:rPr>
        <w:t xml:space="preserve"> Co fails to meet certain solvency requirements</w:t>
      </w:r>
      <w:r w:rsidR="002D5667">
        <w:rPr>
          <w:sz w:val="20"/>
          <w:szCs w:val="20"/>
          <w:lang w:eastAsia="en-AU"/>
        </w:rPr>
        <w:t xml:space="preserve">. </w:t>
      </w:r>
      <w:r>
        <w:rPr>
          <w:sz w:val="20"/>
          <w:szCs w:val="20"/>
          <w:lang w:eastAsia="en-AU"/>
        </w:rPr>
        <w:t xml:space="preserve">Both H Co and </w:t>
      </w:r>
      <w:r w:rsidR="00C371F6">
        <w:rPr>
          <w:sz w:val="20"/>
          <w:szCs w:val="20"/>
          <w:lang w:eastAsia="en-AU"/>
        </w:rPr>
        <w:t xml:space="preserve">Kiwi </w:t>
      </w:r>
      <w:r>
        <w:rPr>
          <w:sz w:val="20"/>
          <w:szCs w:val="20"/>
          <w:lang w:eastAsia="en-AU"/>
        </w:rPr>
        <w:t>Co treat the subordinated loan as a debt instrument.</w:t>
      </w:r>
    </w:p>
    <w:p w14:paraId="6686EEC0" w14:textId="77777777" w:rsidR="00D01D7E" w:rsidRDefault="00D01D7E" w:rsidP="00D01D7E">
      <w:pPr>
        <w:pBdr>
          <w:top w:val="single" w:sz="4" w:space="10" w:color="auto"/>
          <w:left w:val="single" w:sz="4" w:space="10" w:color="auto"/>
          <w:bottom w:val="single" w:sz="4" w:space="10" w:color="auto"/>
          <w:right w:val="single" w:sz="4" w:space="10" w:color="auto"/>
        </w:pBdr>
        <w:rPr>
          <w:sz w:val="20"/>
          <w:szCs w:val="20"/>
          <w:lang w:eastAsia="en-AU"/>
        </w:rPr>
      </w:pPr>
    </w:p>
    <w:p w14:paraId="61821CC8" w14:textId="61635FA4" w:rsidR="00D01D7E" w:rsidRDefault="0018757D" w:rsidP="00D01D7E">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Country H does not have a corporate tax system and </w:t>
      </w:r>
      <w:r w:rsidR="009944A1">
        <w:rPr>
          <w:sz w:val="20"/>
          <w:szCs w:val="20"/>
          <w:lang w:eastAsia="en-AU"/>
        </w:rPr>
        <w:t>Horse</w:t>
      </w:r>
      <w:r w:rsidR="00D01D7E">
        <w:rPr>
          <w:sz w:val="20"/>
          <w:szCs w:val="20"/>
          <w:lang w:eastAsia="en-AU"/>
        </w:rPr>
        <w:t xml:space="preserve"> Co does not have a taxable presence in any other </w:t>
      </w:r>
      <w:r w:rsidR="000428DE">
        <w:rPr>
          <w:sz w:val="20"/>
          <w:szCs w:val="20"/>
          <w:lang w:eastAsia="en-AU"/>
        </w:rPr>
        <w:t>country</w:t>
      </w:r>
      <w:r w:rsidR="002D5667">
        <w:rPr>
          <w:sz w:val="20"/>
          <w:szCs w:val="20"/>
          <w:lang w:eastAsia="en-AU"/>
        </w:rPr>
        <w:t xml:space="preserve">. </w:t>
      </w:r>
      <w:r w:rsidR="009944A1">
        <w:rPr>
          <w:sz w:val="20"/>
          <w:szCs w:val="20"/>
          <w:lang w:eastAsia="en-AU"/>
        </w:rPr>
        <w:t>Horse</w:t>
      </w:r>
      <w:r w:rsidR="00D01D7E">
        <w:rPr>
          <w:sz w:val="20"/>
          <w:szCs w:val="20"/>
          <w:lang w:eastAsia="en-AU"/>
        </w:rPr>
        <w:t xml:space="preserve"> Co is therefore not liable in any </w:t>
      </w:r>
      <w:r w:rsidR="000428DE">
        <w:rPr>
          <w:sz w:val="20"/>
          <w:szCs w:val="20"/>
          <w:lang w:eastAsia="en-AU"/>
        </w:rPr>
        <w:t xml:space="preserve">country </w:t>
      </w:r>
      <w:r w:rsidR="00D01D7E">
        <w:rPr>
          <w:sz w:val="20"/>
          <w:szCs w:val="20"/>
          <w:lang w:eastAsia="en-AU"/>
        </w:rPr>
        <w:t>on payments of interest under the loan.</w:t>
      </w:r>
    </w:p>
    <w:p w14:paraId="5797071C" w14:textId="77777777" w:rsidR="00D01D7E" w:rsidRDefault="00D01D7E" w:rsidP="00D01D7E">
      <w:pPr>
        <w:pBdr>
          <w:top w:val="single" w:sz="4" w:space="10" w:color="auto"/>
          <w:left w:val="single" w:sz="4" w:space="10" w:color="auto"/>
          <w:bottom w:val="single" w:sz="4" w:space="10" w:color="auto"/>
          <w:right w:val="single" w:sz="4" w:space="10" w:color="auto"/>
        </w:pBdr>
        <w:rPr>
          <w:sz w:val="20"/>
          <w:szCs w:val="20"/>
          <w:lang w:eastAsia="en-AU"/>
        </w:rPr>
      </w:pPr>
    </w:p>
    <w:p w14:paraId="57F8B0EF" w14:textId="77777777" w:rsidR="00D01D7E" w:rsidRDefault="00D01D7E" w:rsidP="00D01D7E">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 xml:space="preserve">Question </w:t>
      </w:r>
      <w:r w:rsidR="001674C0">
        <w:rPr>
          <w:i/>
          <w:sz w:val="20"/>
          <w:szCs w:val="20"/>
          <w:lang w:eastAsia="en-AU"/>
        </w:rPr>
        <w:t>1</w:t>
      </w:r>
    </w:p>
    <w:p w14:paraId="7AA8B303" w14:textId="77777777" w:rsidR="00D01D7E" w:rsidRDefault="00D01D7E" w:rsidP="00D01D7E">
      <w:pPr>
        <w:pBdr>
          <w:top w:val="single" w:sz="4" w:space="10" w:color="auto"/>
          <w:left w:val="single" w:sz="4" w:space="10" w:color="auto"/>
          <w:bottom w:val="single" w:sz="4" w:space="10" w:color="auto"/>
          <w:right w:val="single" w:sz="4" w:space="10" w:color="auto"/>
        </w:pBdr>
        <w:rPr>
          <w:i/>
          <w:sz w:val="20"/>
          <w:szCs w:val="20"/>
          <w:lang w:eastAsia="en-AU"/>
        </w:rPr>
      </w:pPr>
    </w:p>
    <w:p w14:paraId="34E87366" w14:textId="0C7E7DE3" w:rsidR="00D01D7E" w:rsidRDefault="00D01D7E" w:rsidP="00D01D7E">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Whether the interest payments under the loan fall within the scope of the hybrid financial i</w:t>
      </w:r>
      <w:r w:rsidR="00D6773F">
        <w:rPr>
          <w:sz w:val="20"/>
          <w:szCs w:val="20"/>
          <w:lang w:eastAsia="en-AU"/>
        </w:rPr>
        <w:t>nstrument rule in section FH 3?</w:t>
      </w:r>
    </w:p>
    <w:p w14:paraId="549FECE4" w14:textId="77777777" w:rsidR="00D01D7E" w:rsidRDefault="00D01D7E" w:rsidP="00D01D7E">
      <w:pPr>
        <w:pBdr>
          <w:top w:val="single" w:sz="4" w:space="10" w:color="auto"/>
          <w:left w:val="single" w:sz="4" w:space="10" w:color="auto"/>
          <w:bottom w:val="single" w:sz="4" w:space="10" w:color="auto"/>
          <w:right w:val="single" w:sz="4" w:space="10" w:color="auto"/>
        </w:pBdr>
        <w:rPr>
          <w:sz w:val="20"/>
          <w:szCs w:val="20"/>
          <w:lang w:eastAsia="en-AU"/>
        </w:rPr>
      </w:pPr>
    </w:p>
    <w:p w14:paraId="164FC2B1" w14:textId="2E2D53A9" w:rsidR="00D01D7E" w:rsidRDefault="00D01D7E" w:rsidP="00D01D7E">
      <w:pPr>
        <w:pBdr>
          <w:top w:val="single" w:sz="4" w:space="10" w:color="auto"/>
          <w:left w:val="single" w:sz="4" w:space="10" w:color="auto"/>
          <w:bottom w:val="single" w:sz="4" w:space="10" w:color="auto"/>
          <w:right w:val="single" w:sz="4" w:space="10" w:color="auto"/>
        </w:pBdr>
        <w:rPr>
          <w:sz w:val="20"/>
          <w:szCs w:val="20"/>
          <w:lang w:eastAsia="en-AU"/>
        </w:rPr>
      </w:pPr>
      <w:r>
        <w:rPr>
          <w:i/>
          <w:sz w:val="20"/>
          <w:szCs w:val="20"/>
          <w:lang w:eastAsia="en-AU"/>
        </w:rPr>
        <w:t>Answer</w:t>
      </w:r>
      <w:r w:rsidR="001674C0">
        <w:rPr>
          <w:i/>
          <w:sz w:val="20"/>
          <w:szCs w:val="20"/>
          <w:lang w:eastAsia="en-AU"/>
        </w:rPr>
        <w:t xml:space="preserve"> 1</w:t>
      </w:r>
    </w:p>
    <w:p w14:paraId="0CECCE4E" w14:textId="77777777" w:rsidR="00D01D7E" w:rsidRDefault="00D01D7E" w:rsidP="00D01D7E">
      <w:pPr>
        <w:pBdr>
          <w:top w:val="single" w:sz="4" w:space="10" w:color="auto"/>
          <w:left w:val="single" w:sz="4" w:space="10" w:color="auto"/>
          <w:bottom w:val="single" w:sz="4" w:space="10" w:color="auto"/>
          <w:right w:val="single" w:sz="4" w:space="10" w:color="auto"/>
        </w:pBdr>
        <w:rPr>
          <w:sz w:val="20"/>
          <w:szCs w:val="20"/>
          <w:lang w:eastAsia="en-AU"/>
        </w:rPr>
      </w:pPr>
    </w:p>
    <w:p w14:paraId="73B33D2E" w14:textId="44683249" w:rsidR="001674C0" w:rsidRDefault="001674C0" w:rsidP="00851B16">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No</w:t>
      </w:r>
      <w:r w:rsidR="002D5667">
        <w:rPr>
          <w:sz w:val="20"/>
          <w:szCs w:val="20"/>
          <w:lang w:eastAsia="en-AU"/>
        </w:rPr>
        <w:t xml:space="preserve">. </w:t>
      </w:r>
      <w:r w:rsidR="00851B16">
        <w:rPr>
          <w:sz w:val="20"/>
          <w:szCs w:val="20"/>
          <w:lang w:eastAsia="en-AU"/>
        </w:rPr>
        <w:t xml:space="preserve">The interest payments under the loan give rise to a mismatch in tax outcomes as they are deductible under </w:t>
      </w:r>
      <w:r w:rsidR="00C371F6">
        <w:rPr>
          <w:sz w:val="20"/>
          <w:szCs w:val="20"/>
          <w:lang w:eastAsia="en-AU"/>
        </w:rPr>
        <w:t>New Zealand</w:t>
      </w:r>
      <w:r w:rsidR="00851B16">
        <w:rPr>
          <w:sz w:val="20"/>
          <w:szCs w:val="20"/>
          <w:lang w:eastAsia="en-AU"/>
        </w:rPr>
        <w:t xml:space="preserve"> law, but are not included in ordinary income under Country H law</w:t>
      </w:r>
      <w:r w:rsidR="002D5667">
        <w:rPr>
          <w:sz w:val="20"/>
          <w:szCs w:val="20"/>
          <w:lang w:eastAsia="en-AU"/>
        </w:rPr>
        <w:t xml:space="preserve">. </w:t>
      </w:r>
      <w:r w:rsidR="00851B16">
        <w:rPr>
          <w:sz w:val="20"/>
          <w:szCs w:val="20"/>
          <w:lang w:eastAsia="en-AU"/>
        </w:rPr>
        <w:t>However, the D/NI result is not dependent on the classification of the financial instrument (</w:t>
      </w:r>
      <w:r w:rsidR="00DA324C">
        <w:rPr>
          <w:sz w:val="20"/>
          <w:szCs w:val="20"/>
          <w:lang w:eastAsia="en-AU"/>
        </w:rPr>
        <w:t>that is,</w:t>
      </w:r>
      <w:r w:rsidR="00851B16">
        <w:rPr>
          <w:sz w:val="20"/>
          <w:szCs w:val="20"/>
          <w:lang w:eastAsia="en-AU"/>
        </w:rPr>
        <w:t xml:space="preserve"> the subordinated loan)</w:t>
      </w:r>
      <w:r w:rsidR="002D5667">
        <w:rPr>
          <w:sz w:val="20"/>
          <w:szCs w:val="20"/>
          <w:lang w:eastAsia="en-AU"/>
        </w:rPr>
        <w:t xml:space="preserve">. </w:t>
      </w:r>
      <w:r w:rsidR="00851B16">
        <w:rPr>
          <w:sz w:val="20"/>
          <w:szCs w:val="20"/>
          <w:lang w:eastAsia="en-AU"/>
        </w:rPr>
        <w:t>Rath</w:t>
      </w:r>
      <w:r>
        <w:rPr>
          <w:sz w:val="20"/>
          <w:szCs w:val="20"/>
          <w:lang w:eastAsia="en-AU"/>
        </w:rPr>
        <w:t>er, it applies because Country H does not have a corporat</w:t>
      </w:r>
      <w:r w:rsidR="00D6773F">
        <w:rPr>
          <w:sz w:val="20"/>
          <w:szCs w:val="20"/>
          <w:lang w:eastAsia="en-AU"/>
        </w:rPr>
        <w:t>e tax system for any taxpayers.</w:t>
      </w:r>
    </w:p>
    <w:p w14:paraId="3E3F0C6A" w14:textId="77777777" w:rsidR="001674C0" w:rsidRDefault="001674C0" w:rsidP="00851B16">
      <w:pPr>
        <w:pBdr>
          <w:top w:val="single" w:sz="4" w:space="10" w:color="auto"/>
          <w:left w:val="single" w:sz="4" w:space="10" w:color="auto"/>
          <w:bottom w:val="single" w:sz="4" w:space="10" w:color="auto"/>
          <w:right w:val="single" w:sz="4" w:space="10" w:color="auto"/>
        </w:pBdr>
        <w:rPr>
          <w:sz w:val="20"/>
          <w:szCs w:val="20"/>
          <w:lang w:eastAsia="en-AU"/>
        </w:rPr>
      </w:pPr>
    </w:p>
    <w:p w14:paraId="13CC1E58" w14:textId="77777777" w:rsidR="001674C0" w:rsidRPr="00547BCF" w:rsidRDefault="001674C0" w:rsidP="00851B16">
      <w:pPr>
        <w:pBdr>
          <w:top w:val="single" w:sz="4" w:space="10" w:color="auto"/>
          <w:left w:val="single" w:sz="4" w:space="10" w:color="auto"/>
          <w:bottom w:val="single" w:sz="4" w:space="10" w:color="auto"/>
          <w:right w:val="single" w:sz="4" w:space="10" w:color="auto"/>
        </w:pBdr>
        <w:rPr>
          <w:i/>
          <w:sz w:val="20"/>
          <w:szCs w:val="20"/>
          <w:lang w:eastAsia="en-AU"/>
        </w:rPr>
      </w:pPr>
      <w:r>
        <w:rPr>
          <w:sz w:val="20"/>
          <w:szCs w:val="20"/>
          <w:lang w:eastAsia="en-AU"/>
        </w:rPr>
        <w:t xml:space="preserve"> </w:t>
      </w:r>
      <w:r>
        <w:rPr>
          <w:i/>
          <w:sz w:val="20"/>
          <w:szCs w:val="20"/>
          <w:lang w:eastAsia="en-AU"/>
        </w:rPr>
        <w:t>Question 2</w:t>
      </w:r>
    </w:p>
    <w:p w14:paraId="18B4D5A9" w14:textId="77777777" w:rsidR="001674C0" w:rsidRDefault="001674C0" w:rsidP="00851B16">
      <w:pPr>
        <w:pBdr>
          <w:top w:val="single" w:sz="4" w:space="10" w:color="auto"/>
          <w:left w:val="single" w:sz="4" w:space="10" w:color="auto"/>
          <w:bottom w:val="single" w:sz="4" w:space="10" w:color="auto"/>
          <w:right w:val="single" w:sz="4" w:space="10" w:color="auto"/>
        </w:pBdr>
        <w:rPr>
          <w:sz w:val="20"/>
          <w:szCs w:val="20"/>
          <w:lang w:eastAsia="en-AU"/>
        </w:rPr>
      </w:pPr>
    </w:p>
    <w:p w14:paraId="6C757701" w14:textId="65C74764" w:rsidR="001674C0" w:rsidRDefault="001674C0" w:rsidP="001674C0">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W</w:t>
      </w:r>
      <w:r w:rsidR="00A00587">
        <w:rPr>
          <w:sz w:val="20"/>
          <w:szCs w:val="20"/>
          <w:lang w:eastAsia="en-AU"/>
        </w:rPr>
        <w:t>hether the outcome above changes</w:t>
      </w:r>
      <w:r>
        <w:rPr>
          <w:sz w:val="20"/>
          <w:szCs w:val="20"/>
          <w:lang w:eastAsia="en-AU"/>
        </w:rPr>
        <w:t xml:space="preserve"> if the subordinated loan is instead a hybrid financial instrument that is treated as an equity instrument by </w:t>
      </w:r>
      <w:r w:rsidR="009944A1">
        <w:rPr>
          <w:sz w:val="20"/>
          <w:szCs w:val="20"/>
          <w:lang w:eastAsia="en-AU"/>
        </w:rPr>
        <w:t>Horse</w:t>
      </w:r>
      <w:r w:rsidR="009A7359">
        <w:rPr>
          <w:sz w:val="20"/>
          <w:szCs w:val="20"/>
          <w:lang w:eastAsia="en-AU"/>
        </w:rPr>
        <w:t xml:space="preserve"> Co but a deb</w:t>
      </w:r>
      <w:r>
        <w:rPr>
          <w:sz w:val="20"/>
          <w:szCs w:val="20"/>
          <w:lang w:eastAsia="en-AU"/>
        </w:rPr>
        <w:t xml:space="preserve">t instrument by </w:t>
      </w:r>
      <w:r w:rsidR="00C371F6">
        <w:rPr>
          <w:sz w:val="20"/>
          <w:szCs w:val="20"/>
          <w:lang w:eastAsia="en-AU"/>
        </w:rPr>
        <w:t xml:space="preserve">Kiwi </w:t>
      </w:r>
      <w:r>
        <w:rPr>
          <w:sz w:val="20"/>
          <w:szCs w:val="20"/>
          <w:lang w:eastAsia="en-AU"/>
        </w:rPr>
        <w:t>Co (with interest treated as deductible)?</w:t>
      </w:r>
    </w:p>
    <w:p w14:paraId="71634D8F" w14:textId="77777777" w:rsidR="001674C0" w:rsidRDefault="001674C0" w:rsidP="001674C0">
      <w:pPr>
        <w:pBdr>
          <w:top w:val="single" w:sz="4" w:space="10" w:color="auto"/>
          <w:left w:val="single" w:sz="4" w:space="10" w:color="auto"/>
          <w:bottom w:val="single" w:sz="4" w:space="10" w:color="auto"/>
          <w:right w:val="single" w:sz="4" w:space="10" w:color="auto"/>
        </w:pBdr>
        <w:rPr>
          <w:sz w:val="20"/>
          <w:szCs w:val="20"/>
          <w:lang w:eastAsia="en-AU"/>
        </w:rPr>
      </w:pPr>
    </w:p>
    <w:p w14:paraId="09A34BE2" w14:textId="780DB603" w:rsidR="001674C0" w:rsidRDefault="001674C0" w:rsidP="001674C0">
      <w:pPr>
        <w:pBdr>
          <w:top w:val="single" w:sz="4" w:space="10" w:color="auto"/>
          <w:left w:val="single" w:sz="4" w:space="10" w:color="auto"/>
          <w:bottom w:val="single" w:sz="4" w:space="10" w:color="auto"/>
          <w:right w:val="single" w:sz="4" w:space="10" w:color="auto"/>
        </w:pBdr>
        <w:rPr>
          <w:sz w:val="20"/>
          <w:szCs w:val="20"/>
          <w:lang w:eastAsia="en-AU"/>
        </w:rPr>
      </w:pPr>
      <w:r>
        <w:rPr>
          <w:i/>
          <w:sz w:val="20"/>
          <w:szCs w:val="20"/>
          <w:lang w:eastAsia="en-AU"/>
        </w:rPr>
        <w:t>Answer 2</w:t>
      </w:r>
    </w:p>
    <w:p w14:paraId="58A2C3FD" w14:textId="77777777" w:rsidR="001674C0" w:rsidRDefault="001674C0" w:rsidP="001674C0">
      <w:pPr>
        <w:pBdr>
          <w:top w:val="single" w:sz="4" w:space="10" w:color="auto"/>
          <w:left w:val="single" w:sz="4" w:space="10" w:color="auto"/>
          <w:bottom w:val="single" w:sz="4" w:space="10" w:color="auto"/>
          <w:right w:val="single" w:sz="4" w:space="10" w:color="auto"/>
        </w:pBdr>
        <w:rPr>
          <w:sz w:val="20"/>
          <w:szCs w:val="20"/>
          <w:lang w:eastAsia="en-AU"/>
        </w:rPr>
      </w:pPr>
    </w:p>
    <w:p w14:paraId="7745A529" w14:textId="4BA879B5" w:rsidR="00D01D7E" w:rsidRPr="004D2371" w:rsidRDefault="00A00587" w:rsidP="00D01D7E">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No</w:t>
      </w:r>
      <w:r w:rsidR="002D5667">
        <w:rPr>
          <w:sz w:val="20"/>
          <w:szCs w:val="20"/>
          <w:lang w:eastAsia="en-AU"/>
        </w:rPr>
        <w:t xml:space="preserve">. </w:t>
      </w:r>
      <w:r>
        <w:rPr>
          <w:sz w:val="20"/>
          <w:szCs w:val="20"/>
          <w:lang w:eastAsia="en-AU"/>
        </w:rPr>
        <w:t xml:space="preserve">The D/NI result would still arise if </w:t>
      </w:r>
      <w:r w:rsidR="009944A1">
        <w:rPr>
          <w:sz w:val="20"/>
          <w:szCs w:val="20"/>
          <w:lang w:eastAsia="en-AU"/>
        </w:rPr>
        <w:t>Horse</w:t>
      </w:r>
      <w:r>
        <w:rPr>
          <w:sz w:val="20"/>
          <w:szCs w:val="20"/>
          <w:lang w:eastAsia="en-AU"/>
        </w:rPr>
        <w:t xml:space="preserve"> Co treated the subordinated loan as a debt instrument (mirroring </w:t>
      </w:r>
      <w:r w:rsidR="00C371F6">
        <w:rPr>
          <w:sz w:val="20"/>
          <w:szCs w:val="20"/>
          <w:lang w:eastAsia="en-AU"/>
        </w:rPr>
        <w:t xml:space="preserve">Kiwi </w:t>
      </w:r>
      <w:r>
        <w:rPr>
          <w:sz w:val="20"/>
          <w:szCs w:val="20"/>
          <w:lang w:eastAsia="en-AU"/>
        </w:rPr>
        <w:t>Co’s treatment of it)</w:t>
      </w:r>
      <w:r w:rsidR="002D5667">
        <w:rPr>
          <w:sz w:val="20"/>
          <w:szCs w:val="20"/>
          <w:lang w:eastAsia="en-AU"/>
        </w:rPr>
        <w:t xml:space="preserve">. </w:t>
      </w:r>
      <w:r>
        <w:rPr>
          <w:sz w:val="20"/>
          <w:szCs w:val="20"/>
          <w:lang w:eastAsia="en-AU"/>
        </w:rPr>
        <w:t>This is because Country H has no corporate tax system.</w:t>
      </w:r>
    </w:p>
    <w:p w14:paraId="45DE1772" w14:textId="0F722EC1" w:rsidR="0077726B" w:rsidRPr="006B6A41" w:rsidRDefault="0077726B" w:rsidP="00D67607">
      <w:pPr>
        <w:rPr>
          <w:szCs w:val="20"/>
          <w:lang w:eastAsia="en-AU"/>
        </w:rPr>
      </w:pPr>
    </w:p>
    <w:p w14:paraId="74364C80" w14:textId="3FADC80B" w:rsidR="0011110B" w:rsidRDefault="0011110B" w:rsidP="0011110B">
      <w:pPr>
        <w:pBdr>
          <w:top w:val="single" w:sz="4" w:space="10" w:color="auto"/>
          <w:left w:val="single" w:sz="4" w:space="10" w:color="auto"/>
          <w:bottom w:val="single" w:sz="4" w:space="10" w:color="auto"/>
          <w:right w:val="single" w:sz="4" w:space="10" w:color="auto"/>
        </w:pBdr>
        <w:rPr>
          <w:b/>
          <w:sz w:val="20"/>
          <w:szCs w:val="20"/>
          <w:lang w:eastAsia="en-AU"/>
        </w:rPr>
      </w:pPr>
      <w:r>
        <w:rPr>
          <w:b/>
          <w:sz w:val="20"/>
          <w:szCs w:val="20"/>
          <w:lang w:eastAsia="en-AU"/>
        </w:rPr>
        <w:t xml:space="preserve">Example </w:t>
      </w:r>
      <w:r w:rsidR="007A382F">
        <w:rPr>
          <w:b/>
          <w:sz w:val="20"/>
          <w:szCs w:val="20"/>
          <w:lang w:eastAsia="en-AU"/>
        </w:rPr>
        <w:t>10</w:t>
      </w:r>
      <w:r w:rsidR="00F32C8B">
        <w:rPr>
          <w:b/>
          <w:sz w:val="20"/>
          <w:szCs w:val="20"/>
          <w:lang w:eastAsia="en-AU"/>
        </w:rPr>
        <w:fldChar w:fldCharType="begin"/>
      </w:r>
      <w:r w:rsidR="00F32C8B" w:rsidRPr="00D25F30">
        <w:rPr>
          <w:b/>
          <w:sz w:val="20"/>
          <w:szCs w:val="20"/>
          <w:lang w:eastAsia="en-AU"/>
        </w:rPr>
        <w:instrText>seq NumList</w:instrText>
      </w:r>
      <w:r w:rsidR="00F32C8B">
        <w:rPr>
          <w:b/>
          <w:sz w:val="20"/>
          <w:szCs w:val="20"/>
          <w:lang w:eastAsia="en-AU"/>
        </w:rPr>
        <w:fldChar w:fldCharType="end"/>
      </w:r>
      <w:r w:rsidR="00824EF8">
        <w:rPr>
          <w:b/>
          <w:sz w:val="20"/>
          <w:szCs w:val="20"/>
          <w:lang w:eastAsia="en-AU"/>
        </w:rPr>
        <w:t>: I</w:t>
      </w:r>
      <w:r>
        <w:rPr>
          <w:b/>
          <w:sz w:val="20"/>
          <w:szCs w:val="20"/>
          <w:lang w:eastAsia="en-AU"/>
        </w:rPr>
        <w:t>nterest payment to a taxpayer resident in a territorial tax regime</w:t>
      </w:r>
    </w:p>
    <w:p w14:paraId="6221AD67" w14:textId="77777777" w:rsidR="0011110B" w:rsidRPr="00D6773F" w:rsidRDefault="0011110B" w:rsidP="0011110B">
      <w:pPr>
        <w:pBdr>
          <w:top w:val="single" w:sz="4" w:space="10" w:color="auto"/>
          <w:left w:val="single" w:sz="4" w:space="10" w:color="auto"/>
          <w:bottom w:val="single" w:sz="4" w:space="10" w:color="auto"/>
          <w:right w:val="single" w:sz="4" w:space="10" w:color="auto"/>
        </w:pBdr>
        <w:rPr>
          <w:sz w:val="20"/>
          <w:szCs w:val="20"/>
          <w:lang w:eastAsia="en-AU"/>
        </w:rPr>
      </w:pPr>
    </w:p>
    <w:p w14:paraId="41063FA1" w14:textId="5F342CCA" w:rsidR="0011110B" w:rsidRDefault="009944A1" w:rsidP="0011110B">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Tiger</w:t>
      </w:r>
      <w:r w:rsidR="0011110B" w:rsidRPr="005142E3">
        <w:rPr>
          <w:sz w:val="20"/>
          <w:szCs w:val="20"/>
          <w:lang w:eastAsia="en-AU"/>
        </w:rPr>
        <w:t xml:space="preserve"> </w:t>
      </w:r>
      <w:r w:rsidR="0011110B">
        <w:rPr>
          <w:sz w:val="20"/>
          <w:szCs w:val="20"/>
          <w:lang w:eastAsia="en-AU"/>
        </w:rPr>
        <w:t xml:space="preserve">Co (a company resident in Country T) owns all the shares in </w:t>
      </w:r>
      <w:r>
        <w:rPr>
          <w:sz w:val="20"/>
          <w:szCs w:val="20"/>
          <w:lang w:eastAsia="en-AU"/>
        </w:rPr>
        <w:t>Kiwi</w:t>
      </w:r>
      <w:r w:rsidR="0011110B">
        <w:rPr>
          <w:sz w:val="20"/>
          <w:szCs w:val="20"/>
          <w:lang w:eastAsia="en-AU"/>
        </w:rPr>
        <w:t xml:space="preserve"> Co (a company resident in </w:t>
      </w:r>
      <w:r>
        <w:rPr>
          <w:sz w:val="20"/>
          <w:szCs w:val="20"/>
          <w:lang w:eastAsia="en-AU"/>
        </w:rPr>
        <w:t>New Zealand</w:t>
      </w:r>
      <w:r w:rsidR="0011110B">
        <w:rPr>
          <w:sz w:val="20"/>
          <w:szCs w:val="20"/>
          <w:lang w:eastAsia="en-AU"/>
        </w:rPr>
        <w:t>)</w:t>
      </w:r>
      <w:r w:rsidR="002D5667">
        <w:rPr>
          <w:sz w:val="20"/>
          <w:szCs w:val="20"/>
          <w:lang w:eastAsia="en-AU"/>
        </w:rPr>
        <w:t xml:space="preserve">. </w:t>
      </w:r>
      <w:r>
        <w:rPr>
          <w:sz w:val="20"/>
          <w:szCs w:val="20"/>
          <w:lang w:eastAsia="en-AU"/>
        </w:rPr>
        <w:t>Tiger</w:t>
      </w:r>
      <w:r w:rsidR="0011110B">
        <w:rPr>
          <w:sz w:val="20"/>
          <w:szCs w:val="20"/>
          <w:lang w:eastAsia="en-AU"/>
        </w:rPr>
        <w:t xml:space="preserve"> Co lends money to </w:t>
      </w:r>
      <w:r>
        <w:rPr>
          <w:sz w:val="20"/>
          <w:szCs w:val="20"/>
          <w:lang w:eastAsia="en-AU"/>
        </w:rPr>
        <w:t>Kiwi</w:t>
      </w:r>
      <w:r w:rsidR="0011110B">
        <w:rPr>
          <w:sz w:val="20"/>
          <w:szCs w:val="20"/>
          <w:lang w:eastAsia="en-AU"/>
        </w:rPr>
        <w:t xml:space="preserve"> Co</w:t>
      </w:r>
      <w:r w:rsidR="002D5667">
        <w:rPr>
          <w:sz w:val="20"/>
          <w:szCs w:val="20"/>
          <w:lang w:eastAsia="en-AU"/>
        </w:rPr>
        <w:t xml:space="preserve">. </w:t>
      </w:r>
      <w:r w:rsidR="0011110B">
        <w:rPr>
          <w:sz w:val="20"/>
          <w:szCs w:val="20"/>
          <w:lang w:eastAsia="en-AU"/>
        </w:rPr>
        <w:t>The loan carries a market rate of interest which is payable every six months in arrears</w:t>
      </w:r>
      <w:r w:rsidR="002D5667">
        <w:rPr>
          <w:sz w:val="20"/>
          <w:szCs w:val="20"/>
          <w:lang w:eastAsia="en-AU"/>
        </w:rPr>
        <w:t xml:space="preserve">. </w:t>
      </w:r>
      <w:r w:rsidR="0011110B">
        <w:rPr>
          <w:sz w:val="20"/>
          <w:szCs w:val="20"/>
          <w:lang w:eastAsia="en-AU"/>
        </w:rPr>
        <w:t xml:space="preserve">Payments of interest and principal under the loan are subordinated to the ordinary creditors of </w:t>
      </w:r>
      <w:r>
        <w:rPr>
          <w:sz w:val="20"/>
          <w:szCs w:val="20"/>
          <w:lang w:eastAsia="en-AU"/>
        </w:rPr>
        <w:t>Kiwi</w:t>
      </w:r>
      <w:r w:rsidR="0011110B">
        <w:rPr>
          <w:sz w:val="20"/>
          <w:szCs w:val="20"/>
          <w:lang w:eastAsia="en-AU"/>
        </w:rPr>
        <w:t xml:space="preserve"> Co and can be suspended in the event </w:t>
      </w:r>
      <w:r>
        <w:rPr>
          <w:sz w:val="20"/>
          <w:szCs w:val="20"/>
          <w:lang w:eastAsia="en-AU"/>
        </w:rPr>
        <w:t>Kiwi</w:t>
      </w:r>
      <w:r w:rsidR="0011110B">
        <w:rPr>
          <w:sz w:val="20"/>
          <w:szCs w:val="20"/>
          <w:lang w:eastAsia="en-AU"/>
        </w:rPr>
        <w:t xml:space="preserve"> Co fails to meet certain solvency requirements</w:t>
      </w:r>
      <w:r w:rsidR="002D5667">
        <w:rPr>
          <w:sz w:val="20"/>
          <w:szCs w:val="20"/>
          <w:lang w:eastAsia="en-AU"/>
        </w:rPr>
        <w:t xml:space="preserve">. </w:t>
      </w:r>
      <w:r w:rsidR="0011110B">
        <w:rPr>
          <w:sz w:val="20"/>
          <w:szCs w:val="20"/>
          <w:lang w:eastAsia="en-AU"/>
        </w:rPr>
        <w:t xml:space="preserve">Both </w:t>
      </w:r>
      <w:r>
        <w:rPr>
          <w:sz w:val="20"/>
          <w:szCs w:val="20"/>
          <w:lang w:eastAsia="en-AU"/>
        </w:rPr>
        <w:t>Tiger</w:t>
      </w:r>
      <w:r w:rsidR="0011110B">
        <w:rPr>
          <w:sz w:val="20"/>
          <w:szCs w:val="20"/>
          <w:lang w:eastAsia="en-AU"/>
        </w:rPr>
        <w:t xml:space="preserve"> Co and </w:t>
      </w:r>
      <w:r>
        <w:rPr>
          <w:sz w:val="20"/>
          <w:szCs w:val="20"/>
          <w:lang w:eastAsia="en-AU"/>
        </w:rPr>
        <w:t>Kiwi</w:t>
      </w:r>
      <w:r w:rsidR="0011110B">
        <w:rPr>
          <w:sz w:val="20"/>
          <w:szCs w:val="20"/>
          <w:lang w:eastAsia="en-AU"/>
        </w:rPr>
        <w:t xml:space="preserve"> Co treat the subordinated loan as a debt instrument.</w:t>
      </w:r>
    </w:p>
    <w:p w14:paraId="27C3DCF4" w14:textId="77777777" w:rsidR="0011110B" w:rsidRDefault="0011110B" w:rsidP="0011110B">
      <w:pPr>
        <w:pBdr>
          <w:top w:val="single" w:sz="4" w:space="10" w:color="auto"/>
          <w:left w:val="single" w:sz="4" w:space="10" w:color="auto"/>
          <w:bottom w:val="single" w:sz="4" w:space="10" w:color="auto"/>
          <w:right w:val="single" w:sz="4" w:space="10" w:color="auto"/>
        </w:pBdr>
        <w:rPr>
          <w:sz w:val="20"/>
          <w:szCs w:val="20"/>
          <w:lang w:eastAsia="en-AU"/>
        </w:rPr>
      </w:pPr>
    </w:p>
    <w:p w14:paraId="200051D6" w14:textId="78C94B81" w:rsidR="0011110B" w:rsidRDefault="0011110B" w:rsidP="0011110B">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lastRenderedPageBreak/>
        <w:t xml:space="preserve">Country T </w:t>
      </w:r>
      <w:r w:rsidR="002F7F6D">
        <w:rPr>
          <w:sz w:val="20"/>
          <w:szCs w:val="20"/>
          <w:lang w:eastAsia="en-AU"/>
        </w:rPr>
        <w:t>has</w:t>
      </w:r>
      <w:r>
        <w:rPr>
          <w:sz w:val="20"/>
          <w:szCs w:val="20"/>
          <w:lang w:eastAsia="en-AU"/>
        </w:rPr>
        <w:t xml:space="preserve"> a pure territorial tax system and does not tax income unless it has a domestic source</w:t>
      </w:r>
      <w:r w:rsidR="002D5667">
        <w:rPr>
          <w:sz w:val="20"/>
          <w:szCs w:val="20"/>
          <w:lang w:eastAsia="en-AU"/>
        </w:rPr>
        <w:t xml:space="preserve">. </w:t>
      </w:r>
      <w:r>
        <w:rPr>
          <w:sz w:val="20"/>
          <w:szCs w:val="20"/>
          <w:lang w:eastAsia="en-AU"/>
        </w:rPr>
        <w:t>Interest income paid by a non-resident is treated as foreign source income and is exempt from tax</w:t>
      </w:r>
      <w:r w:rsidR="00311638">
        <w:rPr>
          <w:sz w:val="20"/>
          <w:szCs w:val="20"/>
          <w:lang w:eastAsia="en-AU"/>
        </w:rPr>
        <w:t>.</w:t>
      </w:r>
    </w:p>
    <w:p w14:paraId="47504660" w14:textId="77777777" w:rsidR="0011110B" w:rsidRDefault="0011110B" w:rsidP="0011110B">
      <w:pPr>
        <w:pBdr>
          <w:top w:val="single" w:sz="4" w:space="10" w:color="auto"/>
          <w:left w:val="single" w:sz="4" w:space="10" w:color="auto"/>
          <w:bottom w:val="single" w:sz="4" w:space="10" w:color="auto"/>
          <w:right w:val="single" w:sz="4" w:space="10" w:color="auto"/>
        </w:pBdr>
        <w:rPr>
          <w:sz w:val="20"/>
          <w:szCs w:val="20"/>
          <w:lang w:eastAsia="en-AU"/>
        </w:rPr>
      </w:pPr>
    </w:p>
    <w:p w14:paraId="6DA89D39" w14:textId="77777777" w:rsidR="0011110B" w:rsidRDefault="0011110B" w:rsidP="0011110B">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Question 1</w:t>
      </w:r>
    </w:p>
    <w:p w14:paraId="78A4976E" w14:textId="77777777" w:rsidR="0011110B" w:rsidRDefault="0011110B" w:rsidP="0011110B">
      <w:pPr>
        <w:pBdr>
          <w:top w:val="single" w:sz="4" w:space="10" w:color="auto"/>
          <w:left w:val="single" w:sz="4" w:space="10" w:color="auto"/>
          <w:bottom w:val="single" w:sz="4" w:space="10" w:color="auto"/>
          <w:right w:val="single" w:sz="4" w:space="10" w:color="auto"/>
        </w:pBdr>
        <w:rPr>
          <w:i/>
          <w:sz w:val="20"/>
          <w:szCs w:val="20"/>
          <w:lang w:eastAsia="en-AU"/>
        </w:rPr>
      </w:pPr>
    </w:p>
    <w:p w14:paraId="5D523D63" w14:textId="0B4057F8" w:rsidR="0011110B" w:rsidRDefault="0011110B" w:rsidP="0011110B">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Whether the interest payments under the loan fall within the scope of the hybrid financial i</w:t>
      </w:r>
      <w:r w:rsidR="00D6773F">
        <w:rPr>
          <w:sz w:val="20"/>
          <w:szCs w:val="20"/>
          <w:lang w:eastAsia="en-AU"/>
        </w:rPr>
        <w:t>nstrument rule in section FH 3?</w:t>
      </w:r>
    </w:p>
    <w:p w14:paraId="3709E47E" w14:textId="77777777" w:rsidR="0011110B" w:rsidRDefault="0011110B" w:rsidP="0011110B">
      <w:pPr>
        <w:pBdr>
          <w:top w:val="single" w:sz="4" w:space="10" w:color="auto"/>
          <w:left w:val="single" w:sz="4" w:space="10" w:color="auto"/>
          <w:bottom w:val="single" w:sz="4" w:space="10" w:color="auto"/>
          <w:right w:val="single" w:sz="4" w:space="10" w:color="auto"/>
        </w:pBdr>
        <w:rPr>
          <w:sz w:val="20"/>
          <w:szCs w:val="20"/>
          <w:lang w:eastAsia="en-AU"/>
        </w:rPr>
      </w:pPr>
    </w:p>
    <w:p w14:paraId="118F9456" w14:textId="5D227124" w:rsidR="0011110B" w:rsidRDefault="0011110B" w:rsidP="0011110B">
      <w:pPr>
        <w:pBdr>
          <w:top w:val="single" w:sz="4" w:space="10" w:color="auto"/>
          <w:left w:val="single" w:sz="4" w:space="10" w:color="auto"/>
          <w:bottom w:val="single" w:sz="4" w:space="10" w:color="auto"/>
          <w:right w:val="single" w:sz="4" w:space="10" w:color="auto"/>
        </w:pBdr>
        <w:rPr>
          <w:sz w:val="20"/>
          <w:szCs w:val="20"/>
          <w:lang w:eastAsia="en-AU"/>
        </w:rPr>
      </w:pPr>
      <w:r>
        <w:rPr>
          <w:i/>
          <w:sz w:val="20"/>
          <w:szCs w:val="20"/>
          <w:lang w:eastAsia="en-AU"/>
        </w:rPr>
        <w:t>Answer 1</w:t>
      </w:r>
    </w:p>
    <w:p w14:paraId="4C3A638F" w14:textId="77777777" w:rsidR="0011110B" w:rsidRDefault="0011110B" w:rsidP="0011110B">
      <w:pPr>
        <w:pBdr>
          <w:top w:val="single" w:sz="4" w:space="10" w:color="auto"/>
          <w:left w:val="single" w:sz="4" w:space="10" w:color="auto"/>
          <w:bottom w:val="single" w:sz="4" w:space="10" w:color="auto"/>
          <w:right w:val="single" w:sz="4" w:space="10" w:color="auto"/>
        </w:pBdr>
        <w:rPr>
          <w:sz w:val="20"/>
          <w:szCs w:val="20"/>
          <w:lang w:eastAsia="en-AU"/>
        </w:rPr>
      </w:pPr>
    </w:p>
    <w:p w14:paraId="770A4741" w14:textId="1365A998" w:rsidR="0011110B" w:rsidRDefault="0011110B" w:rsidP="0011110B">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No</w:t>
      </w:r>
      <w:r w:rsidR="002D5667">
        <w:rPr>
          <w:sz w:val="20"/>
          <w:szCs w:val="20"/>
          <w:lang w:eastAsia="en-AU"/>
        </w:rPr>
        <w:t xml:space="preserve">. </w:t>
      </w:r>
      <w:r>
        <w:rPr>
          <w:sz w:val="20"/>
          <w:szCs w:val="20"/>
          <w:lang w:eastAsia="en-AU"/>
        </w:rPr>
        <w:t xml:space="preserve">The interest payments under the loan give rise to a mismatch in tax outcomes as they are deductible under </w:t>
      </w:r>
      <w:r w:rsidR="009944A1">
        <w:rPr>
          <w:sz w:val="20"/>
          <w:szCs w:val="20"/>
          <w:lang w:eastAsia="en-AU"/>
        </w:rPr>
        <w:t>New Zealand</w:t>
      </w:r>
      <w:r>
        <w:rPr>
          <w:sz w:val="20"/>
          <w:szCs w:val="20"/>
          <w:lang w:eastAsia="en-AU"/>
        </w:rPr>
        <w:t xml:space="preserve"> law, but are not included in ordinary income under Country </w:t>
      </w:r>
      <w:r w:rsidR="00311638">
        <w:rPr>
          <w:sz w:val="20"/>
          <w:szCs w:val="20"/>
          <w:lang w:eastAsia="en-AU"/>
        </w:rPr>
        <w:t>T</w:t>
      </w:r>
      <w:r>
        <w:rPr>
          <w:sz w:val="20"/>
          <w:szCs w:val="20"/>
          <w:lang w:eastAsia="en-AU"/>
        </w:rPr>
        <w:t xml:space="preserve"> law</w:t>
      </w:r>
      <w:r w:rsidR="002D5667">
        <w:rPr>
          <w:sz w:val="20"/>
          <w:szCs w:val="20"/>
          <w:lang w:eastAsia="en-AU"/>
        </w:rPr>
        <w:t xml:space="preserve">. </w:t>
      </w:r>
      <w:r>
        <w:rPr>
          <w:sz w:val="20"/>
          <w:szCs w:val="20"/>
          <w:lang w:eastAsia="en-AU"/>
        </w:rPr>
        <w:t>However, the D/NI result is not dependent on the classification of the financial instrument (</w:t>
      </w:r>
      <w:r w:rsidR="0047243A">
        <w:rPr>
          <w:sz w:val="20"/>
          <w:szCs w:val="20"/>
          <w:lang w:eastAsia="en-AU"/>
        </w:rPr>
        <w:t>that is,</w:t>
      </w:r>
      <w:r>
        <w:rPr>
          <w:sz w:val="20"/>
          <w:szCs w:val="20"/>
          <w:lang w:eastAsia="en-AU"/>
        </w:rPr>
        <w:t xml:space="preserve"> the subordinated loan)</w:t>
      </w:r>
      <w:r w:rsidR="002D5667">
        <w:rPr>
          <w:sz w:val="20"/>
          <w:szCs w:val="20"/>
          <w:lang w:eastAsia="en-AU"/>
        </w:rPr>
        <w:t xml:space="preserve">. </w:t>
      </w:r>
      <w:r>
        <w:rPr>
          <w:sz w:val="20"/>
          <w:szCs w:val="20"/>
          <w:lang w:eastAsia="en-AU"/>
        </w:rPr>
        <w:t xml:space="preserve">Rather, it applies because Country </w:t>
      </w:r>
      <w:r w:rsidR="00311638">
        <w:rPr>
          <w:sz w:val="20"/>
          <w:szCs w:val="20"/>
          <w:lang w:eastAsia="en-AU"/>
        </w:rPr>
        <w:t>T</w:t>
      </w:r>
      <w:r>
        <w:rPr>
          <w:sz w:val="20"/>
          <w:szCs w:val="20"/>
          <w:lang w:eastAsia="en-AU"/>
        </w:rPr>
        <w:t xml:space="preserve"> </w:t>
      </w:r>
      <w:r w:rsidR="00311638">
        <w:rPr>
          <w:sz w:val="20"/>
          <w:szCs w:val="20"/>
          <w:lang w:eastAsia="en-AU"/>
        </w:rPr>
        <w:t>taxes on a purely territorial basis</w:t>
      </w:r>
      <w:r w:rsidR="00D6773F">
        <w:rPr>
          <w:sz w:val="20"/>
          <w:szCs w:val="20"/>
          <w:lang w:eastAsia="en-AU"/>
        </w:rPr>
        <w:t>.</w:t>
      </w:r>
    </w:p>
    <w:p w14:paraId="605C6E70" w14:textId="77777777" w:rsidR="0011110B" w:rsidRDefault="0011110B" w:rsidP="0011110B">
      <w:pPr>
        <w:pBdr>
          <w:top w:val="single" w:sz="4" w:space="10" w:color="auto"/>
          <w:left w:val="single" w:sz="4" w:space="10" w:color="auto"/>
          <w:bottom w:val="single" w:sz="4" w:space="10" w:color="auto"/>
          <w:right w:val="single" w:sz="4" w:space="10" w:color="auto"/>
        </w:pBdr>
        <w:rPr>
          <w:sz w:val="20"/>
          <w:szCs w:val="20"/>
          <w:lang w:eastAsia="en-AU"/>
        </w:rPr>
      </w:pPr>
    </w:p>
    <w:p w14:paraId="5505B932" w14:textId="77777777" w:rsidR="0085260C" w:rsidRPr="00A601FF" w:rsidRDefault="0085260C" w:rsidP="0085260C">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Question 2</w:t>
      </w:r>
    </w:p>
    <w:p w14:paraId="579E8C54" w14:textId="77777777" w:rsidR="0085260C" w:rsidRDefault="0085260C" w:rsidP="0085260C">
      <w:pPr>
        <w:pBdr>
          <w:top w:val="single" w:sz="4" w:space="10" w:color="auto"/>
          <w:left w:val="single" w:sz="4" w:space="10" w:color="auto"/>
          <w:bottom w:val="single" w:sz="4" w:space="10" w:color="auto"/>
          <w:right w:val="single" w:sz="4" w:space="10" w:color="auto"/>
        </w:pBdr>
        <w:rPr>
          <w:sz w:val="20"/>
          <w:szCs w:val="20"/>
          <w:lang w:eastAsia="en-AU"/>
        </w:rPr>
      </w:pPr>
    </w:p>
    <w:p w14:paraId="787A5232" w14:textId="1DAF287A" w:rsidR="0085260C" w:rsidRDefault="0085260C" w:rsidP="0085260C">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Whether the outcome above changes if the subordinated loan is instead a hybrid financial instrument that is treated as an equity instrument by </w:t>
      </w:r>
      <w:r w:rsidR="009944A1">
        <w:rPr>
          <w:sz w:val="20"/>
          <w:szCs w:val="20"/>
          <w:lang w:eastAsia="en-AU"/>
        </w:rPr>
        <w:t>Tiger</w:t>
      </w:r>
      <w:r>
        <w:rPr>
          <w:sz w:val="20"/>
          <w:szCs w:val="20"/>
          <w:lang w:eastAsia="en-AU"/>
        </w:rPr>
        <w:t xml:space="preserve"> Co but a debt instrument by </w:t>
      </w:r>
      <w:r w:rsidR="009944A1">
        <w:rPr>
          <w:sz w:val="20"/>
          <w:szCs w:val="20"/>
          <w:lang w:eastAsia="en-AU"/>
        </w:rPr>
        <w:t>Kiwi</w:t>
      </w:r>
      <w:r>
        <w:rPr>
          <w:sz w:val="20"/>
          <w:szCs w:val="20"/>
          <w:lang w:eastAsia="en-AU"/>
        </w:rPr>
        <w:t xml:space="preserve"> Co (with interest treated as deductible)?</w:t>
      </w:r>
    </w:p>
    <w:p w14:paraId="07B046A6" w14:textId="77777777" w:rsidR="0085260C" w:rsidRDefault="0085260C" w:rsidP="0085260C">
      <w:pPr>
        <w:pBdr>
          <w:top w:val="single" w:sz="4" w:space="10" w:color="auto"/>
          <w:left w:val="single" w:sz="4" w:space="10" w:color="auto"/>
          <w:bottom w:val="single" w:sz="4" w:space="10" w:color="auto"/>
          <w:right w:val="single" w:sz="4" w:space="10" w:color="auto"/>
        </w:pBdr>
        <w:rPr>
          <w:sz w:val="20"/>
          <w:szCs w:val="20"/>
          <w:lang w:eastAsia="en-AU"/>
        </w:rPr>
      </w:pPr>
    </w:p>
    <w:p w14:paraId="1092F2CC" w14:textId="2B987C67" w:rsidR="0085260C" w:rsidRDefault="0085260C" w:rsidP="0085260C">
      <w:pPr>
        <w:pBdr>
          <w:top w:val="single" w:sz="4" w:space="10" w:color="auto"/>
          <w:left w:val="single" w:sz="4" w:space="10" w:color="auto"/>
          <w:bottom w:val="single" w:sz="4" w:space="10" w:color="auto"/>
          <w:right w:val="single" w:sz="4" w:space="10" w:color="auto"/>
        </w:pBdr>
        <w:rPr>
          <w:sz w:val="20"/>
          <w:szCs w:val="20"/>
          <w:lang w:eastAsia="en-AU"/>
        </w:rPr>
      </w:pPr>
      <w:r>
        <w:rPr>
          <w:i/>
          <w:sz w:val="20"/>
          <w:szCs w:val="20"/>
          <w:lang w:eastAsia="en-AU"/>
        </w:rPr>
        <w:t>Answer 2</w:t>
      </w:r>
    </w:p>
    <w:p w14:paraId="70794131" w14:textId="77777777" w:rsidR="0085260C" w:rsidRDefault="0085260C" w:rsidP="0085260C">
      <w:pPr>
        <w:pBdr>
          <w:top w:val="single" w:sz="4" w:space="10" w:color="auto"/>
          <w:left w:val="single" w:sz="4" w:space="10" w:color="auto"/>
          <w:bottom w:val="single" w:sz="4" w:space="10" w:color="auto"/>
          <w:right w:val="single" w:sz="4" w:space="10" w:color="auto"/>
        </w:pBdr>
        <w:rPr>
          <w:sz w:val="20"/>
          <w:szCs w:val="20"/>
          <w:lang w:eastAsia="en-AU"/>
        </w:rPr>
      </w:pPr>
    </w:p>
    <w:p w14:paraId="76C6E0C5" w14:textId="1E3CDEC0" w:rsidR="0011110B" w:rsidRDefault="0085260C" w:rsidP="0085260C">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No</w:t>
      </w:r>
      <w:r w:rsidR="002D5667">
        <w:rPr>
          <w:sz w:val="20"/>
          <w:szCs w:val="20"/>
          <w:lang w:eastAsia="en-AU"/>
        </w:rPr>
        <w:t xml:space="preserve">. </w:t>
      </w:r>
      <w:r>
        <w:rPr>
          <w:sz w:val="20"/>
          <w:szCs w:val="20"/>
          <w:lang w:eastAsia="en-AU"/>
        </w:rPr>
        <w:t xml:space="preserve">The D/NI result would still arise if </w:t>
      </w:r>
      <w:r w:rsidR="009944A1">
        <w:rPr>
          <w:sz w:val="20"/>
          <w:szCs w:val="20"/>
          <w:lang w:eastAsia="en-AU"/>
        </w:rPr>
        <w:t>Tiger</w:t>
      </w:r>
      <w:r>
        <w:rPr>
          <w:sz w:val="20"/>
          <w:szCs w:val="20"/>
          <w:lang w:eastAsia="en-AU"/>
        </w:rPr>
        <w:t xml:space="preserve"> Co treated the subordinated loan as a debt instrument (mirroring </w:t>
      </w:r>
      <w:r w:rsidR="009944A1">
        <w:rPr>
          <w:sz w:val="20"/>
          <w:szCs w:val="20"/>
          <w:lang w:eastAsia="en-AU"/>
        </w:rPr>
        <w:t>Kiwi</w:t>
      </w:r>
      <w:r>
        <w:rPr>
          <w:sz w:val="20"/>
          <w:szCs w:val="20"/>
          <w:lang w:eastAsia="en-AU"/>
        </w:rPr>
        <w:t xml:space="preserve"> Co’s treatment of it)</w:t>
      </w:r>
      <w:r w:rsidR="002D5667">
        <w:rPr>
          <w:sz w:val="20"/>
          <w:szCs w:val="20"/>
          <w:lang w:eastAsia="en-AU"/>
        </w:rPr>
        <w:t xml:space="preserve">. </w:t>
      </w:r>
      <w:r>
        <w:rPr>
          <w:sz w:val="20"/>
          <w:szCs w:val="20"/>
          <w:lang w:eastAsia="en-AU"/>
        </w:rPr>
        <w:t>This is because Country T has a pure territorial tax system and the interest income paid by a non-resident is treated as foreign source income.</w:t>
      </w:r>
    </w:p>
    <w:p w14:paraId="46A9DC07" w14:textId="4B9601DD" w:rsidR="00780012" w:rsidRDefault="00780012">
      <w:pPr>
        <w:rPr>
          <w:lang w:eastAsia="en-AU"/>
        </w:rPr>
      </w:pPr>
    </w:p>
    <w:p w14:paraId="7D6AD91F" w14:textId="73286A95" w:rsidR="00925A3A" w:rsidRPr="00925A3A" w:rsidRDefault="00925A3A" w:rsidP="00925A3A">
      <w:pPr>
        <w:rPr>
          <w:szCs w:val="20"/>
          <w:lang w:eastAsia="en-AU"/>
        </w:rPr>
      </w:pPr>
      <w:r w:rsidRPr="00925A3A">
        <w:rPr>
          <w:szCs w:val="20"/>
          <w:lang w:eastAsia="en-AU"/>
        </w:rPr>
        <w:t>Ordinary income is defined in subsection (9)</w:t>
      </w:r>
      <w:r w:rsidR="002D5667">
        <w:rPr>
          <w:szCs w:val="20"/>
          <w:lang w:eastAsia="en-AU"/>
        </w:rPr>
        <w:t xml:space="preserve">. </w:t>
      </w:r>
      <w:r w:rsidRPr="00925A3A">
        <w:rPr>
          <w:szCs w:val="20"/>
          <w:lang w:eastAsia="en-AU"/>
        </w:rPr>
        <w:t>It is income taxed at the full (or usual) marginal rate of a person for income from financial instruments, and which is not eligible for any exemption, exclusion, credit or tax relief, other than for withholding tax imposed on the payment.</w:t>
      </w:r>
    </w:p>
    <w:p w14:paraId="07187FA3" w14:textId="77777777" w:rsidR="00925A3A" w:rsidRPr="00D1380C" w:rsidRDefault="00925A3A" w:rsidP="00925A3A">
      <w:pPr>
        <w:rPr>
          <w:lang w:eastAsia="en-AU"/>
        </w:rPr>
      </w:pPr>
    </w:p>
    <w:p w14:paraId="51E54FFA" w14:textId="626654C4" w:rsidR="00925A3A" w:rsidRPr="00925A3A" w:rsidRDefault="00925A3A" w:rsidP="00925A3A">
      <w:pPr>
        <w:pBdr>
          <w:top w:val="single" w:sz="4" w:space="10" w:color="auto"/>
          <w:left w:val="single" w:sz="4" w:space="10" w:color="auto"/>
          <w:bottom w:val="single" w:sz="4" w:space="10" w:color="auto"/>
          <w:right w:val="single" w:sz="4" w:space="10" w:color="auto"/>
        </w:pBdr>
        <w:rPr>
          <w:b/>
          <w:sz w:val="20"/>
          <w:szCs w:val="20"/>
          <w:lang w:eastAsia="en-AU"/>
        </w:rPr>
      </w:pPr>
      <w:r w:rsidRPr="00925A3A">
        <w:rPr>
          <w:b/>
          <w:sz w:val="20"/>
          <w:szCs w:val="20"/>
          <w:lang w:eastAsia="en-AU"/>
        </w:rPr>
        <w:t xml:space="preserve">Example </w:t>
      </w:r>
      <w:r w:rsidR="007A382F">
        <w:rPr>
          <w:b/>
          <w:sz w:val="20"/>
          <w:szCs w:val="20"/>
          <w:lang w:eastAsia="en-AU"/>
        </w:rPr>
        <w:t>11</w:t>
      </w:r>
      <w:r w:rsidR="00824EF8">
        <w:rPr>
          <w:b/>
          <w:sz w:val="20"/>
          <w:szCs w:val="20"/>
          <w:lang w:eastAsia="en-AU"/>
        </w:rPr>
        <w:t>: O</w:t>
      </w:r>
      <w:r w:rsidR="0077502D">
        <w:rPr>
          <w:b/>
          <w:sz w:val="20"/>
          <w:szCs w:val="20"/>
          <w:lang w:eastAsia="en-AU"/>
        </w:rPr>
        <w:t>rdinary income</w:t>
      </w:r>
    </w:p>
    <w:p w14:paraId="653A19C3"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p>
    <w:p w14:paraId="00FB35EB" w14:textId="500DC9B6"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r w:rsidRPr="00925A3A">
        <w:rPr>
          <w:sz w:val="20"/>
          <w:szCs w:val="20"/>
          <w:lang w:eastAsia="en-AU"/>
        </w:rPr>
        <w:t>An offshore parent tax resident in Country A lends money to a New Zealand subsidiary on the basis that the loan is subordinated to general creditors and interest payments are subject to a solvency requirement</w:t>
      </w:r>
      <w:r w:rsidR="002D5667">
        <w:rPr>
          <w:sz w:val="20"/>
          <w:szCs w:val="20"/>
          <w:lang w:eastAsia="en-AU"/>
        </w:rPr>
        <w:t xml:space="preserve">. </w:t>
      </w:r>
      <w:r w:rsidRPr="00925A3A">
        <w:rPr>
          <w:sz w:val="20"/>
          <w:szCs w:val="20"/>
          <w:lang w:eastAsia="en-AU"/>
        </w:rPr>
        <w:t>If the interest is not paid, it compounds</w:t>
      </w:r>
      <w:r w:rsidR="002D5667">
        <w:rPr>
          <w:sz w:val="20"/>
          <w:szCs w:val="20"/>
          <w:lang w:eastAsia="en-AU"/>
        </w:rPr>
        <w:t xml:space="preserve">. </w:t>
      </w:r>
      <w:r w:rsidRPr="00925A3A">
        <w:rPr>
          <w:sz w:val="20"/>
          <w:szCs w:val="20"/>
          <w:lang w:eastAsia="en-AU"/>
        </w:rPr>
        <w:t>The loan is treated as a share under Country A tax law, and payments are treated as dividends</w:t>
      </w:r>
      <w:r w:rsidR="002D5667">
        <w:rPr>
          <w:sz w:val="20"/>
          <w:szCs w:val="20"/>
          <w:lang w:eastAsia="en-AU"/>
        </w:rPr>
        <w:t xml:space="preserve">. </w:t>
      </w:r>
      <w:r w:rsidRPr="00925A3A">
        <w:rPr>
          <w:sz w:val="20"/>
          <w:szCs w:val="20"/>
          <w:lang w:eastAsia="en-AU"/>
        </w:rPr>
        <w:t xml:space="preserve">Country A taxes only </w:t>
      </w:r>
      <w:r w:rsidR="00386978">
        <w:rPr>
          <w:sz w:val="20"/>
          <w:szCs w:val="20"/>
          <w:lang w:eastAsia="en-AU"/>
        </w:rPr>
        <w:t>ten</w:t>
      </w:r>
      <w:r w:rsidRPr="00925A3A">
        <w:rPr>
          <w:sz w:val="20"/>
          <w:szCs w:val="20"/>
          <w:lang w:eastAsia="en-AU"/>
        </w:rPr>
        <w:t xml:space="preserve"> percent of any dividend received from a foreign subsidiary</w:t>
      </w:r>
      <w:r w:rsidR="002D5667">
        <w:rPr>
          <w:sz w:val="20"/>
          <w:szCs w:val="20"/>
          <w:lang w:eastAsia="en-AU"/>
        </w:rPr>
        <w:t xml:space="preserve">. </w:t>
      </w:r>
      <w:r w:rsidRPr="00925A3A">
        <w:rPr>
          <w:sz w:val="20"/>
          <w:szCs w:val="20"/>
          <w:lang w:eastAsia="en-AU"/>
        </w:rPr>
        <w:t xml:space="preserve">The tax rate imposed on this </w:t>
      </w:r>
      <w:r w:rsidR="00386978">
        <w:rPr>
          <w:sz w:val="20"/>
          <w:szCs w:val="20"/>
          <w:lang w:eastAsia="en-AU"/>
        </w:rPr>
        <w:t>ten</w:t>
      </w:r>
      <w:r w:rsidRPr="00925A3A">
        <w:rPr>
          <w:sz w:val="20"/>
          <w:szCs w:val="20"/>
          <w:lang w:eastAsia="en-AU"/>
        </w:rPr>
        <w:t xml:space="preserve"> percent is the same as the tax rate imposed on interest income.</w:t>
      </w:r>
    </w:p>
    <w:p w14:paraId="40503750"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p>
    <w:p w14:paraId="6066C1B7" w14:textId="260BFF09"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r w:rsidRPr="00925A3A">
        <w:rPr>
          <w:sz w:val="20"/>
          <w:szCs w:val="20"/>
          <w:lang w:eastAsia="en-AU"/>
        </w:rPr>
        <w:t xml:space="preserve">In this case, </w:t>
      </w:r>
      <w:r w:rsidR="00386978">
        <w:rPr>
          <w:sz w:val="20"/>
          <w:szCs w:val="20"/>
          <w:lang w:eastAsia="en-AU"/>
        </w:rPr>
        <w:t>ninety</w:t>
      </w:r>
      <w:r w:rsidRPr="00925A3A">
        <w:rPr>
          <w:sz w:val="20"/>
          <w:szCs w:val="20"/>
          <w:lang w:eastAsia="en-AU"/>
        </w:rPr>
        <w:t xml:space="preserve"> percent of the interest payment is not taxed as ordinary income</w:t>
      </w:r>
      <w:r w:rsidR="002D5667">
        <w:rPr>
          <w:sz w:val="20"/>
          <w:szCs w:val="20"/>
          <w:lang w:eastAsia="en-AU"/>
        </w:rPr>
        <w:t xml:space="preserve">. </w:t>
      </w:r>
      <w:r w:rsidRPr="00925A3A">
        <w:rPr>
          <w:sz w:val="20"/>
          <w:szCs w:val="20"/>
          <w:lang w:eastAsia="en-AU"/>
        </w:rPr>
        <w:t>However, it would be taxed as ordinary income if the loan were treated as a debt instrument for purposes of Country A tax law</w:t>
      </w:r>
      <w:r w:rsidR="002D5667">
        <w:rPr>
          <w:sz w:val="20"/>
          <w:szCs w:val="20"/>
          <w:lang w:eastAsia="en-AU"/>
        </w:rPr>
        <w:t xml:space="preserve">. </w:t>
      </w:r>
      <w:r w:rsidRPr="00925A3A">
        <w:rPr>
          <w:sz w:val="20"/>
          <w:szCs w:val="20"/>
          <w:lang w:eastAsia="en-AU"/>
        </w:rPr>
        <w:t xml:space="preserve">Accordingly, the payment meets the requirements of subsection </w:t>
      </w:r>
      <w:r w:rsidR="00F57FBD">
        <w:rPr>
          <w:sz w:val="20"/>
          <w:szCs w:val="20"/>
          <w:lang w:eastAsia="en-AU"/>
        </w:rPr>
        <w:t>FH 3</w:t>
      </w:r>
      <w:r w:rsidRPr="00925A3A">
        <w:rPr>
          <w:sz w:val="20"/>
          <w:szCs w:val="20"/>
          <w:lang w:eastAsia="en-AU"/>
        </w:rPr>
        <w:t>(2).</w:t>
      </w:r>
    </w:p>
    <w:p w14:paraId="612283FD"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p>
    <w:p w14:paraId="042E5A14"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i/>
          <w:sz w:val="20"/>
          <w:szCs w:val="20"/>
          <w:lang w:eastAsia="en-AU"/>
        </w:rPr>
      </w:pPr>
      <w:r w:rsidRPr="00925A3A">
        <w:rPr>
          <w:i/>
          <w:sz w:val="20"/>
          <w:szCs w:val="20"/>
          <w:lang w:eastAsia="en-AU"/>
        </w:rPr>
        <w:t>Alternative 1</w:t>
      </w:r>
    </w:p>
    <w:p w14:paraId="01426A97"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p>
    <w:p w14:paraId="6BFFD49B" w14:textId="748CF7CA" w:rsidR="00D43D66"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r w:rsidRPr="00925A3A">
        <w:rPr>
          <w:sz w:val="20"/>
          <w:szCs w:val="20"/>
          <w:lang w:eastAsia="en-AU"/>
        </w:rPr>
        <w:t xml:space="preserve">Country A also has a rule that denies the </w:t>
      </w:r>
      <w:r w:rsidR="00386978">
        <w:rPr>
          <w:sz w:val="20"/>
          <w:szCs w:val="20"/>
          <w:lang w:eastAsia="en-AU"/>
        </w:rPr>
        <w:t>ninety</w:t>
      </w:r>
      <w:r w:rsidRPr="00925A3A">
        <w:rPr>
          <w:sz w:val="20"/>
          <w:szCs w:val="20"/>
          <w:lang w:eastAsia="en-AU"/>
        </w:rPr>
        <w:t xml:space="preserve"> percent exclusion to dividends from foreign subsidiaries if they are deductible to the subsidiary (similar to section CW 9(2)(c) of the Income Tax Act 2007)</w:t>
      </w:r>
      <w:r w:rsidR="002D5667">
        <w:rPr>
          <w:sz w:val="20"/>
          <w:szCs w:val="20"/>
          <w:lang w:eastAsia="en-AU"/>
        </w:rPr>
        <w:t xml:space="preserve">. </w:t>
      </w:r>
      <w:r w:rsidRPr="00925A3A">
        <w:rPr>
          <w:sz w:val="20"/>
          <w:szCs w:val="20"/>
          <w:lang w:eastAsia="en-AU"/>
        </w:rPr>
        <w:t>In this case section FH 3 would not apply</w:t>
      </w:r>
      <w:r w:rsidR="002D5667">
        <w:rPr>
          <w:sz w:val="20"/>
          <w:szCs w:val="20"/>
          <w:lang w:eastAsia="en-AU"/>
        </w:rPr>
        <w:t xml:space="preserve">. </w:t>
      </w:r>
      <w:r w:rsidRPr="00925A3A">
        <w:rPr>
          <w:sz w:val="20"/>
          <w:szCs w:val="20"/>
          <w:lang w:eastAsia="en-AU"/>
        </w:rPr>
        <w:t>The dividend would remain deductible, since it is taxable as ordinary income to the offshore parent.</w:t>
      </w:r>
    </w:p>
    <w:p w14:paraId="508C2F87" w14:textId="77777777" w:rsidR="00D43D66" w:rsidRDefault="00D43D66" w:rsidP="00925A3A">
      <w:pPr>
        <w:pBdr>
          <w:top w:val="single" w:sz="4" w:space="10" w:color="auto"/>
          <w:left w:val="single" w:sz="4" w:space="10" w:color="auto"/>
          <w:bottom w:val="single" w:sz="4" w:space="10" w:color="auto"/>
          <w:right w:val="single" w:sz="4" w:space="10" w:color="auto"/>
        </w:pBdr>
        <w:rPr>
          <w:sz w:val="20"/>
          <w:szCs w:val="20"/>
          <w:lang w:eastAsia="en-AU"/>
        </w:rPr>
      </w:pPr>
    </w:p>
    <w:p w14:paraId="2D081EBE" w14:textId="1B2E38C2" w:rsidR="00925A3A" w:rsidRDefault="00D43D66" w:rsidP="00925A3A">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It should not matter if there is a timing difference between when the payment is treated as deductible to the New Zealand subsidiary (</w:t>
      </w:r>
      <w:r w:rsidR="00386978">
        <w:rPr>
          <w:sz w:val="20"/>
          <w:szCs w:val="20"/>
          <w:lang w:eastAsia="en-AU"/>
        </w:rPr>
        <w:t>that is,</w:t>
      </w:r>
      <w:r>
        <w:rPr>
          <w:sz w:val="20"/>
          <w:szCs w:val="20"/>
          <w:lang w:eastAsia="en-AU"/>
        </w:rPr>
        <w:t xml:space="preserve"> interest deducted on an accrued basis under the financial arrangements rules) </w:t>
      </w:r>
      <w:r w:rsidR="004D6C5C">
        <w:rPr>
          <w:sz w:val="20"/>
          <w:szCs w:val="20"/>
          <w:lang w:eastAsia="en-AU"/>
        </w:rPr>
        <w:t>and when it is taxa</w:t>
      </w:r>
      <w:r w:rsidR="00386978">
        <w:rPr>
          <w:sz w:val="20"/>
          <w:szCs w:val="20"/>
          <w:lang w:eastAsia="en-AU"/>
        </w:rPr>
        <w:t>ble to the offshore parent (that is,</w:t>
      </w:r>
      <w:r w:rsidR="004D6C5C">
        <w:rPr>
          <w:sz w:val="20"/>
          <w:szCs w:val="20"/>
          <w:lang w:eastAsia="en-AU"/>
        </w:rPr>
        <w:t xml:space="preserve"> when it is received)</w:t>
      </w:r>
      <w:r w:rsidR="00EC583A">
        <w:rPr>
          <w:sz w:val="20"/>
          <w:szCs w:val="20"/>
          <w:lang w:eastAsia="en-AU"/>
        </w:rPr>
        <w:t xml:space="preserve"> under subsection FH 3(2)</w:t>
      </w:r>
      <w:r w:rsidR="004D6C5C">
        <w:rPr>
          <w:sz w:val="20"/>
          <w:szCs w:val="20"/>
          <w:lang w:eastAsia="en-AU"/>
        </w:rPr>
        <w:t xml:space="preserve">, </w:t>
      </w:r>
      <w:r w:rsidR="0058279A">
        <w:rPr>
          <w:sz w:val="20"/>
          <w:szCs w:val="20"/>
          <w:lang w:eastAsia="en-AU"/>
        </w:rPr>
        <w:t>unless</w:t>
      </w:r>
      <w:r w:rsidR="004D6C5C">
        <w:rPr>
          <w:sz w:val="20"/>
          <w:szCs w:val="20"/>
          <w:lang w:eastAsia="en-AU"/>
        </w:rPr>
        <w:t xml:space="preserve"> subsection FH 3(3) </w:t>
      </w:r>
      <w:r w:rsidR="0058279A">
        <w:rPr>
          <w:sz w:val="20"/>
          <w:szCs w:val="20"/>
          <w:lang w:eastAsia="en-AU"/>
        </w:rPr>
        <w:t>relating to</w:t>
      </w:r>
      <w:r w:rsidR="004D6C5C">
        <w:rPr>
          <w:sz w:val="20"/>
          <w:szCs w:val="20"/>
          <w:lang w:eastAsia="en-AU"/>
        </w:rPr>
        <w:t xml:space="preserve"> timing mismatches</w:t>
      </w:r>
      <w:r w:rsidR="0058279A">
        <w:rPr>
          <w:sz w:val="20"/>
          <w:szCs w:val="20"/>
          <w:lang w:eastAsia="en-AU"/>
        </w:rPr>
        <w:t xml:space="preserve"> applies</w:t>
      </w:r>
      <w:r w:rsidR="004D6C5C">
        <w:rPr>
          <w:sz w:val="20"/>
          <w:szCs w:val="20"/>
          <w:lang w:eastAsia="en-AU"/>
        </w:rPr>
        <w:t>.</w:t>
      </w:r>
    </w:p>
    <w:p w14:paraId="2B902A8D" w14:textId="77777777" w:rsidR="003C6F4A" w:rsidRDefault="003C6F4A" w:rsidP="00925A3A">
      <w:pPr>
        <w:pBdr>
          <w:top w:val="single" w:sz="4" w:space="10" w:color="auto"/>
          <w:left w:val="single" w:sz="4" w:space="10" w:color="auto"/>
          <w:bottom w:val="single" w:sz="4" w:space="10" w:color="auto"/>
          <w:right w:val="single" w:sz="4" w:space="10" w:color="auto"/>
        </w:pBdr>
        <w:rPr>
          <w:i/>
          <w:sz w:val="20"/>
          <w:szCs w:val="20"/>
          <w:lang w:eastAsia="en-AU"/>
        </w:rPr>
      </w:pPr>
    </w:p>
    <w:p w14:paraId="54BD40A8"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i/>
          <w:sz w:val="20"/>
          <w:szCs w:val="20"/>
          <w:lang w:eastAsia="en-AU"/>
        </w:rPr>
      </w:pPr>
      <w:r w:rsidRPr="00925A3A">
        <w:rPr>
          <w:i/>
          <w:sz w:val="20"/>
          <w:szCs w:val="20"/>
          <w:lang w:eastAsia="en-AU"/>
        </w:rPr>
        <w:t>Alternative 2</w:t>
      </w:r>
    </w:p>
    <w:p w14:paraId="7B665A46"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p>
    <w:p w14:paraId="20A22931" w14:textId="29BDD932" w:rsidR="005A0EFA" w:rsidRPr="005A0EFA" w:rsidRDefault="00925A3A" w:rsidP="005A0EFA">
      <w:pPr>
        <w:pBdr>
          <w:top w:val="single" w:sz="4" w:space="10" w:color="auto"/>
          <w:left w:val="single" w:sz="4" w:space="10" w:color="auto"/>
          <w:bottom w:val="single" w:sz="4" w:space="10" w:color="auto"/>
          <w:right w:val="single" w:sz="4" w:space="10" w:color="auto"/>
        </w:pBdr>
        <w:rPr>
          <w:szCs w:val="20"/>
          <w:lang w:eastAsia="en-AU"/>
        </w:rPr>
      </w:pPr>
      <w:r w:rsidRPr="00925A3A">
        <w:rPr>
          <w:sz w:val="20"/>
          <w:szCs w:val="20"/>
          <w:lang w:eastAsia="en-AU"/>
        </w:rPr>
        <w:lastRenderedPageBreak/>
        <w:t xml:space="preserve">The loan </w:t>
      </w:r>
      <w:r w:rsidR="00136FE6">
        <w:rPr>
          <w:sz w:val="20"/>
          <w:szCs w:val="20"/>
          <w:lang w:eastAsia="en-AU"/>
        </w:rPr>
        <w:t xml:space="preserve">from the offshore parent </w:t>
      </w:r>
      <w:r w:rsidRPr="00925A3A">
        <w:rPr>
          <w:sz w:val="20"/>
          <w:szCs w:val="20"/>
          <w:lang w:eastAsia="en-AU"/>
        </w:rPr>
        <w:t>is to the New Zealand branch of a subsidiary also resident in Country A, and the offshore subsidiary and the offshore parent are in a tax consolidated group</w:t>
      </w:r>
      <w:r w:rsidR="00136FE6">
        <w:rPr>
          <w:sz w:val="20"/>
          <w:szCs w:val="20"/>
          <w:lang w:eastAsia="en-AU"/>
        </w:rPr>
        <w:t xml:space="preserve"> in Country A</w:t>
      </w:r>
      <w:r w:rsidRPr="00925A3A">
        <w:rPr>
          <w:sz w:val="20"/>
          <w:szCs w:val="20"/>
          <w:lang w:eastAsia="en-AU"/>
        </w:rPr>
        <w:t>, pursuant to which payments between the two companies are disregarded for Country A tax purposes</w:t>
      </w:r>
      <w:r w:rsidR="002D5667">
        <w:rPr>
          <w:sz w:val="20"/>
          <w:szCs w:val="20"/>
          <w:lang w:eastAsia="en-AU"/>
        </w:rPr>
        <w:t xml:space="preserve">. </w:t>
      </w:r>
      <w:r w:rsidRPr="00925A3A">
        <w:rPr>
          <w:sz w:val="20"/>
          <w:szCs w:val="20"/>
          <w:lang w:eastAsia="en-AU"/>
        </w:rPr>
        <w:t>In that case, the payment would not be included in the offshore parent’s income regardless of the classification of the payment or the loan</w:t>
      </w:r>
      <w:r w:rsidR="002D5667">
        <w:rPr>
          <w:sz w:val="20"/>
          <w:szCs w:val="20"/>
          <w:lang w:eastAsia="en-AU"/>
        </w:rPr>
        <w:t xml:space="preserve">. </w:t>
      </w:r>
      <w:r w:rsidRPr="00925A3A">
        <w:rPr>
          <w:sz w:val="20"/>
          <w:szCs w:val="20"/>
          <w:lang w:eastAsia="en-AU"/>
        </w:rPr>
        <w:t>Accordingly</w:t>
      </w:r>
      <w:r w:rsidR="004D346F">
        <w:rPr>
          <w:sz w:val="20"/>
          <w:szCs w:val="20"/>
          <w:lang w:eastAsia="en-AU"/>
        </w:rPr>
        <w:t>,</w:t>
      </w:r>
      <w:r w:rsidRPr="00925A3A">
        <w:rPr>
          <w:sz w:val="20"/>
          <w:szCs w:val="20"/>
          <w:lang w:eastAsia="en-AU"/>
        </w:rPr>
        <w:t xml:space="preserve"> the payment is not subject to section FH 3 (though it may well be subject to section FH 5).</w:t>
      </w:r>
    </w:p>
    <w:p w14:paraId="0812F6B9" w14:textId="77777777" w:rsidR="003B02AB" w:rsidRDefault="003B02AB" w:rsidP="00925A3A">
      <w:pPr>
        <w:rPr>
          <w:szCs w:val="20"/>
          <w:lang w:eastAsia="en-AU"/>
        </w:rPr>
      </w:pPr>
    </w:p>
    <w:p w14:paraId="2A786DB8" w14:textId="77777777" w:rsidR="000772C5" w:rsidRDefault="000772C5" w:rsidP="00925A3A">
      <w:pPr>
        <w:rPr>
          <w:szCs w:val="20"/>
          <w:lang w:eastAsia="en-AU"/>
        </w:rPr>
      </w:pPr>
    </w:p>
    <w:p w14:paraId="5A8FDA57" w14:textId="77777777" w:rsidR="00B876ED" w:rsidRPr="00B876ED" w:rsidRDefault="00B876ED" w:rsidP="00532DB4">
      <w:pPr>
        <w:pStyle w:val="Heading4"/>
        <w:rPr>
          <w:lang w:eastAsia="en-AU"/>
        </w:rPr>
      </w:pPr>
      <w:r>
        <w:rPr>
          <w:lang w:eastAsia="en-AU"/>
        </w:rPr>
        <w:t>Timing mismatches</w:t>
      </w:r>
    </w:p>
    <w:p w14:paraId="5BB83237" w14:textId="77777777" w:rsidR="00B876ED" w:rsidRDefault="00B876ED" w:rsidP="00925A3A">
      <w:pPr>
        <w:rPr>
          <w:szCs w:val="20"/>
          <w:lang w:eastAsia="en-AU"/>
        </w:rPr>
      </w:pPr>
    </w:p>
    <w:p w14:paraId="446B566D" w14:textId="4C2FD7C2" w:rsidR="00925A3A" w:rsidRPr="00925A3A" w:rsidRDefault="00925A3A" w:rsidP="00925A3A">
      <w:pPr>
        <w:rPr>
          <w:szCs w:val="20"/>
          <w:lang w:eastAsia="en-AU"/>
        </w:rPr>
      </w:pPr>
      <w:r w:rsidRPr="00925A3A">
        <w:rPr>
          <w:szCs w:val="20"/>
          <w:lang w:eastAsia="en-AU"/>
        </w:rPr>
        <w:t>Subsection (3) applies to “timing mismatches”</w:t>
      </w:r>
      <w:r w:rsidR="002D5667">
        <w:rPr>
          <w:szCs w:val="20"/>
          <w:lang w:eastAsia="en-AU"/>
        </w:rPr>
        <w:t xml:space="preserve">. </w:t>
      </w:r>
      <w:r w:rsidRPr="00925A3A">
        <w:rPr>
          <w:szCs w:val="20"/>
          <w:lang w:eastAsia="en-AU"/>
        </w:rPr>
        <w:t>These arise if:</w:t>
      </w:r>
    </w:p>
    <w:p w14:paraId="64DF6365" w14:textId="77777777" w:rsidR="00925A3A" w:rsidRPr="00925A3A" w:rsidRDefault="00925A3A" w:rsidP="00925A3A">
      <w:pPr>
        <w:rPr>
          <w:szCs w:val="20"/>
          <w:lang w:eastAsia="en-AU"/>
        </w:rPr>
      </w:pPr>
    </w:p>
    <w:p w14:paraId="68F504B0" w14:textId="77777777" w:rsidR="00925A3A" w:rsidRPr="00925A3A" w:rsidRDefault="004540D2" w:rsidP="00E852A0">
      <w:pPr>
        <w:numPr>
          <w:ilvl w:val="0"/>
          <w:numId w:val="1"/>
        </w:numPr>
        <w:spacing w:after="140"/>
        <w:rPr>
          <w:szCs w:val="20"/>
          <w:lang w:eastAsia="en-AU"/>
        </w:rPr>
      </w:pPr>
      <w:r w:rsidRPr="00925A3A">
        <w:rPr>
          <w:szCs w:val="20"/>
          <w:lang w:eastAsia="en-AU"/>
        </w:rPr>
        <w:t xml:space="preserve">an amount of a payment </w:t>
      </w:r>
      <w:r w:rsidR="00925A3A" w:rsidRPr="00925A3A">
        <w:rPr>
          <w:szCs w:val="20"/>
          <w:lang w:eastAsia="en-AU"/>
        </w:rPr>
        <w:t>is recognised as ordinary income;</w:t>
      </w:r>
    </w:p>
    <w:p w14:paraId="1AC1BC77" w14:textId="77777777" w:rsidR="00925A3A" w:rsidRPr="00925A3A" w:rsidRDefault="00925A3A" w:rsidP="00E852A0">
      <w:pPr>
        <w:numPr>
          <w:ilvl w:val="0"/>
          <w:numId w:val="1"/>
        </w:numPr>
        <w:spacing w:after="140"/>
        <w:rPr>
          <w:szCs w:val="20"/>
          <w:lang w:eastAsia="en-AU"/>
        </w:rPr>
      </w:pPr>
      <w:r w:rsidRPr="00925A3A">
        <w:rPr>
          <w:szCs w:val="20"/>
          <w:lang w:eastAsia="en-AU"/>
        </w:rPr>
        <w:t>the financial instrument</w:t>
      </w:r>
      <w:r w:rsidR="007E243E">
        <w:rPr>
          <w:szCs w:val="20"/>
          <w:lang w:eastAsia="en-AU"/>
        </w:rPr>
        <w:t>, including extensions contemplated by the financial instrument,</w:t>
      </w:r>
      <w:r w:rsidRPr="00925A3A">
        <w:rPr>
          <w:szCs w:val="20"/>
          <w:lang w:eastAsia="en-AU"/>
        </w:rPr>
        <w:t xml:space="preserve"> does not have a</w:t>
      </w:r>
      <w:r w:rsidR="005D4BA9">
        <w:rPr>
          <w:szCs w:val="20"/>
          <w:lang w:eastAsia="en-AU"/>
        </w:rPr>
        <w:t xml:space="preserve"> duration </w:t>
      </w:r>
      <w:r w:rsidRPr="00925A3A">
        <w:rPr>
          <w:szCs w:val="20"/>
          <w:lang w:eastAsia="en-AU"/>
        </w:rPr>
        <w:t>of three years or less; and</w:t>
      </w:r>
    </w:p>
    <w:p w14:paraId="1567E39F" w14:textId="77777777" w:rsidR="00925A3A" w:rsidRPr="00925A3A" w:rsidRDefault="00925A3A" w:rsidP="00E852A0">
      <w:pPr>
        <w:numPr>
          <w:ilvl w:val="0"/>
          <w:numId w:val="1"/>
        </w:numPr>
        <w:rPr>
          <w:szCs w:val="20"/>
          <w:lang w:eastAsia="en-AU"/>
        </w:rPr>
      </w:pPr>
      <w:r w:rsidRPr="00925A3A">
        <w:rPr>
          <w:szCs w:val="20"/>
          <w:lang w:eastAsia="en-AU"/>
        </w:rPr>
        <w:t xml:space="preserve">the payee is not using a reasonable accrual method to recognise income from the </w:t>
      </w:r>
      <w:r w:rsidR="00B45C8D">
        <w:rPr>
          <w:szCs w:val="20"/>
          <w:lang w:eastAsia="en-AU"/>
        </w:rPr>
        <w:t>payment</w:t>
      </w:r>
      <w:r w:rsidRPr="00925A3A">
        <w:rPr>
          <w:szCs w:val="20"/>
          <w:lang w:eastAsia="en-AU"/>
        </w:rPr>
        <w:t xml:space="preserve"> and the </w:t>
      </w:r>
      <w:r w:rsidR="00B45C8D">
        <w:rPr>
          <w:szCs w:val="20"/>
          <w:lang w:eastAsia="en-AU"/>
        </w:rPr>
        <w:t>payment</w:t>
      </w:r>
      <w:r w:rsidRPr="00925A3A">
        <w:rPr>
          <w:szCs w:val="20"/>
          <w:lang w:eastAsia="en-AU"/>
        </w:rPr>
        <w:t xml:space="preserve"> is not, or is not reasonably expected to be, recognised in the payee country in an accounting period beginning within 24 months of the year in which the amount is deductible.</w:t>
      </w:r>
    </w:p>
    <w:p w14:paraId="4D93FBB0" w14:textId="77777777" w:rsidR="00925A3A" w:rsidRPr="00925A3A" w:rsidRDefault="00925A3A" w:rsidP="00925A3A">
      <w:pPr>
        <w:rPr>
          <w:szCs w:val="20"/>
          <w:lang w:eastAsia="en-AU"/>
        </w:rPr>
      </w:pPr>
    </w:p>
    <w:p w14:paraId="412B803B" w14:textId="1009E11E" w:rsidR="00925A3A" w:rsidRPr="00925A3A" w:rsidRDefault="00925A3A" w:rsidP="00925A3A">
      <w:pPr>
        <w:pBdr>
          <w:top w:val="single" w:sz="4" w:space="10" w:color="auto"/>
          <w:left w:val="single" w:sz="4" w:space="10" w:color="auto"/>
          <w:bottom w:val="single" w:sz="4" w:space="10" w:color="auto"/>
          <w:right w:val="single" w:sz="4" w:space="10" w:color="auto"/>
        </w:pBdr>
        <w:rPr>
          <w:b/>
          <w:sz w:val="20"/>
          <w:szCs w:val="20"/>
          <w:lang w:eastAsia="en-AU"/>
        </w:rPr>
      </w:pPr>
      <w:r w:rsidRPr="00925A3A">
        <w:rPr>
          <w:b/>
          <w:sz w:val="20"/>
          <w:szCs w:val="20"/>
          <w:lang w:eastAsia="en-AU"/>
        </w:rPr>
        <w:t xml:space="preserve">Example </w:t>
      </w:r>
      <w:r w:rsidR="007A382F">
        <w:rPr>
          <w:b/>
          <w:sz w:val="20"/>
          <w:szCs w:val="20"/>
          <w:lang w:eastAsia="en-AU"/>
        </w:rPr>
        <w:t>12</w:t>
      </w:r>
      <w:r w:rsidR="00824EF8">
        <w:rPr>
          <w:b/>
          <w:sz w:val="20"/>
          <w:szCs w:val="20"/>
          <w:lang w:eastAsia="en-AU"/>
        </w:rPr>
        <w:t>: T</w:t>
      </w:r>
      <w:r w:rsidR="001F2A69">
        <w:rPr>
          <w:b/>
          <w:sz w:val="20"/>
          <w:szCs w:val="20"/>
          <w:lang w:eastAsia="en-AU"/>
        </w:rPr>
        <w:t>iming mismatch</w:t>
      </w:r>
      <w:r w:rsidR="00824EF8">
        <w:rPr>
          <w:b/>
          <w:sz w:val="20"/>
          <w:szCs w:val="20"/>
          <w:lang w:eastAsia="en-AU"/>
        </w:rPr>
        <w:t xml:space="preserve"> I</w:t>
      </w:r>
    </w:p>
    <w:p w14:paraId="3CE3237C"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p>
    <w:p w14:paraId="70D533E5" w14:textId="4D94C3CC"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r w:rsidRPr="00925A3A">
        <w:rPr>
          <w:sz w:val="20"/>
          <w:szCs w:val="20"/>
          <w:lang w:eastAsia="en-AU"/>
        </w:rPr>
        <w:t>An offshore parent</w:t>
      </w:r>
      <w:r w:rsidR="002777F2">
        <w:rPr>
          <w:sz w:val="20"/>
          <w:szCs w:val="20"/>
          <w:lang w:eastAsia="en-AU"/>
        </w:rPr>
        <w:t xml:space="preserve"> company</w:t>
      </w:r>
      <w:r w:rsidRPr="00925A3A">
        <w:rPr>
          <w:sz w:val="20"/>
          <w:szCs w:val="20"/>
          <w:lang w:eastAsia="en-AU"/>
        </w:rPr>
        <w:t xml:space="preserve"> makes an advance to a New Zealand subsidiary</w:t>
      </w:r>
      <w:r w:rsidR="00CF6E1E">
        <w:rPr>
          <w:sz w:val="20"/>
          <w:szCs w:val="20"/>
          <w:lang w:eastAsia="en-AU"/>
        </w:rPr>
        <w:t xml:space="preserve"> company</w:t>
      </w:r>
      <w:r w:rsidRPr="00925A3A">
        <w:rPr>
          <w:sz w:val="20"/>
          <w:szCs w:val="20"/>
          <w:lang w:eastAsia="en-AU"/>
        </w:rPr>
        <w:t>, with interest accruing but payable only if demanded by the parent</w:t>
      </w:r>
      <w:r w:rsidR="002D5667">
        <w:rPr>
          <w:sz w:val="20"/>
          <w:szCs w:val="20"/>
          <w:lang w:eastAsia="en-AU"/>
        </w:rPr>
        <w:t xml:space="preserve">. </w:t>
      </w:r>
      <w:r w:rsidRPr="00925A3A">
        <w:rPr>
          <w:sz w:val="20"/>
          <w:szCs w:val="20"/>
          <w:lang w:eastAsia="en-AU"/>
        </w:rPr>
        <w:t>The loan has no specified maturity date</w:t>
      </w:r>
      <w:r w:rsidR="002D5667">
        <w:rPr>
          <w:sz w:val="20"/>
          <w:szCs w:val="20"/>
          <w:lang w:eastAsia="en-AU"/>
        </w:rPr>
        <w:t xml:space="preserve">. </w:t>
      </w:r>
      <w:r w:rsidRPr="00925A3A">
        <w:rPr>
          <w:sz w:val="20"/>
          <w:szCs w:val="20"/>
          <w:lang w:eastAsia="en-AU"/>
        </w:rPr>
        <w:t>The New Zealand subsidiary deducts interest as it accrues, but the parent only has to recognise the interest when it is paid</w:t>
      </w:r>
      <w:r w:rsidR="00B45C8D">
        <w:rPr>
          <w:sz w:val="20"/>
          <w:szCs w:val="20"/>
          <w:lang w:eastAsia="en-AU"/>
        </w:rPr>
        <w:t xml:space="preserve"> under the tax law in its country of residence</w:t>
      </w:r>
      <w:r w:rsidRPr="00925A3A">
        <w:rPr>
          <w:sz w:val="20"/>
          <w:szCs w:val="20"/>
          <w:lang w:eastAsia="en-AU"/>
        </w:rPr>
        <w:t>.</w:t>
      </w:r>
    </w:p>
    <w:p w14:paraId="3E34CEF4"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p>
    <w:p w14:paraId="56CAC6D2" w14:textId="604C5D71" w:rsidR="00B45C8D"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r w:rsidRPr="00925A3A">
        <w:rPr>
          <w:sz w:val="20"/>
          <w:szCs w:val="20"/>
          <w:lang w:eastAsia="en-AU"/>
        </w:rPr>
        <w:t xml:space="preserve">In this case, although demand for repayment of the advance could be made at any time, there is no requirement for the advance to be repaid within three years, so the </w:t>
      </w:r>
      <w:r w:rsidR="00B45C8D">
        <w:rPr>
          <w:sz w:val="20"/>
          <w:szCs w:val="20"/>
          <w:lang w:eastAsia="en-AU"/>
        </w:rPr>
        <w:t xml:space="preserve">three year </w:t>
      </w:r>
      <w:r w:rsidRPr="00925A3A">
        <w:rPr>
          <w:sz w:val="20"/>
          <w:szCs w:val="20"/>
          <w:lang w:eastAsia="en-AU"/>
        </w:rPr>
        <w:t>de minimis does not apply</w:t>
      </w:r>
      <w:r w:rsidR="002D5667">
        <w:rPr>
          <w:sz w:val="20"/>
          <w:szCs w:val="20"/>
          <w:lang w:eastAsia="en-AU"/>
        </w:rPr>
        <w:t xml:space="preserve">. </w:t>
      </w:r>
      <w:r w:rsidRPr="00925A3A">
        <w:rPr>
          <w:sz w:val="20"/>
          <w:szCs w:val="20"/>
          <w:lang w:eastAsia="en-AU"/>
        </w:rPr>
        <w:t>In the absence of section FH 3, the group can expect to generate a tax advantage by the subsidiary not paying the interest</w:t>
      </w:r>
      <w:r w:rsidR="002D5667">
        <w:rPr>
          <w:sz w:val="20"/>
          <w:szCs w:val="20"/>
          <w:lang w:eastAsia="en-AU"/>
        </w:rPr>
        <w:t xml:space="preserve">. </w:t>
      </w:r>
      <w:r w:rsidRPr="00925A3A">
        <w:rPr>
          <w:sz w:val="20"/>
          <w:szCs w:val="20"/>
          <w:lang w:eastAsia="en-AU"/>
        </w:rPr>
        <w:t xml:space="preserve">Accordingly, unless there is some evidence to support an expectation that the interest will be paid within the required period, the interest payment will be subject to deduction denial under </w:t>
      </w:r>
      <w:r w:rsidR="006F5B62">
        <w:rPr>
          <w:sz w:val="20"/>
          <w:szCs w:val="20"/>
          <w:lang w:eastAsia="en-AU"/>
        </w:rPr>
        <w:t>sub</w:t>
      </w:r>
      <w:r w:rsidRPr="00925A3A">
        <w:rPr>
          <w:sz w:val="20"/>
          <w:szCs w:val="20"/>
          <w:lang w:eastAsia="en-AU"/>
        </w:rPr>
        <w:t>section FH 3</w:t>
      </w:r>
      <w:r w:rsidR="006F5B62">
        <w:rPr>
          <w:sz w:val="20"/>
          <w:szCs w:val="20"/>
          <w:lang w:eastAsia="en-AU"/>
        </w:rPr>
        <w:t>(4)</w:t>
      </w:r>
      <w:r w:rsidRPr="00925A3A">
        <w:rPr>
          <w:sz w:val="20"/>
          <w:szCs w:val="20"/>
          <w:lang w:eastAsia="en-AU"/>
        </w:rPr>
        <w:t>.</w:t>
      </w:r>
    </w:p>
    <w:p w14:paraId="6BDDF96F" w14:textId="77777777" w:rsidR="001F2A69" w:rsidRDefault="001F2A69" w:rsidP="00925A3A">
      <w:pPr>
        <w:rPr>
          <w:sz w:val="20"/>
          <w:szCs w:val="20"/>
          <w:lang w:eastAsia="en-AU"/>
        </w:rPr>
      </w:pPr>
    </w:p>
    <w:p w14:paraId="6915E9E2" w14:textId="77777777" w:rsidR="000772C5" w:rsidRDefault="000772C5" w:rsidP="00925A3A">
      <w:pPr>
        <w:rPr>
          <w:sz w:val="20"/>
          <w:szCs w:val="20"/>
          <w:lang w:eastAsia="en-AU"/>
        </w:rPr>
      </w:pPr>
    </w:p>
    <w:p w14:paraId="3C3A4DEA" w14:textId="5ABD8C10" w:rsidR="00925A3A" w:rsidRPr="00925A3A" w:rsidRDefault="006F5B62" w:rsidP="000772C5">
      <w:pPr>
        <w:rPr>
          <w:lang w:eastAsia="en-AU"/>
        </w:rPr>
      </w:pPr>
      <w:r>
        <w:rPr>
          <w:lang w:eastAsia="en-AU"/>
        </w:rPr>
        <w:t>If the offshore parent does receive payment of the interest in the future, the New Zealand subsidiary will receive a deduction for the interest previously denied under subsection FH</w:t>
      </w:r>
      <w:r w:rsidR="00824EF8">
        <w:rPr>
          <w:lang w:eastAsia="en-AU"/>
        </w:rPr>
        <w:t> </w:t>
      </w:r>
      <w:r>
        <w:rPr>
          <w:lang w:eastAsia="en-AU"/>
        </w:rPr>
        <w:t>3(7) to the extent the interest payment is recognised as income by the parent.</w:t>
      </w:r>
    </w:p>
    <w:p w14:paraId="23CBEBDE" w14:textId="77777777" w:rsidR="00D801FB" w:rsidRDefault="00D801FB" w:rsidP="00D801FB">
      <w:pPr>
        <w:rPr>
          <w:lang w:eastAsia="en-AU"/>
        </w:rPr>
      </w:pPr>
    </w:p>
    <w:p w14:paraId="61245FAA" w14:textId="77777777" w:rsidR="00925A3A" w:rsidRPr="00C528B7" w:rsidRDefault="00A44A33" w:rsidP="00532DB4">
      <w:pPr>
        <w:pStyle w:val="Heading4"/>
        <w:rPr>
          <w:lang w:eastAsia="en-AU"/>
        </w:rPr>
      </w:pPr>
      <w:r>
        <w:rPr>
          <w:lang w:eastAsia="en-AU"/>
        </w:rPr>
        <w:t>H</w:t>
      </w:r>
      <w:r w:rsidR="00C528B7">
        <w:rPr>
          <w:lang w:eastAsia="en-AU"/>
        </w:rPr>
        <w:t>ybrid counteraction</w:t>
      </w:r>
    </w:p>
    <w:p w14:paraId="4B76E98E" w14:textId="77777777" w:rsidR="00C528B7" w:rsidRDefault="00C528B7" w:rsidP="00925A3A">
      <w:pPr>
        <w:rPr>
          <w:szCs w:val="20"/>
          <w:lang w:eastAsia="en-AU"/>
        </w:rPr>
      </w:pPr>
    </w:p>
    <w:p w14:paraId="2BEABC89" w14:textId="4242D2FF" w:rsidR="00925A3A" w:rsidRPr="00925A3A" w:rsidRDefault="00925A3A" w:rsidP="00925A3A">
      <w:pPr>
        <w:rPr>
          <w:szCs w:val="20"/>
          <w:lang w:eastAsia="en-AU"/>
        </w:rPr>
      </w:pPr>
      <w:r w:rsidRPr="00925A3A">
        <w:rPr>
          <w:szCs w:val="20"/>
          <w:lang w:eastAsia="en-AU"/>
        </w:rPr>
        <w:t>Subsection (4) defines the amount for which the payer is denied a deduction when subsection (1) is satisfied</w:t>
      </w:r>
      <w:r w:rsidR="002D5667">
        <w:rPr>
          <w:szCs w:val="20"/>
          <w:lang w:eastAsia="en-AU"/>
        </w:rPr>
        <w:t xml:space="preserve">. </w:t>
      </w:r>
      <w:r w:rsidRPr="00925A3A">
        <w:rPr>
          <w:szCs w:val="20"/>
          <w:lang w:eastAsia="en-AU"/>
        </w:rPr>
        <w:t>The deduction has two components.</w:t>
      </w:r>
    </w:p>
    <w:p w14:paraId="674FA657" w14:textId="77777777" w:rsidR="00925A3A" w:rsidRPr="00925A3A" w:rsidRDefault="00925A3A" w:rsidP="00925A3A">
      <w:pPr>
        <w:rPr>
          <w:szCs w:val="20"/>
          <w:lang w:eastAsia="en-AU"/>
        </w:rPr>
      </w:pPr>
    </w:p>
    <w:p w14:paraId="75AD37E3" w14:textId="128609BB" w:rsidR="00C528B7" w:rsidRDefault="00925A3A" w:rsidP="00925A3A">
      <w:pPr>
        <w:rPr>
          <w:szCs w:val="20"/>
          <w:lang w:eastAsia="en-AU"/>
        </w:rPr>
      </w:pPr>
      <w:r w:rsidRPr="00925A3A">
        <w:rPr>
          <w:szCs w:val="20"/>
          <w:lang w:eastAsia="en-AU"/>
        </w:rPr>
        <w:t>The first component is for the incurred amount</w:t>
      </w:r>
      <w:r w:rsidR="002D5667">
        <w:rPr>
          <w:szCs w:val="20"/>
          <w:lang w:eastAsia="en-AU"/>
        </w:rPr>
        <w:t xml:space="preserve">. </w:t>
      </w:r>
      <w:r w:rsidRPr="00925A3A">
        <w:rPr>
          <w:szCs w:val="20"/>
          <w:lang w:eastAsia="en-AU"/>
        </w:rPr>
        <w:t xml:space="preserve">This is the expenditure incurred by the payer relating to the </w:t>
      </w:r>
      <w:r w:rsidR="00C528B7">
        <w:rPr>
          <w:szCs w:val="20"/>
          <w:lang w:eastAsia="en-AU"/>
        </w:rPr>
        <w:t>payment instrument and the payee</w:t>
      </w:r>
      <w:r w:rsidR="002D5667">
        <w:rPr>
          <w:szCs w:val="20"/>
          <w:lang w:eastAsia="en-AU"/>
        </w:rPr>
        <w:t xml:space="preserve">. </w:t>
      </w:r>
      <w:r w:rsidR="00C528B7">
        <w:rPr>
          <w:szCs w:val="20"/>
          <w:lang w:eastAsia="en-AU"/>
        </w:rPr>
        <w:t>For financial instruments denominated in a foreign curren</w:t>
      </w:r>
      <w:r w:rsidR="00812CD2">
        <w:rPr>
          <w:szCs w:val="20"/>
          <w:lang w:eastAsia="en-AU"/>
        </w:rPr>
        <w:t>cy, the expenditure should be calculated taking into account the effect of changes in the NZD value of both the principal amount and the payment itself</w:t>
      </w:r>
      <w:r w:rsidR="006F5B62">
        <w:rPr>
          <w:szCs w:val="20"/>
          <w:lang w:eastAsia="en-AU"/>
        </w:rPr>
        <w:t xml:space="preserve"> (to the extent these changes are otherwise taken into account in determining income)</w:t>
      </w:r>
      <w:r w:rsidR="002D5667">
        <w:rPr>
          <w:szCs w:val="20"/>
          <w:lang w:eastAsia="en-AU"/>
        </w:rPr>
        <w:t xml:space="preserve">. </w:t>
      </w:r>
      <w:r w:rsidR="00812CD2">
        <w:rPr>
          <w:szCs w:val="20"/>
          <w:lang w:eastAsia="en-AU"/>
        </w:rPr>
        <w:t xml:space="preserve">In such cases, </w:t>
      </w:r>
      <w:r w:rsidR="00A65231">
        <w:rPr>
          <w:szCs w:val="20"/>
          <w:lang w:eastAsia="en-AU"/>
        </w:rPr>
        <w:t>the incurred amount in subsection (4) is also int</w:t>
      </w:r>
      <w:r w:rsidR="00DF623B">
        <w:rPr>
          <w:szCs w:val="20"/>
          <w:lang w:eastAsia="en-AU"/>
        </w:rPr>
        <w:t>ended to include both amounts.</w:t>
      </w:r>
    </w:p>
    <w:p w14:paraId="1145E8F8" w14:textId="77777777" w:rsidR="00925A3A" w:rsidRPr="00925A3A" w:rsidRDefault="00925A3A" w:rsidP="00925A3A">
      <w:pPr>
        <w:rPr>
          <w:szCs w:val="20"/>
          <w:lang w:eastAsia="en-AU"/>
        </w:rPr>
      </w:pPr>
    </w:p>
    <w:p w14:paraId="42071BFB" w14:textId="3EBAEBBA" w:rsidR="00925A3A" w:rsidRPr="00925A3A" w:rsidRDefault="00925A3A" w:rsidP="00925A3A">
      <w:pPr>
        <w:rPr>
          <w:szCs w:val="20"/>
          <w:lang w:eastAsia="en-AU"/>
        </w:rPr>
      </w:pPr>
      <w:r w:rsidRPr="00925A3A">
        <w:rPr>
          <w:szCs w:val="20"/>
          <w:lang w:eastAsia="en-AU"/>
        </w:rPr>
        <w:t xml:space="preserve">The second component is a </w:t>
      </w:r>
      <w:r w:rsidR="005A2585">
        <w:rPr>
          <w:szCs w:val="20"/>
          <w:lang w:eastAsia="en-AU"/>
        </w:rPr>
        <w:t xml:space="preserve">formula with a </w:t>
      </w:r>
      <w:r w:rsidRPr="00925A3A">
        <w:rPr>
          <w:szCs w:val="20"/>
          <w:lang w:eastAsia="en-AU"/>
        </w:rPr>
        <w:t>fraction, which is</w:t>
      </w:r>
      <w:r w:rsidR="005A2585">
        <w:rPr>
          <w:szCs w:val="20"/>
          <w:lang w:eastAsia="en-AU"/>
        </w:rPr>
        <w:t>:</w:t>
      </w:r>
      <w:r w:rsidRPr="00925A3A">
        <w:rPr>
          <w:szCs w:val="20"/>
          <w:lang w:eastAsia="en-AU"/>
        </w:rPr>
        <w:t xml:space="preserve"> </w:t>
      </w:r>
      <w:r w:rsidR="005A2585">
        <w:rPr>
          <w:szCs w:val="20"/>
          <w:lang w:eastAsia="en-AU"/>
        </w:rPr>
        <w:t>1 – payee tax /</w:t>
      </w:r>
      <w:r w:rsidRPr="00925A3A">
        <w:rPr>
          <w:szCs w:val="20"/>
          <w:lang w:eastAsia="en-AU"/>
        </w:rPr>
        <w:t xml:space="preserve"> ordinary tax</w:t>
      </w:r>
      <w:r w:rsidR="002D5667">
        <w:rPr>
          <w:szCs w:val="20"/>
          <w:lang w:eastAsia="en-AU"/>
        </w:rPr>
        <w:t xml:space="preserve">. </w:t>
      </w:r>
      <w:r w:rsidR="006F5B62">
        <w:rPr>
          <w:szCs w:val="20"/>
          <w:lang w:eastAsia="en-AU"/>
        </w:rPr>
        <w:t xml:space="preserve">This is intended to reduce the deduction denied to the extent that </w:t>
      </w:r>
      <w:r w:rsidR="009962A5">
        <w:rPr>
          <w:szCs w:val="20"/>
          <w:lang w:eastAsia="en-AU"/>
        </w:rPr>
        <w:t xml:space="preserve">foreign </w:t>
      </w:r>
      <w:r w:rsidR="006F5B62">
        <w:rPr>
          <w:szCs w:val="20"/>
          <w:lang w:eastAsia="en-AU"/>
        </w:rPr>
        <w:t>tax is imposed on the payment.</w:t>
      </w:r>
    </w:p>
    <w:p w14:paraId="25C93444" w14:textId="77777777" w:rsidR="00925A3A" w:rsidRPr="00925A3A" w:rsidRDefault="00925A3A" w:rsidP="00925A3A">
      <w:pPr>
        <w:rPr>
          <w:szCs w:val="20"/>
          <w:lang w:eastAsia="en-AU"/>
        </w:rPr>
      </w:pPr>
    </w:p>
    <w:p w14:paraId="32E6E481" w14:textId="77777777" w:rsidR="00925A3A" w:rsidRPr="00925A3A" w:rsidRDefault="00925A3A" w:rsidP="00925A3A">
      <w:pPr>
        <w:rPr>
          <w:szCs w:val="20"/>
          <w:lang w:eastAsia="en-AU"/>
        </w:rPr>
      </w:pPr>
      <w:r w:rsidRPr="00925A3A">
        <w:rPr>
          <w:szCs w:val="20"/>
          <w:lang w:eastAsia="en-AU"/>
        </w:rPr>
        <w:t>Payee tax is the total of:</w:t>
      </w:r>
    </w:p>
    <w:p w14:paraId="5ED8ED7F" w14:textId="77777777" w:rsidR="00925A3A" w:rsidRPr="00925A3A" w:rsidRDefault="00925A3A" w:rsidP="00925A3A">
      <w:pPr>
        <w:rPr>
          <w:szCs w:val="20"/>
          <w:lang w:eastAsia="en-AU"/>
        </w:rPr>
      </w:pPr>
    </w:p>
    <w:p w14:paraId="431C09A9" w14:textId="27D29D36" w:rsidR="00925A3A" w:rsidRPr="009351D6" w:rsidRDefault="00925A3A" w:rsidP="000772C5">
      <w:pPr>
        <w:pStyle w:val="Bullets"/>
      </w:pPr>
      <w:r w:rsidRPr="00925A3A">
        <w:t>the tax to which the payment is liable in the payee</w:t>
      </w:r>
      <w:r w:rsidR="00824C92">
        <w:t xml:space="preserve"> country</w:t>
      </w:r>
      <w:r w:rsidR="00A16540">
        <w:t xml:space="preserve"> within the timing in subsection (6)</w:t>
      </w:r>
      <w:r w:rsidR="002D5667">
        <w:t xml:space="preserve">. </w:t>
      </w:r>
      <w:r w:rsidR="008E58F3">
        <w:t>This could be</w:t>
      </w:r>
      <w:r w:rsidR="004540D2">
        <w:t xml:space="preserve"> tax </w:t>
      </w:r>
      <w:r w:rsidR="00013E08">
        <w:t>on income</w:t>
      </w:r>
      <w:r w:rsidR="006C4F82">
        <w:t xml:space="preserve"> recognised </w:t>
      </w:r>
      <w:r w:rsidR="008E58F3">
        <w:t xml:space="preserve">in </w:t>
      </w:r>
      <w:r w:rsidR="006C4F82">
        <w:t xml:space="preserve">payee country in </w:t>
      </w:r>
      <w:r w:rsidR="008E58F3">
        <w:t xml:space="preserve">the same year as the deduction </w:t>
      </w:r>
      <w:r w:rsidR="00765B1A">
        <w:t>is</w:t>
      </w:r>
      <w:r w:rsidR="008E58F3">
        <w:t xml:space="preserve"> claimed in the payer </w:t>
      </w:r>
      <w:r w:rsidR="006C4F82">
        <w:t xml:space="preserve">country, but </w:t>
      </w:r>
      <w:r w:rsidR="009962A5">
        <w:t xml:space="preserve">also </w:t>
      </w:r>
      <w:r w:rsidR="006C4F82">
        <w:t xml:space="preserve">includes </w:t>
      </w:r>
      <w:r w:rsidR="004540D2">
        <w:t xml:space="preserve">tax on </w:t>
      </w:r>
      <w:r w:rsidR="006C4F82">
        <w:t>income recognised</w:t>
      </w:r>
      <w:r w:rsidR="008E58F3">
        <w:t xml:space="preserve"> in an accounting period beginning </w:t>
      </w:r>
      <w:r w:rsidR="009962A5">
        <w:t xml:space="preserve">within </w:t>
      </w:r>
      <w:r w:rsidR="008E58F3">
        <w:t>24 months of the year in which the deduction is claimed in the payer country</w:t>
      </w:r>
      <w:r w:rsidR="002D5667">
        <w:t xml:space="preserve">. </w:t>
      </w:r>
      <w:r w:rsidR="009351D6">
        <w:t xml:space="preserve">It is </w:t>
      </w:r>
      <w:r w:rsidRPr="009351D6">
        <w:t xml:space="preserve">calculated by </w:t>
      </w:r>
      <w:r w:rsidR="004540D2">
        <w:t>multiplying</w:t>
      </w:r>
      <w:r w:rsidRPr="009351D6">
        <w:t xml:space="preserve"> the amount of the payment that is recognised as income by the applicable rate of tax; and</w:t>
      </w:r>
    </w:p>
    <w:p w14:paraId="25AB8125" w14:textId="1E088166" w:rsidR="00925A3A" w:rsidRPr="00925A3A" w:rsidRDefault="00925A3A" w:rsidP="000772C5">
      <w:pPr>
        <w:pStyle w:val="Bullets"/>
        <w:spacing w:after="0"/>
      </w:pPr>
      <w:r w:rsidRPr="00925A3A">
        <w:t>the amount of income tax actually imposed on the income under CFC rules in another country</w:t>
      </w:r>
      <w:r w:rsidR="006C4F82">
        <w:t xml:space="preserve"> again within the timing in subsection (6)</w:t>
      </w:r>
      <w:r w:rsidR="002D5667">
        <w:t xml:space="preserve">. </w:t>
      </w:r>
      <w:r w:rsidRPr="00925A3A">
        <w:t>In r</w:t>
      </w:r>
      <w:r w:rsidR="006C4F82">
        <w:t>elation to this second element</w:t>
      </w:r>
      <w:r w:rsidRPr="00925A3A">
        <w:t>, there must be actual tax payable on the income</w:t>
      </w:r>
      <w:r w:rsidR="002D5667">
        <w:t xml:space="preserve">. </w:t>
      </w:r>
      <w:r w:rsidRPr="00925A3A">
        <w:t>This test will not be met if the CFC tax is reduced by losses or credits, other than credits for withholding tax imposed by New Zealand on the payment.</w:t>
      </w:r>
    </w:p>
    <w:p w14:paraId="3F863FBC" w14:textId="77777777" w:rsidR="00925A3A" w:rsidRPr="00925A3A" w:rsidRDefault="00925A3A" w:rsidP="00925A3A">
      <w:pPr>
        <w:jc w:val="left"/>
        <w:rPr>
          <w:szCs w:val="20"/>
          <w:lang w:eastAsia="en-AU"/>
        </w:rPr>
      </w:pPr>
    </w:p>
    <w:p w14:paraId="1C47DA3A" w14:textId="77777777" w:rsidR="00925A3A" w:rsidRDefault="00925A3A" w:rsidP="00925A3A">
      <w:pPr>
        <w:jc w:val="left"/>
        <w:rPr>
          <w:szCs w:val="20"/>
          <w:lang w:eastAsia="en-AU"/>
        </w:rPr>
      </w:pPr>
      <w:r w:rsidRPr="00925A3A">
        <w:rPr>
          <w:szCs w:val="20"/>
          <w:lang w:eastAsia="en-AU"/>
        </w:rPr>
        <w:t>Ordinary tax is the amount of tax which would be imposed on the payment if it were ordinary income in the payee country.</w:t>
      </w:r>
    </w:p>
    <w:p w14:paraId="0B8BAF20" w14:textId="77777777" w:rsidR="00691879" w:rsidRDefault="00691879" w:rsidP="00925A3A">
      <w:pPr>
        <w:jc w:val="left"/>
        <w:rPr>
          <w:szCs w:val="20"/>
          <w:lang w:eastAsia="en-AU"/>
        </w:rPr>
      </w:pPr>
    </w:p>
    <w:p w14:paraId="44DBC81F" w14:textId="77777777" w:rsidR="00D1380C" w:rsidRDefault="00D1380C" w:rsidP="00925A3A">
      <w:pPr>
        <w:jc w:val="left"/>
        <w:rPr>
          <w:szCs w:val="20"/>
          <w:lang w:eastAsia="en-AU"/>
        </w:rPr>
      </w:pPr>
    </w:p>
    <w:p w14:paraId="08CA201E" w14:textId="55AE4F5E" w:rsidR="00691879" w:rsidRPr="0051464A" w:rsidRDefault="00691879" w:rsidP="00691879">
      <w:pPr>
        <w:pBdr>
          <w:top w:val="single" w:sz="4" w:space="10" w:color="auto"/>
          <w:left w:val="single" w:sz="4" w:space="10" w:color="auto"/>
          <w:bottom w:val="single" w:sz="4" w:space="10" w:color="auto"/>
          <w:right w:val="single" w:sz="4" w:space="10" w:color="auto"/>
        </w:pBdr>
        <w:rPr>
          <w:b/>
          <w:sz w:val="20"/>
          <w:szCs w:val="20"/>
          <w:lang w:eastAsia="en-AU"/>
        </w:rPr>
      </w:pPr>
      <w:r w:rsidRPr="0051464A">
        <w:rPr>
          <w:b/>
          <w:sz w:val="20"/>
          <w:szCs w:val="20"/>
          <w:lang w:eastAsia="en-AU"/>
        </w:rPr>
        <w:t xml:space="preserve">Example </w:t>
      </w:r>
      <w:r w:rsidR="00824EF8">
        <w:rPr>
          <w:b/>
          <w:sz w:val="20"/>
          <w:szCs w:val="20"/>
          <w:lang w:eastAsia="en-AU"/>
        </w:rPr>
        <w:t>13: T</w:t>
      </w:r>
      <w:r w:rsidR="0051464A">
        <w:rPr>
          <w:b/>
          <w:sz w:val="20"/>
          <w:szCs w:val="20"/>
          <w:lang w:eastAsia="en-AU"/>
        </w:rPr>
        <w:t xml:space="preserve">iming mismatch </w:t>
      </w:r>
      <w:r w:rsidR="001F2A69">
        <w:rPr>
          <w:b/>
          <w:sz w:val="20"/>
          <w:szCs w:val="20"/>
          <w:lang w:eastAsia="en-AU"/>
        </w:rPr>
        <w:t>II</w:t>
      </w:r>
    </w:p>
    <w:p w14:paraId="4D3EC8EF" w14:textId="77777777" w:rsidR="00691879" w:rsidRPr="00691879" w:rsidRDefault="00691879" w:rsidP="00691879">
      <w:pPr>
        <w:pBdr>
          <w:top w:val="single" w:sz="4" w:space="10" w:color="auto"/>
          <w:left w:val="single" w:sz="4" w:space="10" w:color="auto"/>
          <w:bottom w:val="single" w:sz="4" w:space="10" w:color="auto"/>
          <w:right w:val="single" w:sz="4" w:space="10" w:color="auto"/>
        </w:pBdr>
        <w:rPr>
          <w:sz w:val="20"/>
          <w:szCs w:val="20"/>
          <w:lang w:eastAsia="en-AU"/>
        </w:rPr>
      </w:pPr>
    </w:p>
    <w:p w14:paraId="7CAF4ED7" w14:textId="3AB4A086" w:rsidR="00691879" w:rsidRPr="00691879" w:rsidRDefault="00691879" w:rsidP="00691879">
      <w:pPr>
        <w:pBdr>
          <w:top w:val="single" w:sz="4" w:space="10" w:color="auto"/>
          <w:left w:val="single" w:sz="4" w:space="10" w:color="auto"/>
          <w:bottom w:val="single" w:sz="4" w:space="10" w:color="auto"/>
          <w:right w:val="single" w:sz="4" w:space="10" w:color="auto"/>
        </w:pBdr>
        <w:rPr>
          <w:sz w:val="20"/>
          <w:szCs w:val="20"/>
          <w:lang w:eastAsia="en-AU"/>
        </w:rPr>
      </w:pPr>
      <w:r w:rsidRPr="00691879">
        <w:rPr>
          <w:sz w:val="20"/>
          <w:szCs w:val="20"/>
          <w:lang w:eastAsia="en-AU"/>
        </w:rPr>
        <w:t xml:space="preserve">Take the facts of example </w:t>
      </w:r>
      <w:r w:rsidR="001F2A69">
        <w:rPr>
          <w:sz w:val="20"/>
          <w:szCs w:val="20"/>
          <w:lang w:eastAsia="en-AU"/>
        </w:rPr>
        <w:t>12</w:t>
      </w:r>
      <w:r w:rsidR="002D5667">
        <w:rPr>
          <w:sz w:val="20"/>
          <w:szCs w:val="20"/>
          <w:lang w:eastAsia="en-AU"/>
        </w:rPr>
        <w:t xml:space="preserve">. </w:t>
      </w:r>
      <w:r w:rsidRPr="00691879">
        <w:rPr>
          <w:sz w:val="20"/>
          <w:szCs w:val="20"/>
          <w:lang w:eastAsia="en-AU"/>
        </w:rPr>
        <w:t>In this case:</w:t>
      </w:r>
    </w:p>
    <w:p w14:paraId="6C707C06" w14:textId="77777777" w:rsidR="00691879" w:rsidRPr="00691879" w:rsidRDefault="00691879" w:rsidP="00691879">
      <w:pPr>
        <w:pBdr>
          <w:top w:val="single" w:sz="4" w:space="10" w:color="auto"/>
          <w:left w:val="single" w:sz="4" w:space="10" w:color="auto"/>
          <w:bottom w:val="single" w:sz="4" w:space="10" w:color="auto"/>
          <w:right w:val="single" w:sz="4" w:space="10" w:color="auto"/>
        </w:pBdr>
        <w:rPr>
          <w:sz w:val="20"/>
          <w:szCs w:val="20"/>
          <w:lang w:eastAsia="en-AU"/>
        </w:rPr>
      </w:pPr>
    </w:p>
    <w:p w14:paraId="3252DE01" w14:textId="3E7F1304" w:rsidR="00691879" w:rsidRPr="00691879" w:rsidRDefault="00691879" w:rsidP="00691879">
      <w:pPr>
        <w:pStyle w:val="ListParagraph"/>
        <w:numPr>
          <w:ilvl w:val="0"/>
          <w:numId w:val="51"/>
        </w:numPr>
        <w:pBdr>
          <w:top w:val="single" w:sz="4" w:space="10" w:color="auto"/>
          <w:left w:val="single" w:sz="4" w:space="10" w:color="auto"/>
          <w:bottom w:val="single" w:sz="4" w:space="10" w:color="auto"/>
          <w:right w:val="single" w:sz="4" w:space="10" w:color="auto"/>
        </w:pBdr>
        <w:ind w:left="357" w:hanging="357"/>
        <w:rPr>
          <w:sz w:val="20"/>
          <w:szCs w:val="20"/>
          <w:lang w:eastAsia="en-AU"/>
        </w:rPr>
      </w:pPr>
      <w:r w:rsidRPr="00691879">
        <w:rPr>
          <w:sz w:val="20"/>
          <w:szCs w:val="20"/>
          <w:lang w:eastAsia="en-AU"/>
        </w:rPr>
        <w:t>the incurred amount is the deduction claimed by the payer in a given year</w:t>
      </w:r>
      <w:r w:rsidR="00B509F7">
        <w:rPr>
          <w:sz w:val="20"/>
          <w:szCs w:val="20"/>
          <w:lang w:eastAsia="en-AU"/>
        </w:rPr>
        <w:t>; and</w:t>
      </w:r>
    </w:p>
    <w:p w14:paraId="301B8E87" w14:textId="49FE889D" w:rsidR="00691879" w:rsidRPr="00691879" w:rsidRDefault="00691879" w:rsidP="00691879">
      <w:pPr>
        <w:pStyle w:val="ListParagraph"/>
        <w:numPr>
          <w:ilvl w:val="0"/>
          <w:numId w:val="51"/>
        </w:numPr>
        <w:pBdr>
          <w:top w:val="single" w:sz="4" w:space="10" w:color="auto"/>
          <w:left w:val="single" w:sz="4" w:space="10" w:color="auto"/>
          <w:bottom w:val="single" w:sz="4" w:space="10" w:color="auto"/>
          <w:right w:val="single" w:sz="4" w:space="10" w:color="auto"/>
        </w:pBdr>
        <w:ind w:left="357" w:hanging="357"/>
        <w:rPr>
          <w:sz w:val="20"/>
          <w:szCs w:val="20"/>
          <w:lang w:eastAsia="en-AU"/>
        </w:rPr>
      </w:pPr>
      <w:r w:rsidRPr="00691879">
        <w:rPr>
          <w:sz w:val="20"/>
          <w:szCs w:val="20"/>
          <w:lang w:eastAsia="en-AU"/>
        </w:rPr>
        <w:t xml:space="preserve">if a payment is made within the 24-month timing in subsection (6) </w:t>
      </w:r>
      <w:r w:rsidR="00B509F7">
        <w:rPr>
          <w:sz w:val="20"/>
          <w:szCs w:val="20"/>
          <w:lang w:eastAsia="en-AU"/>
        </w:rPr>
        <w:t xml:space="preserve">for </w:t>
      </w:r>
      <w:r w:rsidRPr="00691879">
        <w:rPr>
          <w:sz w:val="20"/>
          <w:szCs w:val="20"/>
          <w:lang w:eastAsia="en-AU"/>
        </w:rPr>
        <w:t>which the deduction is claimed, “payee tax” wi</w:t>
      </w:r>
      <w:r w:rsidR="005D604F">
        <w:rPr>
          <w:sz w:val="20"/>
          <w:szCs w:val="20"/>
          <w:lang w:eastAsia="en-AU"/>
        </w:rPr>
        <w:t xml:space="preserve">ll include an amount equal to ten percent </w:t>
      </w:r>
      <w:r w:rsidRPr="00691879">
        <w:rPr>
          <w:sz w:val="20"/>
          <w:szCs w:val="20"/>
          <w:lang w:eastAsia="en-AU"/>
        </w:rPr>
        <w:t>of the payment</w:t>
      </w:r>
      <w:r w:rsidR="005D604F">
        <w:rPr>
          <w:sz w:val="20"/>
          <w:szCs w:val="20"/>
          <w:lang w:eastAsia="en-AU"/>
        </w:rPr>
        <w:t xml:space="preserve"> </w:t>
      </w:r>
      <w:proofErr w:type="gramStart"/>
      <w:r w:rsidR="005D604F">
        <w:rPr>
          <w:sz w:val="20"/>
          <w:szCs w:val="20"/>
          <w:lang w:eastAsia="en-AU"/>
        </w:rPr>
        <w:t>times</w:t>
      </w:r>
      <w:r w:rsidR="005D604F">
        <w:rPr>
          <w:lang w:eastAsia="en-AU"/>
        </w:rPr>
        <w:t xml:space="preserve"> </w:t>
      </w:r>
      <w:r w:rsidRPr="00691879">
        <w:rPr>
          <w:sz w:val="20"/>
          <w:szCs w:val="20"/>
          <w:lang w:eastAsia="en-AU"/>
        </w:rPr>
        <w:t xml:space="preserve"> </w:t>
      </w:r>
      <w:r>
        <w:rPr>
          <w:sz w:val="20"/>
          <w:szCs w:val="20"/>
          <w:lang w:eastAsia="en-AU"/>
        </w:rPr>
        <w:t>the</w:t>
      </w:r>
      <w:proofErr w:type="gramEnd"/>
      <w:r>
        <w:rPr>
          <w:sz w:val="20"/>
          <w:szCs w:val="20"/>
          <w:lang w:eastAsia="en-AU"/>
        </w:rPr>
        <w:t xml:space="preserve"> payee’s ordinary tax rate. </w:t>
      </w:r>
      <w:r w:rsidRPr="00691879">
        <w:rPr>
          <w:sz w:val="20"/>
          <w:szCs w:val="20"/>
          <w:lang w:eastAsia="en-AU"/>
        </w:rPr>
        <w:t>The formula in section FH 3(4) will deny a deduction for the incurred amount</w:t>
      </w:r>
      <w:r w:rsidR="005D604F">
        <w:rPr>
          <w:sz w:val="20"/>
          <w:szCs w:val="20"/>
          <w:lang w:eastAsia="en-AU"/>
        </w:rPr>
        <w:t xml:space="preserve"> times ninety percent</w:t>
      </w:r>
      <w:r w:rsidR="002D5667">
        <w:rPr>
          <w:sz w:val="20"/>
          <w:szCs w:val="20"/>
          <w:lang w:eastAsia="en-AU"/>
        </w:rPr>
        <w:t xml:space="preserve">. </w:t>
      </w:r>
      <w:r w:rsidRPr="00691879">
        <w:rPr>
          <w:sz w:val="20"/>
          <w:szCs w:val="20"/>
          <w:lang w:eastAsia="en-AU"/>
        </w:rPr>
        <w:t>Otherwise payee tax will be zero, even if tax is paid by the payee outside the 24-month timing in subsection (6)).</w:t>
      </w:r>
    </w:p>
    <w:p w14:paraId="2C37936E" w14:textId="77777777" w:rsidR="0051464A" w:rsidRPr="000772C5" w:rsidRDefault="0051464A" w:rsidP="000772C5">
      <w:pPr>
        <w:jc w:val="left"/>
        <w:rPr>
          <w:snapToGrid w:val="0"/>
          <w:lang w:eastAsia="en-US"/>
        </w:rPr>
      </w:pPr>
    </w:p>
    <w:p w14:paraId="6B1FBA40" w14:textId="31CCD20B" w:rsidR="0051464A" w:rsidRPr="0051464A" w:rsidRDefault="0051464A" w:rsidP="0051464A">
      <w:pPr>
        <w:pBdr>
          <w:top w:val="single" w:sz="4" w:space="10" w:color="auto"/>
          <w:left w:val="single" w:sz="4" w:space="10" w:color="auto"/>
          <w:bottom w:val="single" w:sz="4" w:space="10" w:color="auto"/>
          <w:right w:val="single" w:sz="4" w:space="10" w:color="auto"/>
        </w:pBdr>
        <w:rPr>
          <w:b/>
          <w:sz w:val="20"/>
          <w:szCs w:val="20"/>
          <w:lang w:eastAsia="en-AU"/>
        </w:rPr>
      </w:pPr>
      <w:r w:rsidRPr="0051464A">
        <w:rPr>
          <w:b/>
          <w:sz w:val="20"/>
          <w:szCs w:val="20"/>
          <w:lang w:eastAsia="en-AU"/>
        </w:rPr>
        <w:t xml:space="preserve">Example </w:t>
      </w:r>
      <w:r w:rsidR="00824EF8">
        <w:rPr>
          <w:b/>
          <w:sz w:val="20"/>
          <w:szCs w:val="20"/>
          <w:lang w:eastAsia="en-AU"/>
        </w:rPr>
        <w:t>14: T</w:t>
      </w:r>
      <w:r w:rsidR="001F2A69">
        <w:rPr>
          <w:b/>
          <w:sz w:val="20"/>
          <w:szCs w:val="20"/>
          <w:lang w:eastAsia="en-AU"/>
        </w:rPr>
        <w:t>iming mismatch III</w:t>
      </w:r>
    </w:p>
    <w:p w14:paraId="3B391A8B" w14:textId="77777777" w:rsidR="0051464A" w:rsidRPr="0051464A" w:rsidRDefault="0051464A" w:rsidP="0051464A">
      <w:pPr>
        <w:pBdr>
          <w:top w:val="single" w:sz="4" w:space="10" w:color="auto"/>
          <w:left w:val="single" w:sz="4" w:space="10" w:color="auto"/>
          <w:bottom w:val="single" w:sz="4" w:space="10" w:color="auto"/>
          <w:right w:val="single" w:sz="4" w:space="10" w:color="auto"/>
        </w:pBdr>
        <w:rPr>
          <w:sz w:val="20"/>
          <w:szCs w:val="20"/>
          <w:lang w:eastAsia="en-AU"/>
        </w:rPr>
      </w:pPr>
    </w:p>
    <w:p w14:paraId="18BC128D" w14:textId="68D935AF" w:rsidR="0051464A" w:rsidRPr="0051464A" w:rsidRDefault="0051464A" w:rsidP="0051464A">
      <w:pPr>
        <w:pBdr>
          <w:top w:val="single" w:sz="4" w:space="10" w:color="auto"/>
          <w:left w:val="single" w:sz="4" w:space="10" w:color="auto"/>
          <w:bottom w:val="single" w:sz="4" w:space="10" w:color="auto"/>
          <w:right w:val="single" w:sz="4" w:space="10" w:color="auto"/>
        </w:pBdr>
        <w:rPr>
          <w:sz w:val="20"/>
          <w:szCs w:val="20"/>
          <w:lang w:eastAsia="en-AU"/>
        </w:rPr>
      </w:pPr>
      <w:r w:rsidRPr="0051464A">
        <w:rPr>
          <w:sz w:val="20"/>
          <w:szCs w:val="20"/>
          <w:lang w:eastAsia="en-AU"/>
        </w:rPr>
        <w:t>Take</w:t>
      </w:r>
      <w:r w:rsidR="00E460B9">
        <w:rPr>
          <w:sz w:val="20"/>
          <w:szCs w:val="20"/>
          <w:lang w:eastAsia="en-AU"/>
        </w:rPr>
        <w:t xml:space="preserve"> again</w:t>
      </w:r>
      <w:r w:rsidRPr="0051464A">
        <w:rPr>
          <w:sz w:val="20"/>
          <w:szCs w:val="20"/>
          <w:lang w:eastAsia="en-AU"/>
        </w:rPr>
        <w:t xml:space="preserve"> the facts of example </w:t>
      </w:r>
      <w:r w:rsidR="001F2A69">
        <w:rPr>
          <w:sz w:val="20"/>
          <w:szCs w:val="20"/>
          <w:lang w:eastAsia="en-AU"/>
        </w:rPr>
        <w:t>12</w:t>
      </w:r>
      <w:r w:rsidR="002D5667">
        <w:rPr>
          <w:sz w:val="20"/>
          <w:szCs w:val="20"/>
          <w:lang w:eastAsia="en-AU"/>
        </w:rPr>
        <w:t xml:space="preserve">. </w:t>
      </w:r>
      <w:r w:rsidRPr="0051464A">
        <w:rPr>
          <w:sz w:val="20"/>
          <w:szCs w:val="20"/>
          <w:lang w:eastAsia="en-AU"/>
        </w:rPr>
        <w:t>It is</w:t>
      </w:r>
      <w:r w:rsidR="00E460B9">
        <w:rPr>
          <w:sz w:val="20"/>
          <w:szCs w:val="20"/>
          <w:lang w:eastAsia="en-AU"/>
        </w:rPr>
        <w:t xml:space="preserve"> now</w:t>
      </w:r>
      <w:r w:rsidRPr="0051464A">
        <w:rPr>
          <w:sz w:val="20"/>
          <w:szCs w:val="20"/>
          <w:lang w:eastAsia="en-AU"/>
        </w:rPr>
        <w:t xml:space="preserve"> determined that the amount for which a deduction is claimed is not likely to be included in the offshore parent’s income within the required time period, so that section FH 3 does apply to the expenditure</w:t>
      </w:r>
      <w:r w:rsidR="002D5667">
        <w:rPr>
          <w:sz w:val="20"/>
          <w:szCs w:val="20"/>
          <w:lang w:eastAsia="en-AU"/>
        </w:rPr>
        <w:t xml:space="preserve">. </w:t>
      </w:r>
      <w:r w:rsidRPr="0051464A">
        <w:rPr>
          <w:sz w:val="20"/>
          <w:szCs w:val="20"/>
          <w:lang w:eastAsia="en-AU"/>
        </w:rPr>
        <w:t>In this case:</w:t>
      </w:r>
    </w:p>
    <w:p w14:paraId="02206CB7" w14:textId="77777777" w:rsidR="0051464A" w:rsidRPr="0051464A" w:rsidRDefault="0051464A" w:rsidP="0051464A">
      <w:pPr>
        <w:pBdr>
          <w:top w:val="single" w:sz="4" w:space="10" w:color="auto"/>
          <w:left w:val="single" w:sz="4" w:space="10" w:color="auto"/>
          <w:bottom w:val="single" w:sz="4" w:space="10" w:color="auto"/>
          <w:right w:val="single" w:sz="4" w:space="10" w:color="auto"/>
        </w:pBdr>
        <w:rPr>
          <w:sz w:val="20"/>
          <w:szCs w:val="20"/>
          <w:lang w:eastAsia="en-AU"/>
        </w:rPr>
      </w:pPr>
    </w:p>
    <w:p w14:paraId="30F75284" w14:textId="733C3C10" w:rsidR="0051464A" w:rsidRPr="0051464A" w:rsidRDefault="0051464A" w:rsidP="0051464A">
      <w:pPr>
        <w:pStyle w:val="ListParagraph"/>
        <w:numPr>
          <w:ilvl w:val="0"/>
          <w:numId w:val="51"/>
        </w:numPr>
        <w:pBdr>
          <w:top w:val="single" w:sz="4" w:space="10" w:color="auto"/>
          <w:left w:val="single" w:sz="4" w:space="10" w:color="auto"/>
          <w:bottom w:val="single" w:sz="4" w:space="10" w:color="auto"/>
          <w:right w:val="single" w:sz="4" w:space="10" w:color="auto"/>
        </w:pBdr>
        <w:ind w:left="357" w:hanging="357"/>
        <w:rPr>
          <w:sz w:val="20"/>
          <w:szCs w:val="20"/>
          <w:lang w:eastAsia="en-AU"/>
        </w:rPr>
      </w:pPr>
      <w:r w:rsidRPr="0051464A">
        <w:rPr>
          <w:sz w:val="20"/>
          <w:szCs w:val="20"/>
          <w:lang w:eastAsia="en-AU"/>
        </w:rPr>
        <w:t>the incurred amount is the deduction claimed by the payer in a given year</w:t>
      </w:r>
      <w:r w:rsidR="00094CD1">
        <w:rPr>
          <w:sz w:val="20"/>
          <w:szCs w:val="20"/>
          <w:lang w:eastAsia="en-AU"/>
        </w:rPr>
        <w:t>; and</w:t>
      </w:r>
    </w:p>
    <w:p w14:paraId="1B2567FA" w14:textId="335C37F1" w:rsidR="0051464A" w:rsidRPr="0051464A" w:rsidRDefault="0051464A" w:rsidP="0051464A">
      <w:pPr>
        <w:pStyle w:val="ListParagraph"/>
        <w:numPr>
          <w:ilvl w:val="0"/>
          <w:numId w:val="51"/>
        </w:numPr>
        <w:pBdr>
          <w:top w:val="single" w:sz="4" w:space="10" w:color="auto"/>
          <w:left w:val="single" w:sz="4" w:space="10" w:color="auto"/>
          <w:bottom w:val="single" w:sz="4" w:space="10" w:color="auto"/>
          <w:right w:val="single" w:sz="4" w:space="10" w:color="auto"/>
        </w:pBdr>
        <w:ind w:left="357" w:hanging="357"/>
        <w:rPr>
          <w:sz w:val="20"/>
          <w:szCs w:val="20"/>
          <w:lang w:eastAsia="en-AU"/>
        </w:rPr>
      </w:pPr>
      <w:r w:rsidRPr="0051464A">
        <w:rPr>
          <w:sz w:val="20"/>
          <w:szCs w:val="20"/>
          <w:lang w:eastAsia="en-AU"/>
        </w:rPr>
        <w:t xml:space="preserve">unless there is some evidence to the contrary, it would be reasonable to conclude </w:t>
      </w:r>
      <w:r w:rsidR="00013E08" w:rsidRPr="0051464A">
        <w:rPr>
          <w:sz w:val="20"/>
          <w:szCs w:val="20"/>
          <w:lang w:eastAsia="en-AU"/>
        </w:rPr>
        <w:t>that no</w:t>
      </w:r>
      <w:r w:rsidRPr="0051464A">
        <w:rPr>
          <w:sz w:val="20"/>
          <w:szCs w:val="20"/>
          <w:lang w:eastAsia="en-AU"/>
        </w:rPr>
        <w:t xml:space="preserve"> payment is expected to be made within the required time period in subsection (6) in which the deduction is claimed (if it were, there would be no timing mismatch)</w:t>
      </w:r>
      <w:r w:rsidR="002D5667">
        <w:rPr>
          <w:sz w:val="20"/>
          <w:szCs w:val="20"/>
          <w:lang w:eastAsia="en-AU"/>
        </w:rPr>
        <w:t xml:space="preserve">. </w:t>
      </w:r>
      <w:r w:rsidR="004540D2">
        <w:rPr>
          <w:sz w:val="20"/>
          <w:szCs w:val="20"/>
          <w:lang w:eastAsia="en-AU"/>
        </w:rPr>
        <w:t>So</w:t>
      </w:r>
      <w:r w:rsidRPr="0051464A">
        <w:rPr>
          <w:sz w:val="20"/>
          <w:szCs w:val="20"/>
          <w:lang w:eastAsia="en-AU"/>
        </w:rPr>
        <w:t xml:space="preserve"> there will be no payee tax.</w:t>
      </w:r>
    </w:p>
    <w:p w14:paraId="05129A05" w14:textId="77777777" w:rsidR="00691879" w:rsidRDefault="00691879" w:rsidP="00925A3A">
      <w:pPr>
        <w:jc w:val="left"/>
        <w:rPr>
          <w:szCs w:val="20"/>
          <w:lang w:eastAsia="en-AU"/>
        </w:rPr>
      </w:pPr>
    </w:p>
    <w:p w14:paraId="61BF8456" w14:textId="77777777" w:rsidR="000772C5" w:rsidRPr="00925A3A" w:rsidRDefault="000772C5" w:rsidP="00925A3A">
      <w:pPr>
        <w:jc w:val="left"/>
        <w:rPr>
          <w:szCs w:val="20"/>
          <w:lang w:eastAsia="en-AU"/>
        </w:rPr>
      </w:pPr>
    </w:p>
    <w:p w14:paraId="35AB6E22" w14:textId="2D58E8A1" w:rsidR="00925A3A" w:rsidRPr="00925A3A" w:rsidRDefault="00C94233" w:rsidP="00925A3A">
      <w:pPr>
        <w:rPr>
          <w:szCs w:val="20"/>
          <w:lang w:eastAsia="en-AU"/>
        </w:rPr>
      </w:pPr>
      <w:r>
        <w:rPr>
          <w:szCs w:val="20"/>
          <w:lang w:eastAsia="en-AU"/>
        </w:rPr>
        <w:t>S</w:t>
      </w:r>
      <w:r w:rsidR="00925A3A" w:rsidRPr="00925A3A">
        <w:rPr>
          <w:szCs w:val="20"/>
          <w:lang w:eastAsia="en-AU"/>
        </w:rPr>
        <w:t>ubsection (7) applies to amounts for which a deduction is denied becaus</w:t>
      </w:r>
      <w:r>
        <w:rPr>
          <w:szCs w:val="20"/>
          <w:lang w:eastAsia="en-AU"/>
        </w:rPr>
        <w:t>e of a timing mismatch (that is</w:t>
      </w:r>
      <w:r w:rsidR="00925A3A" w:rsidRPr="00925A3A">
        <w:rPr>
          <w:szCs w:val="20"/>
          <w:lang w:eastAsia="en-AU"/>
        </w:rPr>
        <w:t>, the amounts fall within subsection (6))</w:t>
      </w:r>
      <w:r w:rsidR="002D5667">
        <w:rPr>
          <w:szCs w:val="20"/>
          <w:lang w:eastAsia="en-AU"/>
        </w:rPr>
        <w:t xml:space="preserve">. </w:t>
      </w:r>
      <w:r w:rsidR="00925A3A" w:rsidRPr="00925A3A">
        <w:rPr>
          <w:szCs w:val="20"/>
          <w:lang w:eastAsia="en-AU"/>
        </w:rPr>
        <w:t>Once the payment is recognised as ordinary income in the payee country, the payer is allowed a deduction for the amount previously denied under subsection (4).</w:t>
      </w:r>
    </w:p>
    <w:p w14:paraId="0CACF0A9" w14:textId="77777777" w:rsidR="00925A3A" w:rsidRPr="00925A3A" w:rsidRDefault="00925A3A" w:rsidP="00925A3A">
      <w:pPr>
        <w:rPr>
          <w:szCs w:val="20"/>
          <w:lang w:eastAsia="en-AU"/>
        </w:rPr>
      </w:pPr>
    </w:p>
    <w:p w14:paraId="619942DB" w14:textId="322C5959" w:rsidR="00925A3A" w:rsidRPr="00925A3A" w:rsidRDefault="00925A3A" w:rsidP="00925A3A">
      <w:pPr>
        <w:rPr>
          <w:szCs w:val="20"/>
          <w:lang w:eastAsia="en-AU"/>
        </w:rPr>
      </w:pPr>
      <w:r w:rsidRPr="00925A3A">
        <w:rPr>
          <w:szCs w:val="20"/>
          <w:lang w:eastAsia="en-AU"/>
        </w:rPr>
        <w:t xml:space="preserve">The intention of subsection (8) is to deal with the effect of foreign currency gains of a person who, but for such gains, would be denied a deduction for </w:t>
      </w:r>
      <w:r w:rsidR="00E210DB">
        <w:rPr>
          <w:szCs w:val="20"/>
          <w:lang w:eastAsia="en-AU"/>
        </w:rPr>
        <w:t>expenditure incurred</w:t>
      </w:r>
      <w:r w:rsidRPr="00925A3A">
        <w:rPr>
          <w:szCs w:val="20"/>
          <w:lang w:eastAsia="en-AU"/>
        </w:rPr>
        <w:t xml:space="preserve"> under a financial arrangement because it falls within subsection (2)</w:t>
      </w:r>
      <w:r w:rsidR="002D5667">
        <w:rPr>
          <w:szCs w:val="20"/>
          <w:lang w:eastAsia="en-AU"/>
        </w:rPr>
        <w:t xml:space="preserve">. </w:t>
      </w:r>
      <w:r w:rsidRPr="00925A3A">
        <w:rPr>
          <w:szCs w:val="20"/>
          <w:lang w:eastAsia="en-AU"/>
        </w:rPr>
        <w:t xml:space="preserve">If such a person has net income from the financial arrangement due to the foreign currency gain, subsection (8) provides that </w:t>
      </w:r>
      <w:r w:rsidRPr="00925A3A">
        <w:rPr>
          <w:szCs w:val="20"/>
          <w:lang w:eastAsia="en-AU"/>
        </w:rPr>
        <w:lastRenderedPageBreak/>
        <w:t>the income will be excluded income</w:t>
      </w:r>
      <w:r w:rsidR="002D5667">
        <w:rPr>
          <w:szCs w:val="20"/>
          <w:lang w:eastAsia="en-AU"/>
        </w:rPr>
        <w:t xml:space="preserve">. </w:t>
      </w:r>
      <w:r w:rsidRPr="00925A3A">
        <w:rPr>
          <w:szCs w:val="20"/>
          <w:lang w:eastAsia="en-AU"/>
        </w:rPr>
        <w:t>If the deduction for the payment would have been only partially denied, the income is excluded income in the same proportion.</w:t>
      </w:r>
    </w:p>
    <w:p w14:paraId="4FA6C5FE" w14:textId="77777777" w:rsidR="00925A3A" w:rsidRPr="00925A3A" w:rsidRDefault="00925A3A" w:rsidP="00925A3A">
      <w:pPr>
        <w:rPr>
          <w:szCs w:val="20"/>
          <w:lang w:eastAsia="en-AU"/>
        </w:rPr>
      </w:pPr>
    </w:p>
    <w:p w14:paraId="4C067378" w14:textId="663059AA" w:rsidR="00925A3A" w:rsidRPr="00925A3A" w:rsidRDefault="00925A3A" w:rsidP="00532DB4">
      <w:pPr>
        <w:pStyle w:val="Heading3"/>
        <w:rPr>
          <w:lang w:eastAsia="en-AU"/>
        </w:rPr>
      </w:pPr>
      <w:r w:rsidRPr="00925A3A">
        <w:rPr>
          <w:lang w:eastAsia="en-AU"/>
        </w:rPr>
        <w:t>Section FH 4</w:t>
      </w:r>
      <w:r w:rsidR="00A8140F">
        <w:rPr>
          <w:lang w:eastAsia="en-AU"/>
        </w:rPr>
        <w:t xml:space="preserve"> </w:t>
      </w:r>
      <w:r w:rsidR="00D6773F">
        <w:rPr>
          <w:lang w:eastAsia="en-AU"/>
        </w:rPr>
        <w:t>– defensive rule</w:t>
      </w:r>
    </w:p>
    <w:p w14:paraId="2E88A666" w14:textId="77777777" w:rsidR="00925A3A" w:rsidRPr="00925A3A" w:rsidRDefault="00925A3A" w:rsidP="00925A3A">
      <w:pPr>
        <w:rPr>
          <w:szCs w:val="20"/>
          <w:lang w:eastAsia="en-AU"/>
        </w:rPr>
      </w:pPr>
    </w:p>
    <w:p w14:paraId="4B646ECC" w14:textId="67ECC6CA" w:rsidR="00C2146D" w:rsidRDefault="00925A3A" w:rsidP="00925A3A">
      <w:pPr>
        <w:rPr>
          <w:szCs w:val="20"/>
          <w:lang w:eastAsia="en-AU"/>
        </w:rPr>
      </w:pPr>
      <w:r w:rsidRPr="00925A3A">
        <w:rPr>
          <w:szCs w:val="20"/>
          <w:lang w:eastAsia="en-AU"/>
        </w:rPr>
        <w:t xml:space="preserve">Section FH 4 is the defensive rule </w:t>
      </w:r>
      <w:r w:rsidR="00C2146D">
        <w:rPr>
          <w:szCs w:val="20"/>
          <w:lang w:eastAsia="en-AU"/>
        </w:rPr>
        <w:t>of recommendation 1 of t</w:t>
      </w:r>
      <w:r w:rsidR="001D687A">
        <w:rPr>
          <w:szCs w:val="20"/>
          <w:lang w:eastAsia="en-AU"/>
        </w:rPr>
        <w:t>he OECD hybrid mismatch report.</w:t>
      </w:r>
    </w:p>
    <w:p w14:paraId="66FB567B" w14:textId="77777777" w:rsidR="00C2146D" w:rsidRDefault="00C2146D" w:rsidP="00925A3A">
      <w:pPr>
        <w:rPr>
          <w:szCs w:val="20"/>
          <w:lang w:eastAsia="en-AU"/>
        </w:rPr>
      </w:pPr>
    </w:p>
    <w:p w14:paraId="5331ACBC" w14:textId="77777777" w:rsidR="00925A3A" w:rsidRDefault="000034BE" w:rsidP="00925A3A">
      <w:pPr>
        <w:rPr>
          <w:szCs w:val="20"/>
          <w:lang w:eastAsia="en-AU"/>
        </w:rPr>
      </w:pPr>
      <w:r>
        <w:rPr>
          <w:szCs w:val="20"/>
          <w:lang w:eastAsia="en-AU"/>
        </w:rPr>
        <w:t xml:space="preserve">Section FH 4 </w:t>
      </w:r>
      <w:r w:rsidR="00925A3A" w:rsidRPr="00925A3A">
        <w:rPr>
          <w:szCs w:val="20"/>
          <w:lang w:eastAsia="en-AU"/>
        </w:rPr>
        <w:t>applies when a person subject to New Zealand tax receives a payment under a financial instrument if:</w:t>
      </w:r>
    </w:p>
    <w:p w14:paraId="33BC9265" w14:textId="77777777" w:rsidR="001D687A" w:rsidRDefault="001D687A" w:rsidP="00925A3A">
      <w:pPr>
        <w:rPr>
          <w:szCs w:val="20"/>
          <w:lang w:eastAsia="en-AU"/>
        </w:rPr>
      </w:pPr>
    </w:p>
    <w:p w14:paraId="64490E52" w14:textId="5FE77E89" w:rsidR="00925A3A" w:rsidRPr="001D687A" w:rsidRDefault="001D687A" w:rsidP="000772C5">
      <w:pPr>
        <w:pStyle w:val="Bullets"/>
      </w:pPr>
      <w:r>
        <w:t xml:space="preserve">the payment would not give rise to assessable income of the </w:t>
      </w:r>
      <w:proofErr w:type="gramStart"/>
      <w:r>
        <w:t>payee, or</w:t>
      </w:r>
      <w:proofErr w:type="gramEnd"/>
      <w:r>
        <w:t xml:space="preserve"> gives rise to assessable income not meeting the timing requirements in subsection (7)</w:t>
      </w:r>
      <w:r w:rsidR="002D5667">
        <w:t xml:space="preserve">. </w:t>
      </w:r>
      <w:r>
        <w:t>The timing requirements are that the income must be allocated to an accounting period beginning within 24 months of the end of the accounting period to which the deduction is claimed in the payer country;</w:t>
      </w:r>
    </w:p>
    <w:p w14:paraId="61B753A0" w14:textId="77777777" w:rsidR="00925A3A" w:rsidRPr="00925A3A" w:rsidRDefault="00925A3A" w:rsidP="000772C5">
      <w:pPr>
        <w:pStyle w:val="Bullets"/>
      </w:pPr>
      <w:r w:rsidRPr="00925A3A">
        <w:t>the payment is treated in another country as deductible (or entitled to equivalent tax relief) to a person in that country;</w:t>
      </w:r>
    </w:p>
    <w:p w14:paraId="51101A49" w14:textId="77777777" w:rsidR="00925A3A" w:rsidRPr="00925A3A" w:rsidRDefault="00925A3A" w:rsidP="000772C5">
      <w:pPr>
        <w:pStyle w:val="Bullets"/>
      </w:pPr>
      <w:r w:rsidRPr="00925A3A">
        <w:t>that country does not have an equivalent to section FH 3 (the primary rule for hybrid financial instruments);</w:t>
      </w:r>
    </w:p>
    <w:p w14:paraId="71CD3157" w14:textId="77777777" w:rsidR="00925A3A" w:rsidRPr="00925A3A" w:rsidRDefault="00925A3A" w:rsidP="000772C5">
      <w:pPr>
        <w:pStyle w:val="Bullets"/>
      </w:pPr>
      <w:r w:rsidRPr="00925A3A">
        <w:t>the financial instrument is part of a structured arrangement or the payee and payer are related; and</w:t>
      </w:r>
    </w:p>
    <w:p w14:paraId="67EADA1A" w14:textId="22A8CF61" w:rsidR="00925A3A" w:rsidRPr="00925A3A" w:rsidRDefault="00925A3A" w:rsidP="000772C5">
      <w:pPr>
        <w:pStyle w:val="Bullets"/>
        <w:spacing w:after="0"/>
      </w:pPr>
      <w:r w:rsidRPr="00925A3A">
        <w:t>the payment meets the requirements of subsection (2) or (3)</w:t>
      </w:r>
      <w:r w:rsidR="002D5667">
        <w:t xml:space="preserve">. </w:t>
      </w:r>
      <w:r w:rsidR="00B77A75">
        <w:t>Subsection (2) relates to character mismatches and subsection (3) relates to timing mismatches.</w:t>
      </w:r>
    </w:p>
    <w:p w14:paraId="37BE0F42" w14:textId="77777777" w:rsidR="00925A3A" w:rsidRDefault="00925A3A" w:rsidP="00925A3A">
      <w:pPr>
        <w:rPr>
          <w:szCs w:val="20"/>
          <w:lang w:eastAsia="en-AU"/>
        </w:rPr>
      </w:pPr>
    </w:p>
    <w:p w14:paraId="115C1B77" w14:textId="77777777" w:rsidR="00B77A75" w:rsidRPr="00B251B6" w:rsidRDefault="00B251B6" w:rsidP="00532DB4">
      <w:pPr>
        <w:pStyle w:val="Heading4"/>
        <w:rPr>
          <w:lang w:eastAsia="en-AU"/>
        </w:rPr>
      </w:pPr>
      <w:r>
        <w:rPr>
          <w:lang w:eastAsia="en-AU"/>
        </w:rPr>
        <w:t>Character mismatches</w:t>
      </w:r>
    </w:p>
    <w:p w14:paraId="15965875" w14:textId="77777777" w:rsidR="00B77A75" w:rsidRDefault="00B77A75" w:rsidP="00925A3A">
      <w:pPr>
        <w:rPr>
          <w:szCs w:val="20"/>
          <w:lang w:eastAsia="en-AU"/>
        </w:rPr>
      </w:pPr>
    </w:p>
    <w:p w14:paraId="43CC4B22" w14:textId="2F13FEB7" w:rsidR="001437E3" w:rsidRDefault="001C16CF" w:rsidP="00925A3A">
      <w:pPr>
        <w:rPr>
          <w:szCs w:val="20"/>
          <w:lang w:eastAsia="en-AU"/>
        </w:rPr>
      </w:pPr>
      <w:r>
        <w:rPr>
          <w:szCs w:val="20"/>
          <w:lang w:eastAsia="en-AU"/>
        </w:rPr>
        <w:t>Subsection (2) applies</w:t>
      </w:r>
      <w:r w:rsidR="001437E3">
        <w:rPr>
          <w:szCs w:val="20"/>
          <w:lang w:eastAsia="en-AU"/>
        </w:rPr>
        <w:t xml:space="preserve"> to character mismatches, which arise when a payment does not give rise to assessable income to the payee, but would do so if the classification of the payment or the financial instrument were varied.</w:t>
      </w:r>
    </w:p>
    <w:p w14:paraId="0F6B2DE6" w14:textId="77777777" w:rsidR="001437E3" w:rsidRDefault="001437E3" w:rsidP="00925A3A">
      <w:pPr>
        <w:rPr>
          <w:szCs w:val="20"/>
          <w:lang w:eastAsia="en-AU"/>
        </w:rPr>
      </w:pPr>
    </w:p>
    <w:p w14:paraId="1DCC7C2A" w14:textId="68196A52" w:rsidR="00925A3A" w:rsidRDefault="00925A3A" w:rsidP="00925A3A">
      <w:pPr>
        <w:rPr>
          <w:szCs w:val="20"/>
          <w:lang w:eastAsia="en-AU"/>
        </w:rPr>
      </w:pPr>
      <w:r w:rsidRPr="00925A3A">
        <w:rPr>
          <w:szCs w:val="20"/>
          <w:lang w:eastAsia="en-AU"/>
        </w:rPr>
        <w:t>Generally, it is not expected that subsection (2) would apply to a dividend, since New Zealand already taxes deductible dividends</w:t>
      </w:r>
      <w:r w:rsidR="00167F30">
        <w:rPr>
          <w:szCs w:val="20"/>
          <w:lang w:eastAsia="en-AU"/>
        </w:rPr>
        <w:t xml:space="preserve"> (as the section CW 9 exemption does not apply to deductible dividends)</w:t>
      </w:r>
      <w:r w:rsidR="002D5667">
        <w:rPr>
          <w:szCs w:val="20"/>
          <w:lang w:eastAsia="en-AU"/>
        </w:rPr>
        <w:t xml:space="preserve">. </w:t>
      </w:r>
      <w:r w:rsidRPr="00925A3A">
        <w:rPr>
          <w:szCs w:val="20"/>
          <w:lang w:eastAsia="en-AU"/>
        </w:rPr>
        <w:t>Nor is it intended that section FH 4 would apply to payments under a finance lease where the payer in another country treats the lease as an operating lease and claims a deduction for the entire amount of the payment</w:t>
      </w:r>
      <w:r w:rsidR="002D5667">
        <w:rPr>
          <w:szCs w:val="20"/>
          <w:lang w:eastAsia="en-AU"/>
        </w:rPr>
        <w:t xml:space="preserve">. </w:t>
      </w:r>
      <w:r w:rsidRPr="00925A3A">
        <w:rPr>
          <w:szCs w:val="20"/>
          <w:lang w:eastAsia="en-AU"/>
        </w:rPr>
        <w:t>In this case, so long as the instrument remains a financial instrument, there is no variation to its terms that would result in the payments being assessable to the extent they represent a payment of principal in respect of the deemed loan under the finance lease.</w:t>
      </w:r>
    </w:p>
    <w:p w14:paraId="48C42628" w14:textId="77777777" w:rsidR="00926B8A" w:rsidRDefault="00926B8A" w:rsidP="00925A3A">
      <w:pPr>
        <w:rPr>
          <w:szCs w:val="20"/>
          <w:lang w:eastAsia="en-AU"/>
        </w:rPr>
      </w:pPr>
    </w:p>
    <w:p w14:paraId="3E9933EA" w14:textId="77777777" w:rsidR="00D1380C" w:rsidRDefault="00D1380C" w:rsidP="00925A3A">
      <w:pPr>
        <w:rPr>
          <w:szCs w:val="20"/>
          <w:lang w:eastAsia="en-AU"/>
        </w:rPr>
      </w:pPr>
    </w:p>
    <w:p w14:paraId="27F8B0A3" w14:textId="7966E009" w:rsidR="00926B8A" w:rsidRDefault="00926B8A" w:rsidP="00926B8A">
      <w:pPr>
        <w:pBdr>
          <w:top w:val="single" w:sz="4" w:space="10" w:color="auto"/>
          <w:left w:val="single" w:sz="4" w:space="10" w:color="auto"/>
          <w:bottom w:val="single" w:sz="4" w:space="10" w:color="auto"/>
          <w:right w:val="single" w:sz="4" w:space="10" w:color="auto"/>
        </w:pBdr>
        <w:rPr>
          <w:b/>
          <w:sz w:val="20"/>
          <w:szCs w:val="20"/>
          <w:lang w:eastAsia="en-AU"/>
        </w:rPr>
      </w:pPr>
      <w:r>
        <w:rPr>
          <w:b/>
          <w:sz w:val="20"/>
          <w:szCs w:val="20"/>
          <w:lang w:eastAsia="en-AU"/>
        </w:rPr>
        <w:t xml:space="preserve">Example </w:t>
      </w:r>
      <w:r w:rsidR="00824EF8">
        <w:rPr>
          <w:b/>
          <w:sz w:val="20"/>
          <w:szCs w:val="20"/>
          <w:lang w:eastAsia="en-AU"/>
        </w:rPr>
        <w:t xml:space="preserve">15: </w:t>
      </w:r>
      <w:r w:rsidR="00F32C8B">
        <w:rPr>
          <w:b/>
          <w:sz w:val="20"/>
          <w:szCs w:val="20"/>
          <w:lang w:eastAsia="en-AU"/>
        </w:rPr>
        <w:fldChar w:fldCharType="begin"/>
      </w:r>
      <w:r w:rsidR="00F32C8B" w:rsidRPr="00D25F30">
        <w:rPr>
          <w:b/>
          <w:sz w:val="20"/>
          <w:szCs w:val="20"/>
          <w:lang w:eastAsia="en-AU"/>
        </w:rPr>
        <w:instrText>seq NumList</w:instrText>
      </w:r>
      <w:r w:rsidR="00F32C8B">
        <w:rPr>
          <w:b/>
          <w:sz w:val="20"/>
          <w:szCs w:val="20"/>
          <w:lang w:eastAsia="en-AU"/>
        </w:rPr>
        <w:fldChar w:fldCharType="end"/>
      </w:r>
      <w:r w:rsidR="00824EF8">
        <w:rPr>
          <w:b/>
          <w:sz w:val="20"/>
          <w:szCs w:val="20"/>
          <w:lang w:eastAsia="en-AU"/>
        </w:rPr>
        <w:t>D</w:t>
      </w:r>
      <w:r>
        <w:rPr>
          <w:b/>
          <w:sz w:val="20"/>
          <w:szCs w:val="20"/>
          <w:lang w:eastAsia="en-AU"/>
        </w:rPr>
        <w:t>eemed interest on interest-free loan</w:t>
      </w:r>
    </w:p>
    <w:p w14:paraId="0A9D2A78" w14:textId="77777777" w:rsidR="00926B8A" w:rsidRPr="000772C5" w:rsidRDefault="00926B8A" w:rsidP="00926B8A">
      <w:pPr>
        <w:pBdr>
          <w:top w:val="single" w:sz="4" w:space="10" w:color="auto"/>
          <w:left w:val="single" w:sz="4" w:space="10" w:color="auto"/>
          <w:bottom w:val="single" w:sz="4" w:space="10" w:color="auto"/>
          <w:right w:val="single" w:sz="4" w:space="10" w:color="auto"/>
        </w:pBdr>
        <w:rPr>
          <w:sz w:val="20"/>
          <w:szCs w:val="20"/>
          <w:lang w:eastAsia="en-AU"/>
        </w:rPr>
      </w:pPr>
    </w:p>
    <w:p w14:paraId="4A72FB7C" w14:textId="66156AB5" w:rsidR="0048537A" w:rsidRDefault="009944A1" w:rsidP="00926B8A">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Kiwi</w:t>
      </w:r>
      <w:r w:rsidR="00926B8A">
        <w:rPr>
          <w:sz w:val="20"/>
          <w:szCs w:val="20"/>
          <w:lang w:eastAsia="en-AU"/>
        </w:rPr>
        <w:t xml:space="preserve"> Co (a company resident in </w:t>
      </w:r>
      <w:r>
        <w:rPr>
          <w:sz w:val="20"/>
          <w:szCs w:val="20"/>
          <w:lang w:eastAsia="en-AU"/>
        </w:rPr>
        <w:t>New Zealand</w:t>
      </w:r>
      <w:r w:rsidR="00926B8A">
        <w:rPr>
          <w:sz w:val="20"/>
          <w:szCs w:val="20"/>
          <w:lang w:eastAsia="en-AU"/>
        </w:rPr>
        <w:t xml:space="preserve">) lends money to </w:t>
      </w:r>
      <w:r>
        <w:rPr>
          <w:sz w:val="20"/>
          <w:szCs w:val="20"/>
          <w:lang w:eastAsia="en-AU"/>
        </w:rPr>
        <w:t>Beetle</w:t>
      </w:r>
      <w:r w:rsidR="00926B8A">
        <w:rPr>
          <w:sz w:val="20"/>
          <w:szCs w:val="20"/>
          <w:lang w:eastAsia="en-AU"/>
        </w:rPr>
        <w:t xml:space="preserve"> Co on interest-free terms</w:t>
      </w:r>
      <w:r w:rsidR="0048537A">
        <w:rPr>
          <w:sz w:val="20"/>
          <w:szCs w:val="20"/>
          <w:lang w:eastAsia="en-AU"/>
        </w:rPr>
        <w:t xml:space="preserve"> and the laws of Country </w:t>
      </w:r>
      <w:r>
        <w:rPr>
          <w:sz w:val="20"/>
          <w:szCs w:val="20"/>
          <w:lang w:eastAsia="en-AU"/>
        </w:rPr>
        <w:t>B</w:t>
      </w:r>
      <w:r w:rsidR="0048537A">
        <w:rPr>
          <w:sz w:val="20"/>
          <w:szCs w:val="20"/>
          <w:lang w:eastAsia="en-AU"/>
        </w:rPr>
        <w:t xml:space="preserve"> allow </w:t>
      </w:r>
      <w:r>
        <w:rPr>
          <w:sz w:val="20"/>
          <w:szCs w:val="20"/>
          <w:lang w:eastAsia="en-AU"/>
        </w:rPr>
        <w:t>Beetle</w:t>
      </w:r>
      <w:r w:rsidR="0048537A">
        <w:rPr>
          <w:sz w:val="20"/>
          <w:szCs w:val="20"/>
          <w:lang w:eastAsia="en-AU"/>
        </w:rPr>
        <w:t xml:space="preserve"> Co to claim a deduction for tax purposes as if it had paid interest on the loan at a market rate</w:t>
      </w:r>
      <w:r w:rsidR="00926B8A">
        <w:rPr>
          <w:sz w:val="20"/>
          <w:szCs w:val="20"/>
          <w:lang w:eastAsia="en-AU"/>
        </w:rPr>
        <w:t>.</w:t>
      </w:r>
    </w:p>
    <w:p w14:paraId="38269F3C" w14:textId="77777777" w:rsidR="0048537A" w:rsidRDefault="0048537A" w:rsidP="00926B8A">
      <w:pPr>
        <w:pBdr>
          <w:top w:val="single" w:sz="4" w:space="10" w:color="auto"/>
          <w:left w:val="single" w:sz="4" w:space="10" w:color="auto"/>
          <w:bottom w:val="single" w:sz="4" w:space="10" w:color="auto"/>
          <w:right w:val="single" w:sz="4" w:space="10" w:color="auto"/>
        </w:pBdr>
        <w:rPr>
          <w:sz w:val="20"/>
          <w:szCs w:val="20"/>
          <w:lang w:eastAsia="en-AU"/>
        </w:rPr>
      </w:pPr>
    </w:p>
    <w:p w14:paraId="3CB79CCF" w14:textId="153A9AA2" w:rsidR="0048537A" w:rsidRDefault="0048537A" w:rsidP="00926B8A">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NZ treats the loan as a debt instrument.</w:t>
      </w:r>
    </w:p>
    <w:p w14:paraId="6B078D22" w14:textId="77777777" w:rsidR="0048537A" w:rsidRDefault="0048537A" w:rsidP="00926B8A">
      <w:pPr>
        <w:pBdr>
          <w:top w:val="single" w:sz="4" w:space="10" w:color="auto"/>
          <w:left w:val="single" w:sz="4" w:space="10" w:color="auto"/>
          <w:bottom w:val="single" w:sz="4" w:space="10" w:color="auto"/>
          <w:right w:val="single" w:sz="4" w:space="10" w:color="auto"/>
        </w:pBdr>
        <w:rPr>
          <w:sz w:val="20"/>
          <w:szCs w:val="20"/>
          <w:lang w:eastAsia="en-AU"/>
        </w:rPr>
      </w:pPr>
    </w:p>
    <w:p w14:paraId="1BBE4CB0" w14:textId="77777777" w:rsidR="002A7512" w:rsidRPr="002A7512" w:rsidRDefault="002A7512" w:rsidP="00926B8A">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Question</w:t>
      </w:r>
    </w:p>
    <w:p w14:paraId="6E90AED0" w14:textId="77777777" w:rsidR="002A7512" w:rsidRDefault="002A7512" w:rsidP="00926B8A">
      <w:pPr>
        <w:pBdr>
          <w:top w:val="single" w:sz="4" w:space="10" w:color="auto"/>
          <w:left w:val="single" w:sz="4" w:space="10" w:color="auto"/>
          <w:bottom w:val="single" w:sz="4" w:space="10" w:color="auto"/>
          <w:right w:val="single" w:sz="4" w:space="10" w:color="auto"/>
        </w:pBdr>
        <w:rPr>
          <w:sz w:val="20"/>
          <w:szCs w:val="20"/>
          <w:lang w:eastAsia="en-AU"/>
        </w:rPr>
      </w:pPr>
    </w:p>
    <w:p w14:paraId="3F8F4837" w14:textId="22929EBF" w:rsidR="002A7512" w:rsidRDefault="0048537A" w:rsidP="00926B8A">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Whether the loan falls within the scope of the hybrid financial instrument rule in section </w:t>
      </w:r>
      <w:r w:rsidR="002A7512">
        <w:rPr>
          <w:sz w:val="20"/>
          <w:szCs w:val="20"/>
          <w:lang w:eastAsia="en-AU"/>
        </w:rPr>
        <w:t>FH 4?</w:t>
      </w:r>
    </w:p>
    <w:p w14:paraId="76D23A1F" w14:textId="77777777" w:rsidR="002A7512" w:rsidRDefault="002A7512" w:rsidP="00926B8A">
      <w:pPr>
        <w:pBdr>
          <w:top w:val="single" w:sz="4" w:space="10" w:color="auto"/>
          <w:left w:val="single" w:sz="4" w:space="10" w:color="auto"/>
          <w:bottom w:val="single" w:sz="4" w:space="10" w:color="auto"/>
          <w:right w:val="single" w:sz="4" w:space="10" w:color="auto"/>
        </w:pBdr>
        <w:rPr>
          <w:sz w:val="20"/>
          <w:szCs w:val="20"/>
          <w:lang w:eastAsia="en-AU"/>
        </w:rPr>
      </w:pPr>
    </w:p>
    <w:p w14:paraId="7A0CB6C9" w14:textId="2530ADF9" w:rsidR="0048537A" w:rsidRDefault="002A7512" w:rsidP="00926B8A">
      <w:pPr>
        <w:pBdr>
          <w:top w:val="single" w:sz="4" w:space="10" w:color="auto"/>
          <w:left w:val="single" w:sz="4" w:space="10" w:color="auto"/>
          <w:bottom w:val="single" w:sz="4" w:space="10" w:color="auto"/>
          <w:right w:val="single" w:sz="4" w:space="10" w:color="auto"/>
        </w:pBdr>
        <w:rPr>
          <w:sz w:val="20"/>
          <w:szCs w:val="20"/>
          <w:lang w:eastAsia="en-AU"/>
        </w:rPr>
      </w:pPr>
      <w:r>
        <w:rPr>
          <w:i/>
          <w:sz w:val="20"/>
          <w:szCs w:val="20"/>
          <w:lang w:eastAsia="en-AU"/>
        </w:rPr>
        <w:t>Answer</w:t>
      </w:r>
    </w:p>
    <w:p w14:paraId="54CD4337" w14:textId="77777777" w:rsidR="0048537A" w:rsidRDefault="0048537A" w:rsidP="00926B8A">
      <w:pPr>
        <w:pBdr>
          <w:top w:val="single" w:sz="4" w:space="10" w:color="auto"/>
          <w:left w:val="single" w:sz="4" w:space="10" w:color="auto"/>
          <w:bottom w:val="single" w:sz="4" w:space="10" w:color="auto"/>
          <w:right w:val="single" w:sz="4" w:space="10" w:color="auto"/>
        </w:pBdr>
        <w:rPr>
          <w:sz w:val="20"/>
          <w:szCs w:val="20"/>
          <w:lang w:eastAsia="en-AU"/>
        </w:rPr>
      </w:pPr>
    </w:p>
    <w:p w14:paraId="61987B1B" w14:textId="3C962BA4" w:rsidR="00926B8A" w:rsidRPr="00926B8A" w:rsidRDefault="002A7512" w:rsidP="00926B8A">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The loan does not fall within the scope of the hybrid financial instrument rule because there is no payment under the loan that gives rise to a deduction for tax purposes in Country </w:t>
      </w:r>
      <w:r w:rsidR="009944A1">
        <w:rPr>
          <w:sz w:val="20"/>
          <w:szCs w:val="20"/>
          <w:lang w:eastAsia="en-AU"/>
        </w:rPr>
        <w:t>B</w:t>
      </w:r>
      <w:r w:rsidR="002D5667">
        <w:rPr>
          <w:sz w:val="20"/>
          <w:szCs w:val="20"/>
          <w:lang w:eastAsia="en-AU"/>
        </w:rPr>
        <w:t xml:space="preserve">. </w:t>
      </w:r>
      <w:r w:rsidR="004540D2">
        <w:rPr>
          <w:sz w:val="20"/>
          <w:szCs w:val="20"/>
          <w:lang w:eastAsia="en-AU"/>
        </w:rPr>
        <w:t xml:space="preserve">(Note </w:t>
      </w:r>
      <w:r w:rsidR="001E3303">
        <w:rPr>
          <w:sz w:val="20"/>
          <w:szCs w:val="20"/>
          <w:lang w:eastAsia="en-AU"/>
        </w:rPr>
        <w:t xml:space="preserve">that </w:t>
      </w:r>
      <w:r w:rsidR="004540D2">
        <w:rPr>
          <w:sz w:val="20"/>
          <w:szCs w:val="20"/>
          <w:lang w:eastAsia="en-AU"/>
        </w:rPr>
        <w:t>this example does not consider the application of the transfer pricing rules</w:t>
      </w:r>
      <w:r w:rsidR="002D5667">
        <w:rPr>
          <w:sz w:val="20"/>
          <w:szCs w:val="20"/>
          <w:lang w:eastAsia="en-AU"/>
        </w:rPr>
        <w:t xml:space="preserve">. </w:t>
      </w:r>
      <w:r w:rsidR="004540D2">
        <w:rPr>
          <w:sz w:val="20"/>
          <w:szCs w:val="20"/>
          <w:lang w:eastAsia="en-AU"/>
        </w:rPr>
        <w:t>If the transfer pricing rules apply to the loan, they may also treat Kiwi Co as earning income under the loan.</w:t>
      </w:r>
      <w:r w:rsidR="00013E08">
        <w:rPr>
          <w:sz w:val="20"/>
          <w:szCs w:val="20"/>
          <w:lang w:eastAsia="en-AU"/>
        </w:rPr>
        <w:t>)</w:t>
      </w:r>
    </w:p>
    <w:p w14:paraId="31B7AAC1" w14:textId="77777777" w:rsidR="00926B8A" w:rsidRDefault="00926B8A" w:rsidP="00925A3A">
      <w:pPr>
        <w:rPr>
          <w:szCs w:val="20"/>
          <w:lang w:eastAsia="en-AU"/>
        </w:rPr>
      </w:pPr>
    </w:p>
    <w:p w14:paraId="6E1E6FD3" w14:textId="18C1DA0F" w:rsidR="002A7512" w:rsidRDefault="002A7512" w:rsidP="002A7512">
      <w:pPr>
        <w:pBdr>
          <w:top w:val="single" w:sz="4" w:space="10" w:color="auto"/>
          <w:left w:val="single" w:sz="4" w:space="10" w:color="auto"/>
          <w:bottom w:val="single" w:sz="4" w:space="10" w:color="auto"/>
          <w:right w:val="single" w:sz="4" w:space="10" w:color="auto"/>
        </w:pBdr>
        <w:rPr>
          <w:b/>
          <w:sz w:val="20"/>
          <w:szCs w:val="20"/>
          <w:lang w:eastAsia="en-AU"/>
        </w:rPr>
      </w:pPr>
      <w:r>
        <w:rPr>
          <w:b/>
          <w:sz w:val="20"/>
          <w:szCs w:val="20"/>
          <w:lang w:eastAsia="en-AU"/>
        </w:rPr>
        <w:t xml:space="preserve">Example </w:t>
      </w:r>
      <w:r w:rsidR="00824EF8">
        <w:rPr>
          <w:b/>
          <w:sz w:val="20"/>
          <w:szCs w:val="20"/>
          <w:lang w:eastAsia="en-AU"/>
        </w:rPr>
        <w:t>16: P</w:t>
      </w:r>
      <w:r w:rsidR="008314FF">
        <w:rPr>
          <w:b/>
          <w:sz w:val="20"/>
          <w:szCs w:val="20"/>
          <w:lang w:eastAsia="en-AU"/>
        </w:rPr>
        <w:t>otential character mismatch</w:t>
      </w:r>
    </w:p>
    <w:p w14:paraId="20B4D6F5" w14:textId="77777777" w:rsidR="002A7512" w:rsidRPr="000772C5" w:rsidRDefault="002A7512" w:rsidP="002A7512">
      <w:pPr>
        <w:pBdr>
          <w:top w:val="single" w:sz="4" w:space="10" w:color="auto"/>
          <w:left w:val="single" w:sz="4" w:space="10" w:color="auto"/>
          <w:bottom w:val="single" w:sz="4" w:space="10" w:color="auto"/>
          <w:right w:val="single" w:sz="4" w:space="10" w:color="auto"/>
        </w:pBdr>
        <w:rPr>
          <w:sz w:val="20"/>
          <w:szCs w:val="20"/>
          <w:lang w:eastAsia="en-AU"/>
        </w:rPr>
      </w:pPr>
    </w:p>
    <w:p w14:paraId="54A73EA8" w14:textId="59B2FAD5" w:rsidR="00A740DB" w:rsidRDefault="00050A8D" w:rsidP="002A7512">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Camel </w:t>
      </w:r>
      <w:r w:rsidR="00A740DB">
        <w:rPr>
          <w:sz w:val="20"/>
          <w:szCs w:val="20"/>
          <w:lang w:eastAsia="en-AU"/>
        </w:rPr>
        <w:t>Co</w:t>
      </w:r>
      <w:r w:rsidR="009944A1">
        <w:rPr>
          <w:sz w:val="20"/>
          <w:szCs w:val="20"/>
          <w:lang w:eastAsia="en-AU"/>
        </w:rPr>
        <w:t xml:space="preserve"> (a company resident in Country C)</w:t>
      </w:r>
      <w:r w:rsidR="00A740DB">
        <w:rPr>
          <w:sz w:val="20"/>
          <w:szCs w:val="20"/>
          <w:lang w:eastAsia="en-AU"/>
        </w:rPr>
        <w:t xml:space="preserve"> issues 10 year redeemable preference shares (RPS) to </w:t>
      </w:r>
      <w:r w:rsidR="009944A1">
        <w:rPr>
          <w:sz w:val="20"/>
          <w:szCs w:val="20"/>
          <w:lang w:eastAsia="en-AU"/>
        </w:rPr>
        <w:t>Kiwi</w:t>
      </w:r>
      <w:r w:rsidR="00A740DB">
        <w:rPr>
          <w:sz w:val="20"/>
          <w:szCs w:val="20"/>
          <w:lang w:eastAsia="en-AU"/>
        </w:rPr>
        <w:t xml:space="preserve"> Co</w:t>
      </w:r>
      <w:r w:rsidR="002E6F43">
        <w:rPr>
          <w:sz w:val="20"/>
          <w:szCs w:val="20"/>
          <w:lang w:eastAsia="en-AU"/>
        </w:rPr>
        <w:t xml:space="preserve"> (a company resident in New Zealand)</w:t>
      </w:r>
      <w:r w:rsidR="00C53D74">
        <w:rPr>
          <w:sz w:val="20"/>
          <w:szCs w:val="20"/>
          <w:lang w:eastAsia="en-AU"/>
        </w:rPr>
        <w:t xml:space="preserve">, which owns one hundred percent </w:t>
      </w:r>
      <w:r w:rsidR="00A740DB">
        <w:rPr>
          <w:sz w:val="20"/>
          <w:szCs w:val="20"/>
          <w:lang w:eastAsia="en-AU"/>
        </w:rPr>
        <w:t xml:space="preserve">of the voting interests in </w:t>
      </w:r>
      <w:r>
        <w:rPr>
          <w:sz w:val="20"/>
          <w:szCs w:val="20"/>
          <w:lang w:eastAsia="en-AU"/>
        </w:rPr>
        <w:t>Camel</w:t>
      </w:r>
      <w:r w:rsidR="00A740DB">
        <w:rPr>
          <w:sz w:val="20"/>
          <w:szCs w:val="20"/>
          <w:lang w:eastAsia="en-AU"/>
        </w:rPr>
        <w:t xml:space="preserve"> Co.</w:t>
      </w:r>
    </w:p>
    <w:p w14:paraId="2F1BA214" w14:textId="77777777" w:rsidR="00A740DB" w:rsidRDefault="00A740DB" w:rsidP="002A7512">
      <w:pPr>
        <w:pBdr>
          <w:top w:val="single" w:sz="4" w:space="10" w:color="auto"/>
          <w:left w:val="single" w:sz="4" w:space="10" w:color="auto"/>
          <w:bottom w:val="single" w:sz="4" w:space="10" w:color="auto"/>
          <w:right w:val="single" w:sz="4" w:space="10" w:color="auto"/>
        </w:pBdr>
        <w:rPr>
          <w:sz w:val="20"/>
          <w:szCs w:val="20"/>
          <w:lang w:eastAsia="en-AU"/>
        </w:rPr>
      </w:pPr>
    </w:p>
    <w:p w14:paraId="52259415" w14:textId="134D4E2F" w:rsidR="00A740DB" w:rsidRDefault="00A740DB" w:rsidP="002A7512">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The RPS pay a</w:t>
      </w:r>
      <w:r w:rsidR="00320B63">
        <w:rPr>
          <w:sz w:val="20"/>
          <w:szCs w:val="20"/>
          <w:lang w:eastAsia="en-AU"/>
        </w:rPr>
        <w:t>n annual</w:t>
      </w:r>
      <w:r w:rsidR="004512FE">
        <w:rPr>
          <w:sz w:val="20"/>
          <w:szCs w:val="20"/>
          <w:lang w:eastAsia="en-AU"/>
        </w:rPr>
        <w:t xml:space="preserve"> return</w:t>
      </w:r>
      <w:r>
        <w:rPr>
          <w:sz w:val="20"/>
          <w:szCs w:val="20"/>
          <w:lang w:eastAsia="en-AU"/>
        </w:rPr>
        <w:t xml:space="preserve"> (dividend) that accrues daily and, to the extent accrued dividends are unpaid, forms part of the redemption price.</w:t>
      </w:r>
    </w:p>
    <w:p w14:paraId="06AEDA06" w14:textId="77777777" w:rsidR="00A740DB" w:rsidRDefault="00A740DB" w:rsidP="002A7512">
      <w:pPr>
        <w:pBdr>
          <w:top w:val="single" w:sz="4" w:space="10" w:color="auto"/>
          <w:left w:val="single" w:sz="4" w:space="10" w:color="auto"/>
          <w:bottom w:val="single" w:sz="4" w:space="10" w:color="auto"/>
          <w:right w:val="single" w:sz="4" w:space="10" w:color="auto"/>
        </w:pBdr>
        <w:rPr>
          <w:sz w:val="20"/>
          <w:szCs w:val="20"/>
          <w:lang w:eastAsia="en-AU"/>
        </w:rPr>
      </w:pPr>
    </w:p>
    <w:p w14:paraId="7CEEDD56" w14:textId="4E3E829E" w:rsidR="00F374D3" w:rsidRDefault="00A740DB" w:rsidP="002A7512">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In </w:t>
      </w:r>
      <w:r w:rsidR="009944A1">
        <w:rPr>
          <w:sz w:val="20"/>
          <w:szCs w:val="20"/>
          <w:lang w:eastAsia="en-AU"/>
        </w:rPr>
        <w:t>Country C</w:t>
      </w:r>
      <w:r>
        <w:rPr>
          <w:sz w:val="20"/>
          <w:szCs w:val="20"/>
          <w:lang w:eastAsia="en-AU"/>
        </w:rPr>
        <w:t>, the RPS are treated as debt for tax purposes and the coupons are ordinarily deductible as they accrue</w:t>
      </w:r>
      <w:r w:rsidR="002D5667">
        <w:rPr>
          <w:sz w:val="20"/>
          <w:szCs w:val="20"/>
          <w:lang w:eastAsia="en-AU"/>
        </w:rPr>
        <w:t>.</w:t>
      </w:r>
    </w:p>
    <w:p w14:paraId="72AE1F2E" w14:textId="77777777" w:rsidR="00F374D3" w:rsidRDefault="00F374D3" w:rsidP="002A7512">
      <w:pPr>
        <w:pBdr>
          <w:top w:val="single" w:sz="4" w:space="10" w:color="auto"/>
          <w:left w:val="single" w:sz="4" w:space="10" w:color="auto"/>
          <w:bottom w:val="single" w:sz="4" w:space="10" w:color="auto"/>
          <w:right w:val="single" w:sz="4" w:space="10" w:color="auto"/>
        </w:pBdr>
        <w:rPr>
          <w:sz w:val="20"/>
          <w:szCs w:val="20"/>
          <w:lang w:eastAsia="en-AU"/>
        </w:rPr>
      </w:pPr>
    </w:p>
    <w:p w14:paraId="1CEF1A21" w14:textId="3F170AE2" w:rsidR="00A740DB" w:rsidRDefault="009944A1" w:rsidP="002A7512">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Country C</w:t>
      </w:r>
      <w:r w:rsidR="00F374D3">
        <w:rPr>
          <w:sz w:val="20"/>
          <w:szCs w:val="20"/>
          <w:lang w:eastAsia="en-AU"/>
        </w:rPr>
        <w:t xml:space="preserve"> does not have a tax rule equivalent to the primary rule for recommendation 1 of the OECD hybrid report.</w:t>
      </w:r>
    </w:p>
    <w:p w14:paraId="1BCA258E" w14:textId="77777777" w:rsidR="00A740DB" w:rsidRDefault="00A740DB" w:rsidP="002A7512">
      <w:pPr>
        <w:pBdr>
          <w:top w:val="single" w:sz="4" w:space="10" w:color="auto"/>
          <w:left w:val="single" w:sz="4" w:space="10" w:color="auto"/>
          <w:bottom w:val="single" w:sz="4" w:space="10" w:color="auto"/>
          <w:right w:val="single" w:sz="4" w:space="10" w:color="auto"/>
        </w:pBdr>
        <w:rPr>
          <w:sz w:val="20"/>
          <w:szCs w:val="20"/>
          <w:lang w:eastAsia="en-AU"/>
        </w:rPr>
      </w:pPr>
    </w:p>
    <w:p w14:paraId="350F6997" w14:textId="77777777" w:rsidR="00A740DB" w:rsidRDefault="00A740DB" w:rsidP="002A7512">
      <w:pPr>
        <w:pBdr>
          <w:top w:val="single" w:sz="4" w:space="10" w:color="auto"/>
          <w:left w:val="single" w:sz="4" w:space="10" w:color="auto"/>
          <w:bottom w:val="single" w:sz="4" w:space="10" w:color="auto"/>
          <w:right w:val="single" w:sz="4" w:space="10" w:color="auto"/>
        </w:pBdr>
        <w:rPr>
          <w:sz w:val="20"/>
          <w:szCs w:val="20"/>
          <w:lang w:eastAsia="en-AU"/>
        </w:rPr>
      </w:pPr>
      <w:r>
        <w:rPr>
          <w:i/>
          <w:sz w:val="20"/>
          <w:szCs w:val="20"/>
          <w:lang w:eastAsia="en-AU"/>
        </w:rPr>
        <w:t>Question</w:t>
      </w:r>
    </w:p>
    <w:p w14:paraId="2B5297C1" w14:textId="77777777" w:rsidR="00A740DB" w:rsidRDefault="00A740DB" w:rsidP="002A7512">
      <w:pPr>
        <w:pBdr>
          <w:top w:val="single" w:sz="4" w:space="10" w:color="auto"/>
          <w:left w:val="single" w:sz="4" w:space="10" w:color="auto"/>
          <w:bottom w:val="single" w:sz="4" w:space="10" w:color="auto"/>
          <w:right w:val="single" w:sz="4" w:space="10" w:color="auto"/>
        </w:pBdr>
        <w:rPr>
          <w:sz w:val="20"/>
          <w:szCs w:val="20"/>
          <w:lang w:eastAsia="en-AU"/>
        </w:rPr>
      </w:pPr>
    </w:p>
    <w:p w14:paraId="1A948F0C" w14:textId="6A50D54B" w:rsidR="00A740DB" w:rsidRDefault="00A740DB" w:rsidP="002A7512">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Whether the RPS fall within the scope of the hybrid financial instrument </w:t>
      </w:r>
      <w:r w:rsidR="00981054">
        <w:rPr>
          <w:sz w:val="20"/>
          <w:szCs w:val="20"/>
          <w:lang w:eastAsia="en-AU"/>
        </w:rPr>
        <w:t xml:space="preserve">relating to character mismatches </w:t>
      </w:r>
      <w:r w:rsidR="00D6773F">
        <w:rPr>
          <w:sz w:val="20"/>
          <w:szCs w:val="20"/>
          <w:lang w:eastAsia="en-AU"/>
        </w:rPr>
        <w:t>in section FH 4?</w:t>
      </w:r>
    </w:p>
    <w:p w14:paraId="50408138" w14:textId="77777777" w:rsidR="00A740DB" w:rsidRDefault="00A740DB" w:rsidP="002A7512">
      <w:pPr>
        <w:pBdr>
          <w:top w:val="single" w:sz="4" w:space="10" w:color="auto"/>
          <w:left w:val="single" w:sz="4" w:space="10" w:color="auto"/>
          <w:bottom w:val="single" w:sz="4" w:space="10" w:color="auto"/>
          <w:right w:val="single" w:sz="4" w:space="10" w:color="auto"/>
        </w:pBdr>
        <w:rPr>
          <w:sz w:val="20"/>
          <w:szCs w:val="20"/>
          <w:lang w:eastAsia="en-AU"/>
        </w:rPr>
      </w:pPr>
    </w:p>
    <w:p w14:paraId="55AA3495" w14:textId="77777777" w:rsidR="00A740DB" w:rsidRPr="00A740DB" w:rsidRDefault="00A740DB" w:rsidP="002A7512">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Answer</w:t>
      </w:r>
    </w:p>
    <w:p w14:paraId="7DB01FE7" w14:textId="77777777" w:rsidR="00A740DB" w:rsidRDefault="00A740DB" w:rsidP="002A7512">
      <w:pPr>
        <w:pBdr>
          <w:top w:val="single" w:sz="4" w:space="10" w:color="auto"/>
          <w:left w:val="single" w:sz="4" w:space="10" w:color="auto"/>
          <w:bottom w:val="single" w:sz="4" w:space="10" w:color="auto"/>
          <w:right w:val="single" w:sz="4" w:space="10" w:color="auto"/>
        </w:pBdr>
        <w:rPr>
          <w:sz w:val="20"/>
          <w:szCs w:val="20"/>
          <w:lang w:eastAsia="en-AU"/>
        </w:rPr>
      </w:pPr>
    </w:p>
    <w:p w14:paraId="68C4D0B5" w14:textId="311513BE" w:rsidR="002A7512" w:rsidRDefault="00A740DB" w:rsidP="002A7512">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In </w:t>
      </w:r>
      <w:r w:rsidR="009944A1">
        <w:rPr>
          <w:sz w:val="20"/>
          <w:szCs w:val="20"/>
          <w:lang w:eastAsia="en-AU"/>
        </w:rPr>
        <w:t>New Zealand</w:t>
      </w:r>
      <w:r>
        <w:rPr>
          <w:sz w:val="20"/>
          <w:szCs w:val="20"/>
          <w:lang w:eastAsia="en-AU"/>
        </w:rPr>
        <w:t>, the coupons would be assessable as dividend income because the exemption in section CW 9 for foreign dividends would not apply</w:t>
      </w:r>
      <w:r w:rsidR="002D5667">
        <w:rPr>
          <w:sz w:val="20"/>
          <w:szCs w:val="20"/>
          <w:lang w:eastAsia="en-AU"/>
        </w:rPr>
        <w:t xml:space="preserve">. </w:t>
      </w:r>
      <w:r>
        <w:rPr>
          <w:sz w:val="20"/>
          <w:szCs w:val="20"/>
          <w:lang w:eastAsia="en-AU"/>
        </w:rPr>
        <w:t>Therefore, there is no D/NI mismatch arising from the RPS to counter.</w:t>
      </w:r>
    </w:p>
    <w:p w14:paraId="6187B041" w14:textId="77777777" w:rsidR="00167F30" w:rsidRDefault="00167F30" w:rsidP="00925A3A">
      <w:pPr>
        <w:rPr>
          <w:szCs w:val="20"/>
          <w:lang w:eastAsia="en-AU"/>
        </w:rPr>
      </w:pPr>
    </w:p>
    <w:p w14:paraId="2D819B29" w14:textId="77777777" w:rsidR="00541B10" w:rsidRDefault="00541B10" w:rsidP="00925A3A">
      <w:pPr>
        <w:rPr>
          <w:szCs w:val="20"/>
          <w:lang w:eastAsia="en-AU"/>
        </w:rPr>
      </w:pPr>
    </w:p>
    <w:p w14:paraId="602A3CCC" w14:textId="77777777" w:rsidR="00167F30" w:rsidRPr="00167F30" w:rsidRDefault="00167F30" w:rsidP="00532DB4">
      <w:pPr>
        <w:pStyle w:val="Heading4"/>
        <w:rPr>
          <w:lang w:eastAsia="en-AU"/>
        </w:rPr>
      </w:pPr>
      <w:r>
        <w:rPr>
          <w:lang w:eastAsia="en-AU"/>
        </w:rPr>
        <w:t>Timing mismatches</w:t>
      </w:r>
    </w:p>
    <w:p w14:paraId="4F6B5432" w14:textId="77777777" w:rsidR="00925A3A" w:rsidRPr="00925A3A" w:rsidRDefault="00925A3A" w:rsidP="00925A3A">
      <w:pPr>
        <w:rPr>
          <w:szCs w:val="20"/>
          <w:lang w:eastAsia="en-AU"/>
        </w:rPr>
      </w:pPr>
    </w:p>
    <w:p w14:paraId="6389E631" w14:textId="5F65D6AC" w:rsidR="00AA5FA9" w:rsidRDefault="00167F30" w:rsidP="00925A3A">
      <w:pPr>
        <w:rPr>
          <w:szCs w:val="20"/>
          <w:lang w:eastAsia="en-AU"/>
        </w:rPr>
      </w:pPr>
      <w:r>
        <w:rPr>
          <w:szCs w:val="20"/>
          <w:lang w:eastAsia="en-AU"/>
        </w:rPr>
        <w:t>Subsection (3) applies to</w:t>
      </w:r>
      <w:r w:rsidR="00925A3A" w:rsidRPr="00925A3A">
        <w:rPr>
          <w:szCs w:val="20"/>
          <w:lang w:eastAsia="en-AU"/>
        </w:rPr>
        <w:t xml:space="preserve"> timing mismatches</w:t>
      </w:r>
      <w:r w:rsidR="002D5667">
        <w:rPr>
          <w:szCs w:val="20"/>
          <w:lang w:eastAsia="en-AU"/>
        </w:rPr>
        <w:t xml:space="preserve">. </w:t>
      </w:r>
      <w:r w:rsidR="00925A3A" w:rsidRPr="00925A3A">
        <w:rPr>
          <w:szCs w:val="20"/>
          <w:lang w:eastAsia="en-AU"/>
        </w:rPr>
        <w:t>It applies to a payment under a financial instrument which does not have a</w:t>
      </w:r>
      <w:r w:rsidR="005D4BA9">
        <w:rPr>
          <w:szCs w:val="20"/>
          <w:lang w:eastAsia="en-AU"/>
        </w:rPr>
        <w:t xml:space="preserve"> duration</w:t>
      </w:r>
      <w:r w:rsidR="00C20FE3">
        <w:rPr>
          <w:szCs w:val="20"/>
          <w:lang w:eastAsia="en-AU"/>
        </w:rPr>
        <w:t>, including extensions contemplated by the financial instrument,</w:t>
      </w:r>
      <w:r w:rsidR="00AA5FA9">
        <w:rPr>
          <w:szCs w:val="20"/>
          <w:lang w:eastAsia="en-AU"/>
        </w:rPr>
        <w:t xml:space="preserve"> of three years or less.</w:t>
      </w:r>
    </w:p>
    <w:p w14:paraId="3C50D273" w14:textId="77777777" w:rsidR="00AA5FA9" w:rsidRDefault="00AA5FA9" w:rsidP="00925A3A">
      <w:pPr>
        <w:rPr>
          <w:szCs w:val="20"/>
          <w:lang w:eastAsia="en-AU"/>
        </w:rPr>
      </w:pPr>
    </w:p>
    <w:p w14:paraId="03A647CB" w14:textId="77E21922" w:rsidR="00BE20DA" w:rsidRDefault="00AA5FA9" w:rsidP="00925A3A">
      <w:pPr>
        <w:rPr>
          <w:szCs w:val="20"/>
          <w:lang w:eastAsia="en-AU"/>
        </w:rPr>
      </w:pPr>
      <w:r>
        <w:rPr>
          <w:szCs w:val="20"/>
          <w:lang w:eastAsia="en-AU"/>
        </w:rPr>
        <w:t>Subsection (3)</w:t>
      </w:r>
      <w:r w:rsidR="00925A3A" w:rsidRPr="00925A3A">
        <w:rPr>
          <w:szCs w:val="20"/>
          <w:lang w:eastAsia="en-AU"/>
        </w:rPr>
        <w:t xml:space="preserve"> applies if the payment gives rise to assessable income, but the gap between the year in which the deduction is claimed by the payer in its country and the derivation of assessable income in New Zealand meets the requirements of subsection (7)</w:t>
      </w:r>
      <w:r w:rsidR="002D5667">
        <w:rPr>
          <w:szCs w:val="20"/>
          <w:lang w:eastAsia="en-AU"/>
        </w:rPr>
        <w:t xml:space="preserve">. </w:t>
      </w:r>
      <w:r w:rsidR="00925A3A" w:rsidRPr="00925A3A">
        <w:rPr>
          <w:szCs w:val="20"/>
          <w:lang w:eastAsia="en-AU"/>
        </w:rPr>
        <w:t>An amount meets the requirements of subsection (7) if it is not included, or is not reasonably expected to be included, in income in New Zealand in an income year beginning within 24 months of the end of the accounting period in which it is deductible in the payer country.</w:t>
      </w:r>
    </w:p>
    <w:p w14:paraId="1D1CEB33" w14:textId="77777777" w:rsidR="00925A3A" w:rsidRDefault="00925A3A" w:rsidP="00925A3A">
      <w:pPr>
        <w:rPr>
          <w:szCs w:val="20"/>
          <w:lang w:eastAsia="en-AU"/>
        </w:rPr>
      </w:pPr>
    </w:p>
    <w:p w14:paraId="65612D97" w14:textId="77777777" w:rsidR="00D1380C" w:rsidRDefault="00D1380C">
      <w:pPr>
        <w:jc w:val="left"/>
        <w:rPr>
          <w:b/>
          <w:sz w:val="20"/>
          <w:szCs w:val="20"/>
          <w:lang w:eastAsia="en-AU"/>
        </w:rPr>
      </w:pPr>
      <w:r>
        <w:rPr>
          <w:b/>
          <w:sz w:val="20"/>
          <w:szCs w:val="20"/>
          <w:lang w:eastAsia="en-AU"/>
        </w:rPr>
        <w:br w:type="page"/>
      </w:r>
    </w:p>
    <w:p w14:paraId="7977BCB2" w14:textId="16696C01" w:rsidR="006252F2" w:rsidRDefault="006252F2" w:rsidP="006252F2">
      <w:pPr>
        <w:pBdr>
          <w:top w:val="single" w:sz="4" w:space="10" w:color="auto"/>
          <w:left w:val="single" w:sz="4" w:space="10" w:color="auto"/>
          <w:bottom w:val="single" w:sz="4" w:space="10" w:color="auto"/>
          <w:right w:val="single" w:sz="4" w:space="10" w:color="auto"/>
        </w:pBdr>
        <w:rPr>
          <w:b/>
          <w:sz w:val="20"/>
          <w:szCs w:val="20"/>
          <w:lang w:eastAsia="en-AU"/>
        </w:rPr>
      </w:pPr>
      <w:r>
        <w:rPr>
          <w:b/>
          <w:sz w:val="20"/>
          <w:szCs w:val="20"/>
          <w:lang w:eastAsia="en-AU"/>
        </w:rPr>
        <w:lastRenderedPageBreak/>
        <w:t>Example</w:t>
      </w:r>
      <w:r w:rsidR="00F32C8B">
        <w:rPr>
          <w:b/>
          <w:sz w:val="20"/>
          <w:szCs w:val="20"/>
          <w:lang w:eastAsia="en-AU"/>
        </w:rPr>
        <w:t xml:space="preserve"> </w:t>
      </w:r>
      <w:r w:rsidR="00824EF8">
        <w:rPr>
          <w:b/>
          <w:sz w:val="20"/>
          <w:szCs w:val="20"/>
          <w:lang w:eastAsia="en-AU"/>
        </w:rPr>
        <w:t>17:</w:t>
      </w:r>
      <w:r w:rsidR="00F32C8B">
        <w:rPr>
          <w:b/>
          <w:sz w:val="20"/>
          <w:szCs w:val="20"/>
          <w:lang w:eastAsia="en-AU"/>
        </w:rPr>
        <w:fldChar w:fldCharType="begin"/>
      </w:r>
      <w:r w:rsidR="00F32C8B" w:rsidRPr="00D25F30">
        <w:rPr>
          <w:b/>
          <w:sz w:val="20"/>
          <w:szCs w:val="20"/>
          <w:lang w:eastAsia="en-AU"/>
        </w:rPr>
        <w:instrText>seq NumList</w:instrText>
      </w:r>
      <w:r w:rsidR="00F32C8B">
        <w:rPr>
          <w:b/>
          <w:sz w:val="20"/>
          <w:szCs w:val="20"/>
          <w:lang w:eastAsia="en-AU"/>
        </w:rPr>
        <w:fldChar w:fldCharType="end"/>
      </w:r>
      <w:r>
        <w:rPr>
          <w:b/>
          <w:sz w:val="20"/>
          <w:szCs w:val="20"/>
          <w:lang w:eastAsia="en-AU"/>
        </w:rPr>
        <w:t xml:space="preserve"> </w:t>
      </w:r>
      <w:r w:rsidR="00824EF8">
        <w:rPr>
          <w:b/>
          <w:sz w:val="20"/>
          <w:szCs w:val="20"/>
          <w:lang w:eastAsia="en-AU"/>
        </w:rPr>
        <w:t>P</w:t>
      </w:r>
      <w:r>
        <w:rPr>
          <w:b/>
          <w:sz w:val="20"/>
          <w:szCs w:val="20"/>
          <w:lang w:eastAsia="en-AU"/>
        </w:rPr>
        <w:t>repaid interest</w:t>
      </w:r>
    </w:p>
    <w:p w14:paraId="018EE936" w14:textId="77777777" w:rsidR="006252F2" w:rsidRPr="000772C5" w:rsidRDefault="006252F2" w:rsidP="006252F2">
      <w:pPr>
        <w:pBdr>
          <w:top w:val="single" w:sz="4" w:space="10" w:color="auto"/>
          <w:left w:val="single" w:sz="4" w:space="10" w:color="auto"/>
          <w:bottom w:val="single" w:sz="4" w:space="10" w:color="auto"/>
          <w:right w:val="single" w:sz="4" w:space="10" w:color="auto"/>
        </w:pBdr>
        <w:rPr>
          <w:sz w:val="20"/>
          <w:szCs w:val="20"/>
          <w:lang w:eastAsia="en-AU"/>
        </w:rPr>
      </w:pPr>
    </w:p>
    <w:p w14:paraId="6295697F" w14:textId="5096AD62" w:rsidR="006252F2" w:rsidRDefault="00802FDB" w:rsidP="006252F2">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Kiwi</w:t>
      </w:r>
      <w:r w:rsidR="006252F2">
        <w:rPr>
          <w:sz w:val="20"/>
          <w:szCs w:val="20"/>
          <w:lang w:eastAsia="en-AU"/>
        </w:rPr>
        <w:t xml:space="preserve"> Co</w:t>
      </w:r>
      <w:r>
        <w:rPr>
          <w:sz w:val="20"/>
          <w:szCs w:val="20"/>
          <w:lang w:eastAsia="en-AU"/>
        </w:rPr>
        <w:t xml:space="preserve"> (a company resident in New Zealand)</w:t>
      </w:r>
      <w:r w:rsidR="006252F2">
        <w:rPr>
          <w:sz w:val="20"/>
          <w:szCs w:val="20"/>
          <w:lang w:eastAsia="en-AU"/>
        </w:rPr>
        <w:t xml:space="preserve"> owns </w:t>
      </w:r>
      <w:r w:rsidR="00E63EFC">
        <w:rPr>
          <w:sz w:val="20"/>
          <w:szCs w:val="20"/>
          <w:lang w:eastAsia="en-AU"/>
        </w:rPr>
        <w:t>one hundred percent</w:t>
      </w:r>
      <w:r w:rsidR="006252F2">
        <w:rPr>
          <w:sz w:val="20"/>
          <w:szCs w:val="20"/>
          <w:lang w:eastAsia="en-AU"/>
        </w:rPr>
        <w:t xml:space="preserve"> of the voting interests in </w:t>
      </w:r>
      <w:r w:rsidR="00050A8D">
        <w:rPr>
          <w:sz w:val="20"/>
          <w:szCs w:val="20"/>
          <w:lang w:eastAsia="en-AU"/>
        </w:rPr>
        <w:t>Donkey</w:t>
      </w:r>
      <w:r w:rsidR="006252F2">
        <w:rPr>
          <w:sz w:val="20"/>
          <w:szCs w:val="20"/>
          <w:lang w:eastAsia="en-AU"/>
        </w:rPr>
        <w:t xml:space="preserve"> Co</w:t>
      </w:r>
      <w:r>
        <w:rPr>
          <w:sz w:val="20"/>
          <w:szCs w:val="20"/>
          <w:lang w:eastAsia="en-AU"/>
        </w:rPr>
        <w:t xml:space="preserve"> (a company resident in Country D)</w:t>
      </w:r>
      <w:r w:rsidR="006252F2">
        <w:rPr>
          <w:sz w:val="20"/>
          <w:szCs w:val="20"/>
          <w:lang w:eastAsia="en-AU"/>
        </w:rPr>
        <w:t xml:space="preserve"> and provides it with an interest-bearing loan for a fixed</w:t>
      </w:r>
      <w:r w:rsidR="00FC7613">
        <w:rPr>
          <w:sz w:val="20"/>
          <w:szCs w:val="20"/>
          <w:lang w:eastAsia="en-AU"/>
        </w:rPr>
        <w:t xml:space="preserve"> </w:t>
      </w:r>
      <w:r w:rsidR="006252F2">
        <w:rPr>
          <w:sz w:val="20"/>
          <w:szCs w:val="20"/>
          <w:lang w:eastAsia="en-AU"/>
        </w:rPr>
        <w:t xml:space="preserve">term of </w:t>
      </w:r>
      <w:r w:rsidR="00E63EFC">
        <w:rPr>
          <w:sz w:val="20"/>
          <w:szCs w:val="20"/>
          <w:lang w:eastAsia="en-AU"/>
        </w:rPr>
        <w:t>three</w:t>
      </w:r>
      <w:r w:rsidR="006252F2">
        <w:rPr>
          <w:sz w:val="20"/>
          <w:szCs w:val="20"/>
          <w:lang w:eastAsia="en-AU"/>
        </w:rPr>
        <w:t xml:space="preserve"> years.</w:t>
      </w:r>
    </w:p>
    <w:p w14:paraId="18FD25C6" w14:textId="77777777" w:rsidR="006252F2" w:rsidRDefault="006252F2" w:rsidP="006252F2">
      <w:pPr>
        <w:pBdr>
          <w:top w:val="single" w:sz="4" w:space="10" w:color="auto"/>
          <w:left w:val="single" w:sz="4" w:space="10" w:color="auto"/>
          <w:bottom w:val="single" w:sz="4" w:space="10" w:color="auto"/>
          <w:right w:val="single" w:sz="4" w:space="10" w:color="auto"/>
        </w:pBdr>
        <w:rPr>
          <w:sz w:val="20"/>
          <w:szCs w:val="20"/>
          <w:lang w:eastAsia="en-AU"/>
        </w:rPr>
      </w:pPr>
    </w:p>
    <w:p w14:paraId="429EECCE" w14:textId="7A79ECD1" w:rsidR="006252F2" w:rsidRDefault="00050A8D" w:rsidP="006252F2">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Donkey</w:t>
      </w:r>
      <w:r w:rsidR="006252F2">
        <w:rPr>
          <w:sz w:val="20"/>
          <w:szCs w:val="20"/>
          <w:lang w:eastAsia="en-AU"/>
        </w:rPr>
        <w:t xml:space="preserve"> Co pays the interest upfront in a lump sum payment for which it is entitled to an immediate deduction in the foreign country.</w:t>
      </w:r>
    </w:p>
    <w:p w14:paraId="65EF6670" w14:textId="77777777" w:rsidR="006252F2" w:rsidRDefault="006252F2" w:rsidP="006252F2">
      <w:pPr>
        <w:pBdr>
          <w:top w:val="single" w:sz="4" w:space="10" w:color="auto"/>
          <w:left w:val="single" w:sz="4" w:space="10" w:color="auto"/>
          <w:bottom w:val="single" w:sz="4" w:space="10" w:color="auto"/>
          <w:right w:val="single" w:sz="4" w:space="10" w:color="auto"/>
        </w:pBdr>
        <w:rPr>
          <w:sz w:val="20"/>
          <w:szCs w:val="20"/>
          <w:lang w:eastAsia="en-AU"/>
        </w:rPr>
      </w:pPr>
    </w:p>
    <w:p w14:paraId="2C39BB18" w14:textId="1B71C118" w:rsidR="006252F2" w:rsidRDefault="00802FDB" w:rsidP="006252F2">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Kiwi</w:t>
      </w:r>
      <w:r w:rsidR="006252F2">
        <w:rPr>
          <w:sz w:val="20"/>
          <w:szCs w:val="20"/>
          <w:lang w:eastAsia="en-AU"/>
        </w:rPr>
        <w:t xml:space="preserve"> Co returns the interest payment on an accruals basis over the </w:t>
      </w:r>
      <w:r w:rsidR="00E63EFC">
        <w:rPr>
          <w:sz w:val="20"/>
          <w:szCs w:val="20"/>
          <w:lang w:eastAsia="en-AU"/>
        </w:rPr>
        <w:t>three-</w:t>
      </w:r>
      <w:r w:rsidR="006252F2">
        <w:rPr>
          <w:sz w:val="20"/>
          <w:szCs w:val="20"/>
          <w:lang w:eastAsia="en-AU"/>
        </w:rPr>
        <w:t>year term.</w:t>
      </w:r>
    </w:p>
    <w:p w14:paraId="3DCB4A7B" w14:textId="77777777" w:rsidR="006252F2" w:rsidRDefault="006252F2" w:rsidP="006252F2">
      <w:pPr>
        <w:pBdr>
          <w:top w:val="single" w:sz="4" w:space="10" w:color="auto"/>
          <w:left w:val="single" w:sz="4" w:space="10" w:color="auto"/>
          <w:bottom w:val="single" w:sz="4" w:space="10" w:color="auto"/>
          <w:right w:val="single" w:sz="4" w:space="10" w:color="auto"/>
        </w:pBdr>
        <w:rPr>
          <w:sz w:val="20"/>
          <w:szCs w:val="20"/>
          <w:lang w:eastAsia="en-AU"/>
        </w:rPr>
      </w:pPr>
    </w:p>
    <w:p w14:paraId="3AF52474" w14:textId="77777777" w:rsidR="006252F2" w:rsidRDefault="006252F2" w:rsidP="006252F2">
      <w:pPr>
        <w:pBdr>
          <w:top w:val="single" w:sz="4" w:space="10" w:color="auto"/>
          <w:left w:val="single" w:sz="4" w:space="10" w:color="auto"/>
          <w:bottom w:val="single" w:sz="4" w:space="10" w:color="auto"/>
          <w:right w:val="single" w:sz="4" w:space="10" w:color="auto"/>
        </w:pBdr>
        <w:rPr>
          <w:sz w:val="20"/>
          <w:szCs w:val="20"/>
          <w:lang w:eastAsia="en-AU"/>
        </w:rPr>
      </w:pPr>
      <w:r>
        <w:rPr>
          <w:i/>
          <w:sz w:val="20"/>
          <w:szCs w:val="20"/>
          <w:lang w:eastAsia="en-AU"/>
        </w:rPr>
        <w:t>Question 1</w:t>
      </w:r>
    </w:p>
    <w:p w14:paraId="698452D3" w14:textId="77777777" w:rsidR="006252F2" w:rsidRDefault="006252F2" w:rsidP="006252F2">
      <w:pPr>
        <w:pBdr>
          <w:top w:val="single" w:sz="4" w:space="10" w:color="auto"/>
          <w:left w:val="single" w:sz="4" w:space="10" w:color="auto"/>
          <w:bottom w:val="single" w:sz="4" w:space="10" w:color="auto"/>
          <w:right w:val="single" w:sz="4" w:space="10" w:color="auto"/>
        </w:pBdr>
        <w:rPr>
          <w:sz w:val="20"/>
          <w:szCs w:val="20"/>
          <w:lang w:eastAsia="en-AU"/>
        </w:rPr>
      </w:pPr>
    </w:p>
    <w:p w14:paraId="146A5CF2" w14:textId="585CC47E" w:rsidR="006252F2" w:rsidRDefault="006252F2" w:rsidP="006252F2">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Whether the loan falls within the scope of the hybrid financial instrument rule relating to tim</w:t>
      </w:r>
      <w:r w:rsidR="00D6773F">
        <w:rPr>
          <w:sz w:val="20"/>
          <w:szCs w:val="20"/>
          <w:lang w:eastAsia="en-AU"/>
        </w:rPr>
        <w:t>ing mismatches in section FH 4?</w:t>
      </w:r>
    </w:p>
    <w:p w14:paraId="4F7C5FCB" w14:textId="77777777" w:rsidR="006252F2" w:rsidRDefault="006252F2" w:rsidP="006252F2">
      <w:pPr>
        <w:pBdr>
          <w:top w:val="single" w:sz="4" w:space="10" w:color="auto"/>
          <w:left w:val="single" w:sz="4" w:space="10" w:color="auto"/>
          <w:bottom w:val="single" w:sz="4" w:space="10" w:color="auto"/>
          <w:right w:val="single" w:sz="4" w:space="10" w:color="auto"/>
        </w:pBdr>
        <w:rPr>
          <w:sz w:val="20"/>
          <w:szCs w:val="20"/>
          <w:lang w:eastAsia="en-AU"/>
        </w:rPr>
      </w:pPr>
    </w:p>
    <w:p w14:paraId="7173CB34" w14:textId="77777777" w:rsidR="006252F2" w:rsidRDefault="006252F2" w:rsidP="006252F2">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Answer 1</w:t>
      </w:r>
    </w:p>
    <w:p w14:paraId="02478FA4" w14:textId="77777777" w:rsidR="006252F2" w:rsidRDefault="006252F2" w:rsidP="006252F2">
      <w:pPr>
        <w:pBdr>
          <w:top w:val="single" w:sz="4" w:space="10" w:color="auto"/>
          <w:left w:val="single" w:sz="4" w:space="10" w:color="auto"/>
          <w:bottom w:val="single" w:sz="4" w:space="10" w:color="auto"/>
          <w:right w:val="single" w:sz="4" w:space="10" w:color="auto"/>
        </w:pBdr>
        <w:rPr>
          <w:i/>
          <w:sz w:val="20"/>
          <w:szCs w:val="20"/>
          <w:lang w:eastAsia="en-AU"/>
        </w:rPr>
      </w:pPr>
    </w:p>
    <w:p w14:paraId="0E5E42E6" w14:textId="0CC67BA9" w:rsidR="006252F2" w:rsidRDefault="006252F2" w:rsidP="006252F2">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The loan will not give rise to a timing mismatch under section FH 4(3) for </w:t>
      </w:r>
      <w:r w:rsidR="00802FDB">
        <w:rPr>
          <w:sz w:val="20"/>
          <w:szCs w:val="20"/>
          <w:lang w:eastAsia="en-AU"/>
        </w:rPr>
        <w:t>Kiwi</w:t>
      </w:r>
      <w:r>
        <w:rPr>
          <w:sz w:val="20"/>
          <w:szCs w:val="20"/>
          <w:lang w:eastAsia="en-AU"/>
        </w:rPr>
        <w:t xml:space="preserve"> Co as it has a term of </w:t>
      </w:r>
      <w:r w:rsidR="00E63EFC">
        <w:rPr>
          <w:sz w:val="20"/>
          <w:szCs w:val="20"/>
          <w:lang w:eastAsia="en-AU"/>
        </w:rPr>
        <w:t>three</w:t>
      </w:r>
      <w:r>
        <w:rPr>
          <w:sz w:val="20"/>
          <w:szCs w:val="20"/>
          <w:lang w:eastAsia="en-AU"/>
        </w:rPr>
        <w:t xml:space="preserve"> years (limb (b)).</w:t>
      </w:r>
    </w:p>
    <w:p w14:paraId="51392D80" w14:textId="77777777" w:rsidR="006252F2" w:rsidRDefault="006252F2" w:rsidP="006252F2">
      <w:pPr>
        <w:pBdr>
          <w:top w:val="single" w:sz="4" w:space="10" w:color="auto"/>
          <w:left w:val="single" w:sz="4" w:space="10" w:color="auto"/>
          <w:bottom w:val="single" w:sz="4" w:space="10" w:color="auto"/>
          <w:right w:val="single" w:sz="4" w:space="10" w:color="auto"/>
        </w:pBdr>
        <w:rPr>
          <w:sz w:val="20"/>
          <w:szCs w:val="20"/>
          <w:lang w:eastAsia="en-AU"/>
        </w:rPr>
      </w:pPr>
    </w:p>
    <w:p w14:paraId="19935DF8" w14:textId="16C21595" w:rsidR="006252F2" w:rsidRDefault="00D6773F" w:rsidP="006252F2">
      <w:pPr>
        <w:pBdr>
          <w:top w:val="single" w:sz="4" w:space="10" w:color="auto"/>
          <w:left w:val="single" w:sz="4" w:space="10" w:color="auto"/>
          <w:bottom w:val="single" w:sz="4" w:space="10" w:color="auto"/>
          <w:right w:val="single" w:sz="4" w:space="10" w:color="auto"/>
        </w:pBdr>
        <w:rPr>
          <w:i/>
          <w:sz w:val="20"/>
          <w:szCs w:val="20"/>
          <w:lang w:eastAsia="en-AU"/>
        </w:rPr>
      </w:pPr>
      <w:r>
        <w:rPr>
          <w:i/>
          <w:sz w:val="20"/>
          <w:szCs w:val="20"/>
          <w:lang w:eastAsia="en-AU"/>
        </w:rPr>
        <w:t>Question 2</w:t>
      </w:r>
    </w:p>
    <w:p w14:paraId="4588BE19" w14:textId="77777777" w:rsidR="006252F2" w:rsidRDefault="006252F2" w:rsidP="006252F2">
      <w:pPr>
        <w:pBdr>
          <w:top w:val="single" w:sz="4" w:space="10" w:color="auto"/>
          <w:left w:val="single" w:sz="4" w:space="10" w:color="auto"/>
          <w:bottom w:val="single" w:sz="4" w:space="10" w:color="auto"/>
          <w:right w:val="single" w:sz="4" w:space="10" w:color="auto"/>
        </w:pBdr>
        <w:rPr>
          <w:i/>
          <w:sz w:val="20"/>
          <w:szCs w:val="20"/>
          <w:lang w:eastAsia="en-AU"/>
        </w:rPr>
      </w:pPr>
    </w:p>
    <w:p w14:paraId="29F1981B" w14:textId="2C85DFFA" w:rsidR="006252F2" w:rsidRDefault="006252F2" w:rsidP="006252F2">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Whether the answer changes if the loan is for a </w:t>
      </w:r>
      <w:r w:rsidR="00E63EFC">
        <w:rPr>
          <w:sz w:val="20"/>
          <w:szCs w:val="20"/>
          <w:lang w:eastAsia="en-AU"/>
        </w:rPr>
        <w:t>five-</w:t>
      </w:r>
      <w:r>
        <w:rPr>
          <w:sz w:val="20"/>
          <w:szCs w:val="20"/>
          <w:lang w:eastAsia="en-AU"/>
        </w:rPr>
        <w:t>year term instead?</w:t>
      </w:r>
    </w:p>
    <w:p w14:paraId="3465012D" w14:textId="77777777" w:rsidR="006252F2" w:rsidRDefault="006252F2" w:rsidP="006252F2">
      <w:pPr>
        <w:pBdr>
          <w:top w:val="single" w:sz="4" w:space="10" w:color="auto"/>
          <w:left w:val="single" w:sz="4" w:space="10" w:color="auto"/>
          <w:bottom w:val="single" w:sz="4" w:space="10" w:color="auto"/>
          <w:right w:val="single" w:sz="4" w:space="10" w:color="auto"/>
        </w:pBdr>
        <w:rPr>
          <w:sz w:val="20"/>
          <w:szCs w:val="20"/>
          <w:lang w:eastAsia="en-AU"/>
        </w:rPr>
      </w:pPr>
    </w:p>
    <w:p w14:paraId="21EAEC1F" w14:textId="723ACC1F" w:rsidR="006252F2" w:rsidRDefault="006252F2" w:rsidP="006252F2">
      <w:pPr>
        <w:pBdr>
          <w:top w:val="single" w:sz="4" w:space="10" w:color="auto"/>
          <w:left w:val="single" w:sz="4" w:space="10" w:color="auto"/>
          <w:bottom w:val="single" w:sz="4" w:space="10" w:color="auto"/>
          <w:right w:val="single" w:sz="4" w:space="10" w:color="auto"/>
        </w:pBdr>
        <w:rPr>
          <w:sz w:val="20"/>
          <w:szCs w:val="20"/>
          <w:lang w:eastAsia="en-AU"/>
        </w:rPr>
      </w:pPr>
      <w:r>
        <w:rPr>
          <w:i/>
          <w:sz w:val="20"/>
          <w:szCs w:val="20"/>
          <w:lang w:eastAsia="en-AU"/>
        </w:rPr>
        <w:t>Answer 2</w:t>
      </w:r>
    </w:p>
    <w:p w14:paraId="4C7133C2" w14:textId="77777777" w:rsidR="006252F2" w:rsidRDefault="006252F2" w:rsidP="006252F2">
      <w:pPr>
        <w:pBdr>
          <w:top w:val="single" w:sz="4" w:space="10" w:color="auto"/>
          <w:left w:val="single" w:sz="4" w:space="10" w:color="auto"/>
          <w:bottom w:val="single" w:sz="4" w:space="10" w:color="auto"/>
          <w:right w:val="single" w:sz="4" w:space="10" w:color="auto"/>
        </w:pBdr>
        <w:rPr>
          <w:sz w:val="20"/>
          <w:szCs w:val="20"/>
          <w:lang w:eastAsia="en-AU"/>
        </w:rPr>
      </w:pPr>
    </w:p>
    <w:p w14:paraId="2DDB72CB" w14:textId="1ECB6075" w:rsidR="006252F2" w:rsidRPr="00933074" w:rsidRDefault="006252F2" w:rsidP="006252F2">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The loan will give rise to a timing mismatch under section FH 4(3)</w:t>
      </w:r>
      <w:r w:rsidR="002D5667">
        <w:rPr>
          <w:sz w:val="20"/>
          <w:szCs w:val="20"/>
          <w:lang w:eastAsia="en-AU"/>
        </w:rPr>
        <w:t xml:space="preserve">. </w:t>
      </w:r>
      <w:r>
        <w:rPr>
          <w:sz w:val="20"/>
          <w:szCs w:val="20"/>
          <w:lang w:eastAsia="en-AU"/>
        </w:rPr>
        <w:t>The</w:t>
      </w:r>
      <w:r w:rsidR="00FC7613">
        <w:rPr>
          <w:sz w:val="20"/>
          <w:szCs w:val="20"/>
          <w:lang w:eastAsia="en-AU"/>
        </w:rPr>
        <w:t xml:space="preserve"> portion of the</w:t>
      </w:r>
      <w:r>
        <w:rPr>
          <w:sz w:val="20"/>
          <w:szCs w:val="20"/>
          <w:lang w:eastAsia="en-AU"/>
        </w:rPr>
        <w:t xml:space="preserve"> interest income </w:t>
      </w:r>
      <w:r w:rsidR="00FC7613">
        <w:rPr>
          <w:sz w:val="20"/>
          <w:szCs w:val="20"/>
          <w:lang w:eastAsia="en-AU"/>
        </w:rPr>
        <w:t xml:space="preserve">which under the financial arrangement rules in subpart EW would not be derived in or before the income year beginning 24 months after the end of the borrower’s income year </w:t>
      </w:r>
      <w:r>
        <w:rPr>
          <w:sz w:val="20"/>
          <w:szCs w:val="20"/>
          <w:lang w:eastAsia="en-AU"/>
        </w:rPr>
        <w:t>would be taxed upfront on receipt under section FH 4(4), instead of spread on an accruals basis under the financial arrangement rules in subpart EW.</w:t>
      </w:r>
    </w:p>
    <w:p w14:paraId="56CF9D00" w14:textId="77777777" w:rsidR="006252F2" w:rsidRDefault="006252F2" w:rsidP="00925A3A">
      <w:pPr>
        <w:rPr>
          <w:i/>
          <w:szCs w:val="20"/>
          <w:lang w:eastAsia="en-AU"/>
        </w:rPr>
      </w:pPr>
    </w:p>
    <w:p w14:paraId="5EAB8555" w14:textId="77777777" w:rsidR="000772C5" w:rsidRDefault="000772C5" w:rsidP="00925A3A">
      <w:pPr>
        <w:rPr>
          <w:i/>
          <w:szCs w:val="20"/>
          <w:lang w:eastAsia="en-AU"/>
        </w:rPr>
      </w:pPr>
    </w:p>
    <w:p w14:paraId="75C6FF3C" w14:textId="77777777" w:rsidR="00C91686" w:rsidRPr="00C91686" w:rsidRDefault="00C91686" w:rsidP="00532DB4">
      <w:pPr>
        <w:pStyle w:val="Heading4"/>
        <w:rPr>
          <w:lang w:eastAsia="en-AU"/>
        </w:rPr>
      </w:pPr>
      <w:r>
        <w:rPr>
          <w:lang w:eastAsia="en-AU"/>
        </w:rPr>
        <w:t>Hybrid counteraction</w:t>
      </w:r>
    </w:p>
    <w:p w14:paraId="6E3A92C3" w14:textId="77777777" w:rsidR="00C91686" w:rsidRPr="00925A3A" w:rsidRDefault="00C91686" w:rsidP="00925A3A">
      <w:pPr>
        <w:rPr>
          <w:szCs w:val="20"/>
          <w:lang w:eastAsia="en-AU"/>
        </w:rPr>
      </w:pPr>
    </w:p>
    <w:p w14:paraId="581D2751" w14:textId="5CC4AA15" w:rsidR="00925A3A" w:rsidRPr="00925A3A" w:rsidRDefault="00925A3A" w:rsidP="00925A3A">
      <w:pPr>
        <w:rPr>
          <w:szCs w:val="20"/>
          <w:lang w:eastAsia="en-AU"/>
        </w:rPr>
      </w:pPr>
      <w:r w:rsidRPr="00925A3A">
        <w:rPr>
          <w:szCs w:val="20"/>
          <w:lang w:eastAsia="en-AU"/>
        </w:rPr>
        <w:t>Subsection (4) is the main operative subsection for a character mismatch</w:t>
      </w:r>
      <w:r w:rsidR="002D5667">
        <w:rPr>
          <w:szCs w:val="20"/>
          <w:lang w:eastAsia="en-AU"/>
        </w:rPr>
        <w:t xml:space="preserve">. </w:t>
      </w:r>
      <w:r w:rsidRPr="00925A3A">
        <w:rPr>
          <w:szCs w:val="20"/>
          <w:lang w:eastAsia="en-AU"/>
        </w:rPr>
        <w:t>It provides that a payment which is subject to the section gives rise to assessable income equal to the amount that would be assessable if the classification of the financial instrument were varied</w:t>
      </w:r>
      <w:r w:rsidR="002D5667">
        <w:rPr>
          <w:szCs w:val="20"/>
          <w:lang w:eastAsia="en-AU"/>
        </w:rPr>
        <w:t xml:space="preserve">. </w:t>
      </w:r>
      <w:r w:rsidRPr="00925A3A">
        <w:rPr>
          <w:szCs w:val="20"/>
          <w:lang w:eastAsia="en-AU"/>
        </w:rPr>
        <w:t>Under subsection (6), this income is allocated to the year in which:</w:t>
      </w:r>
    </w:p>
    <w:p w14:paraId="717A3E97" w14:textId="77777777" w:rsidR="00925A3A" w:rsidRPr="00925A3A" w:rsidRDefault="00925A3A" w:rsidP="00925A3A">
      <w:pPr>
        <w:rPr>
          <w:szCs w:val="20"/>
          <w:lang w:eastAsia="en-AU"/>
        </w:rPr>
      </w:pPr>
    </w:p>
    <w:p w14:paraId="79C023D5" w14:textId="77777777" w:rsidR="00925A3A" w:rsidRPr="00925A3A" w:rsidRDefault="00751F04" w:rsidP="00E852A0">
      <w:pPr>
        <w:numPr>
          <w:ilvl w:val="0"/>
          <w:numId w:val="1"/>
        </w:numPr>
        <w:spacing w:after="140"/>
        <w:rPr>
          <w:szCs w:val="20"/>
          <w:lang w:eastAsia="en-AU"/>
        </w:rPr>
      </w:pPr>
      <w:r>
        <w:rPr>
          <w:szCs w:val="20"/>
          <w:lang w:eastAsia="en-AU"/>
        </w:rPr>
        <w:t xml:space="preserve">in the case of a character mismatch, </w:t>
      </w:r>
      <w:r w:rsidR="00925A3A" w:rsidRPr="00925A3A">
        <w:rPr>
          <w:szCs w:val="20"/>
          <w:lang w:eastAsia="en-AU"/>
        </w:rPr>
        <w:t>it would be derived if the terms of the instrument were varied so that the payment gave rise to income; or</w:t>
      </w:r>
    </w:p>
    <w:p w14:paraId="5B2BA1AE" w14:textId="77777777" w:rsidR="00925A3A" w:rsidRPr="00925A3A" w:rsidRDefault="00925A3A" w:rsidP="00E852A0">
      <w:pPr>
        <w:numPr>
          <w:ilvl w:val="0"/>
          <w:numId w:val="1"/>
        </w:numPr>
        <w:rPr>
          <w:szCs w:val="20"/>
          <w:lang w:eastAsia="en-AU"/>
        </w:rPr>
      </w:pPr>
      <w:r w:rsidRPr="00925A3A">
        <w:rPr>
          <w:szCs w:val="20"/>
          <w:lang w:eastAsia="en-AU"/>
        </w:rPr>
        <w:t>in the case of a timing mismatch, the payment is received.</w:t>
      </w:r>
    </w:p>
    <w:p w14:paraId="33E6816E" w14:textId="77777777" w:rsidR="00925A3A" w:rsidRPr="00925A3A" w:rsidRDefault="00925A3A" w:rsidP="00925A3A">
      <w:pPr>
        <w:rPr>
          <w:szCs w:val="20"/>
          <w:lang w:eastAsia="en-AU"/>
        </w:rPr>
      </w:pPr>
    </w:p>
    <w:p w14:paraId="2D001E0C" w14:textId="77777777" w:rsidR="00EE1CFA" w:rsidRPr="00EE1CFA" w:rsidRDefault="00EE1CFA" w:rsidP="00532DB4">
      <w:pPr>
        <w:pStyle w:val="Heading4"/>
        <w:rPr>
          <w:lang w:eastAsia="en-AU"/>
        </w:rPr>
      </w:pPr>
      <w:r>
        <w:rPr>
          <w:lang w:eastAsia="en-AU"/>
        </w:rPr>
        <w:t>Replacement payment under returning share transfer</w:t>
      </w:r>
    </w:p>
    <w:p w14:paraId="788D77F7" w14:textId="77777777" w:rsidR="00EE1CFA" w:rsidRDefault="00EE1CFA" w:rsidP="00925A3A">
      <w:pPr>
        <w:rPr>
          <w:szCs w:val="20"/>
          <w:lang w:eastAsia="en-AU"/>
        </w:rPr>
      </w:pPr>
    </w:p>
    <w:p w14:paraId="6640351D" w14:textId="37CC7C8D" w:rsidR="00925A3A" w:rsidRDefault="00925A3A" w:rsidP="00925A3A">
      <w:pPr>
        <w:rPr>
          <w:szCs w:val="20"/>
          <w:lang w:eastAsia="en-AU"/>
        </w:rPr>
      </w:pPr>
      <w:r w:rsidRPr="00925A3A">
        <w:rPr>
          <w:szCs w:val="20"/>
          <w:lang w:eastAsia="en-AU"/>
        </w:rPr>
        <w:t>Subsection (5) provides for the case where a New Zealand taxpayer receives a replacement payment under a returning share transfer</w:t>
      </w:r>
      <w:r w:rsidR="002D5667">
        <w:rPr>
          <w:szCs w:val="20"/>
          <w:lang w:eastAsia="en-AU"/>
        </w:rPr>
        <w:t xml:space="preserve">. </w:t>
      </w:r>
      <w:r w:rsidRPr="00925A3A">
        <w:rPr>
          <w:szCs w:val="20"/>
          <w:lang w:eastAsia="en-AU"/>
        </w:rPr>
        <w:t>Replacement payments are taxable income</w:t>
      </w:r>
      <w:r w:rsidR="002D5667">
        <w:rPr>
          <w:szCs w:val="20"/>
          <w:lang w:eastAsia="en-AU"/>
        </w:rPr>
        <w:t xml:space="preserve">. </w:t>
      </w:r>
      <w:r w:rsidRPr="00925A3A">
        <w:rPr>
          <w:szCs w:val="20"/>
          <w:lang w:eastAsia="en-AU"/>
        </w:rPr>
        <w:t>However, if the returning share transfer is also a share lending arrangement</w:t>
      </w:r>
      <w:r w:rsidR="00195C15">
        <w:rPr>
          <w:szCs w:val="20"/>
          <w:lang w:eastAsia="en-AU"/>
        </w:rPr>
        <w:t xml:space="preserve"> as defined in section YA 1</w:t>
      </w:r>
      <w:r w:rsidRPr="00925A3A">
        <w:rPr>
          <w:szCs w:val="20"/>
          <w:lang w:eastAsia="en-AU"/>
        </w:rPr>
        <w:t>, the replacement payment can carry an imputation credit (section OB 64)</w:t>
      </w:r>
      <w:r w:rsidR="002D5667">
        <w:rPr>
          <w:szCs w:val="20"/>
          <w:lang w:eastAsia="en-AU"/>
        </w:rPr>
        <w:t xml:space="preserve">. </w:t>
      </w:r>
      <w:r w:rsidRPr="00925A3A">
        <w:rPr>
          <w:szCs w:val="20"/>
          <w:lang w:eastAsia="en-AU"/>
        </w:rPr>
        <w:t>If the share borrower is entitled to a deduction in its country for the replacement payment, the attachment of such a credit would give rise to a hybrid mismatch</w:t>
      </w:r>
      <w:r w:rsidR="002D5667">
        <w:rPr>
          <w:szCs w:val="20"/>
          <w:lang w:eastAsia="en-AU"/>
        </w:rPr>
        <w:t xml:space="preserve">. </w:t>
      </w:r>
      <w:r w:rsidRPr="00925A3A">
        <w:rPr>
          <w:szCs w:val="20"/>
          <w:lang w:eastAsia="en-AU"/>
        </w:rPr>
        <w:t>In order to reverse this, the imputation credit is denied.</w:t>
      </w:r>
    </w:p>
    <w:p w14:paraId="74FADDAA" w14:textId="460AFF9D" w:rsidR="00E460B9" w:rsidRDefault="00E460B9" w:rsidP="00925A3A">
      <w:pPr>
        <w:rPr>
          <w:szCs w:val="20"/>
          <w:lang w:eastAsia="en-AU"/>
        </w:rPr>
      </w:pPr>
    </w:p>
    <w:p w14:paraId="27C88D06" w14:textId="77777777" w:rsidR="00D1380C" w:rsidRDefault="00D1380C">
      <w:pPr>
        <w:jc w:val="left"/>
        <w:rPr>
          <w:b/>
          <w:i/>
          <w:lang w:eastAsia="en-AU"/>
        </w:rPr>
      </w:pPr>
      <w:r>
        <w:rPr>
          <w:lang w:eastAsia="en-AU"/>
        </w:rPr>
        <w:br w:type="page"/>
      </w:r>
    </w:p>
    <w:p w14:paraId="7B7A59CE" w14:textId="5C1EE1C8" w:rsidR="00E460B9" w:rsidRDefault="00E460B9" w:rsidP="00E460B9">
      <w:pPr>
        <w:pStyle w:val="Heading3"/>
        <w:rPr>
          <w:lang w:eastAsia="en-AU"/>
        </w:rPr>
      </w:pPr>
      <w:r>
        <w:rPr>
          <w:lang w:eastAsia="en-AU"/>
        </w:rPr>
        <w:lastRenderedPageBreak/>
        <w:t>Deductible foreign equity distribution definition</w:t>
      </w:r>
    </w:p>
    <w:p w14:paraId="1FD43816" w14:textId="77777777" w:rsidR="00E460B9" w:rsidRDefault="00E460B9" w:rsidP="00E460B9">
      <w:pPr>
        <w:rPr>
          <w:lang w:eastAsia="en-AU"/>
        </w:rPr>
      </w:pPr>
    </w:p>
    <w:p w14:paraId="2B786E66" w14:textId="60100DEA" w:rsidR="00E460B9" w:rsidRDefault="00E460B9" w:rsidP="00E460B9">
      <w:pPr>
        <w:rPr>
          <w:lang w:eastAsia="en-AU"/>
        </w:rPr>
      </w:pPr>
      <w:r>
        <w:rPr>
          <w:szCs w:val="20"/>
          <w:lang w:eastAsia="en-AU"/>
        </w:rPr>
        <w:t>The definition of “deductible foreign equity distribution” has been amended in section YA 1 to include distributions on shares in a foreign company for which a deduction against income or equivalent tax relief or tax benefit is allowed, or would be allowed in the absence of the hybrid mismatch legislation (including situations where the distribution is sourced directly or indirectly from an amount paid to the foreign company that is deductible)</w:t>
      </w:r>
      <w:r w:rsidR="002D5667">
        <w:rPr>
          <w:szCs w:val="20"/>
          <w:lang w:eastAsia="en-AU"/>
        </w:rPr>
        <w:t xml:space="preserve">. </w:t>
      </w:r>
      <w:r>
        <w:rPr>
          <w:szCs w:val="20"/>
          <w:lang w:eastAsia="en-AU"/>
        </w:rPr>
        <w:t>This means that the exclusion in section CW 9 for deductible foreign equity distributions will continue to apply to such distributions with priority over the hybrid mismatch rules of other countries, consistent with the OECD’s recommendation 2.1</w:t>
      </w:r>
      <w:r w:rsidR="002D5667">
        <w:rPr>
          <w:szCs w:val="20"/>
          <w:lang w:eastAsia="en-AU"/>
        </w:rPr>
        <w:t xml:space="preserve">. </w:t>
      </w:r>
      <w:r>
        <w:rPr>
          <w:szCs w:val="20"/>
          <w:lang w:eastAsia="en-AU"/>
        </w:rPr>
        <w:t>For example, the adoption of hybrid rules in Australia will have no effect on the tax treatment of a New Zealand company in respect of a deductible dividend received from an Australian company.</w:t>
      </w:r>
    </w:p>
    <w:p w14:paraId="2EFD175B" w14:textId="77777777" w:rsidR="00E460B9" w:rsidRDefault="00E460B9" w:rsidP="00925A3A">
      <w:pPr>
        <w:rPr>
          <w:szCs w:val="20"/>
          <w:lang w:eastAsia="en-AU"/>
        </w:rPr>
      </w:pPr>
    </w:p>
    <w:p w14:paraId="1E2B7F86" w14:textId="77777777" w:rsidR="0073217C" w:rsidRDefault="0073217C">
      <w:pPr>
        <w:jc w:val="left"/>
        <w:rPr>
          <w:b/>
          <w:caps/>
          <w:sz w:val="26"/>
          <w:szCs w:val="20"/>
          <w:lang w:eastAsia="en-AU"/>
        </w:rPr>
      </w:pPr>
      <w:bookmarkStart w:id="7" w:name="_Toc500159946"/>
      <w:bookmarkStart w:id="8" w:name="_Toc500319038"/>
      <w:r>
        <w:rPr>
          <w:b/>
          <w:caps/>
          <w:sz w:val="26"/>
          <w:szCs w:val="20"/>
          <w:lang w:eastAsia="en-AU"/>
        </w:rPr>
        <w:br w:type="page"/>
      </w:r>
    </w:p>
    <w:p w14:paraId="05C8095B" w14:textId="77777777" w:rsidR="00925A3A" w:rsidRPr="00925A3A" w:rsidRDefault="00925A3A" w:rsidP="00925A3A">
      <w:pPr>
        <w:keepNext/>
        <w:pBdr>
          <w:bottom w:val="single" w:sz="4" w:space="6" w:color="auto"/>
        </w:pBdr>
        <w:jc w:val="left"/>
        <w:outlineLvl w:val="0"/>
        <w:rPr>
          <w:b/>
          <w:caps/>
          <w:sz w:val="26"/>
          <w:szCs w:val="20"/>
          <w:lang w:eastAsia="en-AU"/>
        </w:rPr>
      </w:pPr>
      <w:r w:rsidRPr="00925A3A">
        <w:rPr>
          <w:b/>
          <w:caps/>
          <w:sz w:val="26"/>
          <w:szCs w:val="20"/>
          <w:lang w:eastAsia="en-AU"/>
        </w:rPr>
        <w:lastRenderedPageBreak/>
        <w:t>Disregarded hybrid payments and deemed branch payments</w:t>
      </w:r>
      <w:bookmarkEnd w:id="7"/>
      <w:bookmarkEnd w:id="8"/>
    </w:p>
    <w:p w14:paraId="661B9B15" w14:textId="77777777" w:rsidR="00925A3A" w:rsidRPr="00925A3A" w:rsidRDefault="00925A3A" w:rsidP="00925A3A">
      <w:pPr>
        <w:rPr>
          <w:szCs w:val="20"/>
          <w:lang w:eastAsia="en-AU"/>
        </w:rPr>
      </w:pPr>
    </w:p>
    <w:p w14:paraId="4C196938" w14:textId="77777777" w:rsidR="00925A3A" w:rsidRPr="00925A3A" w:rsidRDefault="00410C4D" w:rsidP="00925A3A">
      <w:pPr>
        <w:rPr>
          <w:b/>
          <w:i/>
          <w:szCs w:val="20"/>
          <w:lang w:eastAsia="en-AU"/>
        </w:rPr>
      </w:pPr>
      <w:r>
        <w:rPr>
          <w:b/>
          <w:i/>
          <w:szCs w:val="20"/>
          <w:lang w:eastAsia="en-AU"/>
        </w:rPr>
        <w:t>Sections FH 5 and FH 6</w:t>
      </w:r>
    </w:p>
    <w:p w14:paraId="05E6551A" w14:textId="77777777" w:rsidR="00925A3A" w:rsidRPr="00925A3A" w:rsidRDefault="00925A3A" w:rsidP="00925A3A">
      <w:pPr>
        <w:rPr>
          <w:szCs w:val="20"/>
          <w:lang w:eastAsia="en-AU"/>
        </w:rPr>
      </w:pPr>
    </w:p>
    <w:p w14:paraId="705B6C0F" w14:textId="77777777" w:rsidR="00925A3A" w:rsidRPr="00925A3A" w:rsidRDefault="00925A3A" w:rsidP="00925A3A">
      <w:pPr>
        <w:rPr>
          <w:szCs w:val="20"/>
          <w:lang w:eastAsia="en-AU"/>
        </w:rPr>
      </w:pPr>
    </w:p>
    <w:p w14:paraId="7E4D5C54" w14:textId="77777777" w:rsidR="00925A3A" w:rsidRPr="00925A3A" w:rsidRDefault="00925A3A" w:rsidP="00925A3A">
      <w:pPr>
        <w:keepNext/>
        <w:outlineLvl w:val="1"/>
        <w:rPr>
          <w:b/>
          <w:szCs w:val="20"/>
          <w:lang w:eastAsia="en-AU"/>
        </w:rPr>
      </w:pPr>
      <w:r w:rsidRPr="00925A3A">
        <w:rPr>
          <w:b/>
          <w:szCs w:val="20"/>
          <w:lang w:eastAsia="en-AU"/>
        </w:rPr>
        <w:t>Background</w:t>
      </w:r>
    </w:p>
    <w:p w14:paraId="78DBFD78" w14:textId="77777777" w:rsidR="00925A3A" w:rsidRDefault="00925A3A" w:rsidP="00925A3A">
      <w:pPr>
        <w:rPr>
          <w:szCs w:val="20"/>
          <w:lang w:eastAsia="en-AU"/>
        </w:rPr>
      </w:pPr>
    </w:p>
    <w:p w14:paraId="2A97E7A5" w14:textId="518B21B5" w:rsidR="00F0607B" w:rsidRPr="00F0607B" w:rsidRDefault="00F0607B" w:rsidP="00925A3A">
      <w:pPr>
        <w:rPr>
          <w:szCs w:val="20"/>
          <w:lang w:eastAsia="en-AU"/>
        </w:rPr>
      </w:pPr>
      <w:r>
        <w:rPr>
          <w:szCs w:val="20"/>
          <w:lang w:eastAsia="en-AU"/>
        </w:rPr>
        <w:t xml:space="preserve">The disregarded hybrid payment rule </w:t>
      </w:r>
      <w:r w:rsidR="00C03B17">
        <w:rPr>
          <w:szCs w:val="20"/>
          <w:lang w:eastAsia="en-AU"/>
        </w:rPr>
        <w:t>is</w:t>
      </w:r>
      <w:r>
        <w:rPr>
          <w:szCs w:val="20"/>
          <w:lang w:eastAsia="en-AU"/>
        </w:rPr>
        <w:t xml:space="preserve"> recommendation 3 of the OECD hybrid mismatch report</w:t>
      </w:r>
      <w:r w:rsidR="00A948EF">
        <w:rPr>
          <w:szCs w:val="20"/>
          <w:lang w:eastAsia="en-AU"/>
        </w:rPr>
        <w:t>.</w:t>
      </w:r>
      <w:r w:rsidR="00C03B17">
        <w:rPr>
          <w:szCs w:val="20"/>
          <w:lang w:eastAsia="en-AU"/>
        </w:rPr>
        <w:t xml:space="preserve"> </w:t>
      </w:r>
      <w:r>
        <w:rPr>
          <w:szCs w:val="20"/>
          <w:lang w:eastAsia="en-AU"/>
        </w:rPr>
        <w:t xml:space="preserve">The deemed branch payment rule is recommendation </w:t>
      </w:r>
      <w:r w:rsidR="00C03B17">
        <w:rPr>
          <w:szCs w:val="20"/>
          <w:lang w:eastAsia="en-AU"/>
        </w:rPr>
        <w:t>3 of the OECD branch mismatch report.</w:t>
      </w:r>
    </w:p>
    <w:p w14:paraId="209E72F2" w14:textId="77777777" w:rsidR="00F0607B" w:rsidRPr="000772C5" w:rsidRDefault="00F0607B" w:rsidP="00925A3A">
      <w:pPr>
        <w:rPr>
          <w:szCs w:val="20"/>
          <w:lang w:eastAsia="en-AU"/>
        </w:rPr>
      </w:pPr>
    </w:p>
    <w:p w14:paraId="79AC64C2" w14:textId="77777777" w:rsidR="00F0607B" w:rsidRPr="00C03B17" w:rsidRDefault="00F0607B" w:rsidP="00925A3A">
      <w:pPr>
        <w:rPr>
          <w:b/>
          <w:i/>
          <w:szCs w:val="20"/>
          <w:lang w:eastAsia="en-AU"/>
        </w:rPr>
      </w:pPr>
      <w:r>
        <w:rPr>
          <w:b/>
          <w:i/>
          <w:szCs w:val="20"/>
          <w:lang w:eastAsia="en-AU"/>
        </w:rPr>
        <w:t>Disregarded hybrid p</w:t>
      </w:r>
      <w:r w:rsidR="00C03B17">
        <w:rPr>
          <w:b/>
          <w:i/>
          <w:szCs w:val="20"/>
          <w:lang w:eastAsia="en-AU"/>
        </w:rPr>
        <w:t>ayments</w:t>
      </w:r>
    </w:p>
    <w:p w14:paraId="65A2652E" w14:textId="77777777" w:rsidR="00F0607B" w:rsidRDefault="00F0607B" w:rsidP="00925A3A">
      <w:pPr>
        <w:rPr>
          <w:szCs w:val="20"/>
          <w:lang w:eastAsia="en-AU"/>
        </w:rPr>
      </w:pPr>
    </w:p>
    <w:p w14:paraId="2210758C" w14:textId="165895E6" w:rsidR="00C03B17" w:rsidRDefault="00C03B17" w:rsidP="00925A3A">
      <w:pPr>
        <w:rPr>
          <w:szCs w:val="20"/>
          <w:lang w:eastAsia="en-AU"/>
        </w:rPr>
      </w:pPr>
      <w:r>
        <w:rPr>
          <w:szCs w:val="20"/>
          <w:lang w:eastAsia="en-AU"/>
        </w:rPr>
        <w:t>The following diagram illustrates an example of a disregarded hybrid payment mismatch</w:t>
      </w:r>
      <w:r w:rsidR="002D5667">
        <w:rPr>
          <w:szCs w:val="20"/>
          <w:lang w:eastAsia="en-AU"/>
        </w:rPr>
        <w:t xml:space="preserve">. </w:t>
      </w:r>
      <w:r w:rsidR="006947F8">
        <w:rPr>
          <w:szCs w:val="20"/>
          <w:lang w:eastAsia="en-AU"/>
        </w:rPr>
        <w:t>S</w:t>
      </w:r>
      <w:r w:rsidR="00FE0607">
        <w:rPr>
          <w:szCs w:val="20"/>
          <w:lang w:eastAsia="en-AU"/>
        </w:rPr>
        <w:t xml:space="preserve">uch mismatches always involve a payment </w:t>
      </w:r>
      <w:r w:rsidR="00195C15">
        <w:rPr>
          <w:szCs w:val="20"/>
          <w:lang w:eastAsia="en-AU"/>
        </w:rPr>
        <w:t>by</w:t>
      </w:r>
      <w:r w:rsidR="00FE0607">
        <w:rPr>
          <w:szCs w:val="20"/>
          <w:lang w:eastAsia="en-AU"/>
        </w:rPr>
        <w:t xml:space="preserve"> a hybrid entity</w:t>
      </w:r>
      <w:r>
        <w:rPr>
          <w:szCs w:val="20"/>
          <w:lang w:eastAsia="en-AU"/>
        </w:rPr>
        <w:t>.</w:t>
      </w:r>
    </w:p>
    <w:p w14:paraId="6C7A3B8C" w14:textId="77777777" w:rsidR="00C03B17" w:rsidRDefault="00C03B17" w:rsidP="00925A3A">
      <w:pPr>
        <w:rPr>
          <w:szCs w:val="20"/>
          <w:lang w:eastAsia="en-AU"/>
        </w:rPr>
      </w:pPr>
    </w:p>
    <w:p w14:paraId="284B52D6" w14:textId="16F5AE08" w:rsidR="00925A3A" w:rsidRPr="00C03B17" w:rsidRDefault="00925A3A" w:rsidP="00C03B17">
      <w:pPr>
        <w:rPr>
          <w:szCs w:val="20"/>
          <w:lang w:eastAsia="en-AU"/>
        </w:rPr>
      </w:pPr>
      <w:r w:rsidRPr="00925A3A">
        <w:rPr>
          <w:szCs w:val="20"/>
          <w:lang w:eastAsia="en-AU"/>
        </w:rPr>
        <w:t>A hybrid entity is an entity which is transparent for tax purposes in the</w:t>
      </w:r>
      <w:r w:rsidR="00195C15">
        <w:rPr>
          <w:szCs w:val="20"/>
          <w:lang w:eastAsia="en-AU"/>
        </w:rPr>
        <w:t xml:space="preserve"> country</w:t>
      </w:r>
      <w:r w:rsidRPr="00925A3A">
        <w:rPr>
          <w:szCs w:val="20"/>
          <w:lang w:eastAsia="en-AU"/>
        </w:rPr>
        <w:t xml:space="preserve"> of an investor (Country A) but opaque for tax purposes in another </w:t>
      </w:r>
      <w:r w:rsidR="00195C15">
        <w:rPr>
          <w:szCs w:val="20"/>
          <w:lang w:eastAsia="en-AU"/>
        </w:rPr>
        <w:t>country</w:t>
      </w:r>
      <w:r w:rsidRPr="00925A3A">
        <w:rPr>
          <w:szCs w:val="20"/>
          <w:lang w:eastAsia="en-AU"/>
        </w:rPr>
        <w:t>, generally where it is established (Country B</w:t>
      </w:r>
      <w:r w:rsidRPr="00925A3A">
        <w:rPr>
          <w:b/>
          <w:szCs w:val="20"/>
          <w:lang w:eastAsia="en-AU"/>
        </w:rPr>
        <w:t>)</w:t>
      </w:r>
      <w:r w:rsidR="002D5667">
        <w:rPr>
          <w:szCs w:val="20"/>
          <w:lang w:eastAsia="en-AU"/>
        </w:rPr>
        <w:t xml:space="preserve">. </w:t>
      </w:r>
      <w:r w:rsidR="00C03B17">
        <w:rPr>
          <w:szCs w:val="20"/>
          <w:lang w:eastAsia="en-AU"/>
        </w:rPr>
        <w:t>In the diagram below</w:t>
      </w:r>
      <w:r w:rsidR="00FE0607">
        <w:rPr>
          <w:szCs w:val="20"/>
          <w:lang w:eastAsia="en-AU"/>
        </w:rPr>
        <w:t>, B Co</w:t>
      </w:r>
      <w:r w:rsidRPr="00925A3A">
        <w:rPr>
          <w:szCs w:val="20"/>
          <w:lang w:eastAsia="en-AU"/>
        </w:rPr>
        <w:t xml:space="preserve"> is the hybrid entity.</w:t>
      </w:r>
    </w:p>
    <w:p w14:paraId="6CB5A1A6" w14:textId="77777777" w:rsidR="00925A3A" w:rsidRPr="00925A3A" w:rsidRDefault="00925A3A" w:rsidP="00925A3A">
      <w:pPr>
        <w:jc w:val="center"/>
        <w:rPr>
          <w:szCs w:val="20"/>
          <w:lang w:eastAsia="en-AU"/>
        </w:rPr>
      </w:pPr>
    </w:p>
    <w:p w14:paraId="0F074934" w14:textId="229D22C6" w:rsidR="00AB47CC" w:rsidRPr="00925A3A" w:rsidRDefault="00E460B9" w:rsidP="00E460B9">
      <w:pPr>
        <w:rPr>
          <w:szCs w:val="20"/>
          <w:lang w:eastAsia="en-AU"/>
        </w:rPr>
      </w:pPr>
      <w:r w:rsidRPr="00925A3A">
        <w:rPr>
          <w:szCs w:val="20"/>
          <w:lang w:eastAsia="en-AU"/>
        </w:rPr>
        <w:object w:dxaOrig="7020" w:dyaOrig="5400" w14:anchorId="621D8C52">
          <v:shape id="_x0000_i1027" type="#_x0000_t75" style="width:319.5pt;height:247.5pt" o:ole="">
            <v:imagedata r:id="rId16" o:title=""/>
          </v:shape>
          <o:OLEObject Type="Embed" ProgID="Visio.Drawing.15" ShapeID="_x0000_i1027" DrawAspect="Content" ObjectID="_1618044692" r:id="rId17"/>
        </w:object>
      </w:r>
    </w:p>
    <w:p w14:paraId="259018F3" w14:textId="77777777" w:rsidR="00925A3A" w:rsidRPr="00925A3A" w:rsidRDefault="00925A3A" w:rsidP="00925A3A">
      <w:pPr>
        <w:jc w:val="center"/>
        <w:rPr>
          <w:szCs w:val="20"/>
          <w:lang w:eastAsia="en-AU"/>
        </w:rPr>
      </w:pPr>
    </w:p>
    <w:p w14:paraId="2419D994" w14:textId="77777777" w:rsidR="00925A3A" w:rsidRPr="00925A3A" w:rsidRDefault="00925A3A" w:rsidP="00925A3A">
      <w:pPr>
        <w:rPr>
          <w:szCs w:val="20"/>
          <w:lang w:eastAsia="en-AU"/>
        </w:rPr>
      </w:pPr>
    </w:p>
    <w:p w14:paraId="0EBCB831" w14:textId="1A3C0A25" w:rsidR="00925A3A" w:rsidRPr="00925A3A" w:rsidRDefault="00925A3A" w:rsidP="00925A3A">
      <w:pPr>
        <w:rPr>
          <w:szCs w:val="20"/>
          <w:lang w:eastAsia="en-AU"/>
        </w:rPr>
      </w:pPr>
      <w:r w:rsidRPr="00925A3A">
        <w:rPr>
          <w:szCs w:val="20"/>
          <w:lang w:eastAsia="en-AU"/>
        </w:rPr>
        <w:t>An interest payment from a hybrid entity</w:t>
      </w:r>
      <w:r w:rsidR="00FE0607">
        <w:rPr>
          <w:szCs w:val="20"/>
          <w:lang w:eastAsia="en-AU"/>
        </w:rPr>
        <w:t xml:space="preserve"> (B Co) to its investor (A Co</w:t>
      </w:r>
      <w:r w:rsidRPr="00925A3A">
        <w:rPr>
          <w:szCs w:val="20"/>
          <w:lang w:eastAsia="en-AU"/>
        </w:rPr>
        <w:t>) will be deductible in Country B and dis</w:t>
      </w:r>
      <w:r w:rsidR="00FE0607">
        <w:rPr>
          <w:szCs w:val="20"/>
          <w:lang w:eastAsia="en-AU"/>
        </w:rPr>
        <w:t>regarded in Country A</w:t>
      </w:r>
      <w:r w:rsidR="002D5667">
        <w:rPr>
          <w:szCs w:val="20"/>
          <w:lang w:eastAsia="en-AU"/>
        </w:rPr>
        <w:t xml:space="preserve">. </w:t>
      </w:r>
      <w:r w:rsidR="00FE0607">
        <w:rPr>
          <w:szCs w:val="20"/>
          <w:lang w:eastAsia="en-AU"/>
        </w:rPr>
        <w:t>This</w:t>
      </w:r>
      <w:r w:rsidRPr="00925A3A">
        <w:rPr>
          <w:szCs w:val="20"/>
          <w:lang w:eastAsia="en-AU"/>
        </w:rPr>
        <w:t xml:space="preserve"> res</w:t>
      </w:r>
      <w:r w:rsidR="00FE0607">
        <w:rPr>
          <w:szCs w:val="20"/>
          <w:lang w:eastAsia="en-AU"/>
        </w:rPr>
        <w:t>ults in a D/NI hybrid mismatch</w:t>
      </w:r>
      <w:r w:rsidR="002D5667">
        <w:rPr>
          <w:szCs w:val="20"/>
          <w:lang w:eastAsia="en-AU"/>
        </w:rPr>
        <w:t xml:space="preserve">. </w:t>
      </w:r>
      <w:r w:rsidR="00FC7613">
        <w:rPr>
          <w:szCs w:val="20"/>
          <w:lang w:eastAsia="en-AU"/>
        </w:rPr>
        <w:t>The mismatch results in</w:t>
      </w:r>
      <w:r w:rsidR="00FE0607">
        <w:rPr>
          <w:szCs w:val="20"/>
          <w:lang w:eastAsia="en-AU"/>
        </w:rPr>
        <w:t xml:space="preserve"> double non-taxation </w:t>
      </w:r>
      <w:r w:rsidR="00195C15">
        <w:rPr>
          <w:szCs w:val="20"/>
          <w:lang w:eastAsia="en-AU"/>
        </w:rPr>
        <w:t>if</w:t>
      </w:r>
      <w:r w:rsidR="00FE0607">
        <w:rPr>
          <w:szCs w:val="20"/>
          <w:lang w:eastAsia="en-AU"/>
        </w:rPr>
        <w:t xml:space="preserve"> B Co</w:t>
      </w:r>
      <w:r w:rsidRPr="00925A3A">
        <w:rPr>
          <w:szCs w:val="20"/>
          <w:lang w:eastAsia="en-AU"/>
        </w:rPr>
        <w:t xml:space="preserve"> groups its tax loss with the income of another entity (B Sub 1</w:t>
      </w:r>
      <w:r w:rsidR="00FC7613">
        <w:rPr>
          <w:szCs w:val="20"/>
          <w:lang w:eastAsia="en-AU"/>
        </w:rPr>
        <w:t xml:space="preserve"> in the example</w:t>
      </w:r>
      <w:r w:rsidRPr="00925A3A">
        <w:rPr>
          <w:szCs w:val="20"/>
          <w:lang w:eastAsia="en-AU"/>
        </w:rPr>
        <w:t>) whose income is not taxable in Country A.</w:t>
      </w:r>
    </w:p>
    <w:p w14:paraId="78F2F6D4" w14:textId="77777777" w:rsidR="00925A3A" w:rsidRDefault="00925A3A" w:rsidP="00925A3A">
      <w:pPr>
        <w:rPr>
          <w:szCs w:val="20"/>
          <w:lang w:eastAsia="en-AU"/>
        </w:rPr>
      </w:pPr>
    </w:p>
    <w:p w14:paraId="1BF42AB7" w14:textId="77777777" w:rsidR="00FE0607" w:rsidRPr="00FE0607" w:rsidRDefault="00FE0607" w:rsidP="00925A3A">
      <w:pPr>
        <w:rPr>
          <w:b/>
          <w:i/>
          <w:szCs w:val="20"/>
          <w:lang w:eastAsia="en-AU"/>
        </w:rPr>
      </w:pPr>
      <w:r>
        <w:rPr>
          <w:b/>
          <w:i/>
          <w:szCs w:val="20"/>
          <w:lang w:eastAsia="en-AU"/>
        </w:rPr>
        <w:t>Deemed branch payments</w:t>
      </w:r>
    </w:p>
    <w:p w14:paraId="01176029" w14:textId="77777777" w:rsidR="00FE0607" w:rsidRPr="00925A3A" w:rsidRDefault="00FE0607" w:rsidP="00925A3A">
      <w:pPr>
        <w:rPr>
          <w:szCs w:val="20"/>
          <w:lang w:eastAsia="en-AU"/>
        </w:rPr>
      </w:pPr>
    </w:p>
    <w:p w14:paraId="78D0C8C7" w14:textId="77777777" w:rsidR="00925A3A" w:rsidRPr="00925A3A" w:rsidRDefault="00925A3A" w:rsidP="00925A3A">
      <w:pPr>
        <w:rPr>
          <w:szCs w:val="20"/>
          <w:lang w:eastAsia="en-AU"/>
        </w:rPr>
      </w:pPr>
      <w:r w:rsidRPr="00925A3A">
        <w:rPr>
          <w:szCs w:val="20"/>
          <w:lang w:eastAsia="en-AU"/>
        </w:rPr>
        <w:t>The</w:t>
      </w:r>
      <w:r w:rsidR="00FE0607">
        <w:rPr>
          <w:szCs w:val="20"/>
          <w:lang w:eastAsia="en-AU"/>
        </w:rPr>
        <w:t xml:space="preserve"> same outcome can arise if B Co is instead a branch of A Co</w:t>
      </w:r>
      <w:r w:rsidRPr="00925A3A">
        <w:rPr>
          <w:szCs w:val="20"/>
          <w:lang w:eastAsia="en-AU"/>
        </w:rPr>
        <w:t xml:space="preserve"> in Country B and is entitled in Country B to a deduction </w:t>
      </w:r>
      <w:r w:rsidR="00FE0607">
        <w:rPr>
          <w:szCs w:val="20"/>
          <w:lang w:eastAsia="en-AU"/>
        </w:rPr>
        <w:t>for a charge made to it by A Co</w:t>
      </w:r>
      <w:r w:rsidRPr="00925A3A">
        <w:rPr>
          <w:szCs w:val="20"/>
          <w:lang w:eastAsia="en-AU"/>
        </w:rPr>
        <w:t>, if that charge is not also recognised in Country A.</w:t>
      </w:r>
    </w:p>
    <w:p w14:paraId="7CB369DC" w14:textId="77777777" w:rsidR="00925A3A" w:rsidRPr="00925A3A" w:rsidRDefault="00925A3A" w:rsidP="00925A3A">
      <w:pPr>
        <w:rPr>
          <w:szCs w:val="20"/>
          <w:lang w:eastAsia="en-AU"/>
        </w:rPr>
      </w:pPr>
    </w:p>
    <w:p w14:paraId="09F11423" w14:textId="77777777" w:rsidR="00925A3A" w:rsidRPr="00925A3A" w:rsidRDefault="00925A3A" w:rsidP="00925A3A">
      <w:pPr>
        <w:rPr>
          <w:szCs w:val="20"/>
          <w:lang w:eastAsia="en-AU"/>
        </w:rPr>
      </w:pPr>
    </w:p>
    <w:p w14:paraId="009E35E5" w14:textId="77777777" w:rsidR="00925A3A" w:rsidRPr="00925A3A" w:rsidRDefault="00925A3A" w:rsidP="00925A3A">
      <w:pPr>
        <w:keepNext/>
        <w:outlineLvl w:val="1"/>
        <w:rPr>
          <w:b/>
          <w:szCs w:val="20"/>
          <w:lang w:eastAsia="en-AU"/>
        </w:rPr>
      </w:pPr>
      <w:r w:rsidRPr="00925A3A">
        <w:rPr>
          <w:b/>
          <w:szCs w:val="20"/>
          <w:lang w:eastAsia="en-AU"/>
        </w:rPr>
        <w:t xml:space="preserve">Summary of </w:t>
      </w:r>
      <w:r w:rsidR="008B710C">
        <w:rPr>
          <w:b/>
          <w:szCs w:val="20"/>
          <w:lang w:eastAsia="en-AU"/>
        </w:rPr>
        <w:t>legislative response</w:t>
      </w:r>
    </w:p>
    <w:p w14:paraId="508647FD" w14:textId="77777777" w:rsidR="00FE0607" w:rsidRDefault="00FE0607" w:rsidP="00925A3A">
      <w:pPr>
        <w:rPr>
          <w:szCs w:val="20"/>
          <w:lang w:eastAsia="en-AU"/>
        </w:rPr>
      </w:pPr>
    </w:p>
    <w:p w14:paraId="4A849EC9" w14:textId="77777777" w:rsidR="00925A3A" w:rsidRPr="00925A3A" w:rsidRDefault="00AA3F8A" w:rsidP="00925A3A">
      <w:pPr>
        <w:rPr>
          <w:szCs w:val="20"/>
          <w:lang w:eastAsia="en-AU"/>
        </w:rPr>
      </w:pPr>
      <w:r>
        <w:rPr>
          <w:szCs w:val="20"/>
          <w:lang w:eastAsia="en-AU"/>
        </w:rPr>
        <w:t>Sections FH 5 and FH 6</w:t>
      </w:r>
      <w:r w:rsidR="00925A3A" w:rsidRPr="00925A3A">
        <w:rPr>
          <w:szCs w:val="20"/>
          <w:lang w:eastAsia="en-AU"/>
        </w:rPr>
        <w:t xml:space="preserve"> identify amounts of expenditure relating to:</w:t>
      </w:r>
    </w:p>
    <w:p w14:paraId="5CCC5D35" w14:textId="77777777" w:rsidR="00925A3A" w:rsidRPr="00925A3A" w:rsidRDefault="00925A3A" w:rsidP="00925A3A">
      <w:pPr>
        <w:rPr>
          <w:szCs w:val="20"/>
          <w:lang w:eastAsia="en-AU"/>
        </w:rPr>
      </w:pPr>
    </w:p>
    <w:p w14:paraId="2720B271" w14:textId="77777777" w:rsidR="00925A3A" w:rsidRPr="00925A3A" w:rsidRDefault="00925A3A" w:rsidP="00E852A0">
      <w:pPr>
        <w:numPr>
          <w:ilvl w:val="0"/>
          <w:numId w:val="10"/>
        </w:numPr>
        <w:spacing w:after="140"/>
        <w:ind w:left="567"/>
        <w:rPr>
          <w:szCs w:val="20"/>
          <w:lang w:eastAsia="en-AU"/>
        </w:rPr>
      </w:pPr>
      <w:r w:rsidRPr="00925A3A">
        <w:rPr>
          <w:szCs w:val="20"/>
          <w:lang w:eastAsia="en-AU"/>
        </w:rPr>
        <w:t>payments that are deductible in the country of the payer and are disregarded in the country of the payee due to the status of the payer; and</w:t>
      </w:r>
    </w:p>
    <w:p w14:paraId="2C6A5A04" w14:textId="77777777" w:rsidR="00925A3A" w:rsidRPr="00925A3A" w:rsidRDefault="00925A3A" w:rsidP="00E852A0">
      <w:pPr>
        <w:numPr>
          <w:ilvl w:val="0"/>
          <w:numId w:val="10"/>
        </w:numPr>
        <w:ind w:left="567"/>
        <w:rPr>
          <w:szCs w:val="20"/>
          <w:lang w:eastAsia="en-AU"/>
        </w:rPr>
      </w:pPr>
      <w:r w:rsidRPr="00925A3A">
        <w:rPr>
          <w:szCs w:val="20"/>
          <w:lang w:eastAsia="en-AU"/>
        </w:rPr>
        <w:t>mismatches in the deductibility and recognition of charges by a head office to a branch in another country which are recognised for tax purposes</w:t>
      </w:r>
      <w:r w:rsidR="00FC7613">
        <w:rPr>
          <w:szCs w:val="20"/>
          <w:lang w:eastAsia="en-AU"/>
        </w:rPr>
        <w:t xml:space="preserve"> in the branch country</w:t>
      </w:r>
      <w:r w:rsidRPr="00925A3A">
        <w:rPr>
          <w:szCs w:val="20"/>
          <w:lang w:eastAsia="en-AU"/>
        </w:rPr>
        <w:t>, generally as a way of a branch country ensuring that it taxes only that portion of a multinational entity’s income that corresponds to the activities undertaken in the branch country.</w:t>
      </w:r>
      <w:r w:rsidR="00AA3F8A">
        <w:rPr>
          <w:szCs w:val="20"/>
          <w:lang w:eastAsia="en-AU"/>
        </w:rPr>
        <w:t xml:space="preserve"> These charges are only subject to the sections to the extent they do not reflect a simple allocation of actual third party costs. For example, these sections would apply to a profit margin charged by head office to a branch, or a charge for some internally-performed function.</w:t>
      </w:r>
    </w:p>
    <w:p w14:paraId="070C1171" w14:textId="77777777" w:rsidR="00925A3A" w:rsidRPr="00925A3A" w:rsidRDefault="00925A3A" w:rsidP="00925A3A">
      <w:pPr>
        <w:rPr>
          <w:szCs w:val="20"/>
          <w:lang w:eastAsia="en-AU"/>
        </w:rPr>
      </w:pPr>
    </w:p>
    <w:p w14:paraId="7505C230" w14:textId="77777777" w:rsidR="00925A3A" w:rsidRPr="00925A3A" w:rsidRDefault="00925A3A" w:rsidP="00925A3A">
      <w:pPr>
        <w:rPr>
          <w:szCs w:val="20"/>
          <w:lang w:eastAsia="en-AU"/>
        </w:rPr>
      </w:pPr>
      <w:r w:rsidRPr="00925A3A">
        <w:rPr>
          <w:szCs w:val="20"/>
          <w:lang w:eastAsia="en-AU"/>
        </w:rPr>
        <w:t>Section FH 5 applies where the deduction is in New Zealand, whereas FH 6 applies where New Zealand is not including a payment</w:t>
      </w:r>
      <w:r w:rsidR="00C55933">
        <w:rPr>
          <w:szCs w:val="20"/>
          <w:lang w:eastAsia="en-AU"/>
        </w:rPr>
        <w:t xml:space="preserve"> (or deemed payment)</w:t>
      </w:r>
      <w:r w:rsidRPr="00925A3A">
        <w:rPr>
          <w:szCs w:val="20"/>
          <w:lang w:eastAsia="en-AU"/>
        </w:rPr>
        <w:t xml:space="preserve"> as income and the payment</w:t>
      </w:r>
      <w:r w:rsidR="00C55933">
        <w:rPr>
          <w:szCs w:val="20"/>
          <w:lang w:eastAsia="en-AU"/>
        </w:rPr>
        <w:t xml:space="preserve"> (or deemed payment)</w:t>
      </w:r>
      <w:r w:rsidRPr="00925A3A">
        <w:rPr>
          <w:szCs w:val="20"/>
          <w:lang w:eastAsia="en-AU"/>
        </w:rPr>
        <w:t xml:space="preserve"> is deductible in another country.</w:t>
      </w:r>
    </w:p>
    <w:p w14:paraId="78F796BB" w14:textId="77777777" w:rsidR="00925A3A" w:rsidRPr="00925A3A" w:rsidRDefault="00925A3A" w:rsidP="00925A3A">
      <w:pPr>
        <w:rPr>
          <w:szCs w:val="20"/>
          <w:lang w:eastAsia="en-AU"/>
        </w:rPr>
      </w:pPr>
    </w:p>
    <w:p w14:paraId="4D5E8855" w14:textId="0925A210" w:rsidR="00925A3A" w:rsidRPr="00925A3A" w:rsidRDefault="00925A3A" w:rsidP="00925A3A">
      <w:pPr>
        <w:rPr>
          <w:szCs w:val="20"/>
          <w:lang w:eastAsia="en-AU"/>
        </w:rPr>
      </w:pPr>
      <w:r w:rsidRPr="00925A3A">
        <w:rPr>
          <w:szCs w:val="20"/>
          <w:lang w:eastAsia="en-AU"/>
        </w:rPr>
        <w:t>T</w:t>
      </w:r>
      <w:r w:rsidR="00C55933">
        <w:rPr>
          <w:szCs w:val="20"/>
          <w:lang w:eastAsia="en-AU"/>
        </w:rPr>
        <w:t>hese identified amounts are treated as</w:t>
      </w:r>
      <w:r w:rsidRPr="00925A3A">
        <w:rPr>
          <w:szCs w:val="20"/>
          <w:lang w:eastAsia="en-AU"/>
        </w:rPr>
        <w:t xml:space="preserve"> non-deductible under FH 5 or are included as assessable income under FH 6</w:t>
      </w:r>
      <w:r w:rsidR="002D5667">
        <w:rPr>
          <w:szCs w:val="20"/>
          <w:lang w:eastAsia="en-AU"/>
        </w:rPr>
        <w:t xml:space="preserve">. </w:t>
      </w:r>
      <w:r w:rsidR="00AA3F8A">
        <w:rPr>
          <w:szCs w:val="20"/>
          <w:lang w:eastAsia="en-AU"/>
        </w:rPr>
        <w:t>A</w:t>
      </w:r>
      <w:r w:rsidRPr="00925A3A">
        <w:rPr>
          <w:szCs w:val="20"/>
          <w:lang w:eastAsia="en-AU"/>
        </w:rPr>
        <w:t xml:space="preserve"> deduction for them is provided under section FH 12 to the extent they do not exceed surplus assessable income under </w:t>
      </w:r>
      <w:r w:rsidR="00C55933">
        <w:rPr>
          <w:szCs w:val="20"/>
          <w:lang w:eastAsia="en-AU"/>
        </w:rPr>
        <w:t xml:space="preserve">the offsetting rule in </w:t>
      </w:r>
      <w:r w:rsidR="00FC7613">
        <w:rPr>
          <w:szCs w:val="20"/>
          <w:lang w:eastAsia="en-AU"/>
        </w:rPr>
        <w:t xml:space="preserve">that </w:t>
      </w:r>
      <w:r w:rsidRPr="00925A3A">
        <w:rPr>
          <w:szCs w:val="20"/>
          <w:lang w:eastAsia="en-AU"/>
        </w:rPr>
        <w:t>section.</w:t>
      </w:r>
    </w:p>
    <w:p w14:paraId="3EA0FD38" w14:textId="77777777" w:rsidR="00925A3A" w:rsidRPr="00925A3A" w:rsidRDefault="00925A3A" w:rsidP="00925A3A">
      <w:pPr>
        <w:rPr>
          <w:szCs w:val="20"/>
          <w:lang w:eastAsia="en-AU"/>
        </w:rPr>
      </w:pPr>
    </w:p>
    <w:p w14:paraId="411F2D1A" w14:textId="77777777" w:rsidR="00925A3A" w:rsidRPr="00925A3A" w:rsidRDefault="00925A3A" w:rsidP="00925A3A">
      <w:pPr>
        <w:rPr>
          <w:szCs w:val="20"/>
          <w:lang w:eastAsia="en-AU"/>
        </w:rPr>
      </w:pPr>
    </w:p>
    <w:p w14:paraId="64121D87" w14:textId="77777777" w:rsidR="00925A3A" w:rsidRPr="00925A3A" w:rsidRDefault="00925A3A" w:rsidP="00925A3A">
      <w:pPr>
        <w:keepNext/>
        <w:outlineLvl w:val="1"/>
        <w:rPr>
          <w:b/>
          <w:szCs w:val="20"/>
          <w:lang w:eastAsia="en-AU"/>
        </w:rPr>
      </w:pPr>
      <w:r w:rsidRPr="00925A3A">
        <w:rPr>
          <w:b/>
          <w:szCs w:val="20"/>
          <w:lang w:eastAsia="en-AU"/>
        </w:rPr>
        <w:t>Application date</w:t>
      </w:r>
    </w:p>
    <w:p w14:paraId="2603B124" w14:textId="77777777" w:rsidR="00925A3A" w:rsidRPr="00925A3A" w:rsidRDefault="00925A3A" w:rsidP="00925A3A">
      <w:pPr>
        <w:rPr>
          <w:szCs w:val="20"/>
          <w:lang w:eastAsia="en-AU"/>
        </w:rPr>
      </w:pPr>
    </w:p>
    <w:p w14:paraId="76AF7789" w14:textId="11BDDF84" w:rsidR="00925A3A" w:rsidRPr="00925A3A" w:rsidRDefault="00925A3A" w:rsidP="00925A3A">
      <w:pPr>
        <w:rPr>
          <w:szCs w:val="20"/>
          <w:lang w:eastAsia="en-AU"/>
        </w:rPr>
      </w:pPr>
      <w:r w:rsidRPr="00925A3A">
        <w:rPr>
          <w:szCs w:val="20"/>
          <w:lang w:eastAsia="en-AU"/>
        </w:rPr>
        <w:t>The rules apply to income years beginning on or after 1 July 2018</w:t>
      </w:r>
      <w:r w:rsidR="002D5667">
        <w:rPr>
          <w:szCs w:val="20"/>
          <w:lang w:eastAsia="en-AU"/>
        </w:rPr>
        <w:t xml:space="preserve">. </w:t>
      </w:r>
      <w:r w:rsidRPr="00925A3A">
        <w:rPr>
          <w:szCs w:val="20"/>
          <w:lang w:eastAsia="en-AU"/>
        </w:rPr>
        <w:t>Section FH 5 applies to payments for which deductions are claimed in that income year or subsequently</w:t>
      </w:r>
      <w:r w:rsidR="002D5667">
        <w:rPr>
          <w:szCs w:val="20"/>
          <w:lang w:eastAsia="en-AU"/>
        </w:rPr>
        <w:t xml:space="preserve">. </w:t>
      </w:r>
      <w:r w:rsidRPr="00925A3A">
        <w:rPr>
          <w:szCs w:val="20"/>
          <w:lang w:eastAsia="en-AU"/>
        </w:rPr>
        <w:t xml:space="preserve">Section FH 6 applies only to payments that are paid on or after the start of </w:t>
      </w:r>
      <w:r w:rsidR="00AA3F8A">
        <w:rPr>
          <w:szCs w:val="20"/>
          <w:lang w:eastAsia="en-AU"/>
        </w:rPr>
        <w:t>the payee’s</w:t>
      </w:r>
      <w:r w:rsidRPr="00925A3A">
        <w:rPr>
          <w:szCs w:val="20"/>
          <w:lang w:eastAsia="en-AU"/>
        </w:rPr>
        <w:t xml:space="preserve"> income year.</w:t>
      </w:r>
    </w:p>
    <w:p w14:paraId="4489AB38" w14:textId="77777777" w:rsidR="00925A3A" w:rsidRPr="00925A3A" w:rsidRDefault="00925A3A" w:rsidP="00925A3A">
      <w:pPr>
        <w:rPr>
          <w:szCs w:val="20"/>
          <w:lang w:eastAsia="en-AU"/>
        </w:rPr>
      </w:pPr>
    </w:p>
    <w:p w14:paraId="707A6546" w14:textId="77777777" w:rsidR="00925A3A" w:rsidRPr="00925A3A" w:rsidRDefault="00925A3A" w:rsidP="00925A3A">
      <w:pPr>
        <w:rPr>
          <w:szCs w:val="20"/>
          <w:lang w:eastAsia="en-AU"/>
        </w:rPr>
      </w:pPr>
    </w:p>
    <w:p w14:paraId="228C17C8" w14:textId="77777777" w:rsidR="00925A3A" w:rsidRPr="00925A3A" w:rsidRDefault="00925A3A" w:rsidP="00925A3A">
      <w:pPr>
        <w:keepNext/>
        <w:outlineLvl w:val="1"/>
        <w:rPr>
          <w:b/>
          <w:szCs w:val="20"/>
          <w:lang w:eastAsia="en-AU"/>
        </w:rPr>
      </w:pPr>
      <w:r w:rsidRPr="00925A3A">
        <w:rPr>
          <w:b/>
          <w:szCs w:val="20"/>
          <w:lang w:eastAsia="en-AU"/>
        </w:rPr>
        <w:t>Detailed analysis</w:t>
      </w:r>
    </w:p>
    <w:p w14:paraId="7379161D" w14:textId="77777777" w:rsidR="00925A3A" w:rsidRPr="00925A3A" w:rsidRDefault="00925A3A" w:rsidP="00925A3A">
      <w:pPr>
        <w:rPr>
          <w:szCs w:val="20"/>
          <w:lang w:eastAsia="en-AU"/>
        </w:rPr>
      </w:pPr>
    </w:p>
    <w:p w14:paraId="07525B29" w14:textId="77777777" w:rsidR="00925A3A" w:rsidRPr="00925A3A" w:rsidRDefault="002D79DC" w:rsidP="00925A3A">
      <w:pPr>
        <w:keepNext/>
        <w:outlineLvl w:val="2"/>
        <w:rPr>
          <w:b/>
          <w:i/>
          <w:szCs w:val="20"/>
          <w:lang w:eastAsia="en-AU"/>
        </w:rPr>
      </w:pPr>
      <w:r>
        <w:rPr>
          <w:b/>
          <w:i/>
          <w:szCs w:val="20"/>
          <w:lang w:eastAsia="en-AU"/>
        </w:rPr>
        <w:t>S</w:t>
      </w:r>
      <w:r w:rsidR="00925A3A" w:rsidRPr="00925A3A">
        <w:rPr>
          <w:b/>
          <w:i/>
          <w:szCs w:val="20"/>
          <w:lang w:eastAsia="en-AU"/>
        </w:rPr>
        <w:t>ect</w:t>
      </w:r>
      <w:r>
        <w:rPr>
          <w:b/>
          <w:i/>
          <w:szCs w:val="20"/>
          <w:lang w:eastAsia="en-AU"/>
        </w:rPr>
        <w:t>ion FH 5</w:t>
      </w:r>
      <w:r w:rsidR="00A8140F">
        <w:rPr>
          <w:b/>
          <w:i/>
          <w:szCs w:val="20"/>
          <w:lang w:eastAsia="en-AU"/>
        </w:rPr>
        <w:t xml:space="preserve"> – primary rule</w:t>
      </w:r>
    </w:p>
    <w:p w14:paraId="7D7FFAD9" w14:textId="77777777" w:rsidR="00925A3A" w:rsidRPr="00925A3A" w:rsidRDefault="00925A3A" w:rsidP="00925A3A">
      <w:pPr>
        <w:rPr>
          <w:szCs w:val="20"/>
          <w:lang w:eastAsia="en-AU"/>
        </w:rPr>
      </w:pPr>
    </w:p>
    <w:p w14:paraId="31C7578F" w14:textId="43DA9F88" w:rsidR="00AE3EBC" w:rsidRDefault="00AE3EBC" w:rsidP="00925A3A">
      <w:pPr>
        <w:rPr>
          <w:szCs w:val="20"/>
          <w:lang w:eastAsia="en-AU"/>
        </w:rPr>
      </w:pPr>
      <w:r>
        <w:rPr>
          <w:szCs w:val="20"/>
          <w:lang w:eastAsia="en-AU"/>
        </w:rPr>
        <w:t>Sec</w:t>
      </w:r>
      <w:r w:rsidR="00213598">
        <w:rPr>
          <w:szCs w:val="20"/>
          <w:lang w:eastAsia="en-AU"/>
        </w:rPr>
        <w:t>tion FH 5 is the primary rule for</w:t>
      </w:r>
      <w:r>
        <w:rPr>
          <w:szCs w:val="20"/>
          <w:lang w:eastAsia="en-AU"/>
        </w:rPr>
        <w:t xml:space="preserve"> recommendation 3 of the OECD hybrid mismatch report and recommendation 3 of the OECD branch mismatch report</w:t>
      </w:r>
      <w:r w:rsidR="002D5667">
        <w:rPr>
          <w:szCs w:val="20"/>
          <w:lang w:eastAsia="en-AU"/>
        </w:rPr>
        <w:t xml:space="preserve">. </w:t>
      </w:r>
      <w:r w:rsidR="00E460B9">
        <w:rPr>
          <w:szCs w:val="20"/>
          <w:lang w:eastAsia="en-AU"/>
        </w:rPr>
        <w:t>It applies with priority over the defensive rules of foreign countries.</w:t>
      </w:r>
    </w:p>
    <w:p w14:paraId="4776E530" w14:textId="77777777" w:rsidR="00AE3EBC" w:rsidRDefault="00AE3EBC" w:rsidP="00925A3A">
      <w:pPr>
        <w:rPr>
          <w:szCs w:val="20"/>
          <w:lang w:eastAsia="en-AU"/>
        </w:rPr>
      </w:pPr>
    </w:p>
    <w:p w14:paraId="37432CEB" w14:textId="77777777" w:rsidR="00925A3A" w:rsidRPr="00925A3A" w:rsidRDefault="00925A3A" w:rsidP="00925A3A">
      <w:pPr>
        <w:rPr>
          <w:szCs w:val="20"/>
          <w:lang w:eastAsia="en-AU"/>
        </w:rPr>
      </w:pPr>
      <w:r w:rsidRPr="00925A3A">
        <w:rPr>
          <w:szCs w:val="20"/>
          <w:lang w:eastAsia="en-AU"/>
        </w:rPr>
        <w:t>The primary rule concerns New Zealand residents and New Zealand branches of non-residents that incur an amount of expenditure relating to</w:t>
      </w:r>
      <w:r w:rsidR="00681CB6">
        <w:rPr>
          <w:szCs w:val="20"/>
          <w:lang w:eastAsia="en-AU"/>
        </w:rPr>
        <w:t xml:space="preserve"> disregarded hybrid payments, or a charge relating to</w:t>
      </w:r>
      <w:r w:rsidRPr="00925A3A">
        <w:rPr>
          <w:szCs w:val="20"/>
          <w:lang w:eastAsia="en-AU"/>
        </w:rPr>
        <w:t xml:space="preserve"> deemed branch payments.</w:t>
      </w:r>
    </w:p>
    <w:p w14:paraId="271EFBFA" w14:textId="77777777" w:rsidR="00925A3A" w:rsidRPr="00925A3A" w:rsidRDefault="00925A3A" w:rsidP="00925A3A">
      <w:pPr>
        <w:rPr>
          <w:szCs w:val="20"/>
          <w:lang w:eastAsia="en-AU"/>
        </w:rPr>
      </w:pPr>
    </w:p>
    <w:p w14:paraId="6AB58008" w14:textId="3336D118" w:rsidR="00925A3A" w:rsidRPr="00925A3A" w:rsidRDefault="00925A3A" w:rsidP="00925A3A">
      <w:pPr>
        <w:rPr>
          <w:szCs w:val="20"/>
          <w:lang w:eastAsia="en-AU"/>
        </w:rPr>
      </w:pPr>
      <w:r w:rsidRPr="00E460B9">
        <w:rPr>
          <w:szCs w:val="20"/>
          <w:lang w:eastAsia="en-AU"/>
        </w:rPr>
        <w:t xml:space="preserve">Subsection (1) </w:t>
      </w:r>
      <w:r w:rsidR="00681CB6">
        <w:rPr>
          <w:szCs w:val="20"/>
          <w:lang w:eastAsia="en-AU"/>
        </w:rPr>
        <w:t>set</w:t>
      </w:r>
      <w:r w:rsidR="00A717EB">
        <w:rPr>
          <w:szCs w:val="20"/>
          <w:lang w:eastAsia="en-AU"/>
        </w:rPr>
        <w:t>s</w:t>
      </w:r>
      <w:r w:rsidRPr="00925A3A">
        <w:rPr>
          <w:szCs w:val="20"/>
          <w:lang w:eastAsia="en-AU"/>
        </w:rPr>
        <w:t xml:space="preserve"> out the conditions that must be satisfied </w:t>
      </w:r>
      <w:r w:rsidR="00A717EB">
        <w:rPr>
          <w:szCs w:val="20"/>
          <w:lang w:eastAsia="en-AU"/>
        </w:rPr>
        <w:t>for</w:t>
      </w:r>
      <w:r w:rsidR="00A717EB" w:rsidRPr="00925A3A">
        <w:rPr>
          <w:szCs w:val="20"/>
          <w:lang w:eastAsia="en-AU"/>
        </w:rPr>
        <w:t xml:space="preserve"> </w:t>
      </w:r>
      <w:r w:rsidRPr="00925A3A">
        <w:rPr>
          <w:szCs w:val="20"/>
          <w:lang w:eastAsia="en-AU"/>
        </w:rPr>
        <w:t xml:space="preserve">the primary rule </w:t>
      </w:r>
      <w:r w:rsidR="00A717EB">
        <w:rPr>
          <w:szCs w:val="20"/>
          <w:lang w:eastAsia="en-AU"/>
        </w:rPr>
        <w:t>to apply</w:t>
      </w:r>
      <w:r w:rsidR="002D5667">
        <w:rPr>
          <w:szCs w:val="20"/>
          <w:lang w:eastAsia="en-AU"/>
        </w:rPr>
        <w:t xml:space="preserve">. </w:t>
      </w:r>
      <w:r w:rsidRPr="00925A3A">
        <w:rPr>
          <w:szCs w:val="20"/>
          <w:lang w:eastAsia="en-AU"/>
        </w:rPr>
        <w:t>They are that:</w:t>
      </w:r>
    </w:p>
    <w:p w14:paraId="4FFDA76B" w14:textId="77777777" w:rsidR="00925A3A" w:rsidRPr="00925A3A" w:rsidRDefault="00925A3A" w:rsidP="00925A3A">
      <w:pPr>
        <w:rPr>
          <w:szCs w:val="20"/>
          <w:lang w:eastAsia="en-AU"/>
        </w:rPr>
      </w:pPr>
    </w:p>
    <w:p w14:paraId="510C9F05" w14:textId="77777777" w:rsidR="00912415" w:rsidRDefault="00912415" w:rsidP="000772C5">
      <w:pPr>
        <w:pStyle w:val="Bullets"/>
      </w:pPr>
      <w:r>
        <w:t>there must be an amount of expenditure relating to either a disregarded hybrid payment under subsection (2) or a deemed branch payment under subsection (3);</w:t>
      </w:r>
    </w:p>
    <w:p w14:paraId="6C3D52EA" w14:textId="5E45C609" w:rsidR="00681CB6" w:rsidRDefault="00681CB6" w:rsidP="000772C5">
      <w:pPr>
        <w:pStyle w:val="Bullets"/>
      </w:pPr>
      <w:r>
        <w:t>the payment or charge is not assessable income t</w:t>
      </w:r>
      <w:r w:rsidR="00D6773F">
        <w:t>o the recipient in New Zealand;</w:t>
      </w:r>
    </w:p>
    <w:p w14:paraId="07A2BB85" w14:textId="77777777" w:rsidR="00925A3A" w:rsidRPr="00925A3A" w:rsidRDefault="00925A3A" w:rsidP="000772C5">
      <w:pPr>
        <w:pStyle w:val="Bullets"/>
      </w:pPr>
      <w:r w:rsidRPr="00925A3A">
        <w:t xml:space="preserve">the expenditure </w:t>
      </w:r>
      <w:r w:rsidR="00681CB6">
        <w:t xml:space="preserve">or charge </w:t>
      </w:r>
      <w:r w:rsidRPr="00925A3A">
        <w:t>is deductible in New Zealand;</w:t>
      </w:r>
    </w:p>
    <w:p w14:paraId="09008EFF" w14:textId="77777777" w:rsidR="00925A3A" w:rsidRPr="00925A3A" w:rsidRDefault="00681CB6" w:rsidP="000772C5">
      <w:pPr>
        <w:pStyle w:val="Bullets"/>
      </w:pPr>
      <w:r>
        <w:lastRenderedPageBreak/>
        <w:t>the payment</w:t>
      </w:r>
      <w:r w:rsidR="00925A3A" w:rsidRPr="00925A3A">
        <w:t xml:space="preserve"> </w:t>
      </w:r>
      <w:r>
        <w:t xml:space="preserve">or charge </w:t>
      </w:r>
      <w:r w:rsidR="00925A3A" w:rsidRPr="00925A3A">
        <w:t>is treated as not being received in a foreign country due to the status of the payer;</w:t>
      </w:r>
    </w:p>
    <w:p w14:paraId="757A9085" w14:textId="4E2C308C" w:rsidR="00925A3A" w:rsidRPr="00925A3A" w:rsidRDefault="00681CB6" w:rsidP="000772C5">
      <w:pPr>
        <w:pStyle w:val="Bullets"/>
      </w:pPr>
      <w:r>
        <w:t>the payment or charge</w:t>
      </w:r>
      <w:r w:rsidR="00925A3A" w:rsidRPr="00925A3A">
        <w:t xml:space="preserve"> would be treated as received in a foreign country if the tax stat</w:t>
      </w:r>
      <w:r w:rsidR="00D6773F">
        <w:t>us of the payer were different;</w:t>
      </w:r>
    </w:p>
    <w:p w14:paraId="7A072DE2" w14:textId="77777777" w:rsidR="00925A3A" w:rsidRPr="00925A3A" w:rsidRDefault="00681CB6" w:rsidP="000772C5">
      <w:pPr>
        <w:pStyle w:val="Bullets"/>
        <w:spacing w:after="0"/>
      </w:pPr>
      <w:r>
        <w:t>the payment or charge</w:t>
      </w:r>
      <w:r w:rsidR="00925A3A" w:rsidRPr="00925A3A">
        <w:t xml:space="preserve"> does not give rise to tax under CFC rules in a foreign country</w:t>
      </w:r>
      <w:r w:rsidR="00ED4624">
        <w:t>.</w:t>
      </w:r>
    </w:p>
    <w:p w14:paraId="007822C7" w14:textId="77777777" w:rsidR="00ED4624" w:rsidRDefault="00ED4624" w:rsidP="005156E4">
      <w:pPr>
        <w:rPr>
          <w:szCs w:val="20"/>
          <w:lang w:eastAsia="en-AU"/>
        </w:rPr>
      </w:pPr>
    </w:p>
    <w:p w14:paraId="1BDAE085" w14:textId="77777777" w:rsidR="00ED4624" w:rsidRPr="00925A3A" w:rsidRDefault="00ED4624" w:rsidP="005156E4">
      <w:pPr>
        <w:rPr>
          <w:szCs w:val="20"/>
          <w:lang w:eastAsia="en-AU"/>
        </w:rPr>
      </w:pPr>
      <w:r>
        <w:rPr>
          <w:szCs w:val="20"/>
          <w:lang w:eastAsia="en-AU"/>
        </w:rPr>
        <w:t>For the primary rule to apply to a disregarded payment, subsection (2) must be satisfied in addition to (1). Subsection (2) requires that the</w:t>
      </w:r>
      <w:r w:rsidR="00925A3A" w:rsidRPr="00925A3A">
        <w:rPr>
          <w:szCs w:val="20"/>
          <w:lang w:eastAsia="en-AU"/>
        </w:rPr>
        <w:t xml:space="preserve"> </w:t>
      </w:r>
      <w:r w:rsidR="005328C0">
        <w:rPr>
          <w:szCs w:val="20"/>
          <w:lang w:eastAsia="en-AU"/>
        </w:rPr>
        <w:t>payer (who can be a New Zealand resident or a branch of a non-resident)</w:t>
      </w:r>
      <w:r>
        <w:rPr>
          <w:szCs w:val="20"/>
          <w:lang w:eastAsia="en-AU"/>
        </w:rPr>
        <w:t xml:space="preserve"> either</w:t>
      </w:r>
      <w:r w:rsidR="00925A3A" w:rsidRPr="00925A3A">
        <w:rPr>
          <w:szCs w:val="20"/>
          <w:lang w:eastAsia="en-AU"/>
        </w:rPr>
        <w:t xml:space="preserve"> makes a payment to another person in the same control group or</w:t>
      </w:r>
      <w:r>
        <w:rPr>
          <w:szCs w:val="20"/>
          <w:lang w:eastAsia="en-AU"/>
        </w:rPr>
        <w:t xml:space="preserve"> makes </w:t>
      </w:r>
      <w:r w:rsidR="00925A3A" w:rsidRPr="00925A3A">
        <w:rPr>
          <w:szCs w:val="20"/>
          <w:lang w:eastAsia="en-AU"/>
        </w:rPr>
        <w:t xml:space="preserve">the payment </w:t>
      </w:r>
      <w:r>
        <w:rPr>
          <w:szCs w:val="20"/>
          <w:lang w:eastAsia="en-AU"/>
        </w:rPr>
        <w:t>under</w:t>
      </w:r>
      <w:r w:rsidR="00925A3A" w:rsidRPr="00925A3A">
        <w:rPr>
          <w:szCs w:val="20"/>
          <w:lang w:eastAsia="en-AU"/>
        </w:rPr>
        <w:t xml:space="preserve"> a structured arrangement.</w:t>
      </w:r>
      <w:r>
        <w:rPr>
          <w:szCs w:val="20"/>
          <w:lang w:eastAsia="en-AU"/>
        </w:rPr>
        <w:t xml:space="preserve"> This requirement is set out separately because it </w:t>
      </w:r>
      <w:r w:rsidR="00EF31A1">
        <w:rPr>
          <w:szCs w:val="20"/>
          <w:lang w:eastAsia="en-AU"/>
        </w:rPr>
        <w:t xml:space="preserve">is not necessary for </w:t>
      </w:r>
      <w:r>
        <w:rPr>
          <w:szCs w:val="20"/>
          <w:lang w:eastAsia="en-AU"/>
        </w:rPr>
        <w:t>the deemed branch payments context.</w:t>
      </w:r>
    </w:p>
    <w:p w14:paraId="36E418F2" w14:textId="77777777" w:rsidR="00925A3A" w:rsidRPr="00925A3A" w:rsidRDefault="00925A3A" w:rsidP="00E07E56">
      <w:pPr>
        <w:rPr>
          <w:szCs w:val="20"/>
          <w:lang w:eastAsia="en-AU"/>
        </w:rPr>
      </w:pPr>
    </w:p>
    <w:p w14:paraId="679DDDF5" w14:textId="7ED1BD72" w:rsidR="00925A3A" w:rsidRPr="00925A3A" w:rsidRDefault="00925A3A" w:rsidP="005156E4">
      <w:pPr>
        <w:rPr>
          <w:szCs w:val="20"/>
          <w:lang w:eastAsia="en-AU"/>
        </w:rPr>
      </w:pPr>
      <w:r w:rsidRPr="00925A3A">
        <w:rPr>
          <w:szCs w:val="20"/>
          <w:lang w:eastAsia="en-AU"/>
        </w:rPr>
        <w:t xml:space="preserve">For the primary rule to apply to a deduction claimed by a New Zealand branch for a charge paid to a non-New Zealand part of the </w:t>
      </w:r>
      <w:r w:rsidR="00FC7613">
        <w:rPr>
          <w:szCs w:val="20"/>
          <w:lang w:eastAsia="en-AU"/>
        </w:rPr>
        <w:t xml:space="preserve">same </w:t>
      </w:r>
      <w:r w:rsidRPr="00925A3A">
        <w:rPr>
          <w:szCs w:val="20"/>
          <w:lang w:eastAsia="en-AU"/>
        </w:rPr>
        <w:t>legal entity (deemed branch payments) th</w:t>
      </w:r>
      <w:r w:rsidR="00BF02AB">
        <w:rPr>
          <w:szCs w:val="20"/>
          <w:lang w:eastAsia="en-AU"/>
        </w:rPr>
        <w:t>e</w:t>
      </w:r>
      <w:r w:rsidRPr="00925A3A">
        <w:rPr>
          <w:szCs w:val="20"/>
          <w:lang w:eastAsia="en-AU"/>
        </w:rPr>
        <w:t xml:space="preserve"> charge must satisfy the requirements of subsection (1) and some further requirements set out in subsection (</w:t>
      </w:r>
      <w:r w:rsidR="00912415">
        <w:rPr>
          <w:szCs w:val="20"/>
          <w:lang w:eastAsia="en-AU"/>
        </w:rPr>
        <w:t>3</w:t>
      </w:r>
      <w:r w:rsidRPr="00925A3A">
        <w:rPr>
          <w:szCs w:val="20"/>
          <w:lang w:eastAsia="en-AU"/>
        </w:rPr>
        <w:t>)</w:t>
      </w:r>
      <w:r w:rsidR="002D5667">
        <w:rPr>
          <w:szCs w:val="20"/>
          <w:lang w:eastAsia="en-AU"/>
        </w:rPr>
        <w:t xml:space="preserve">. </w:t>
      </w:r>
      <w:r w:rsidR="005B5F8D">
        <w:rPr>
          <w:szCs w:val="20"/>
          <w:lang w:eastAsia="en-AU"/>
        </w:rPr>
        <w:t>The purpose of these requirements is to distinguish deduction for allocation of third par</w:t>
      </w:r>
      <w:r w:rsidR="00ED4624">
        <w:rPr>
          <w:szCs w:val="20"/>
          <w:lang w:eastAsia="en-AU"/>
        </w:rPr>
        <w:t>ty expenditure (which are dealt</w:t>
      </w:r>
      <w:r w:rsidR="005B5F8D">
        <w:rPr>
          <w:szCs w:val="20"/>
          <w:lang w:eastAsia="en-AU"/>
        </w:rPr>
        <w:t xml:space="preserve"> with by section FH 9) from true intra-entity charges.</w:t>
      </w:r>
      <w:r w:rsidR="005B5F8D">
        <w:rPr>
          <w:rStyle w:val="FootnoteReference"/>
          <w:szCs w:val="20"/>
          <w:lang w:eastAsia="en-AU"/>
        </w:rPr>
        <w:footnoteReference w:id="4"/>
      </w:r>
    </w:p>
    <w:p w14:paraId="2E58E0AA" w14:textId="77777777" w:rsidR="00925A3A" w:rsidRPr="00925A3A" w:rsidRDefault="00925A3A" w:rsidP="00925A3A">
      <w:pPr>
        <w:rPr>
          <w:szCs w:val="20"/>
          <w:lang w:eastAsia="en-AU"/>
        </w:rPr>
      </w:pPr>
    </w:p>
    <w:p w14:paraId="22AF9960" w14:textId="58A05994" w:rsidR="00925A3A" w:rsidRPr="00925A3A" w:rsidRDefault="00F67F23" w:rsidP="00925A3A">
      <w:pPr>
        <w:rPr>
          <w:szCs w:val="20"/>
          <w:lang w:eastAsia="en-AU"/>
        </w:rPr>
      </w:pPr>
      <w:r>
        <w:rPr>
          <w:szCs w:val="20"/>
          <w:lang w:eastAsia="en-AU"/>
        </w:rPr>
        <w:t>Where the relevant conditions are met, t</w:t>
      </w:r>
      <w:r w:rsidR="00925A3A" w:rsidRPr="00925A3A">
        <w:rPr>
          <w:szCs w:val="20"/>
          <w:lang w:eastAsia="en-AU"/>
        </w:rPr>
        <w:t xml:space="preserve">he payer of the payment </w:t>
      </w:r>
      <w:r w:rsidR="00E07E56">
        <w:rPr>
          <w:szCs w:val="20"/>
          <w:lang w:eastAsia="en-AU"/>
        </w:rPr>
        <w:t>is denied a deduction</w:t>
      </w:r>
      <w:r w:rsidR="00925A3A" w:rsidRPr="00925A3A">
        <w:rPr>
          <w:szCs w:val="20"/>
          <w:lang w:eastAsia="en-AU"/>
        </w:rPr>
        <w:t xml:space="preserve"> for all expenditure (including foreign exchange gains and losses) relating to the payment</w:t>
      </w:r>
      <w:r>
        <w:rPr>
          <w:szCs w:val="20"/>
          <w:lang w:eastAsia="en-AU"/>
        </w:rPr>
        <w:t>, under subsection (</w:t>
      </w:r>
      <w:r w:rsidR="00E07E56">
        <w:rPr>
          <w:szCs w:val="20"/>
          <w:lang w:eastAsia="en-AU"/>
        </w:rPr>
        <w:t>4</w:t>
      </w:r>
      <w:r>
        <w:rPr>
          <w:szCs w:val="20"/>
          <w:lang w:eastAsia="en-AU"/>
        </w:rPr>
        <w:t>)</w:t>
      </w:r>
      <w:r w:rsidR="002D5667">
        <w:rPr>
          <w:szCs w:val="20"/>
          <w:lang w:eastAsia="en-AU"/>
        </w:rPr>
        <w:t xml:space="preserve">. </w:t>
      </w:r>
      <w:r w:rsidR="000A0942">
        <w:rPr>
          <w:szCs w:val="20"/>
          <w:lang w:eastAsia="en-AU"/>
        </w:rPr>
        <w:t xml:space="preserve">However, under </w:t>
      </w:r>
      <w:r w:rsidR="00925A3A" w:rsidRPr="00925A3A">
        <w:rPr>
          <w:szCs w:val="20"/>
          <w:lang w:eastAsia="en-AU"/>
        </w:rPr>
        <w:t>section FH 12, if the payer has surplus assessable income the mismatch amount may be set off against that amount.</w:t>
      </w:r>
    </w:p>
    <w:p w14:paraId="459BB385" w14:textId="77777777" w:rsidR="00925A3A" w:rsidRDefault="00925A3A" w:rsidP="00925A3A">
      <w:pPr>
        <w:rPr>
          <w:szCs w:val="20"/>
          <w:lang w:eastAsia="en-AU"/>
        </w:rPr>
      </w:pPr>
    </w:p>
    <w:p w14:paraId="53D6F113" w14:textId="77777777" w:rsidR="00D1380C" w:rsidRPr="00925A3A" w:rsidRDefault="00D1380C" w:rsidP="00925A3A">
      <w:pPr>
        <w:rPr>
          <w:szCs w:val="20"/>
          <w:lang w:eastAsia="en-AU"/>
        </w:rPr>
      </w:pPr>
    </w:p>
    <w:p w14:paraId="0142BF46" w14:textId="127DC598"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r w:rsidRPr="00925A3A">
        <w:rPr>
          <w:b/>
          <w:sz w:val="20"/>
          <w:szCs w:val="20"/>
          <w:lang w:eastAsia="en-AU"/>
        </w:rPr>
        <w:t xml:space="preserve">Example </w:t>
      </w:r>
      <w:r w:rsidR="00824EF8">
        <w:rPr>
          <w:b/>
          <w:sz w:val="20"/>
          <w:szCs w:val="20"/>
          <w:lang w:eastAsia="en-AU"/>
        </w:rPr>
        <w:t>18: D</w:t>
      </w:r>
      <w:r w:rsidR="002F7787">
        <w:rPr>
          <w:b/>
          <w:sz w:val="20"/>
          <w:szCs w:val="20"/>
          <w:lang w:eastAsia="en-AU"/>
        </w:rPr>
        <w:t xml:space="preserve">isregarded hybrid payment mismatch </w:t>
      </w:r>
      <w:r w:rsidR="009C6C71">
        <w:rPr>
          <w:b/>
          <w:sz w:val="20"/>
          <w:szCs w:val="20"/>
          <w:lang w:eastAsia="en-AU"/>
        </w:rPr>
        <w:t>(primary rule)</w:t>
      </w:r>
    </w:p>
    <w:p w14:paraId="78B09E9E"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p>
    <w:p w14:paraId="2AC20A76" w14:textId="78065C2C" w:rsidR="00925A3A" w:rsidRPr="00925A3A" w:rsidRDefault="00084753" w:rsidP="00925A3A">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Jefferson Co</w:t>
      </w:r>
      <w:r w:rsidR="00925A3A" w:rsidRPr="00925A3A">
        <w:rPr>
          <w:sz w:val="20"/>
          <w:szCs w:val="20"/>
          <w:lang w:eastAsia="en-AU"/>
        </w:rPr>
        <w:t xml:space="preserve">, a foreign company resident in Washington Country (a foreign jurisdiction) </w:t>
      </w:r>
      <w:r>
        <w:rPr>
          <w:sz w:val="20"/>
          <w:szCs w:val="20"/>
          <w:lang w:eastAsia="en-AU"/>
        </w:rPr>
        <w:t xml:space="preserve">owns </w:t>
      </w:r>
      <w:r w:rsidR="00A415BC">
        <w:rPr>
          <w:sz w:val="20"/>
          <w:szCs w:val="20"/>
          <w:lang w:eastAsia="en-AU"/>
        </w:rPr>
        <w:t xml:space="preserve">one hundred </w:t>
      </w:r>
      <w:r>
        <w:rPr>
          <w:sz w:val="20"/>
          <w:szCs w:val="20"/>
          <w:lang w:eastAsia="en-AU"/>
        </w:rPr>
        <w:t>percent of Hamilton Co</w:t>
      </w:r>
      <w:r w:rsidR="00925A3A" w:rsidRPr="00925A3A">
        <w:rPr>
          <w:sz w:val="20"/>
          <w:szCs w:val="20"/>
          <w:lang w:eastAsia="en-AU"/>
        </w:rPr>
        <w:t>, an unlimited liability company resident in New Zealand</w:t>
      </w:r>
      <w:r w:rsidR="002D5667">
        <w:rPr>
          <w:sz w:val="20"/>
          <w:szCs w:val="20"/>
          <w:lang w:eastAsia="en-AU"/>
        </w:rPr>
        <w:t xml:space="preserve">. </w:t>
      </w:r>
      <w:r w:rsidR="00925A3A" w:rsidRPr="00925A3A">
        <w:rPr>
          <w:sz w:val="20"/>
          <w:szCs w:val="20"/>
          <w:lang w:eastAsia="en-AU"/>
        </w:rPr>
        <w:t xml:space="preserve">Jefferson Co. provides Hamilton Co </w:t>
      </w:r>
      <w:r>
        <w:rPr>
          <w:sz w:val="20"/>
          <w:szCs w:val="20"/>
          <w:lang w:eastAsia="en-AU"/>
        </w:rPr>
        <w:t xml:space="preserve">with </w:t>
      </w:r>
      <w:r w:rsidR="00925A3A" w:rsidRPr="00925A3A">
        <w:rPr>
          <w:sz w:val="20"/>
          <w:szCs w:val="20"/>
          <w:lang w:eastAsia="en-AU"/>
        </w:rPr>
        <w:t>a foreign currency loan under which interest is payable annually</w:t>
      </w:r>
      <w:r w:rsidR="002D5667">
        <w:rPr>
          <w:sz w:val="20"/>
          <w:szCs w:val="20"/>
          <w:lang w:eastAsia="en-AU"/>
        </w:rPr>
        <w:t xml:space="preserve">. </w:t>
      </w:r>
      <w:r w:rsidR="00925A3A" w:rsidRPr="00925A3A">
        <w:rPr>
          <w:sz w:val="20"/>
          <w:szCs w:val="20"/>
          <w:lang w:eastAsia="en-AU"/>
        </w:rPr>
        <w:t>In the relevant income year, the foreign currency strengthens relative to the New Zealand dollar.</w:t>
      </w:r>
    </w:p>
    <w:p w14:paraId="71182802"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p>
    <w:p w14:paraId="46C3B815" w14:textId="58752958"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r w:rsidRPr="00925A3A">
        <w:rPr>
          <w:sz w:val="20"/>
          <w:szCs w:val="20"/>
          <w:lang w:eastAsia="en-AU"/>
        </w:rPr>
        <w:t>The interest payments and any foreign currency movements on the loan are deductible</w:t>
      </w:r>
      <w:r w:rsidR="00E375F2">
        <w:rPr>
          <w:sz w:val="20"/>
          <w:szCs w:val="20"/>
          <w:lang w:eastAsia="en-AU"/>
        </w:rPr>
        <w:t xml:space="preserve"> (before applying the hybrid rules)</w:t>
      </w:r>
      <w:r w:rsidRPr="00925A3A">
        <w:rPr>
          <w:sz w:val="20"/>
          <w:szCs w:val="20"/>
          <w:lang w:eastAsia="en-AU"/>
        </w:rPr>
        <w:t xml:space="preserve"> to Hamilton Co in New Zealand</w:t>
      </w:r>
      <w:r w:rsidR="002D5667">
        <w:rPr>
          <w:sz w:val="20"/>
          <w:szCs w:val="20"/>
          <w:lang w:eastAsia="en-AU"/>
        </w:rPr>
        <w:t xml:space="preserve">. </w:t>
      </w:r>
      <w:r w:rsidRPr="00925A3A">
        <w:rPr>
          <w:sz w:val="20"/>
          <w:szCs w:val="20"/>
          <w:lang w:eastAsia="en-AU"/>
        </w:rPr>
        <w:t>The laws of Washington Country allow Jefferson Co to treat Hamilton Co’s income and expenditure as attributable to Jefferson Co because of Hamilton Co’s unlimited liability</w:t>
      </w:r>
      <w:r w:rsidR="002D5667">
        <w:rPr>
          <w:sz w:val="20"/>
          <w:szCs w:val="20"/>
          <w:lang w:eastAsia="en-AU"/>
        </w:rPr>
        <w:t xml:space="preserve">. </w:t>
      </w:r>
      <w:r w:rsidRPr="00925A3A">
        <w:rPr>
          <w:sz w:val="20"/>
          <w:szCs w:val="20"/>
          <w:lang w:eastAsia="en-AU"/>
        </w:rPr>
        <w:t>This means that the interest payment is disregarded in Washington Country due to the status of the payer (Hamilton Co)</w:t>
      </w:r>
      <w:r w:rsidR="002D5667">
        <w:rPr>
          <w:sz w:val="20"/>
          <w:szCs w:val="20"/>
          <w:lang w:eastAsia="en-AU"/>
        </w:rPr>
        <w:t xml:space="preserve">. </w:t>
      </w:r>
      <w:r w:rsidRPr="00925A3A">
        <w:rPr>
          <w:sz w:val="20"/>
          <w:szCs w:val="20"/>
          <w:lang w:eastAsia="en-AU"/>
        </w:rPr>
        <w:t>If Hamilton Co were treated differently, for example if it were treated as a separate entity in Washington Country, the interest payment would be treated as received by Jefferson Co.</w:t>
      </w:r>
    </w:p>
    <w:p w14:paraId="5D79D212"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p>
    <w:p w14:paraId="257CF194" w14:textId="50F0FA11" w:rsidR="00925A3A" w:rsidRPr="00925A3A" w:rsidRDefault="00084753" w:rsidP="00925A3A">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Under </w:t>
      </w:r>
      <w:r w:rsidR="00925A3A" w:rsidRPr="00925A3A">
        <w:rPr>
          <w:sz w:val="20"/>
          <w:szCs w:val="20"/>
          <w:lang w:eastAsia="en-AU"/>
        </w:rPr>
        <w:t>section FH 5(</w:t>
      </w:r>
      <w:r w:rsidR="000B7D98">
        <w:rPr>
          <w:sz w:val="20"/>
          <w:szCs w:val="20"/>
          <w:lang w:eastAsia="en-AU"/>
        </w:rPr>
        <w:t>5</w:t>
      </w:r>
      <w:r w:rsidR="00925A3A" w:rsidRPr="00925A3A">
        <w:rPr>
          <w:sz w:val="20"/>
          <w:szCs w:val="20"/>
          <w:lang w:eastAsia="en-AU"/>
        </w:rPr>
        <w:t>), Hamilton Co has a mismatch amount for its incurred expenditure on the debt instrument</w:t>
      </w:r>
      <w:r w:rsidR="002D5667">
        <w:rPr>
          <w:sz w:val="20"/>
          <w:szCs w:val="20"/>
          <w:lang w:eastAsia="en-AU"/>
        </w:rPr>
        <w:t xml:space="preserve">. </w:t>
      </w:r>
      <w:r w:rsidR="00925A3A" w:rsidRPr="00925A3A">
        <w:rPr>
          <w:sz w:val="20"/>
          <w:szCs w:val="20"/>
          <w:lang w:eastAsia="en-AU"/>
        </w:rPr>
        <w:t xml:space="preserve">This expenditure </w:t>
      </w:r>
      <w:r w:rsidR="00FD7319">
        <w:rPr>
          <w:sz w:val="20"/>
          <w:szCs w:val="20"/>
          <w:lang w:eastAsia="en-AU"/>
        </w:rPr>
        <w:t>is</w:t>
      </w:r>
      <w:r w:rsidR="00925A3A" w:rsidRPr="00925A3A">
        <w:rPr>
          <w:sz w:val="20"/>
          <w:szCs w:val="20"/>
          <w:lang w:eastAsia="en-AU"/>
        </w:rPr>
        <w:t xml:space="preserve"> non-deductible under section FH 5(</w:t>
      </w:r>
      <w:r w:rsidR="000B7D98">
        <w:rPr>
          <w:sz w:val="20"/>
          <w:szCs w:val="20"/>
          <w:lang w:eastAsia="en-AU"/>
        </w:rPr>
        <w:t>4</w:t>
      </w:r>
      <w:r w:rsidR="00925A3A" w:rsidRPr="00925A3A">
        <w:rPr>
          <w:sz w:val="20"/>
          <w:szCs w:val="20"/>
          <w:lang w:eastAsia="en-AU"/>
        </w:rPr>
        <w:t>)</w:t>
      </w:r>
      <w:r w:rsidR="002D5667">
        <w:rPr>
          <w:sz w:val="20"/>
          <w:szCs w:val="20"/>
          <w:lang w:eastAsia="en-AU"/>
        </w:rPr>
        <w:t xml:space="preserve">. </w:t>
      </w:r>
      <w:r w:rsidR="00925A3A" w:rsidRPr="00925A3A">
        <w:rPr>
          <w:sz w:val="20"/>
          <w:szCs w:val="20"/>
          <w:lang w:eastAsia="en-AU"/>
        </w:rPr>
        <w:t>Hamilton Co would have to apply section FH 12 to determine whether a deduction can be claimed.</w:t>
      </w:r>
    </w:p>
    <w:p w14:paraId="454C89F7" w14:textId="77777777" w:rsidR="00FD7319" w:rsidRDefault="00FD7319" w:rsidP="00925A3A">
      <w:pPr>
        <w:jc w:val="left"/>
        <w:rPr>
          <w:szCs w:val="20"/>
          <w:lang w:eastAsia="en-AU"/>
        </w:rPr>
      </w:pPr>
    </w:p>
    <w:p w14:paraId="2455A259" w14:textId="77777777" w:rsidR="00925A3A" w:rsidRPr="00925A3A" w:rsidRDefault="00925A3A" w:rsidP="00925A3A">
      <w:pPr>
        <w:jc w:val="left"/>
        <w:rPr>
          <w:szCs w:val="20"/>
          <w:lang w:eastAsia="en-AU"/>
        </w:rPr>
      </w:pPr>
      <w:r w:rsidRPr="00925A3A">
        <w:rPr>
          <w:szCs w:val="20"/>
          <w:lang w:eastAsia="en-AU"/>
        </w:rPr>
        <w:br w:type="page"/>
      </w:r>
    </w:p>
    <w:p w14:paraId="0441ED1A" w14:textId="70978E61" w:rsidR="00925A3A" w:rsidRPr="00925A3A" w:rsidRDefault="00925A3A" w:rsidP="00925A3A">
      <w:pPr>
        <w:pBdr>
          <w:top w:val="single" w:sz="4" w:space="10" w:color="auto"/>
          <w:left w:val="single" w:sz="4" w:space="10" w:color="auto"/>
          <w:bottom w:val="single" w:sz="4" w:space="10" w:color="auto"/>
          <w:right w:val="single" w:sz="4" w:space="10" w:color="auto"/>
        </w:pBdr>
        <w:rPr>
          <w:b/>
          <w:sz w:val="20"/>
          <w:szCs w:val="20"/>
          <w:lang w:eastAsia="en-AU"/>
        </w:rPr>
      </w:pPr>
      <w:r w:rsidRPr="00925A3A">
        <w:rPr>
          <w:b/>
          <w:sz w:val="20"/>
          <w:szCs w:val="20"/>
          <w:lang w:eastAsia="en-AU"/>
        </w:rPr>
        <w:lastRenderedPageBreak/>
        <w:t xml:space="preserve">Example </w:t>
      </w:r>
      <w:r w:rsidR="00824EF8">
        <w:rPr>
          <w:b/>
          <w:sz w:val="20"/>
          <w:szCs w:val="20"/>
          <w:lang w:eastAsia="en-AU"/>
        </w:rPr>
        <w:t xml:space="preserve">19: </w:t>
      </w:r>
      <w:r w:rsidR="00F32C8B">
        <w:rPr>
          <w:b/>
          <w:sz w:val="20"/>
          <w:szCs w:val="20"/>
          <w:lang w:eastAsia="en-AU"/>
        </w:rPr>
        <w:fldChar w:fldCharType="begin"/>
      </w:r>
      <w:r w:rsidR="00F32C8B" w:rsidRPr="00D25F30">
        <w:rPr>
          <w:b/>
          <w:sz w:val="20"/>
          <w:szCs w:val="20"/>
          <w:lang w:eastAsia="en-AU"/>
        </w:rPr>
        <w:instrText>seq NumList</w:instrText>
      </w:r>
      <w:r w:rsidR="00F32C8B">
        <w:rPr>
          <w:b/>
          <w:sz w:val="20"/>
          <w:szCs w:val="20"/>
          <w:lang w:eastAsia="en-AU"/>
        </w:rPr>
        <w:fldChar w:fldCharType="end"/>
      </w:r>
      <w:r w:rsidR="00824EF8">
        <w:rPr>
          <w:b/>
          <w:sz w:val="20"/>
          <w:szCs w:val="20"/>
          <w:lang w:eastAsia="en-AU"/>
        </w:rPr>
        <w:t>D</w:t>
      </w:r>
      <w:r w:rsidR="002F7787">
        <w:rPr>
          <w:b/>
          <w:sz w:val="20"/>
          <w:szCs w:val="20"/>
          <w:lang w:eastAsia="en-AU"/>
        </w:rPr>
        <w:t>eemed branch payment mismatch</w:t>
      </w:r>
      <w:r w:rsidR="009C6C71">
        <w:rPr>
          <w:b/>
          <w:sz w:val="20"/>
          <w:szCs w:val="20"/>
          <w:lang w:eastAsia="en-AU"/>
        </w:rPr>
        <w:t xml:space="preserve"> (primary rule)</w:t>
      </w:r>
    </w:p>
    <w:p w14:paraId="7031BDD5"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p>
    <w:p w14:paraId="3F4C87D8" w14:textId="51A1DD6C" w:rsidR="00925A3A" w:rsidRPr="00925A3A" w:rsidRDefault="002F7787" w:rsidP="00925A3A">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Root Co</w:t>
      </w:r>
      <w:r w:rsidR="00925A3A" w:rsidRPr="00925A3A">
        <w:rPr>
          <w:sz w:val="20"/>
          <w:szCs w:val="20"/>
          <w:lang w:eastAsia="en-AU"/>
        </w:rPr>
        <w:t xml:space="preserve">, a foreign company resident in Ashes Country (a foreign jurisdiction) operates through a </w:t>
      </w:r>
      <w:r w:rsidR="00A63C23">
        <w:rPr>
          <w:sz w:val="20"/>
          <w:szCs w:val="20"/>
          <w:lang w:eastAsia="en-AU"/>
        </w:rPr>
        <w:t>branch in New Zealand</w:t>
      </w:r>
      <w:r w:rsidR="002D5667">
        <w:rPr>
          <w:sz w:val="20"/>
          <w:szCs w:val="20"/>
          <w:lang w:eastAsia="en-AU"/>
        </w:rPr>
        <w:t xml:space="preserve">. </w:t>
      </w:r>
      <w:r w:rsidR="00A63C23">
        <w:rPr>
          <w:sz w:val="20"/>
          <w:szCs w:val="20"/>
          <w:lang w:eastAsia="en-AU"/>
        </w:rPr>
        <w:t>Root Co</w:t>
      </w:r>
      <w:r w:rsidR="00925A3A" w:rsidRPr="00925A3A">
        <w:rPr>
          <w:sz w:val="20"/>
          <w:szCs w:val="20"/>
          <w:lang w:eastAsia="en-AU"/>
        </w:rPr>
        <w:t xml:space="preserve"> manufactures cricket bats in Ashes Country, and sells them to retail stores in various countries, generally via branches</w:t>
      </w:r>
      <w:r w:rsidR="00BB57AC">
        <w:rPr>
          <w:sz w:val="20"/>
          <w:szCs w:val="20"/>
          <w:lang w:eastAsia="en-AU"/>
        </w:rPr>
        <w:t xml:space="preserve"> of Root Co</w:t>
      </w:r>
      <w:r w:rsidR="00925A3A" w:rsidRPr="00925A3A">
        <w:rPr>
          <w:sz w:val="20"/>
          <w:szCs w:val="20"/>
          <w:lang w:eastAsia="en-AU"/>
        </w:rPr>
        <w:t xml:space="preserve"> in those countries, including t</w:t>
      </w:r>
      <w:r w:rsidR="00A63C23">
        <w:rPr>
          <w:sz w:val="20"/>
          <w:szCs w:val="20"/>
          <w:lang w:eastAsia="en-AU"/>
        </w:rPr>
        <w:t>he one in New Zealand</w:t>
      </w:r>
      <w:r w:rsidR="002D5667">
        <w:rPr>
          <w:sz w:val="20"/>
          <w:szCs w:val="20"/>
          <w:lang w:eastAsia="en-AU"/>
        </w:rPr>
        <w:t xml:space="preserve">. </w:t>
      </w:r>
      <w:r w:rsidR="00A63C23">
        <w:rPr>
          <w:sz w:val="20"/>
          <w:szCs w:val="20"/>
          <w:lang w:eastAsia="en-AU"/>
        </w:rPr>
        <w:t>Root Co</w:t>
      </w:r>
      <w:r w:rsidR="00925A3A" w:rsidRPr="00925A3A">
        <w:rPr>
          <w:sz w:val="20"/>
          <w:szCs w:val="20"/>
          <w:lang w:eastAsia="en-AU"/>
        </w:rPr>
        <w:t xml:space="preserve"> transfers its cricket bats from Ashes Country to its branch in New Zealand</w:t>
      </w:r>
      <w:r w:rsidR="002D5667">
        <w:rPr>
          <w:sz w:val="20"/>
          <w:szCs w:val="20"/>
          <w:lang w:eastAsia="en-AU"/>
        </w:rPr>
        <w:t xml:space="preserve">. </w:t>
      </w:r>
      <w:r w:rsidR="00925A3A" w:rsidRPr="00925A3A">
        <w:rPr>
          <w:sz w:val="20"/>
          <w:szCs w:val="20"/>
          <w:lang w:eastAsia="en-AU"/>
        </w:rPr>
        <w:t>Each cricket bat transfer is compensated for tax purposes by a $250 ch</w:t>
      </w:r>
      <w:r w:rsidR="00A63C23">
        <w:rPr>
          <w:sz w:val="20"/>
          <w:szCs w:val="20"/>
          <w:lang w:eastAsia="en-AU"/>
        </w:rPr>
        <w:t>arge from the branch to Root Co</w:t>
      </w:r>
      <w:r w:rsidR="00925A3A" w:rsidRPr="00925A3A">
        <w:rPr>
          <w:sz w:val="20"/>
          <w:szCs w:val="20"/>
          <w:lang w:eastAsia="en-AU"/>
        </w:rPr>
        <w:t xml:space="preserve"> representing $150 of c</w:t>
      </w:r>
      <w:r w:rsidR="00A63C23">
        <w:rPr>
          <w:sz w:val="20"/>
          <w:szCs w:val="20"/>
          <w:lang w:eastAsia="en-AU"/>
        </w:rPr>
        <w:t>osts per cricket bat to Root Co</w:t>
      </w:r>
      <w:r w:rsidR="00925A3A" w:rsidRPr="00925A3A">
        <w:rPr>
          <w:sz w:val="20"/>
          <w:szCs w:val="20"/>
          <w:lang w:eastAsia="en-AU"/>
        </w:rPr>
        <w:t xml:space="preserve"> as well as a $100</w:t>
      </w:r>
      <w:r w:rsidR="009B41D3">
        <w:rPr>
          <w:sz w:val="20"/>
          <w:szCs w:val="20"/>
          <w:lang w:eastAsia="en-AU"/>
        </w:rPr>
        <w:t xml:space="preserve"> arm’s length</w:t>
      </w:r>
      <w:r w:rsidR="00925A3A" w:rsidRPr="00925A3A">
        <w:rPr>
          <w:sz w:val="20"/>
          <w:szCs w:val="20"/>
          <w:lang w:eastAsia="en-AU"/>
        </w:rPr>
        <w:t xml:space="preserve"> </w:t>
      </w:r>
      <w:r w:rsidR="009B41D3" w:rsidRPr="00925A3A">
        <w:rPr>
          <w:sz w:val="20"/>
          <w:szCs w:val="20"/>
          <w:lang w:eastAsia="en-AU"/>
        </w:rPr>
        <w:t>mark</w:t>
      </w:r>
      <w:r w:rsidR="009B41D3">
        <w:rPr>
          <w:sz w:val="20"/>
          <w:szCs w:val="20"/>
          <w:lang w:eastAsia="en-AU"/>
        </w:rPr>
        <w:t>-</w:t>
      </w:r>
      <w:r w:rsidR="00925A3A" w:rsidRPr="00925A3A">
        <w:rPr>
          <w:sz w:val="20"/>
          <w:szCs w:val="20"/>
          <w:lang w:eastAsia="en-AU"/>
        </w:rPr>
        <w:t>up in recognition of the profit generating activities of the manufacturing process in Ashes Country.</w:t>
      </w:r>
      <w:r w:rsidR="009B41D3">
        <w:rPr>
          <w:sz w:val="20"/>
          <w:szCs w:val="20"/>
          <w:lang w:eastAsia="en-AU"/>
        </w:rPr>
        <w:t xml:space="preserve"> </w:t>
      </w:r>
      <w:r w:rsidR="009B41D3" w:rsidRPr="009B41D3">
        <w:rPr>
          <w:sz w:val="20"/>
          <w:szCs w:val="20"/>
          <w:lang w:eastAsia="en-AU"/>
        </w:rPr>
        <w:t>This $100 mark-up is approximately the same as the marginal profit Root Co receives upon selling a cricket bat in Ashes Country.</w:t>
      </w:r>
    </w:p>
    <w:p w14:paraId="76043FDC"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p>
    <w:p w14:paraId="1C12C553" w14:textId="3FDDECD1"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r w:rsidRPr="00925A3A">
        <w:rPr>
          <w:sz w:val="20"/>
          <w:szCs w:val="20"/>
          <w:lang w:eastAsia="en-AU"/>
        </w:rPr>
        <w:t xml:space="preserve">Currently, the entirety of the $250 </w:t>
      </w:r>
      <w:r w:rsidR="00A63C23">
        <w:rPr>
          <w:sz w:val="20"/>
          <w:szCs w:val="20"/>
          <w:lang w:eastAsia="en-AU"/>
        </w:rPr>
        <w:t>charge is deductible to Root Co</w:t>
      </w:r>
      <w:r w:rsidRPr="00925A3A">
        <w:rPr>
          <w:sz w:val="20"/>
          <w:szCs w:val="20"/>
          <w:lang w:eastAsia="en-AU"/>
        </w:rPr>
        <w:t>’s branch in New Zealand and can be offset against income earned by the branch for cricket bat sales</w:t>
      </w:r>
      <w:r w:rsidR="002D5667">
        <w:rPr>
          <w:sz w:val="20"/>
          <w:szCs w:val="20"/>
          <w:lang w:eastAsia="en-AU"/>
        </w:rPr>
        <w:t xml:space="preserve">. </w:t>
      </w:r>
      <w:r w:rsidRPr="00925A3A">
        <w:rPr>
          <w:sz w:val="20"/>
          <w:szCs w:val="20"/>
          <w:lang w:eastAsia="en-AU"/>
        </w:rPr>
        <w:t>Ashes Country exempts active branch income from taxation.</w:t>
      </w:r>
    </w:p>
    <w:p w14:paraId="1728B1EF"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p>
    <w:p w14:paraId="0F3EDAD2"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r w:rsidRPr="00925A3A">
        <w:rPr>
          <w:sz w:val="20"/>
          <w:szCs w:val="20"/>
          <w:lang w:eastAsia="en-AU"/>
        </w:rPr>
        <w:t>The $250 is potentially within scope of proposed section FH 5 as a deemed branch payment.</w:t>
      </w:r>
    </w:p>
    <w:p w14:paraId="795D5838"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p>
    <w:p w14:paraId="0D0E4373" w14:textId="0D2792FC"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r w:rsidRPr="00925A3A">
        <w:rPr>
          <w:sz w:val="20"/>
          <w:szCs w:val="20"/>
          <w:lang w:eastAsia="en-AU"/>
        </w:rPr>
        <w:t>The $150 cost component of the charge is not within scope of section FH 5</w:t>
      </w:r>
      <w:r w:rsidR="002D5667">
        <w:rPr>
          <w:sz w:val="20"/>
          <w:szCs w:val="20"/>
          <w:lang w:eastAsia="en-AU"/>
        </w:rPr>
        <w:t xml:space="preserve">. </w:t>
      </w:r>
      <w:r w:rsidRPr="00925A3A">
        <w:rPr>
          <w:sz w:val="20"/>
          <w:szCs w:val="20"/>
          <w:lang w:eastAsia="en-AU"/>
        </w:rPr>
        <w:t>This is because it does not satisfy proposed section FH 5(</w:t>
      </w:r>
      <w:r w:rsidR="00BE1853">
        <w:rPr>
          <w:sz w:val="20"/>
          <w:szCs w:val="20"/>
          <w:lang w:eastAsia="en-AU"/>
        </w:rPr>
        <w:t>3</w:t>
      </w:r>
      <w:r w:rsidRPr="00925A3A">
        <w:rPr>
          <w:sz w:val="20"/>
          <w:szCs w:val="20"/>
          <w:lang w:eastAsia="en-AU"/>
        </w:rPr>
        <w:t>)(b) due to the amount being determined by reference to the actual costs of Root Co. (though this amount may be subject to proposed section FH 9)</w:t>
      </w:r>
      <w:r w:rsidR="002D5667">
        <w:rPr>
          <w:sz w:val="20"/>
          <w:szCs w:val="20"/>
          <w:lang w:eastAsia="en-AU"/>
        </w:rPr>
        <w:t xml:space="preserve">. </w:t>
      </w:r>
      <w:r w:rsidRPr="00925A3A">
        <w:rPr>
          <w:sz w:val="20"/>
          <w:szCs w:val="20"/>
          <w:lang w:eastAsia="en-AU"/>
        </w:rPr>
        <w:t>However, the $100</w:t>
      </w:r>
      <w:r w:rsidR="009B41D3">
        <w:rPr>
          <w:sz w:val="20"/>
          <w:szCs w:val="20"/>
          <w:lang w:eastAsia="en-AU"/>
        </w:rPr>
        <w:t xml:space="preserve"> arm’s length</w:t>
      </w:r>
      <w:r w:rsidRPr="00925A3A">
        <w:rPr>
          <w:sz w:val="20"/>
          <w:szCs w:val="20"/>
          <w:lang w:eastAsia="en-AU"/>
        </w:rPr>
        <w:t xml:space="preserve"> </w:t>
      </w:r>
      <w:r w:rsidR="009B41D3" w:rsidRPr="00925A3A">
        <w:rPr>
          <w:sz w:val="20"/>
          <w:szCs w:val="20"/>
          <w:lang w:eastAsia="en-AU"/>
        </w:rPr>
        <w:t>mark</w:t>
      </w:r>
      <w:r w:rsidR="009B41D3">
        <w:rPr>
          <w:sz w:val="20"/>
          <w:szCs w:val="20"/>
          <w:lang w:eastAsia="en-AU"/>
        </w:rPr>
        <w:t>-</w:t>
      </w:r>
      <w:r w:rsidRPr="00925A3A">
        <w:rPr>
          <w:sz w:val="20"/>
          <w:szCs w:val="20"/>
          <w:lang w:eastAsia="en-AU"/>
        </w:rPr>
        <w:t>up component of the charge meets the requirements of section FH 5(</w:t>
      </w:r>
      <w:r w:rsidR="00BE1853">
        <w:rPr>
          <w:sz w:val="20"/>
          <w:szCs w:val="20"/>
          <w:lang w:eastAsia="en-AU"/>
        </w:rPr>
        <w:t>3</w:t>
      </w:r>
      <w:r w:rsidRPr="00925A3A">
        <w:rPr>
          <w:sz w:val="20"/>
          <w:szCs w:val="20"/>
          <w:lang w:eastAsia="en-AU"/>
        </w:rPr>
        <w:t>)(b) as it is a profit-based amount and so it is not determined by reference to any payments made by Root Co. or any other person in a control group with Root Co.</w:t>
      </w:r>
    </w:p>
    <w:p w14:paraId="773E43DA"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 w:val="20"/>
          <w:szCs w:val="20"/>
          <w:lang w:eastAsia="en-AU"/>
        </w:rPr>
      </w:pPr>
    </w:p>
    <w:p w14:paraId="2ABE016D"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zCs w:val="20"/>
          <w:lang w:eastAsia="en-AU"/>
        </w:rPr>
      </w:pPr>
      <w:r w:rsidRPr="00925A3A">
        <w:rPr>
          <w:sz w:val="20"/>
          <w:szCs w:val="20"/>
          <w:lang w:eastAsia="en-AU"/>
        </w:rPr>
        <w:t xml:space="preserve">To the extent that the $100 mark up portion of the transfer price for each bat is not treated as income of Root Co. in Ashes </w:t>
      </w:r>
      <w:r w:rsidR="00BF02AB">
        <w:rPr>
          <w:sz w:val="20"/>
          <w:szCs w:val="20"/>
          <w:lang w:eastAsia="en-AU"/>
        </w:rPr>
        <w:t>Country</w:t>
      </w:r>
      <w:r w:rsidRPr="00925A3A">
        <w:rPr>
          <w:sz w:val="20"/>
          <w:szCs w:val="20"/>
          <w:lang w:eastAsia="en-AU"/>
        </w:rPr>
        <w:t>, it will be denied a deduction under section FH 5(</w:t>
      </w:r>
      <w:r w:rsidR="00BE1853">
        <w:rPr>
          <w:sz w:val="20"/>
          <w:szCs w:val="20"/>
          <w:lang w:eastAsia="en-AU"/>
        </w:rPr>
        <w:t>4</w:t>
      </w:r>
      <w:r w:rsidR="00BE1853" w:rsidRPr="00925A3A">
        <w:rPr>
          <w:sz w:val="20"/>
          <w:szCs w:val="20"/>
          <w:lang w:eastAsia="en-AU"/>
        </w:rPr>
        <w:t>)</w:t>
      </w:r>
      <w:r w:rsidR="00BE1853">
        <w:rPr>
          <w:sz w:val="20"/>
          <w:szCs w:val="20"/>
          <w:lang w:eastAsia="en-AU"/>
        </w:rPr>
        <w:t xml:space="preserve">. It will also be a mismatch amount under FH 5(5) until </w:t>
      </w:r>
      <w:r w:rsidR="004B2286">
        <w:rPr>
          <w:sz w:val="20"/>
          <w:szCs w:val="20"/>
          <w:lang w:eastAsia="en-AU"/>
        </w:rPr>
        <w:t xml:space="preserve">there is surplus assessable income against which </w:t>
      </w:r>
      <w:r w:rsidR="00BE1853">
        <w:rPr>
          <w:sz w:val="20"/>
          <w:szCs w:val="20"/>
          <w:lang w:eastAsia="en-AU"/>
        </w:rPr>
        <w:t>it</w:t>
      </w:r>
      <w:r w:rsidR="004B2286">
        <w:rPr>
          <w:sz w:val="20"/>
          <w:szCs w:val="20"/>
          <w:lang w:eastAsia="en-AU"/>
        </w:rPr>
        <w:t xml:space="preserve"> may be set off under section FH 12</w:t>
      </w:r>
      <w:r w:rsidRPr="00925A3A">
        <w:rPr>
          <w:sz w:val="20"/>
          <w:szCs w:val="20"/>
          <w:lang w:eastAsia="en-AU"/>
        </w:rPr>
        <w:t>.</w:t>
      </w:r>
    </w:p>
    <w:p w14:paraId="5649768E" w14:textId="77777777" w:rsidR="00925A3A" w:rsidRDefault="00925A3A" w:rsidP="00925A3A">
      <w:pPr>
        <w:rPr>
          <w:szCs w:val="20"/>
          <w:lang w:eastAsia="en-AU"/>
        </w:rPr>
      </w:pPr>
    </w:p>
    <w:p w14:paraId="5B561C1F" w14:textId="77777777" w:rsidR="00925A3A" w:rsidRPr="00925A3A" w:rsidRDefault="00925A3A" w:rsidP="00925A3A">
      <w:pPr>
        <w:rPr>
          <w:szCs w:val="20"/>
          <w:lang w:eastAsia="en-AU"/>
        </w:rPr>
      </w:pPr>
    </w:p>
    <w:p w14:paraId="1181B8BE" w14:textId="77777777" w:rsidR="00925A3A" w:rsidRPr="00925A3A" w:rsidRDefault="00A8140F" w:rsidP="00925A3A">
      <w:pPr>
        <w:keepNext/>
        <w:outlineLvl w:val="2"/>
        <w:rPr>
          <w:b/>
          <w:i/>
          <w:szCs w:val="20"/>
          <w:lang w:eastAsia="en-AU"/>
        </w:rPr>
      </w:pPr>
      <w:r>
        <w:rPr>
          <w:b/>
          <w:i/>
          <w:szCs w:val="20"/>
          <w:lang w:eastAsia="en-AU"/>
        </w:rPr>
        <w:t>Section FH 6 – defensive rule</w:t>
      </w:r>
    </w:p>
    <w:p w14:paraId="3898FE95" w14:textId="77777777" w:rsidR="00925A3A" w:rsidRPr="00925A3A" w:rsidRDefault="00925A3A" w:rsidP="00925A3A">
      <w:pPr>
        <w:rPr>
          <w:szCs w:val="20"/>
          <w:lang w:eastAsia="en-AU"/>
        </w:rPr>
      </w:pPr>
    </w:p>
    <w:p w14:paraId="606B5E63" w14:textId="16171A24" w:rsidR="00213598" w:rsidRDefault="00213598" w:rsidP="00213598">
      <w:pPr>
        <w:rPr>
          <w:szCs w:val="20"/>
          <w:lang w:eastAsia="en-AU"/>
        </w:rPr>
      </w:pPr>
      <w:r>
        <w:rPr>
          <w:szCs w:val="20"/>
          <w:lang w:eastAsia="en-AU"/>
        </w:rPr>
        <w:t>Section FH 6</w:t>
      </w:r>
      <w:r w:rsidR="00F36467">
        <w:rPr>
          <w:szCs w:val="20"/>
          <w:lang w:eastAsia="en-AU"/>
        </w:rPr>
        <w:t xml:space="preserve"> is the defensive</w:t>
      </w:r>
      <w:r>
        <w:rPr>
          <w:szCs w:val="20"/>
          <w:lang w:eastAsia="en-AU"/>
        </w:rPr>
        <w:t xml:space="preserve"> rule for recommendation 3 of the OECD hybrid mismatch report.</w:t>
      </w:r>
      <w:r w:rsidR="00FF6F3F">
        <w:rPr>
          <w:szCs w:val="20"/>
          <w:lang w:eastAsia="en-AU"/>
        </w:rPr>
        <w:t xml:space="preserve"> It also applies as a defensive rule for recommendation 3 of the OECD branch mismatch report, though the report does not recommend a defensive rule.</w:t>
      </w:r>
    </w:p>
    <w:p w14:paraId="1210E804" w14:textId="77777777" w:rsidR="00213598" w:rsidRDefault="00213598" w:rsidP="00925A3A">
      <w:pPr>
        <w:rPr>
          <w:szCs w:val="20"/>
          <w:lang w:eastAsia="en-AU"/>
        </w:rPr>
      </w:pPr>
    </w:p>
    <w:p w14:paraId="2DA19215" w14:textId="0F529772" w:rsidR="00FF6F3F" w:rsidRDefault="00925A3A" w:rsidP="00925A3A">
      <w:pPr>
        <w:rPr>
          <w:szCs w:val="20"/>
          <w:lang w:eastAsia="en-AU"/>
        </w:rPr>
      </w:pPr>
      <w:r w:rsidRPr="00925A3A">
        <w:rPr>
          <w:szCs w:val="20"/>
          <w:lang w:eastAsia="en-AU"/>
        </w:rPr>
        <w:t>The defensive rule mirrors the primary rule and is targeted at payments that are</w:t>
      </w:r>
      <w:r w:rsidR="00FF6F3F">
        <w:rPr>
          <w:szCs w:val="20"/>
          <w:lang w:eastAsia="en-AU"/>
        </w:rPr>
        <w:t>:</w:t>
      </w:r>
    </w:p>
    <w:p w14:paraId="3C684453" w14:textId="77777777" w:rsidR="000772C5" w:rsidRDefault="000772C5" w:rsidP="00925A3A">
      <w:pPr>
        <w:rPr>
          <w:szCs w:val="20"/>
          <w:lang w:eastAsia="en-AU"/>
        </w:rPr>
      </w:pPr>
    </w:p>
    <w:p w14:paraId="2A6E050C" w14:textId="0B2F5190" w:rsidR="00FF6F3F" w:rsidRDefault="00925A3A" w:rsidP="000772C5">
      <w:pPr>
        <w:pStyle w:val="Bullets"/>
      </w:pPr>
      <w:r w:rsidRPr="00FF6F3F">
        <w:t>deductible to a foreign entity but disregarded in Ne</w:t>
      </w:r>
      <w:r w:rsidR="00F36467" w:rsidRPr="00FF6F3F">
        <w:t>w Zealand</w:t>
      </w:r>
      <w:r w:rsidR="00FF6F3F">
        <w:t>;</w:t>
      </w:r>
      <w:r w:rsidR="00D6773F">
        <w:t xml:space="preserve"> and</w:t>
      </w:r>
    </w:p>
    <w:p w14:paraId="59C479E5" w14:textId="77777777" w:rsidR="00925A3A" w:rsidRPr="00FF6F3F" w:rsidRDefault="00925A3A" w:rsidP="000772C5">
      <w:pPr>
        <w:pStyle w:val="Bullets"/>
        <w:spacing w:after="0"/>
      </w:pPr>
      <w:r w:rsidRPr="00FF6F3F">
        <w:t>foreign branches of New Zealand persons</w:t>
      </w:r>
      <w:r w:rsidR="00FF6F3F">
        <w:t xml:space="preserve"> who are entitled to a deduction in </w:t>
      </w:r>
      <w:r w:rsidR="000A6F06">
        <w:t>another</w:t>
      </w:r>
      <w:r w:rsidR="00FF6F3F">
        <w:t xml:space="preserve"> country for a</w:t>
      </w:r>
      <w:r w:rsidRPr="00FF6F3F">
        <w:t xml:space="preserve"> deemed branch payment</w:t>
      </w:r>
      <w:r w:rsidR="00F36467" w:rsidRPr="00FF6F3F">
        <w:t xml:space="preserve"> or charge</w:t>
      </w:r>
      <w:r w:rsidRPr="00FF6F3F">
        <w:t>.</w:t>
      </w:r>
    </w:p>
    <w:p w14:paraId="61852C8B" w14:textId="77777777" w:rsidR="00925A3A" w:rsidRPr="00925A3A" w:rsidRDefault="00925A3A" w:rsidP="00925A3A">
      <w:pPr>
        <w:rPr>
          <w:szCs w:val="20"/>
          <w:lang w:eastAsia="en-AU"/>
        </w:rPr>
      </w:pPr>
    </w:p>
    <w:p w14:paraId="4D0AAEFB" w14:textId="77777777" w:rsidR="00925A3A" w:rsidRPr="00925A3A" w:rsidRDefault="00F36467" w:rsidP="00925A3A">
      <w:pPr>
        <w:rPr>
          <w:szCs w:val="20"/>
          <w:lang w:eastAsia="en-AU"/>
        </w:rPr>
      </w:pPr>
      <w:r w:rsidRPr="00F30BCB">
        <w:rPr>
          <w:szCs w:val="20"/>
          <w:lang w:eastAsia="en-AU"/>
        </w:rPr>
        <w:t>Subsection (1)</w:t>
      </w:r>
      <w:r w:rsidR="00005DC0" w:rsidRPr="00F30BCB">
        <w:rPr>
          <w:szCs w:val="20"/>
          <w:lang w:eastAsia="en-AU"/>
        </w:rPr>
        <w:t xml:space="preserve"> </w:t>
      </w:r>
      <w:r>
        <w:rPr>
          <w:szCs w:val="20"/>
          <w:lang w:eastAsia="en-AU"/>
        </w:rPr>
        <w:t xml:space="preserve">of </w:t>
      </w:r>
      <w:r w:rsidR="008E7AED">
        <w:rPr>
          <w:szCs w:val="20"/>
          <w:lang w:eastAsia="en-AU"/>
        </w:rPr>
        <w:t>section FH 6 set</w:t>
      </w:r>
      <w:r w:rsidR="00F30BCB">
        <w:rPr>
          <w:szCs w:val="20"/>
          <w:lang w:eastAsia="en-AU"/>
        </w:rPr>
        <w:t>s</w:t>
      </w:r>
      <w:r w:rsidR="00925A3A" w:rsidRPr="00925A3A">
        <w:rPr>
          <w:szCs w:val="20"/>
          <w:lang w:eastAsia="en-AU"/>
        </w:rPr>
        <w:t xml:space="preserve"> out the requirements for the defensive rule to apply:</w:t>
      </w:r>
    </w:p>
    <w:p w14:paraId="2DE7AEE6" w14:textId="77777777" w:rsidR="00925A3A" w:rsidRPr="00925A3A" w:rsidRDefault="00925A3A" w:rsidP="00925A3A">
      <w:pPr>
        <w:rPr>
          <w:szCs w:val="20"/>
          <w:lang w:eastAsia="en-AU"/>
        </w:rPr>
      </w:pPr>
    </w:p>
    <w:p w14:paraId="2C2D6D9F" w14:textId="6F524EF2" w:rsidR="00925A3A" w:rsidRPr="00925A3A" w:rsidRDefault="00925A3A" w:rsidP="000772C5">
      <w:pPr>
        <w:pStyle w:val="Bullets"/>
      </w:pPr>
      <w:r w:rsidRPr="00925A3A">
        <w:t xml:space="preserve">a non-resident, or foreign branch of a New Zealand resident, must be treated by the relevant foreign </w:t>
      </w:r>
      <w:r w:rsidR="00433C50">
        <w:t>country</w:t>
      </w:r>
      <w:r w:rsidR="00433C50" w:rsidRPr="00925A3A">
        <w:t xml:space="preserve"> </w:t>
      </w:r>
      <w:r w:rsidRPr="00925A3A">
        <w:t xml:space="preserve">as </w:t>
      </w:r>
      <w:r w:rsidR="00F36467">
        <w:t xml:space="preserve">having </w:t>
      </w:r>
      <w:r w:rsidRPr="00925A3A">
        <w:t>made a payment</w:t>
      </w:r>
      <w:r w:rsidR="00C81646">
        <w:t xml:space="preserve"> (a disregarded hybrid payment) meeting the requirements of </w:t>
      </w:r>
      <w:r w:rsidR="00BF02AB">
        <w:t xml:space="preserve">subsection </w:t>
      </w:r>
      <w:r w:rsidR="00C81646">
        <w:t>(2) to a person in New Zealand</w:t>
      </w:r>
      <w:r w:rsidR="00F36467">
        <w:t xml:space="preserve"> or</w:t>
      </w:r>
      <w:r w:rsidR="00C81646">
        <w:t xml:space="preserve"> having</w:t>
      </w:r>
      <w:r w:rsidR="00F36467">
        <w:t xml:space="preserve"> incurred a</w:t>
      </w:r>
      <w:r w:rsidR="00B52067">
        <w:t xml:space="preserve"> </w:t>
      </w:r>
      <w:r w:rsidR="00C81646">
        <w:t xml:space="preserve">deemed branch payment meeting the requirements of </w:t>
      </w:r>
      <w:r w:rsidR="00BF02AB">
        <w:t xml:space="preserve">subsection </w:t>
      </w:r>
      <w:r w:rsidR="00C81646">
        <w:t>(3)</w:t>
      </w:r>
      <w:r w:rsidRPr="00925A3A">
        <w:t>;</w:t>
      </w:r>
    </w:p>
    <w:p w14:paraId="65D32BD9" w14:textId="354A21F7" w:rsidR="00925A3A" w:rsidRDefault="00925A3A" w:rsidP="000772C5">
      <w:pPr>
        <w:pStyle w:val="Bullets"/>
      </w:pPr>
      <w:r w:rsidRPr="00925A3A">
        <w:t xml:space="preserve">the relevant foreign </w:t>
      </w:r>
      <w:r w:rsidR="00433C50">
        <w:t>country</w:t>
      </w:r>
      <w:r w:rsidR="00433C50" w:rsidRPr="00925A3A">
        <w:t xml:space="preserve"> </w:t>
      </w:r>
      <w:r w:rsidRPr="00925A3A">
        <w:t>allows the payer a deduction for the pa</w:t>
      </w:r>
      <w:r w:rsidR="00D6773F">
        <w:t>yment or equivalent tax relief;</w:t>
      </w:r>
    </w:p>
    <w:p w14:paraId="714621C9" w14:textId="14795AE3" w:rsidR="008A348F" w:rsidRPr="00925A3A" w:rsidRDefault="008A348F" w:rsidP="000772C5">
      <w:pPr>
        <w:pStyle w:val="Bullets"/>
      </w:pPr>
      <w:r>
        <w:t xml:space="preserve">the relevant foreign </w:t>
      </w:r>
      <w:r w:rsidR="00433C50">
        <w:t xml:space="preserve">country </w:t>
      </w:r>
      <w:r>
        <w:t>does not have hybrid mismatch legislation corresponding to section FH 5 (the primary rule) that applies to the payer and the charge</w:t>
      </w:r>
      <w:r w:rsidR="00544E66">
        <w:t xml:space="preserve"> for any part of the relevant year</w:t>
      </w:r>
      <w:r w:rsidR="008518D5">
        <w:t xml:space="preserve"> (</w:t>
      </w:r>
      <w:r w:rsidR="00544E66">
        <w:t>in that case</w:t>
      </w:r>
      <w:r w:rsidR="008518D5">
        <w:t xml:space="preserve">, the foreign </w:t>
      </w:r>
      <w:r w:rsidR="000428DE">
        <w:t xml:space="preserve">country’s </w:t>
      </w:r>
      <w:r w:rsidR="008518D5">
        <w:t>primary rule would take priority)</w:t>
      </w:r>
      <w:r w:rsidR="00D6773F">
        <w:t>;</w:t>
      </w:r>
    </w:p>
    <w:p w14:paraId="2A8B02D3" w14:textId="77777777" w:rsidR="00925A3A" w:rsidRPr="00925A3A" w:rsidRDefault="00925A3A" w:rsidP="000772C5">
      <w:pPr>
        <w:pStyle w:val="Bullets"/>
      </w:pPr>
      <w:r w:rsidRPr="00925A3A">
        <w:t>the person in New Zealand does not derive assessable income from th</w:t>
      </w:r>
      <w:r w:rsidR="00BF02AB">
        <w:t>e</w:t>
      </w:r>
      <w:r w:rsidRPr="00925A3A">
        <w:t xml:space="preserve"> payment;</w:t>
      </w:r>
    </w:p>
    <w:p w14:paraId="31F81439" w14:textId="77777777" w:rsidR="00925A3A" w:rsidRPr="00925A3A" w:rsidRDefault="00925A3A" w:rsidP="000772C5">
      <w:pPr>
        <w:pStyle w:val="Bullets"/>
      </w:pPr>
      <w:r w:rsidRPr="00925A3A">
        <w:lastRenderedPageBreak/>
        <w:t>the payment would result in assessable income for the person in New Zealand if:</w:t>
      </w:r>
    </w:p>
    <w:p w14:paraId="152C91B2" w14:textId="257F6207" w:rsidR="00925A3A" w:rsidRPr="00925A3A" w:rsidRDefault="00925A3A" w:rsidP="000772C5">
      <w:pPr>
        <w:pStyle w:val="Bullets2"/>
        <w:spacing w:after="140"/>
        <w:contextualSpacing w:val="0"/>
      </w:pPr>
      <w:r w:rsidRPr="00925A3A">
        <w:t xml:space="preserve">in the case of a hybrid mismatch, the tax status of the payer </w:t>
      </w:r>
      <w:proofErr w:type="gramStart"/>
      <w:r w:rsidRPr="00925A3A">
        <w:t>were</w:t>
      </w:r>
      <w:proofErr w:type="gramEnd"/>
      <w:r w:rsidRPr="00925A3A">
        <w:t xml:space="preserve"> different</w:t>
      </w:r>
      <w:r w:rsidR="002D5667">
        <w:t xml:space="preserve">. </w:t>
      </w:r>
      <w:r w:rsidRPr="00925A3A">
        <w:t>New Zealand tax law does not generally provide for foreign entities to be entirely disregarded</w:t>
      </w:r>
      <w:r w:rsidR="002D5667">
        <w:t xml:space="preserve">. </w:t>
      </w:r>
      <w:r w:rsidRPr="00925A3A">
        <w:t>Even if they are fiscally transparent, such as partnerships, a payment by the entity to a member is generally taken account of for tax purposes (albeit that inclusion by the member of the payment may be largely offset by attribution</w:t>
      </w:r>
      <w:r w:rsidR="00162736">
        <w:t xml:space="preserve"> to the member</w:t>
      </w:r>
      <w:r w:rsidRPr="00925A3A">
        <w:t xml:space="preserve"> of a share of the deduction – this means the payment is potentially subject to section FH 9)</w:t>
      </w:r>
      <w:r w:rsidR="002D5667">
        <w:t xml:space="preserve">. </w:t>
      </w:r>
      <w:r w:rsidRPr="00925A3A">
        <w:t>One case where a payment can be disregarded in this way is where it is made by one member of a tax consolidated group to another member – see section FM 8(2); or</w:t>
      </w:r>
    </w:p>
    <w:p w14:paraId="69DE1BF9" w14:textId="77777777" w:rsidR="00630678" w:rsidRPr="00AE1527" w:rsidRDefault="00925A3A" w:rsidP="000772C5">
      <w:pPr>
        <w:pStyle w:val="Bullets2"/>
      </w:pPr>
      <w:r w:rsidRPr="00925A3A">
        <w:t>in the case of a branch mismatch, the payer and payee were separate persons; and</w:t>
      </w:r>
    </w:p>
    <w:p w14:paraId="08E41626" w14:textId="77777777" w:rsidR="00630678" w:rsidRDefault="00630678" w:rsidP="00925A3A">
      <w:pPr>
        <w:rPr>
          <w:szCs w:val="20"/>
          <w:lang w:eastAsia="en-AU"/>
        </w:rPr>
      </w:pPr>
    </w:p>
    <w:p w14:paraId="3132587E" w14:textId="0EA06333" w:rsidR="00F30BCB" w:rsidRPr="00925A3A" w:rsidRDefault="00F30BCB" w:rsidP="00F30BCB">
      <w:pPr>
        <w:rPr>
          <w:szCs w:val="20"/>
          <w:lang w:eastAsia="en-AU"/>
        </w:rPr>
      </w:pPr>
      <w:r>
        <w:rPr>
          <w:szCs w:val="20"/>
          <w:lang w:eastAsia="en-AU"/>
        </w:rPr>
        <w:t xml:space="preserve">For the defensive rule to apply to a disregarded payment, subsection (2) must be satisfied in addition to (1). Subsection (2) requires that </w:t>
      </w:r>
      <w:r w:rsidRPr="00925A3A">
        <w:rPr>
          <w:szCs w:val="20"/>
          <w:lang w:eastAsia="en-AU"/>
        </w:rPr>
        <w:t>the relevan</w:t>
      </w:r>
      <w:r>
        <w:rPr>
          <w:szCs w:val="20"/>
          <w:lang w:eastAsia="en-AU"/>
        </w:rPr>
        <w:t xml:space="preserve">t parties are a </w:t>
      </w:r>
      <w:r w:rsidR="00EF31A1">
        <w:rPr>
          <w:szCs w:val="20"/>
          <w:lang w:eastAsia="en-AU"/>
        </w:rPr>
        <w:t>payee in New Zealand</w:t>
      </w:r>
      <w:r>
        <w:rPr>
          <w:szCs w:val="20"/>
          <w:lang w:eastAsia="en-AU"/>
        </w:rPr>
        <w:t xml:space="preserve"> that is in the same control group as the payer</w:t>
      </w:r>
      <w:r w:rsidR="00EF31A1">
        <w:rPr>
          <w:szCs w:val="20"/>
          <w:lang w:eastAsia="en-AU"/>
        </w:rPr>
        <w:t xml:space="preserve"> (who can be a non-resident or a foreign branch of a New Zealand resident)</w:t>
      </w:r>
      <w:r w:rsidRPr="00925A3A">
        <w:rPr>
          <w:szCs w:val="20"/>
          <w:lang w:eastAsia="en-AU"/>
        </w:rPr>
        <w:t xml:space="preserve"> or</w:t>
      </w:r>
      <w:r>
        <w:rPr>
          <w:szCs w:val="20"/>
          <w:lang w:eastAsia="en-AU"/>
        </w:rPr>
        <w:t xml:space="preserve"> that </w:t>
      </w:r>
      <w:r w:rsidRPr="00925A3A">
        <w:rPr>
          <w:szCs w:val="20"/>
          <w:lang w:eastAsia="en-AU"/>
        </w:rPr>
        <w:t>the payment</w:t>
      </w:r>
      <w:r>
        <w:rPr>
          <w:szCs w:val="20"/>
          <w:lang w:eastAsia="en-AU"/>
        </w:rPr>
        <w:t xml:space="preserve"> is made</w:t>
      </w:r>
      <w:r w:rsidRPr="00925A3A">
        <w:rPr>
          <w:szCs w:val="20"/>
          <w:lang w:eastAsia="en-AU"/>
        </w:rPr>
        <w:t xml:space="preserve"> </w:t>
      </w:r>
      <w:r>
        <w:rPr>
          <w:szCs w:val="20"/>
          <w:lang w:eastAsia="en-AU"/>
        </w:rPr>
        <w:t>under</w:t>
      </w:r>
      <w:r w:rsidRPr="00925A3A">
        <w:rPr>
          <w:szCs w:val="20"/>
          <w:lang w:eastAsia="en-AU"/>
        </w:rPr>
        <w:t xml:space="preserve"> a structured arrangement.</w:t>
      </w:r>
    </w:p>
    <w:p w14:paraId="7379A573" w14:textId="77777777" w:rsidR="00F30BCB" w:rsidRDefault="00F30BCB" w:rsidP="00925A3A">
      <w:pPr>
        <w:rPr>
          <w:szCs w:val="20"/>
          <w:lang w:eastAsia="en-AU"/>
        </w:rPr>
      </w:pPr>
    </w:p>
    <w:p w14:paraId="1CCD1827" w14:textId="140FA1CF" w:rsidR="00935FEE" w:rsidRPr="00925A3A" w:rsidRDefault="00935FEE" w:rsidP="005156E4">
      <w:pPr>
        <w:rPr>
          <w:szCs w:val="20"/>
          <w:lang w:eastAsia="en-AU"/>
        </w:rPr>
      </w:pPr>
      <w:r>
        <w:rPr>
          <w:szCs w:val="20"/>
          <w:lang w:eastAsia="en-AU"/>
        </w:rPr>
        <w:t>For the defensive rule to apply to a deemed branch payment from a foreign branch of a New Zealand person, that charge must satisfy the requirements of subsection (1) and some further requirements set out in subsection (</w:t>
      </w:r>
      <w:r w:rsidR="00456273">
        <w:rPr>
          <w:szCs w:val="20"/>
          <w:lang w:eastAsia="en-AU"/>
        </w:rPr>
        <w:t>3</w:t>
      </w:r>
      <w:r>
        <w:rPr>
          <w:szCs w:val="20"/>
          <w:lang w:eastAsia="en-AU"/>
        </w:rPr>
        <w:t>)</w:t>
      </w:r>
      <w:r w:rsidR="002D5667">
        <w:rPr>
          <w:szCs w:val="20"/>
          <w:lang w:eastAsia="en-AU"/>
        </w:rPr>
        <w:t xml:space="preserve">. </w:t>
      </w:r>
      <w:r w:rsidR="00456273">
        <w:rPr>
          <w:szCs w:val="20"/>
          <w:lang w:eastAsia="en-AU"/>
        </w:rPr>
        <w:t>As with section FH 5(3), the purpose of these requirements is that section FH 6 should only apply to a mismatch arising because of an intra-group charge deduction in a foreign country being unmatched by income in New Zealand. Section FH 8 is intended to apply to double deductions arising due to the allocation of the same expenditure to two countries.</w:t>
      </w:r>
    </w:p>
    <w:p w14:paraId="03244EE3" w14:textId="77777777" w:rsidR="00935FEE" w:rsidRDefault="00935FEE" w:rsidP="00925A3A">
      <w:pPr>
        <w:rPr>
          <w:szCs w:val="20"/>
          <w:lang w:eastAsia="en-AU"/>
        </w:rPr>
      </w:pPr>
    </w:p>
    <w:p w14:paraId="22F30F37" w14:textId="0AC25D6C" w:rsidR="000A0942" w:rsidRDefault="000A1009" w:rsidP="00925A3A">
      <w:pPr>
        <w:rPr>
          <w:szCs w:val="20"/>
          <w:lang w:eastAsia="en-AU"/>
        </w:rPr>
      </w:pPr>
      <w:r>
        <w:rPr>
          <w:szCs w:val="20"/>
          <w:lang w:eastAsia="en-AU"/>
        </w:rPr>
        <w:t xml:space="preserve">Where the conditions </w:t>
      </w:r>
      <w:r w:rsidR="00456273">
        <w:rPr>
          <w:szCs w:val="20"/>
          <w:lang w:eastAsia="en-AU"/>
        </w:rPr>
        <w:t>referred to</w:t>
      </w:r>
      <w:r>
        <w:rPr>
          <w:szCs w:val="20"/>
          <w:lang w:eastAsia="en-AU"/>
        </w:rPr>
        <w:t xml:space="preserve"> above are met, </w:t>
      </w:r>
      <w:r w:rsidR="000A0942">
        <w:rPr>
          <w:szCs w:val="20"/>
          <w:lang w:eastAsia="en-AU"/>
        </w:rPr>
        <w:t>the amount of the payment or charge is assessable income (it is treated as being zero, if the payment or charge gives rise to a loss, for example, due to foreign exchange fluctuations)</w:t>
      </w:r>
      <w:r w:rsidR="007B5C07">
        <w:rPr>
          <w:szCs w:val="20"/>
          <w:lang w:eastAsia="en-AU"/>
        </w:rPr>
        <w:t>, under subsection (</w:t>
      </w:r>
      <w:r w:rsidR="00456273">
        <w:rPr>
          <w:szCs w:val="20"/>
          <w:lang w:eastAsia="en-AU"/>
        </w:rPr>
        <w:t>4</w:t>
      </w:r>
      <w:r w:rsidR="007B5C07">
        <w:rPr>
          <w:szCs w:val="20"/>
          <w:lang w:eastAsia="en-AU"/>
        </w:rPr>
        <w:t>)</w:t>
      </w:r>
      <w:r w:rsidR="002D5667">
        <w:rPr>
          <w:szCs w:val="20"/>
          <w:lang w:eastAsia="en-AU"/>
        </w:rPr>
        <w:t xml:space="preserve">. </w:t>
      </w:r>
      <w:r w:rsidR="007B5C07">
        <w:rPr>
          <w:szCs w:val="20"/>
          <w:lang w:eastAsia="en-AU"/>
        </w:rPr>
        <w:t>This assessable income is derived in the year in which it would be derived if the payer and payee were separate persons or the payer’</w:t>
      </w:r>
      <w:r w:rsidR="009C6C71">
        <w:rPr>
          <w:szCs w:val="20"/>
          <w:lang w:eastAsia="en-AU"/>
        </w:rPr>
        <w:t>s tax status was</w:t>
      </w:r>
      <w:r w:rsidR="007B5C07">
        <w:rPr>
          <w:szCs w:val="20"/>
          <w:lang w:eastAsia="en-AU"/>
        </w:rPr>
        <w:t xml:space="preserve"> different, under subsection (</w:t>
      </w:r>
      <w:r w:rsidR="002E4405">
        <w:rPr>
          <w:szCs w:val="20"/>
          <w:lang w:eastAsia="en-AU"/>
        </w:rPr>
        <w:t>5</w:t>
      </w:r>
      <w:r w:rsidR="007B5C07">
        <w:rPr>
          <w:szCs w:val="20"/>
          <w:lang w:eastAsia="en-AU"/>
        </w:rPr>
        <w:t>)</w:t>
      </w:r>
      <w:r w:rsidR="002D5667">
        <w:rPr>
          <w:szCs w:val="20"/>
          <w:lang w:eastAsia="en-AU"/>
        </w:rPr>
        <w:t xml:space="preserve">. </w:t>
      </w:r>
      <w:r w:rsidR="007B5C07">
        <w:rPr>
          <w:szCs w:val="20"/>
          <w:lang w:eastAsia="en-AU"/>
        </w:rPr>
        <w:t>The assessable income is further treated as a mismatch amount under subsection</w:t>
      </w:r>
      <w:r w:rsidR="002E4405">
        <w:rPr>
          <w:szCs w:val="20"/>
          <w:lang w:eastAsia="en-AU"/>
        </w:rPr>
        <w:t xml:space="preserve"> (6)</w:t>
      </w:r>
      <w:r w:rsidR="007B5C07">
        <w:rPr>
          <w:szCs w:val="20"/>
          <w:lang w:eastAsia="en-AU"/>
        </w:rPr>
        <w:t>, which can be reversed if the taxpayer has surplus assessable income under section FH 12 to offset against it.</w:t>
      </w:r>
    </w:p>
    <w:p w14:paraId="619B8606" w14:textId="77777777" w:rsidR="007B5C07" w:rsidRDefault="007B5C07" w:rsidP="00925A3A">
      <w:pPr>
        <w:rPr>
          <w:szCs w:val="20"/>
          <w:lang w:eastAsia="en-AU"/>
        </w:rPr>
      </w:pPr>
    </w:p>
    <w:p w14:paraId="26718B3E" w14:textId="44038D9E" w:rsidR="009C6C71" w:rsidRDefault="00E460B9" w:rsidP="00925A3A">
      <w:pPr>
        <w:rPr>
          <w:szCs w:val="20"/>
          <w:lang w:eastAsia="en-AU"/>
        </w:rPr>
      </w:pPr>
      <w:r>
        <w:rPr>
          <w:szCs w:val="20"/>
          <w:lang w:eastAsia="en-AU"/>
        </w:rPr>
        <w:t>Subsection (7) prevents a</w:t>
      </w:r>
      <w:r w:rsidR="009C6C71">
        <w:rPr>
          <w:szCs w:val="20"/>
          <w:lang w:eastAsia="en-AU"/>
        </w:rPr>
        <w:t xml:space="preserve"> mismatch amount under subsection (5) </w:t>
      </w:r>
      <w:r>
        <w:rPr>
          <w:szCs w:val="20"/>
          <w:lang w:eastAsia="en-AU"/>
        </w:rPr>
        <w:t>from being</w:t>
      </w:r>
      <w:r w:rsidR="009C6C71">
        <w:rPr>
          <w:szCs w:val="20"/>
          <w:lang w:eastAsia="en-AU"/>
        </w:rPr>
        <w:t xml:space="preserve"> carried forward if the payer </w:t>
      </w:r>
      <w:r w:rsidR="000428DE">
        <w:rPr>
          <w:szCs w:val="20"/>
          <w:lang w:eastAsia="en-AU"/>
        </w:rPr>
        <w:t xml:space="preserve">country </w:t>
      </w:r>
      <w:r w:rsidR="009C6C71">
        <w:rPr>
          <w:szCs w:val="20"/>
          <w:lang w:eastAsia="en-AU"/>
        </w:rPr>
        <w:t>introduces hybrid mismatch legislation corresponding to the primary rule for disregarded hybrid payment and/or deemed branch payment mismatches.</w:t>
      </w:r>
    </w:p>
    <w:p w14:paraId="699FE8F0" w14:textId="63609052" w:rsidR="00E460B9" w:rsidRDefault="00E460B9" w:rsidP="00925A3A">
      <w:pPr>
        <w:rPr>
          <w:szCs w:val="20"/>
          <w:lang w:eastAsia="en-AU"/>
        </w:rPr>
      </w:pPr>
    </w:p>
    <w:p w14:paraId="4B02331D" w14:textId="04CD8AF8" w:rsidR="00E460B9" w:rsidRPr="00CA0FA1" w:rsidRDefault="00E460B9" w:rsidP="001F2A69">
      <w:pPr>
        <w:keepNext/>
        <w:pBdr>
          <w:top w:val="single" w:sz="4" w:space="10" w:color="auto"/>
          <w:left w:val="single" w:sz="4" w:space="10" w:color="auto"/>
          <w:bottom w:val="single" w:sz="4" w:space="10" w:color="auto"/>
          <w:right w:val="single" w:sz="4" w:space="10" w:color="auto"/>
        </w:pBdr>
        <w:rPr>
          <w:sz w:val="20"/>
          <w:szCs w:val="20"/>
          <w:lang w:eastAsia="en-AU"/>
        </w:rPr>
      </w:pPr>
      <w:r w:rsidRPr="00CA0FA1">
        <w:rPr>
          <w:b/>
          <w:sz w:val="20"/>
          <w:szCs w:val="20"/>
          <w:lang w:eastAsia="en-AU"/>
        </w:rPr>
        <w:lastRenderedPageBreak/>
        <w:t xml:space="preserve">Example </w:t>
      </w:r>
      <w:r w:rsidR="00824EF8">
        <w:rPr>
          <w:b/>
          <w:sz w:val="20"/>
          <w:szCs w:val="20"/>
          <w:lang w:eastAsia="en-AU"/>
        </w:rPr>
        <w:t xml:space="preserve">20: </w:t>
      </w:r>
      <w:r w:rsidRPr="007F1661">
        <w:rPr>
          <w:b/>
          <w:sz w:val="20"/>
          <w:szCs w:val="20"/>
          <w:lang w:eastAsia="en-AU"/>
        </w:rPr>
        <w:t>New Zealand consolidated group and disregarded hybrid payment</w:t>
      </w:r>
    </w:p>
    <w:p w14:paraId="6A7B77F6" w14:textId="77777777" w:rsidR="009E2441" w:rsidRDefault="009E2441" w:rsidP="001F2A69">
      <w:pPr>
        <w:keepNext/>
        <w:pBdr>
          <w:top w:val="single" w:sz="4" w:space="10" w:color="auto"/>
          <w:left w:val="single" w:sz="4" w:space="10" w:color="auto"/>
          <w:bottom w:val="single" w:sz="4" w:space="10" w:color="auto"/>
          <w:right w:val="single" w:sz="4" w:space="10" w:color="auto"/>
        </w:pBdr>
        <w:rPr>
          <w:sz w:val="20"/>
          <w:szCs w:val="20"/>
          <w:lang w:eastAsia="en-AU"/>
        </w:rPr>
      </w:pPr>
    </w:p>
    <w:p w14:paraId="48042FEA" w14:textId="745CF4DF" w:rsidR="001F2A69" w:rsidRDefault="001F2A69" w:rsidP="00E460B9">
      <w:pPr>
        <w:pBdr>
          <w:top w:val="single" w:sz="4" w:space="10" w:color="auto"/>
          <w:left w:val="single" w:sz="4" w:space="10" w:color="auto"/>
          <w:bottom w:val="single" w:sz="4" w:space="10" w:color="auto"/>
          <w:right w:val="single" w:sz="4" w:space="10" w:color="auto"/>
        </w:pBdr>
        <w:rPr>
          <w:sz w:val="20"/>
          <w:szCs w:val="20"/>
          <w:lang w:eastAsia="en-AU"/>
        </w:rPr>
      </w:pPr>
      <w:r>
        <w:object w:dxaOrig="7020" w:dyaOrig="4860" w14:anchorId="1884FC53">
          <v:shape id="_x0000_i1028" type="#_x0000_t75" style="width:351.75pt;height:243pt" o:ole="">
            <v:imagedata r:id="rId18" o:title=""/>
          </v:shape>
          <o:OLEObject Type="Embed" ProgID="Visio.Drawing.15" ShapeID="_x0000_i1028" DrawAspect="Content" ObjectID="_1618044693" r:id="rId19"/>
        </w:object>
      </w:r>
    </w:p>
    <w:p w14:paraId="196ABAD2" w14:textId="77777777" w:rsidR="001F2A69" w:rsidRDefault="001F2A69" w:rsidP="00E460B9">
      <w:pPr>
        <w:pBdr>
          <w:top w:val="single" w:sz="4" w:space="10" w:color="auto"/>
          <w:left w:val="single" w:sz="4" w:space="10" w:color="auto"/>
          <w:bottom w:val="single" w:sz="4" w:space="10" w:color="auto"/>
          <w:right w:val="single" w:sz="4" w:space="10" w:color="auto"/>
        </w:pBdr>
        <w:rPr>
          <w:sz w:val="20"/>
          <w:szCs w:val="20"/>
          <w:lang w:eastAsia="en-AU"/>
        </w:rPr>
      </w:pPr>
    </w:p>
    <w:p w14:paraId="2E6FA9DE" w14:textId="1BEE20BD" w:rsidR="00E460B9" w:rsidRDefault="00E460B9" w:rsidP="00E460B9">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McKenzie Co and Clement Co are two companies resident in New Zealand in the entertainment business. They are both part of a consolidated group (the Conchord group) under New Zealand law. Clement Co has a branch in York, a foreign country that does not have hybrid rules.</w:t>
      </w:r>
    </w:p>
    <w:p w14:paraId="0CD46452" w14:textId="77777777" w:rsidR="00E460B9" w:rsidRDefault="00E460B9" w:rsidP="00E460B9">
      <w:pPr>
        <w:pBdr>
          <w:top w:val="single" w:sz="4" w:space="10" w:color="auto"/>
          <w:left w:val="single" w:sz="4" w:space="10" w:color="auto"/>
          <w:bottom w:val="single" w:sz="4" w:space="10" w:color="auto"/>
          <w:right w:val="single" w:sz="4" w:space="10" w:color="auto"/>
        </w:pBdr>
        <w:rPr>
          <w:sz w:val="20"/>
          <w:szCs w:val="20"/>
          <w:lang w:eastAsia="en-AU"/>
        </w:rPr>
      </w:pPr>
    </w:p>
    <w:p w14:paraId="4B1959E2" w14:textId="0DF29CB9" w:rsidR="00E460B9" w:rsidRDefault="00E460B9" w:rsidP="00E460B9">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Clement Co makes a royalty payment to McKenzie Co through its foreign branch. Under the laws of York, Clement Co is entitled to a deduction for the payment. Under New Zealand’s consolidation rules in subpart FM, the payment is treated as excluded income for McKenzie Co with no deduction for Clement Co.</w:t>
      </w:r>
    </w:p>
    <w:p w14:paraId="269A0081" w14:textId="77777777" w:rsidR="00E460B9" w:rsidRDefault="00E460B9" w:rsidP="00E460B9">
      <w:pPr>
        <w:pBdr>
          <w:top w:val="single" w:sz="4" w:space="10" w:color="auto"/>
          <w:left w:val="single" w:sz="4" w:space="10" w:color="auto"/>
          <w:bottom w:val="single" w:sz="4" w:space="10" w:color="auto"/>
          <w:right w:val="single" w:sz="4" w:space="10" w:color="auto"/>
        </w:pBdr>
        <w:rPr>
          <w:sz w:val="20"/>
          <w:szCs w:val="20"/>
          <w:lang w:eastAsia="en-AU"/>
        </w:rPr>
      </w:pPr>
    </w:p>
    <w:p w14:paraId="0A8D9606" w14:textId="5E9F4AE2" w:rsidR="00E460B9" w:rsidRPr="00E460B9" w:rsidRDefault="00E460B9" w:rsidP="00E460B9">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The counterfactual test in FH 6(1)(d) is satisfied because if Clement Co’s tax status were changed such that it is no longer consolidated with McKenzie Co, the payment would be assessable income for McKenzie Co. McKenzie Co must include the royalty payment as assessable income. This amount is a mismatch amount and may give rise to a deduction under section FH 12 if there is an amount of surplus assessable income that can be used to offset the amount.</w:t>
      </w:r>
    </w:p>
    <w:p w14:paraId="6CF7950C" w14:textId="77777777" w:rsidR="00925A3A" w:rsidRDefault="00925A3A" w:rsidP="00925A3A">
      <w:pPr>
        <w:jc w:val="left"/>
        <w:rPr>
          <w:szCs w:val="20"/>
          <w:lang w:eastAsia="en-AU"/>
        </w:rPr>
      </w:pPr>
    </w:p>
    <w:p w14:paraId="7B68A148" w14:textId="77777777" w:rsidR="001F2A69" w:rsidRDefault="001F2A69">
      <w:pPr>
        <w:jc w:val="left"/>
        <w:rPr>
          <w:b/>
          <w:caps/>
          <w:sz w:val="26"/>
          <w:szCs w:val="20"/>
          <w:lang w:eastAsia="en-AU"/>
        </w:rPr>
      </w:pPr>
      <w:bookmarkStart w:id="9" w:name="_Toc500319039"/>
      <w:r>
        <w:rPr>
          <w:b/>
          <w:caps/>
          <w:sz w:val="26"/>
          <w:szCs w:val="20"/>
          <w:lang w:eastAsia="en-AU"/>
        </w:rPr>
        <w:br w:type="page"/>
      </w:r>
    </w:p>
    <w:p w14:paraId="7A5E1DA1" w14:textId="7EB185D8" w:rsidR="00925A3A" w:rsidRPr="00925A3A" w:rsidRDefault="00925A3A" w:rsidP="00925A3A">
      <w:pPr>
        <w:keepNext/>
        <w:pBdr>
          <w:bottom w:val="single" w:sz="4" w:space="6" w:color="auto"/>
        </w:pBdr>
        <w:jc w:val="left"/>
        <w:outlineLvl w:val="0"/>
        <w:rPr>
          <w:b/>
          <w:caps/>
          <w:sz w:val="26"/>
          <w:szCs w:val="20"/>
          <w:lang w:eastAsia="en-AU"/>
        </w:rPr>
      </w:pPr>
      <w:r w:rsidRPr="00925A3A">
        <w:rPr>
          <w:b/>
          <w:caps/>
          <w:sz w:val="26"/>
          <w:szCs w:val="20"/>
          <w:lang w:eastAsia="en-AU"/>
        </w:rPr>
        <w:lastRenderedPageBreak/>
        <w:t>Reverse hybrid rule and branch payee mismatch rule</w:t>
      </w:r>
      <w:bookmarkEnd w:id="9"/>
    </w:p>
    <w:p w14:paraId="07A3B2E9" w14:textId="77777777" w:rsidR="00925A3A" w:rsidRPr="00925A3A" w:rsidRDefault="00925A3A" w:rsidP="00925A3A">
      <w:pPr>
        <w:rPr>
          <w:szCs w:val="20"/>
          <w:lang w:eastAsia="en-AU"/>
        </w:rPr>
      </w:pPr>
    </w:p>
    <w:p w14:paraId="2E134D38" w14:textId="77777777" w:rsidR="00925A3A" w:rsidRPr="00925A3A" w:rsidRDefault="00B65AEE" w:rsidP="00925A3A">
      <w:pPr>
        <w:rPr>
          <w:b/>
          <w:i/>
          <w:szCs w:val="20"/>
          <w:lang w:eastAsia="en-AU"/>
        </w:rPr>
      </w:pPr>
      <w:r>
        <w:rPr>
          <w:b/>
          <w:i/>
          <w:szCs w:val="20"/>
          <w:lang w:eastAsia="en-AU"/>
        </w:rPr>
        <w:t>Section FH 7</w:t>
      </w:r>
    </w:p>
    <w:p w14:paraId="35861624" w14:textId="77777777" w:rsidR="00925A3A" w:rsidRPr="00925A3A" w:rsidRDefault="00925A3A" w:rsidP="00925A3A">
      <w:pPr>
        <w:rPr>
          <w:szCs w:val="20"/>
          <w:lang w:eastAsia="en-AU"/>
        </w:rPr>
      </w:pPr>
    </w:p>
    <w:p w14:paraId="740C30C7" w14:textId="77777777" w:rsidR="00925A3A" w:rsidRPr="00925A3A" w:rsidRDefault="00925A3A" w:rsidP="00925A3A">
      <w:pPr>
        <w:rPr>
          <w:szCs w:val="20"/>
          <w:lang w:eastAsia="en-AU"/>
        </w:rPr>
      </w:pPr>
    </w:p>
    <w:p w14:paraId="12B829FF" w14:textId="77777777" w:rsidR="00925A3A" w:rsidRPr="00925A3A" w:rsidRDefault="00925A3A" w:rsidP="00925A3A">
      <w:pPr>
        <w:keepNext/>
        <w:outlineLvl w:val="1"/>
        <w:rPr>
          <w:b/>
          <w:szCs w:val="20"/>
          <w:lang w:eastAsia="en-AU"/>
        </w:rPr>
      </w:pPr>
      <w:r w:rsidRPr="00925A3A">
        <w:rPr>
          <w:b/>
          <w:szCs w:val="20"/>
          <w:lang w:eastAsia="en-AU"/>
        </w:rPr>
        <w:t>Background</w:t>
      </w:r>
    </w:p>
    <w:p w14:paraId="3E2FDE19" w14:textId="77777777" w:rsidR="00925A3A" w:rsidRDefault="00925A3A" w:rsidP="00925A3A">
      <w:pPr>
        <w:rPr>
          <w:szCs w:val="20"/>
          <w:lang w:eastAsia="en-AU"/>
        </w:rPr>
      </w:pPr>
    </w:p>
    <w:p w14:paraId="4D684357" w14:textId="116DC2B1" w:rsidR="0025799A" w:rsidRPr="00925A3A" w:rsidRDefault="0025799A" w:rsidP="0025799A">
      <w:pPr>
        <w:rPr>
          <w:szCs w:val="20"/>
          <w:lang w:eastAsia="en-AU"/>
        </w:rPr>
      </w:pPr>
      <w:r w:rsidRPr="00925A3A">
        <w:rPr>
          <w:szCs w:val="20"/>
          <w:lang w:eastAsia="en-AU"/>
        </w:rPr>
        <w:t>Section FH 7 implement</w:t>
      </w:r>
      <w:r>
        <w:rPr>
          <w:szCs w:val="20"/>
          <w:lang w:eastAsia="en-AU"/>
        </w:rPr>
        <w:t>s recommendation 4 of the OECD hybrid mismatch r</w:t>
      </w:r>
      <w:r w:rsidRPr="00925A3A">
        <w:rPr>
          <w:szCs w:val="20"/>
          <w:lang w:eastAsia="en-AU"/>
        </w:rPr>
        <w:t>eport, denying a deduction for a payment to a reverse hybrid in certain cases</w:t>
      </w:r>
      <w:r w:rsidR="002D5667">
        <w:rPr>
          <w:szCs w:val="20"/>
          <w:lang w:eastAsia="en-AU"/>
        </w:rPr>
        <w:t xml:space="preserve">. </w:t>
      </w:r>
      <w:r w:rsidRPr="00925A3A">
        <w:rPr>
          <w:szCs w:val="20"/>
          <w:lang w:eastAsia="en-AU"/>
        </w:rPr>
        <w:t>It also implement</w:t>
      </w:r>
      <w:r>
        <w:rPr>
          <w:szCs w:val="20"/>
          <w:lang w:eastAsia="en-AU"/>
        </w:rPr>
        <w:t>s recommendation 2 of the OECD branch mismatch r</w:t>
      </w:r>
      <w:r w:rsidRPr="00925A3A">
        <w:rPr>
          <w:szCs w:val="20"/>
          <w:lang w:eastAsia="en-AU"/>
        </w:rPr>
        <w:t>eport, denying a deduction for a payment which is not taxed due to a branch mismatch in certain cases.</w:t>
      </w:r>
    </w:p>
    <w:p w14:paraId="33EC4DC7" w14:textId="77777777" w:rsidR="006947F8" w:rsidRDefault="006947F8" w:rsidP="00925A3A">
      <w:pPr>
        <w:rPr>
          <w:szCs w:val="20"/>
          <w:lang w:eastAsia="en-AU"/>
        </w:rPr>
      </w:pPr>
    </w:p>
    <w:p w14:paraId="0B7097B9" w14:textId="3F89F380" w:rsidR="006947F8" w:rsidRDefault="006947F8" w:rsidP="006947F8">
      <w:pPr>
        <w:rPr>
          <w:szCs w:val="20"/>
          <w:lang w:eastAsia="en-AU"/>
        </w:rPr>
      </w:pPr>
      <w:r>
        <w:rPr>
          <w:szCs w:val="20"/>
          <w:lang w:eastAsia="en-AU"/>
        </w:rPr>
        <w:t>The following diagram illustrates an example of a reverse hybrid mismatch</w:t>
      </w:r>
      <w:r w:rsidR="002D5667">
        <w:rPr>
          <w:szCs w:val="20"/>
          <w:lang w:eastAsia="en-AU"/>
        </w:rPr>
        <w:t xml:space="preserve">. </w:t>
      </w:r>
      <w:r>
        <w:rPr>
          <w:szCs w:val="20"/>
          <w:lang w:eastAsia="en-AU"/>
        </w:rPr>
        <w:t>Such mismatches always involve a payment to a reverse hybrid entity.</w:t>
      </w:r>
    </w:p>
    <w:p w14:paraId="7979522B" w14:textId="77777777" w:rsidR="0093685B" w:rsidRPr="00925A3A" w:rsidRDefault="0093685B" w:rsidP="00925A3A">
      <w:pPr>
        <w:rPr>
          <w:szCs w:val="20"/>
          <w:lang w:eastAsia="en-AU"/>
        </w:rPr>
      </w:pPr>
      <w:r>
        <w:rPr>
          <w:szCs w:val="20"/>
          <w:lang w:eastAsia="en-AU"/>
        </w:rPr>
        <w:t xml:space="preserve"> </w:t>
      </w:r>
    </w:p>
    <w:p w14:paraId="3E524424" w14:textId="4016891B" w:rsidR="00925A3A" w:rsidRPr="00925A3A" w:rsidRDefault="00925A3A" w:rsidP="00925A3A">
      <w:pPr>
        <w:rPr>
          <w:szCs w:val="20"/>
          <w:lang w:eastAsia="en-AU"/>
        </w:rPr>
      </w:pPr>
      <w:r w:rsidRPr="00925A3A">
        <w:rPr>
          <w:szCs w:val="20"/>
          <w:lang w:eastAsia="en-AU"/>
        </w:rPr>
        <w:t>A reverse hybrid entity is opaque for tax purposes in the country of an investor (Country A) but transparent for tax purposes in another country, generally where it is established (Country B)</w:t>
      </w:r>
      <w:r w:rsidR="002D5667">
        <w:rPr>
          <w:szCs w:val="20"/>
          <w:lang w:eastAsia="en-AU"/>
        </w:rPr>
        <w:t xml:space="preserve">. </w:t>
      </w:r>
      <w:r w:rsidRPr="00925A3A">
        <w:rPr>
          <w:szCs w:val="20"/>
          <w:lang w:eastAsia="en-AU"/>
        </w:rPr>
        <w:t xml:space="preserve">In </w:t>
      </w:r>
      <w:r w:rsidR="00E57DDA">
        <w:rPr>
          <w:szCs w:val="20"/>
          <w:lang w:eastAsia="en-AU"/>
        </w:rPr>
        <w:t>the diagram below, B Co</w:t>
      </w:r>
      <w:r w:rsidRPr="00925A3A">
        <w:rPr>
          <w:szCs w:val="20"/>
          <w:lang w:eastAsia="en-AU"/>
        </w:rPr>
        <w:t xml:space="preserve"> is the reverse hybrid.</w:t>
      </w:r>
    </w:p>
    <w:p w14:paraId="750CF11E" w14:textId="77777777" w:rsidR="00925A3A" w:rsidRPr="00925A3A" w:rsidRDefault="00925A3A" w:rsidP="00925A3A">
      <w:pPr>
        <w:rPr>
          <w:szCs w:val="20"/>
          <w:lang w:eastAsia="en-AU"/>
        </w:rPr>
      </w:pPr>
    </w:p>
    <w:p w14:paraId="0C8AF626" w14:textId="77777777" w:rsidR="00925A3A" w:rsidRPr="00925A3A" w:rsidRDefault="00925A3A" w:rsidP="006947F8">
      <w:pPr>
        <w:rPr>
          <w:b/>
          <w:sz w:val="22"/>
          <w:szCs w:val="22"/>
          <w:lang w:eastAsia="en-AU"/>
        </w:rPr>
      </w:pPr>
    </w:p>
    <w:p w14:paraId="29C4CD11" w14:textId="1472460B" w:rsidR="00925A3A" w:rsidRPr="00925A3A" w:rsidRDefault="00925A3A" w:rsidP="001F2A69">
      <w:pPr>
        <w:rPr>
          <w:szCs w:val="20"/>
          <w:lang w:eastAsia="en-AU"/>
        </w:rPr>
      </w:pPr>
      <w:r w:rsidRPr="00925A3A">
        <w:rPr>
          <w:szCs w:val="20"/>
          <w:lang w:eastAsia="en-AU"/>
        </w:rPr>
        <w:object w:dxaOrig="8655" w:dyaOrig="5805" w14:anchorId="1661AA61">
          <v:shape id="_x0000_i1029" type="#_x0000_t75" style="width:415.5pt;height:279.75pt" o:ole="">
            <v:imagedata r:id="rId20" o:title=""/>
          </v:shape>
          <o:OLEObject Type="Embed" ProgID="Visio.Drawing.15" ShapeID="_x0000_i1029" DrawAspect="Content" ObjectID="_1618044694" r:id="rId21"/>
        </w:object>
      </w:r>
    </w:p>
    <w:p w14:paraId="7730D040" w14:textId="77777777" w:rsidR="001F2A69" w:rsidRDefault="001F2A69" w:rsidP="00925A3A">
      <w:pPr>
        <w:rPr>
          <w:szCs w:val="20"/>
          <w:lang w:eastAsia="en-AU"/>
        </w:rPr>
      </w:pPr>
    </w:p>
    <w:p w14:paraId="7DFBD07A" w14:textId="1B28C0CF" w:rsidR="00925A3A" w:rsidRPr="00925A3A" w:rsidRDefault="00925A3A" w:rsidP="00925A3A">
      <w:pPr>
        <w:rPr>
          <w:szCs w:val="20"/>
          <w:lang w:eastAsia="en-AU"/>
        </w:rPr>
      </w:pPr>
      <w:r w:rsidRPr="00925A3A">
        <w:rPr>
          <w:szCs w:val="20"/>
          <w:lang w:eastAsia="en-AU"/>
        </w:rPr>
        <w:t>If B</w:t>
      </w:r>
      <w:r w:rsidR="00E57DDA">
        <w:rPr>
          <w:szCs w:val="20"/>
          <w:lang w:eastAsia="en-AU"/>
        </w:rPr>
        <w:t xml:space="preserve"> Co</w:t>
      </w:r>
      <w:r w:rsidRPr="00925A3A">
        <w:rPr>
          <w:szCs w:val="20"/>
          <w:lang w:eastAsia="en-AU"/>
        </w:rPr>
        <w:t xml:space="preserve"> receives a payment that is</w:t>
      </w:r>
      <w:r w:rsidR="00E57DDA">
        <w:rPr>
          <w:szCs w:val="20"/>
          <w:lang w:eastAsia="en-AU"/>
        </w:rPr>
        <w:t xml:space="preserve"> deductible for the payer (C Co</w:t>
      </w:r>
      <w:r w:rsidRPr="00925A3A">
        <w:rPr>
          <w:szCs w:val="20"/>
          <w:lang w:eastAsia="en-AU"/>
        </w:rPr>
        <w:t>), that payment may not be taxed in Country A or</w:t>
      </w:r>
      <w:r w:rsidR="00374BF4">
        <w:rPr>
          <w:szCs w:val="20"/>
          <w:lang w:eastAsia="en-AU"/>
        </w:rPr>
        <w:t xml:space="preserve"> Country</w:t>
      </w:r>
      <w:r w:rsidRPr="00925A3A">
        <w:rPr>
          <w:szCs w:val="20"/>
          <w:lang w:eastAsia="en-AU"/>
        </w:rPr>
        <w:t xml:space="preserve"> B</w:t>
      </w:r>
      <w:r w:rsidR="002D5667">
        <w:rPr>
          <w:szCs w:val="20"/>
          <w:lang w:eastAsia="en-AU"/>
        </w:rPr>
        <w:t xml:space="preserve">. </w:t>
      </w:r>
      <w:r w:rsidRPr="00925A3A">
        <w:rPr>
          <w:szCs w:val="20"/>
          <w:lang w:eastAsia="en-AU"/>
        </w:rPr>
        <w:t xml:space="preserve">This is because Country B views the </w:t>
      </w:r>
      <w:r w:rsidR="00E57DDA">
        <w:rPr>
          <w:szCs w:val="20"/>
          <w:lang w:eastAsia="en-AU"/>
        </w:rPr>
        <w:t>payment as being earned by A Co</w:t>
      </w:r>
      <w:r w:rsidRPr="00925A3A">
        <w:rPr>
          <w:szCs w:val="20"/>
          <w:lang w:eastAsia="en-AU"/>
        </w:rPr>
        <w:t>, while Country A views the payment as being earned by B Co</w:t>
      </w:r>
      <w:r w:rsidR="002D5667">
        <w:rPr>
          <w:szCs w:val="20"/>
          <w:lang w:eastAsia="en-AU"/>
        </w:rPr>
        <w:t xml:space="preserve">. </w:t>
      </w:r>
      <w:r w:rsidRPr="00925A3A">
        <w:rPr>
          <w:szCs w:val="20"/>
          <w:lang w:eastAsia="en-AU"/>
        </w:rPr>
        <w:t xml:space="preserve">If the payment would have been taxable had </w:t>
      </w:r>
      <w:r w:rsidR="00E57DDA">
        <w:rPr>
          <w:szCs w:val="20"/>
          <w:lang w:eastAsia="en-AU"/>
        </w:rPr>
        <w:t>it been made directly from C Co to A Co</w:t>
      </w:r>
      <w:r w:rsidRPr="00925A3A">
        <w:rPr>
          <w:szCs w:val="20"/>
          <w:lang w:eastAsia="en-AU"/>
        </w:rPr>
        <w:t>, this is a deduction/no inclusion</w:t>
      </w:r>
      <w:r w:rsidR="00E57DDA">
        <w:rPr>
          <w:szCs w:val="20"/>
          <w:lang w:eastAsia="en-AU"/>
        </w:rPr>
        <w:t xml:space="preserve"> (D/NI)</w:t>
      </w:r>
      <w:r w:rsidRPr="00925A3A">
        <w:rPr>
          <w:szCs w:val="20"/>
          <w:lang w:eastAsia="en-AU"/>
        </w:rPr>
        <w:t xml:space="preserve"> hybrid mismatch outcome.</w:t>
      </w:r>
    </w:p>
    <w:p w14:paraId="4079C737" w14:textId="77777777" w:rsidR="00925A3A" w:rsidRPr="00925A3A" w:rsidRDefault="00925A3A" w:rsidP="00925A3A">
      <w:pPr>
        <w:rPr>
          <w:szCs w:val="20"/>
          <w:lang w:eastAsia="en-AU"/>
        </w:rPr>
      </w:pPr>
    </w:p>
    <w:p w14:paraId="1ADC5C3A" w14:textId="20E08D78" w:rsidR="00925A3A" w:rsidRPr="00925A3A" w:rsidRDefault="00925A3A" w:rsidP="00925A3A">
      <w:pPr>
        <w:rPr>
          <w:szCs w:val="20"/>
          <w:lang w:eastAsia="en-AU"/>
        </w:rPr>
      </w:pPr>
      <w:r w:rsidRPr="00925A3A">
        <w:rPr>
          <w:szCs w:val="20"/>
          <w:lang w:eastAsia="en-AU"/>
        </w:rPr>
        <w:t xml:space="preserve">A similar outcome can arise as a result of a branch </w:t>
      </w:r>
      <w:r w:rsidR="00902170">
        <w:rPr>
          <w:szCs w:val="20"/>
          <w:lang w:eastAsia="en-AU"/>
        </w:rPr>
        <w:t xml:space="preserve">payee </w:t>
      </w:r>
      <w:r w:rsidRPr="00925A3A">
        <w:rPr>
          <w:szCs w:val="20"/>
          <w:lang w:eastAsia="en-AU"/>
        </w:rPr>
        <w:t>mismatch</w:t>
      </w:r>
      <w:r w:rsidR="002D5667">
        <w:rPr>
          <w:szCs w:val="20"/>
          <w:lang w:eastAsia="en-AU"/>
        </w:rPr>
        <w:t xml:space="preserve">. </w:t>
      </w:r>
      <w:r w:rsidRPr="00925A3A">
        <w:rPr>
          <w:szCs w:val="20"/>
          <w:lang w:eastAsia="en-AU"/>
        </w:rPr>
        <w:t xml:space="preserve">For example, if </w:t>
      </w:r>
      <w:r w:rsidR="00CA5DC4">
        <w:rPr>
          <w:szCs w:val="20"/>
          <w:lang w:eastAsia="en-AU"/>
        </w:rPr>
        <w:t>the diagram above</w:t>
      </w:r>
      <w:r w:rsidRPr="00925A3A">
        <w:rPr>
          <w:szCs w:val="20"/>
          <w:lang w:eastAsia="en-AU"/>
        </w:rPr>
        <w:t xml:space="preserve"> is modified so that</w:t>
      </w:r>
      <w:r w:rsidR="00DE5FE0">
        <w:rPr>
          <w:szCs w:val="20"/>
          <w:lang w:eastAsia="en-AU"/>
        </w:rPr>
        <w:t xml:space="preserve"> there is no B Co but</w:t>
      </w:r>
      <w:r w:rsidRPr="00925A3A">
        <w:rPr>
          <w:szCs w:val="20"/>
          <w:lang w:eastAsia="en-AU"/>
        </w:rPr>
        <w:t>:</w:t>
      </w:r>
    </w:p>
    <w:p w14:paraId="12CAEF58" w14:textId="77777777" w:rsidR="00925A3A" w:rsidRPr="00925A3A" w:rsidRDefault="00925A3A" w:rsidP="00925A3A">
      <w:pPr>
        <w:rPr>
          <w:szCs w:val="20"/>
          <w:lang w:eastAsia="en-AU"/>
        </w:rPr>
      </w:pPr>
    </w:p>
    <w:p w14:paraId="0E4CC762" w14:textId="77777777" w:rsidR="00925A3A" w:rsidRPr="00925A3A" w:rsidRDefault="00925A3A" w:rsidP="00E852A0">
      <w:pPr>
        <w:numPr>
          <w:ilvl w:val="0"/>
          <w:numId w:val="17"/>
        </w:numPr>
        <w:spacing w:after="140"/>
        <w:ind w:left="567" w:hanging="567"/>
        <w:rPr>
          <w:szCs w:val="20"/>
          <w:lang w:eastAsia="en-AU"/>
        </w:rPr>
      </w:pPr>
      <w:r w:rsidRPr="00925A3A">
        <w:rPr>
          <w:szCs w:val="20"/>
          <w:lang w:eastAsia="en-AU"/>
        </w:rPr>
        <w:t>Country A treats C Co.’s payment as receive</w:t>
      </w:r>
      <w:r w:rsidR="00CA5DC4">
        <w:rPr>
          <w:szCs w:val="20"/>
          <w:lang w:eastAsia="en-AU"/>
        </w:rPr>
        <w:t>d by a Country B branch of A Co</w:t>
      </w:r>
      <w:r w:rsidRPr="00925A3A">
        <w:rPr>
          <w:szCs w:val="20"/>
          <w:lang w:eastAsia="en-AU"/>
        </w:rPr>
        <w:t>, and exempts it under a territorial approach to active income; and</w:t>
      </w:r>
    </w:p>
    <w:p w14:paraId="3289A7DC" w14:textId="77777777" w:rsidR="00925A3A" w:rsidRPr="00925A3A" w:rsidRDefault="00925A3A" w:rsidP="00E852A0">
      <w:pPr>
        <w:numPr>
          <w:ilvl w:val="0"/>
          <w:numId w:val="17"/>
        </w:numPr>
        <w:ind w:left="567" w:hanging="567"/>
        <w:rPr>
          <w:szCs w:val="20"/>
          <w:lang w:eastAsia="en-AU"/>
        </w:rPr>
      </w:pPr>
      <w:r w:rsidRPr="00925A3A">
        <w:rPr>
          <w:szCs w:val="20"/>
          <w:lang w:eastAsia="en-AU"/>
        </w:rPr>
        <w:lastRenderedPageBreak/>
        <w:t>Country B does not recognise the payment as received by a permanent establishment in Country B</w:t>
      </w:r>
      <w:r w:rsidR="00CA5DC4">
        <w:rPr>
          <w:szCs w:val="20"/>
          <w:lang w:eastAsia="en-AU"/>
        </w:rPr>
        <w:t>,</w:t>
      </w:r>
    </w:p>
    <w:p w14:paraId="65F971AB" w14:textId="77777777" w:rsidR="00925A3A" w:rsidRPr="00925A3A" w:rsidRDefault="00925A3A" w:rsidP="00925A3A">
      <w:pPr>
        <w:rPr>
          <w:szCs w:val="20"/>
          <w:lang w:eastAsia="en-AU"/>
        </w:rPr>
      </w:pPr>
    </w:p>
    <w:p w14:paraId="2D8AA9A7" w14:textId="77777777" w:rsidR="00925A3A" w:rsidRPr="00925A3A" w:rsidRDefault="00925A3A" w:rsidP="00925A3A">
      <w:pPr>
        <w:rPr>
          <w:szCs w:val="20"/>
          <w:lang w:eastAsia="en-AU"/>
        </w:rPr>
      </w:pPr>
      <w:r w:rsidRPr="00925A3A">
        <w:rPr>
          <w:szCs w:val="20"/>
          <w:lang w:eastAsia="en-AU"/>
        </w:rPr>
        <w:t>the result w</w:t>
      </w:r>
      <w:r w:rsidR="00CA5DC4">
        <w:rPr>
          <w:szCs w:val="20"/>
          <w:lang w:eastAsia="en-AU"/>
        </w:rPr>
        <w:t>ill be that the payment by C Co is deductible in Country C, but</w:t>
      </w:r>
      <w:r w:rsidRPr="00925A3A">
        <w:rPr>
          <w:szCs w:val="20"/>
          <w:lang w:eastAsia="en-AU"/>
        </w:rPr>
        <w:t xml:space="preserve"> not taxed anywhere</w:t>
      </w:r>
      <w:r w:rsidR="00BF02AB">
        <w:rPr>
          <w:szCs w:val="20"/>
          <w:lang w:eastAsia="en-AU"/>
        </w:rPr>
        <w:t xml:space="preserve"> due to the different allocation rules in Countries A and B</w:t>
      </w:r>
      <w:r w:rsidR="00CA5DC4">
        <w:rPr>
          <w:szCs w:val="20"/>
          <w:lang w:eastAsia="en-AU"/>
        </w:rPr>
        <w:t>, which is once again a D/NI mismatch</w:t>
      </w:r>
      <w:r w:rsidRPr="00925A3A">
        <w:rPr>
          <w:szCs w:val="20"/>
          <w:lang w:eastAsia="en-AU"/>
        </w:rPr>
        <w:t>.</w:t>
      </w:r>
    </w:p>
    <w:p w14:paraId="3B9B4129" w14:textId="77777777" w:rsidR="00925A3A" w:rsidRDefault="00925A3A" w:rsidP="00925A3A">
      <w:pPr>
        <w:rPr>
          <w:szCs w:val="20"/>
          <w:lang w:eastAsia="en-AU"/>
        </w:rPr>
      </w:pPr>
    </w:p>
    <w:p w14:paraId="4E1FA566" w14:textId="77777777" w:rsidR="00BC732B" w:rsidRPr="00925A3A" w:rsidRDefault="00BC732B" w:rsidP="00925A3A">
      <w:pPr>
        <w:rPr>
          <w:szCs w:val="20"/>
          <w:lang w:eastAsia="en-AU"/>
        </w:rPr>
      </w:pPr>
    </w:p>
    <w:p w14:paraId="2F191C49" w14:textId="77777777" w:rsidR="00925A3A" w:rsidRPr="00925A3A" w:rsidRDefault="00925A3A" w:rsidP="00925A3A">
      <w:pPr>
        <w:keepNext/>
        <w:outlineLvl w:val="1"/>
        <w:rPr>
          <w:b/>
          <w:szCs w:val="20"/>
          <w:lang w:eastAsia="en-AU"/>
        </w:rPr>
      </w:pPr>
      <w:r w:rsidRPr="00925A3A">
        <w:rPr>
          <w:b/>
          <w:szCs w:val="20"/>
          <w:lang w:eastAsia="en-AU"/>
        </w:rPr>
        <w:t>Application date</w:t>
      </w:r>
    </w:p>
    <w:p w14:paraId="715EFB60" w14:textId="77777777" w:rsidR="00925A3A" w:rsidRPr="00925A3A" w:rsidRDefault="00925A3A" w:rsidP="00925A3A">
      <w:pPr>
        <w:rPr>
          <w:szCs w:val="20"/>
          <w:lang w:eastAsia="en-AU"/>
        </w:rPr>
      </w:pPr>
    </w:p>
    <w:p w14:paraId="63DE906D" w14:textId="20A3C46D" w:rsidR="00925A3A" w:rsidRPr="00925A3A" w:rsidRDefault="00925A3A" w:rsidP="00925A3A">
      <w:pPr>
        <w:rPr>
          <w:szCs w:val="20"/>
          <w:lang w:eastAsia="en-AU"/>
        </w:rPr>
      </w:pPr>
      <w:r w:rsidRPr="00925A3A">
        <w:rPr>
          <w:szCs w:val="20"/>
          <w:lang w:eastAsia="en-AU"/>
        </w:rPr>
        <w:t>Section FH 7 applies to deductions claimed in income years beginning on or after 1 July</w:t>
      </w:r>
      <w:r w:rsidR="00E63EFC">
        <w:rPr>
          <w:szCs w:val="20"/>
          <w:lang w:eastAsia="en-AU"/>
        </w:rPr>
        <w:t> </w:t>
      </w:r>
      <w:r w:rsidRPr="00925A3A">
        <w:rPr>
          <w:szCs w:val="20"/>
          <w:lang w:eastAsia="en-AU"/>
        </w:rPr>
        <w:t>2018.</w:t>
      </w:r>
    </w:p>
    <w:p w14:paraId="6C579DDB" w14:textId="77777777" w:rsidR="00925A3A" w:rsidRPr="00925A3A" w:rsidRDefault="00925A3A" w:rsidP="00925A3A">
      <w:pPr>
        <w:rPr>
          <w:szCs w:val="20"/>
          <w:lang w:eastAsia="en-AU"/>
        </w:rPr>
      </w:pPr>
    </w:p>
    <w:p w14:paraId="784FC8DA" w14:textId="77777777" w:rsidR="00925A3A" w:rsidRPr="00925A3A" w:rsidRDefault="00925A3A" w:rsidP="00925A3A">
      <w:pPr>
        <w:rPr>
          <w:szCs w:val="20"/>
          <w:lang w:eastAsia="en-AU"/>
        </w:rPr>
      </w:pPr>
    </w:p>
    <w:p w14:paraId="27D93B6C" w14:textId="77777777" w:rsidR="00925A3A" w:rsidRPr="00925A3A" w:rsidRDefault="00925A3A" w:rsidP="00925A3A">
      <w:pPr>
        <w:keepNext/>
        <w:outlineLvl w:val="1"/>
        <w:rPr>
          <w:b/>
          <w:szCs w:val="20"/>
          <w:lang w:eastAsia="en-AU"/>
        </w:rPr>
      </w:pPr>
      <w:r w:rsidRPr="00925A3A">
        <w:rPr>
          <w:b/>
          <w:szCs w:val="20"/>
          <w:lang w:eastAsia="en-AU"/>
        </w:rPr>
        <w:t>Detailed analysis</w:t>
      </w:r>
    </w:p>
    <w:p w14:paraId="53C96B2F" w14:textId="77777777" w:rsidR="00925A3A" w:rsidRPr="00925A3A" w:rsidRDefault="00925A3A" w:rsidP="00925A3A">
      <w:pPr>
        <w:rPr>
          <w:szCs w:val="20"/>
          <w:lang w:eastAsia="en-AU"/>
        </w:rPr>
      </w:pPr>
    </w:p>
    <w:p w14:paraId="7121D8D1" w14:textId="77777777" w:rsidR="00925A3A" w:rsidRPr="00925A3A" w:rsidRDefault="006D16D4" w:rsidP="00925A3A">
      <w:pPr>
        <w:rPr>
          <w:szCs w:val="20"/>
          <w:lang w:eastAsia="en-AU"/>
        </w:rPr>
      </w:pPr>
      <w:r>
        <w:rPr>
          <w:szCs w:val="20"/>
          <w:lang w:eastAsia="en-AU"/>
        </w:rPr>
        <w:t xml:space="preserve">Section FH 7(1) </w:t>
      </w:r>
      <w:r w:rsidR="003C6393">
        <w:rPr>
          <w:szCs w:val="20"/>
          <w:lang w:eastAsia="en-AU"/>
        </w:rPr>
        <w:t xml:space="preserve">denies a deduction for expenditure relating to a </w:t>
      </w:r>
      <w:r w:rsidR="00925A3A" w:rsidRPr="00925A3A">
        <w:rPr>
          <w:szCs w:val="20"/>
          <w:lang w:eastAsia="en-AU"/>
        </w:rPr>
        <w:t>payment:</w:t>
      </w:r>
    </w:p>
    <w:p w14:paraId="3A87B599" w14:textId="77777777" w:rsidR="00925A3A" w:rsidRPr="00925A3A" w:rsidRDefault="00925A3A" w:rsidP="00925A3A">
      <w:pPr>
        <w:rPr>
          <w:szCs w:val="20"/>
          <w:lang w:eastAsia="en-AU"/>
        </w:rPr>
      </w:pPr>
    </w:p>
    <w:p w14:paraId="034E892D" w14:textId="61FC049D" w:rsidR="00925A3A" w:rsidRDefault="00925A3A" w:rsidP="00E852A0">
      <w:pPr>
        <w:numPr>
          <w:ilvl w:val="0"/>
          <w:numId w:val="1"/>
        </w:numPr>
        <w:spacing w:after="140"/>
        <w:rPr>
          <w:szCs w:val="20"/>
          <w:lang w:eastAsia="en-AU"/>
        </w:rPr>
      </w:pPr>
      <w:r w:rsidRPr="00925A3A">
        <w:rPr>
          <w:szCs w:val="20"/>
          <w:lang w:eastAsia="en-AU"/>
        </w:rPr>
        <w:t>to a person who exists under t</w:t>
      </w:r>
      <w:r w:rsidR="006D16D4">
        <w:rPr>
          <w:szCs w:val="20"/>
          <w:lang w:eastAsia="en-AU"/>
        </w:rPr>
        <w:t xml:space="preserve">he law of another country (the payee </w:t>
      </w:r>
      <w:r w:rsidR="000428DE">
        <w:rPr>
          <w:szCs w:val="20"/>
          <w:lang w:eastAsia="en-AU"/>
        </w:rPr>
        <w:t>country</w:t>
      </w:r>
      <w:r w:rsidRPr="00925A3A">
        <w:rPr>
          <w:szCs w:val="20"/>
          <w:lang w:eastAsia="en-AU"/>
        </w:rPr>
        <w:t>)</w:t>
      </w:r>
      <w:r w:rsidR="002D5667">
        <w:rPr>
          <w:szCs w:val="20"/>
          <w:lang w:eastAsia="en-AU"/>
        </w:rPr>
        <w:t xml:space="preserve">. </w:t>
      </w:r>
      <w:r w:rsidRPr="00925A3A">
        <w:rPr>
          <w:szCs w:val="20"/>
          <w:lang w:eastAsia="en-AU"/>
        </w:rPr>
        <w:t>This requirement assumes that the person is not a natural person, and owes their existence to the laws of a particular country</w:t>
      </w:r>
      <w:r w:rsidR="002D5667">
        <w:rPr>
          <w:szCs w:val="20"/>
          <w:lang w:eastAsia="en-AU"/>
        </w:rPr>
        <w:t xml:space="preserve">. </w:t>
      </w:r>
      <w:r w:rsidRPr="00925A3A">
        <w:rPr>
          <w:szCs w:val="20"/>
          <w:lang w:eastAsia="en-AU"/>
        </w:rPr>
        <w:t>For example, in the case of a company, the company must be formed or otherwise owe its existence to a particular country’s laws;</w:t>
      </w:r>
    </w:p>
    <w:p w14:paraId="76F1279C" w14:textId="1A45BB8B" w:rsidR="003C6393" w:rsidRPr="00925A3A" w:rsidRDefault="003C6393" w:rsidP="00E852A0">
      <w:pPr>
        <w:numPr>
          <w:ilvl w:val="0"/>
          <w:numId w:val="1"/>
        </w:numPr>
        <w:spacing w:after="140"/>
        <w:rPr>
          <w:szCs w:val="20"/>
          <w:lang w:eastAsia="en-AU"/>
        </w:rPr>
      </w:pPr>
      <w:r>
        <w:rPr>
          <w:szCs w:val="20"/>
          <w:lang w:eastAsia="en-AU"/>
        </w:rPr>
        <w:t>where the expenditure would be allowed as a deduction for the payer in t</w:t>
      </w:r>
      <w:r w:rsidR="00D6773F">
        <w:rPr>
          <w:szCs w:val="20"/>
          <w:lang w:eastAsia="en-AU"/>
        </w:rPr>
        <w:t>he absence of the hybrid rules;</w:t>
      </w:r>
    </w:p>
    <w:p w14:paraId="1C898895" w14:textId="77777777" w:rsidR="00925A3A" w:rsidRPr="00925A3A" w:rsidRDefault="00925A3A" w:rsidP="00E852A0">
      <w:pPr>
        <w:numPr>
          <w:ilvl w:val="0"/>
          <w:numId w:val="1"/>
        </w:numPr>
        <w:spacing w:after="140"/>
        <w:rPr>
          <w:szCs w:val="20"/>
          <w:lang w:eastAsia="en-AU"/>
        </w:rPr>
      </w:pPr>
      <w:r w:rsidRPr="00925A3A">
        <w:rPr>
          <w:szCs w:val="20"/>
          <w:lang w:eastAsia="en-AU"/>
        </w:rPr>
        <w:t xml:space="preserve">treated in the payee </w:t>
      </w:r>
      <w:r w:rsidR="000428DE">
        <w:rPr>
          <w:szCs w:val="20"/>
          <w:lang w:eastAsia="en-AU"/>
        </w:rPr>
        <w:t>country</w:t>
      </w:r>
      <w:r w:rsidR="000428DE" w:rsidRPr="00925A3A">
        <w:rPr>
          <w:szCs w:val="20"/>
          <w:lang w:eastAsia="en-AU"/>
        </w:rPr>
        <w:t xml:space="preserve"> </w:t>
      </w:r>
      <w:r w:rsidRPr="00925A3A">
        <w:rPr>
          <w:szCs w:val="20"/>
          <w:lang w:eastAsia="en-AU"/>
        </w:rPr>
        <w:t>as either:</w:t>
      </w:r>
    </w:p>
    <w:p w14:paraId="63497EBD" w14:textId="7E5DE26C" w:rsidR="00925A3A" w:rsidRPr="00925A3A" w:rsidRDefault="00925A3A" w:rsidP="00E852A0">
      <w:pPr>
        <w:numPr>
          <w:ilvl w:val="0"/>
          <w:numId w:val="5"/>
        </w:numPr>
        <w:spacing w:after="140"/>
        <w:ind w:left="1134"/>
        <w:rPr>
          <w:szCs w:val="20"/>
          <w:lang w:eastAsia="en-AU"/>
        </w:rPr>
      </w:pPr>
      <w:r w:rsidRPr="00925A3A">
        <w:rPr>
          <w:szCs w:val="20"/>
          <w:lang w:eastAsia="en-AU"/>
        </w:rPr>
        <w:t>received in another country</w:t>
      </w:r>
      <w:r w:rsidR="002D5667">
        <w:rPr>
          <w:szCs w:val="20"/>
          <w:lang w:eastAsia="en-AU"/>
        </w:rPr>
        <w:t xml:space="preserve">. </w:t>
      </w:r>
      <w:r w:rsidRPr="00925A3A">
        <w:rPr>
          <w:szCs w:val="20"/>
          <w:lang w:eastAsia="en-AU"/>
        </w:rPr>
        <w:t>This will be the case where there is a potential branch mismatch</w:t>
      </w:r>
      <w:r w:rsidR="002D5667">
        <w:rPr>
          <w:szCs w:val="20"/>
          <w:lang w:eastAsia="en-AU"/>
        </w:rPr>
        <w:t xml:space="preserve">. </w:t>
      </w:r>
      <w:r w:rsidRPr="00925A3A">
        <w:rPr>
          <w:szCs w:val="20"/>
          <w:lang w:eastAsia="en-AU"/>
        </w:rPr>
        <w:t>A branch mismatch requires that the payee treats the payment as attributable to operations outside its residence country; or</w:t>
      </w:r>
    </w:p>
    <w:p w14:paraId="159004DC" w14:textId="1ED5D9F2" w:rsidR="00925A3A" w:rsidRPr="00925A3A" w:rsidRDefault="00925A3A" w:rsidP="00E852A0">
      <w:pPr>
        <w:numPr>
          <w:ilvl w:val="0"/>
          <w:numId w:val="5"/>
        </w:numPr>
        <w:spacing w:after="140"/>
        <w:ind w:left="1134"/>
        <w:rPr>
          <w:szCs w:val="20"/>
          <w:lang w:eastAsia="en-AU"/>
        </w:rPr>
      </w:pPr>
      <w:r w:rsidRPr="00925A3A">
        <w:rPr>
          <w:szCs w:val="20"/>
          <w:lang w:eastAsia="en-AU"/>
        </w:rPr>
        <w:t>income of another person in the same control group as the payer</w:t>
      </w:r>
      <w:r w:rsidR="002D5667">
        <w:rPr>
          <w:szCs w:val="20"/>
          <w:lang w:eastAsia="en-AU"/>
        </w:rPr>
        <w:t xml:space="preserve">. </w:t>
      </w:r>
      <w:r w:rsidRPr="00925A3A">
        <w:rPr>
          <w:szCs w:val="20"/>
          <w:lang w:eastAsia="en-AU"/>
        </w:rPr>
        <w:t>T</w:t>
      </w:r>
      <w:r w:rsidR="006D16D4">
        <w:rPr>
          <w:szCs w:val="20"/>
          <w:lang w:eastAsia="en-AU"/>
        </w:rPr>
        <w:t>his will be the case where there is a potential</w:t>
      </w:r>
      <w:r w:rsidRPr="00925A3A">
        <w:rPr>
          <w:szCs w:val="20"/>
          <w:lang w:eastAsia="en-AU"/>
        </w:rPr>
        <w:t xml:space="preserve"> reverse hybrid</w:t>
      </w:r>
      <w:r w:rsidR="006D16D4">
        <w:rPr>
          <w:szCs w:val="20"/>
          <w:lang w:eastAsia="en-AU"/>
        </w:rPr>
        <w:t xml:space="preserve"> mismatch</w:t>
      </w:r>
      <w:r w:rsidR="002D5667">
        <w:rPr>
          <w:szCs w:val="20"/>
          <w:lang w:eastAsia="en-AU"/>
        </w:rPr>
        <w:t xml:space="preserve">. </w:t>
      </w:r>
      <w:r w:rsidRPr="00925A3A">
        <w:rPr>
          <w:szCs w:val="20"/>
          <w:lang w:eastAsia="en-AU"/>
        </w:rPr>
        <w:t xml:space="preserve">The payee </w:t>
      </w:r>
      <w:r w:rsidR="000428DE">
        <w:rPr>
          <w:szCs w:val="20"/>
          <w:lang w:eastAsia="en-AU"/>
        </w:rPr>
        <w:t>country</w:t>
      </w:r>
      <w:r w:rsidR="000428DE" w:rsidRPr="00925A3A">
        <w:rPr>
          <w:szCs w:val="20"/>
          <w:lang w:eastAsia="en-AU"/>
        </w:rPr>
        <w:t xml:space="preserve"> </w:t>
      </w:r>
      <w:r w:rsidRPr="00925A3A">
        <w:rPr>
          <w:szCs w:val="20"/>
          <w:lang w:eastAsia="en-AU"/>
        </w:rPr>
        <w:t>treats the reverse hybrid as fiscally transparent, so that the payment is treated as the income of its owners</w:t>
      </w:r>
      <w:r w:rsidR="002D5667">
        <w:rPr>
          <w:szCs w:val="20"/>
          <w:lang w:eastAsia="en-AU"/>
        </w:rPr>
        <w:t xml:space="preserve">. </w:t>
      </w:r>
      <w:r w:rsidRPr="00925A3A">
        <w:rPr>
          <w:szCs w:val="20"/>
          <w:lang w:eastAsia="en-AU"/>
        </w:rPr>
        <w:t>The requirement is only met in the case of an owner who is in the same control group as the New Zealand payer;</w:t>
      </w:r>
    </w:p>
    <w:p w14:paraId="51172A7C" w14:textId="77777777" w:rsidR="00925A3A" w:rsidRPr="00925A3A" w:rsidRDefault="00925A3A" w:rsidP="00E852A0">
      <w:pPr>
        <w:numPr>
          <w:ilvl w:val="0"/>
          <w:numId w:val="1"/>
        </w:numPr>
        <w:spacing w:after="140"/>
        <w:rPr>
          <w:szCs w:val="20"/>
          <w:lang w:eastAsia="en-AU"/>
        </w:rPr>
      </w:pPr>
      <w:r w:rsidRPr="00925A3A">
        <w:rPr>
          <w:szCs w:val="20"/>
          <w:lang w:eastAsia="en-AU"/>
        </w:rPr>
        <w:t>where the payee and payer are also in the same control group, or the payment is made under a structured arrangement;</w:t>
      </w:r>
    </w:p>
    <w:p w14:paraId="00C5CA97" w14:textId="3F86602C" w:rsidR="00925A3A" w:rsidRPr="00925A3A" w:rsidRDefault="003C6393" w:rsidP="00E852A0">
      <w:pPr>
        <w:numPr>
          <w:ilvl w:val="0"/>
          <w:numId w:val="1"/>
        </w:numPr>
        <w:spacing w:after="140"/>
        <w:rPr>
          <w:szCs w:val="20"/>
          <w:lang w:eastAsia="en-AU"/>
        </w:rPr>
      </w:pPr>
      <w:r>
        <w:rPr>
          <w:szCs w:val="20"/>
          <w:lang w:eastAsia="en-AU"/>
        </w:rPr>
        <w:t>where the payment</w:t>
      </w:r>
      <w:r w:rsidR="00925A3A" w:rsidRPr="00925A3A">
        <w:rPr>
          <w:szCs w:val="20"/>
          <w:lang w:eastAsia="en-AU"/>
        </w:rPr>
        <w:t xml:space="preserve"> is not subject to taxation of a person in the same control group as the payee</w:t>
      </w:r>
      <w:r w:rsidR="002D5667">
        <w:rPr>
          <w:szCs w:val="20"/>
          <w:lang w:eastAsia="en-AU"/>
        </w:rPr>
        <w:t xml:space="preserve">. </w:t>
      </w:r>
      <w:r w:rsidR="00925A3A" w:rsidRPr="00925A3A">
        <w:rPr>
          <w:szCs w:val="20"/>
          <w:lang w:eastAsia="en-AU"/>
        </w:rPr>
        <w:t>This will be the case where:</w:t>
      </w:r>
    </w:p>
    <w:p w14:paraId="3EF9B9C7" w14:textId="77777777" w:rsidR="00925A3A" w:rsidRPr="00925A3A" w:rsidRDefault="00925A3A" w:rsidP="00E852A0">
      <w:pPr>
        <w:numPr>
          <w:ilvl w:val="0"/>
          <w:numId w:val="6"/>
        </w:numPr>
        <w:spacing w:after="140"/>
        <w:ind w:left="1134" w:hanging="567"/>
        <w:rPr>
          <w:szCs w:val="20"/>
          <w:lang w:eastAsia="en-AU"/>
        </w:rPr>
      </w:pPr>
      <w:r w:rsidRPr="00925A3A">
        <w:rPr>
          <w:szCs w:val="20"/>
          <w:lang w:eastAsia="en-AU"/>
        </w:rPr>
        <w:t>in the case of a potential branch mismatch, the branch country does not tax the payment;</w:t>
      </w:r>
    </w:p>
    <w:p w14:paraId="0D58E69B" w14:textId="77777777" w:rsidR="00925A3A" w:rsidRPr="00925A3A" w:rsidRDefault="00925A3A" w:rsidP="00E852A0">
      <w:pPr>
        <w:numPr>
          <w:ilvl w:val="0"/>
          <w:numId w:val="6"/>
        </w:numPr>
        <w:spacing w:after="140"/>
        <w:ind w:left="1134" w:hanging="567"/>
        <w:rPr>
          <w:szCs w:val="20"/>
          <w:lang w:eastAsia="en-AU"/>
        </w:rPr>
      </w:pPr>
      <w:r w:rsidRPr="00925A3A">
        <w:rPr>
          <w:szCs w:val="20"/>
          <w:lang w:eastAsia="en-AU"/>
        </w:rPr>
        <w:t>in the case of a reverse hybrid, the owner country does not tax the payment;</w:t>
      </w:r>
    </w:p>
    <w:p w14:paraId="2693890C" w14:textId="77777777" w:rsidR="00925A3A" w:rsidRPr="00925A3A" w:rsidRDefault="00925A3A" w:rsidP="00E852A0">
      <w:pPr>
        <w:numPr>
          <w:ilvl w:val="0"/>
          <w:numId w:val="1"/>
        </w:numPr>
        <w:spacing w:after="140"/>
        <w:rPr>
          <w:szCs w:val="20"/>
          <w:lang w:eastAsia="en-AU"/>
        </w:rPr>
      </w:pPr>
      <w:r w:rsidRPr="00925A3A">
        <w:rPr>
          <w:szCs w:val="20"/>
          <w:lang w:eastAsia="en-AU"/>
        </w:rPr>
        <w:t>the payment would have been taxable if it were made:</w:t>
      </w:r>
    </w:p>
    <w:p w14:paraId="04FD68CE" w14:textId="77777777" w:rsidR="00925A3A" w:rsidRPr="00925A3A" w:rsidRDefault="00925A3A" w:rsidP="00E852A0">
      <w:pPr>
        <w:numPr>
          <w:ilvl w:val="0"/>
          <w:numId w:val="7"/>
        </w:numPr>
        <w:spacing w:after="140"/>
        <w:ind w:left="993" w:hanging="426"/>
        <w:rPr>
          <w:szCs w:val="20"/>
          <w:lang w:eastAsia="en-AU"/>
        </w:rPr>
      </w:pPr>
      <w:r w:rsidRPr="00925A3A">
        <w:rPr>
          <w:szCs w:val="20"/>
          <w:lang w:eastAsia="en-AU"/>
        </w:rPr>
        <w:t xml:space="preserve">in the case of a branch mismatch to the payee directly in the payee </w:t>
      </w:r>
      <w:r w:rsidR="000428DE">
        <w:rPr>
          <w:szCs w:val="20"/>
          <w:lang w:eastAsia="en-AU"/>
        </w:rPr>
        <w:t>country</w:t>
      </w:r>
      <w:r w:rsidRPr="00925A3A">
        <w:rPr>
          <w:szCs w:val="20"/>
          <w:lang w:eastAsia="en-AU"/>
        </w:rPr>
        <w:t>;</w:t>
      </w:r>
    </w:p>
    <w:p w14:paraId="08AA5957" w14:textId="77777777" w:rsidR="00925A3A" w:rsidRPr="00925A3A" w:rsidRDefault="00925A3A" w:rsidP="003C6393">
      <w:pPr>
        <w:numPr>
          <w:ilvl w:val="0"/>
          <w:numId w:val="7"/>
        </w:numPr>
        <w:spacing w:after="140"/>
        <w:ind w:left="993" w:hanging="426"/>
        <w:rPr>
          <w:szCs w:val="20"/>
          <w:lang w:eastAsia="en-AU"/>
        </w:rPr>
      </w:pPr>
      <w:r w:rsidRPr="00925A3A">
        <w:rPr>
          <w:szCs w:val="20"/>
          <w:lang w:eastAsia="en-AU"/>
        </w:rPr>
        <w:t>in the case of a reverse hybrid, directly to the owner.</w:t>
      </w:r>
    </w:p>
    <w:p w14:paraId="0A32226B" w14:textId="77777777" w:rsidR="00925A3A" w:rsidRPr="00925A3A" w:rsidRDefault="00925A3A" w:rsidP="00925A3A">
      <w:pPr>
        <w:rPr>
          <w:szCs w:val="20"/>
          <w:lang w:eastAsia="en-AU"/>
        </w:rPr>
      </w:pPr>
    </w:p>
    <w:p w14:paraId="405F251C" w14:textId="0038965F" w:rsidR="00256EA0" w:rsidRDefault="00925A3A" w:rsidP="00925A3A">
      <w:pPr>
        <w:rPr>
          <w:szCs w:val="20"/>
          <w:lang w:eastAsia="en-AU"/>
        </w:rPr>
      </w:pPr>
      <w:r w:rsidRPr="00925A3A">
        <w:rPr>
          <w:szCs w:val="20"/>
          <w:lang w:eastAsia="en-AU"/>
        </w:rPr>
        <w:lastRenderedPageBreak/>
        <w:t>If these requirements are met, section FH 7(2) denies a deduction for the payment</w:t>
      </w:r>
      <w:r w:rsidR="00CF63CD">
        <w:rPr>
          <w:szCs w:val="20"/>
          <w:lang w:eastAsia="en-AU"/>
        </w:rPr>
        <w:t xml:space="preserve"> and any related expenditure from foreign currency </w:t>
      </w:r>
      <w:r w:rsidR="000A6F06">
        <w:rPr>
          <w:szCs w:val="20"/>
          <w:lang w:eastAsia="en-AU"/>
        </w:rPr>
        <w:t>movements</w:t>
      </w:r>
      <w:r w:rsidR="000A6F06" w:rsidRPr="0025799A">
        <w:rPr>
          <w:szCs w:val="20"/>
          <w:lang w:eastAsia="en-AU"/>
        </w:rPr>
        <w:t xml:space="preserve"> (</w:t>
      </w:r>
      <w:r w:rsidR="00CC3185" w:rsidRPr="0025799A">
        <w:rPr>
          <w:szCs w:val="20"/>
          <w:lang w:eastAsia="en-AU"/>
        </w:rPr>
        <w:t>which would be included as part of ‘interest’ expenditure under the financial arrangement rules in subpart EW)</w:t>
      </w:r>
      <w:r w:rsidRPr="0025799A">
        <w:rPr>
          <w:szCs w:val="20"/>
          <w:lang w:eastAsia="en-AU"/>
        </w:rPr>
        <w:t>.</w:t>
      </w:r>
    </w:p>
    <w:p w14:paraId="1D1F6C87" w14:textId="77777777" w:rsidR="00A948EF" w:rsidRDefault="00A948EF" w:rsidP="00925A3A">
      <w:pPr>
        <w:rPr>
          <w:szCs w:val="20"/>
          <w:lang w:eastAsia="en-AU"/>
        </w:rPr>
      </w:pPr>
    </w:p>
    <w:p w14:paraId="77EB5432" w14:textId="77777777" w:rsidR="00D1380C" w:rsidRDefault="00D1380C" w:rsidP="00925A3A">
      <w:pPr>
        <w:rPr>
          <w:szCs w:val="20"/>
          <w:lang w:eastAsia="en-AU"/>
        </w:rPr>
      </w:pPr>
    </w:p>
    <w:p w14:paraId="59934A36" w14:textId="5780C3A7" w:rsidR="00896CE1" w:rsidRPr="00925A3A" w:rsidRDefault="00896CE1" w:rsidP="00896CE1">
      <w:pPr>
        <w:pBdr>
          <w:top w:val="single" w:sz="4" w:space="10" w:color="auto"/>
          <w:left w:val="single" w:sz="4" w:space="10" w:color="auto"/>
          <w:bottom w:val="single" w:sz="4" w:space="10" w:color="auto"/>
          <w:right w:val="single" w:sz="4" w:space="10" w:color="auto"/>
        </w:pBdr>
        <w:rPr>
          <w:sz w:val="20"/>
          <w:szCs w:val="20"/>
          <w:lang w:eastAsia="en-AU"/>
        </w:rPr>
      </w:pPr>
      <w:r>
        <w:rPr>
          <w:b/>
          <w:sz w:val="20"/>
          <w:szCs w:val="20"/>
          <w:lang w:eastAsia="en-AU"/>
        </w:rPr>
        <w:t xml:space="preserve">Example </w:t>
      </w:r>
      <w:r w:rsidR="00824EF8">
        <w:rPr>
          <w:b/>
          <w:sz w:val="20"/>
          <w:szCs w:val="20"/>
          <w:lang w:eastAsia="en-AU"/>
        </w:rPr>
        <w:t xml:space="preserve">21: </w:t>
      </w:r>
      <w:r w:rsidR="00F32C8B">
        <w:rPr>
          <w:b/>
          <w:sz w:val="20"/>
          <w:szCs w:val="20"/>
          <w:lang w:eastAsia="en-AU"/>
        </w:rPr>
        <w:fldChar w:fldCharType="begin"/>
      </w:r>
      <w:r w:rsidR="00F32C8B" w:rsidRPr="00D25F30">
        <w:rPr>
          <w:b/>
          <w:sz w:val="20"/>
          <w:szCs w:val="20"/>
          <w:lang w:eastAsia="en-AU"/>
        </w:rPr>
        <w:instrText>seq NumList</w:instrText>
      </w:r>
      <w:r w:rsidR="00F32C8B">
        <w:rPr>
          <w:b/>
          <w:sz w:val="20"/>
          <w:szCs w:val="20"/>
          <w:lang w:eastAsia="en-AU"/>
        </w:rPr>
        <w:fldChar w:fldCharType="end"/>
      </w:r>
      <w:r w:rsidR="00824EF8">
        <w:rPr>
          <w:b/>
          <w:sz w:val="20"/>
          <w:szCs w:val="20"/>
          <w:lang w:eastAsia="en-AU"/>
        </w:rPr>
        <w:t>D</w:t>
      </w:r>
      <w:r>
        <w:rPr>
          <w:b/>
          <w:sz w:val="20"/>
          <w:szCs w:val="20"/>
          <w:lang w:eastAsia="en-AU"/>
        </w:rPr>
        <w:t>iverted branch payment mismatches</w:t>
      </w:r>
    </w:p>
    <w:p w14:paraId="0292EB4A" w14:textId="77777777" w:rsidR="00896CE1" w:rsidRPr="00925A3A" w:rsidRDefault="00896CE1" w:rsidP="00896CE1">
      <w:pPr>
        <w:pBdr>
          <w:top w:val="single" w:sz="4" w:space="10" w:color="auto"/>
          <w:left w:val="single" w:sz="4" w:space="10" w:color="auto"/>
          <w:bottom w:val="single" w:sz="4" w:space="10" w:color="auto"/>
          <w:right w:val="single" w:sz="4" w:space="10" w:color="auto"/>
        </w:pBdr>
        <w:rPr>
          <w:sz w:val="20"/>
          <w:szCs w:val="20"/>
          <w:lang w:eastAsia="en-AU"/>
        </w:rPr>
      </w:pPr>
    </w:p>
    <w:p w14:paraId="5959180D" w14:textId="155C69CB" w:rsidR="00896CE1" w:rsidRDefault="00802FDB" w:rsidP="00896CE1">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Pavlova</w:t>
      </w:r>
      <w:r w:rsidR="00896CE1">
        <w:rPr>
          <w:sz w:val="20"/>
          <w:szCs w:val="20"/>
          <w:lang w:eastAsia="en-AU"/>
        </w:rPr>
        <w:t xml:space="preserve"> Co</w:t>
      </w:r>
      <w:r w:rsidR="00B425BA">
        <w:rPr>
          <w:sz w:val="20"/>
          <w:szCs w:val="20"/>
          <w:lang w:eastAsia="en-AU"/>
        </w:rPr>
        <w:t xml:space="preserve"> (a company resident in New Zealand)</w:t>
      </w:r>
      <w:r w:rsidR="00896CE1">
        <w:rPr>
          <w:sz w:val="20"/>
          <w:szCs w:val="20"/>
          <w:lang w:eastAsia="en-AU"/>
        </w:rPr>
        <w:t xml:space="preserve"> makes a deductible payment to the foreign branch of a group member, </w:t>
      </w:r>
      <w:r w:rsidR="005D61B5">
        <w:rPr>
          <w:sz w:val="20"/>
          <w:szCs w:val="20"/>
          <w:lang w:eastAsia="en-AU"/>
        </w:rPr>
        <w:t>Banana Cake</w:t>
      </w:r>
      <w:r w:rsidR="00896CE1">
        <w:rPr>
          <w:sz w:val="20"/>
          <w:szCs w:val="20"/>
          <w:lang w:eastAsia="en-AU"/>
        </w:rPr>
        <w:t xml:space="preserve"> Co</w:t>
      </w:r>
      <w:r w:rsidR="00DE5FE0">
        <w:rPr>
          <w:sz w:val="20"/>
          <w:szCs w:val="20"/>
          <w:lang w:eastAsia="en-AU"/>
        </w:rPr>
        <w:t xml:space="preserve"> </w:t>
      </w:r>
      <w:r w:rsidR="005D61B5">
        <w:rPr>
          <w:sz w:val="20"/>
          <w:szCs w:val="20"/>
          <w:lang w:eastAsia="en-AU"/>
        </w:rPr>
        <w:t>(</w:t>
      </w:r>
      <w:r w:rsidR="00DE5FE0">
        <w:rPr>
          <w:sz w:val="20"/>
          <w:szCs w:val="20"/>
          <w:lang w:eastAsia="en-AU"/>
        </w:rPr>
        <w:t>which is incorporated and resident in Country B</w:t>
      </w:r>
      <w:r w:rsidR="005D61B5">
        <w:rPr>
          <w:sz w:val="20"/>
          <w:szCs w:val="20"/>
          <w:lang w:eastAsia="en-AU"/>
        </w:rPr>
        <w:t>)</w:t>
      </w:r>
      <w:r w:rsidR="00896CE1">
        <w:rPr>
          <w:sz w:val="20"/>
          <w:szCs w:val="20"/>
          <w:lang w:eastAsia="en-AU"/>
        </w:rPr>
        <w:t>.</w:t>
      </w:r>
    </w:p>
    <w:p w14:paraId="49FC7DF8" w14:textId="77777777" w:rsidR="00896CE1" w:rsidRDefault="00896CE1" w:rsidP="00896CE1">
      <w:pPr>
        <w:pBdr>
          <w:top w:val="single" w:sz="4" w:space="10" w:color="auto"/>
          <w:left w:val="single" w:sz="4" w:space="10" w:color="auto"/>
          <w:bottom w:val="single" w:sz="4" w:space="10" w:color="auto"/>
          <w:right w:val="single" w:sz="4" w:space="10" w:color="auto"/>
        </w:pBdr>
        <w:rPr>
          <w:sz w:val="20"/>
          <w:szCs w:val="20"/>
          <w:lang w:eastAsia="en-AU"/>
        </w:rPr>
      </w:pPr>
    </w:p>
    <w:p w14:paraId="76797C5D" w14:textId="344F24A2" w:rsidR="00896CE1" w:rsidRDefault="00884F66" w:rsidP="00896CE1">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The</w:t>
      </w:r>
      <w:r w:rsidR="0088486E">
        <w:rPr>
          <w:sz w:val="20"/>
          <w:szCs w:val="20"/>
          <w:lang w:eastAsia="en-AU"/>
        </w:rPr>
        <w:t xml:space="preserve"> domestic law</w:t>
      </w:r>
      <w:r>
        <w:rPr>
          <w:sz w:val="20"/>
          <w:szCs w:val="20"/>
          <w:lang w:eastAsia="en-AU"/>
        </w:rPr>
        <w:t xml:space="preserve"> of Country B (the payee country)</w:t>
      </w:r>
      <w:r w:rsidR="0088486E">
        <w:rPr>
          <w:sz w:val="20"/>
          <w:szCs w:val="20"/>
          <w:lang w:eastAsia="en-AU"/>
        </w:rPr>
        <w:t xml:space="preserve"> exempts </w:t>
      </w:r>
      <w:r w:rsidR="00896CE1">
        <w:rPr>
          <w:sz w:val="20"/>
          <w:szCs w:val="20"/>
          <w:lang w:eastAsia="en-AU"/>
        </w:rPr>
        <w:t>foreign branch profits</w:t>
      </w:r>
      <w:r>
        <w:rPr>
          <w:sz w:val="20"/>
          <w:szCs w:val="20"/>
          <w:lang w:eastAsia="en-AU"/>
        </w:rPr>
        <w:t xml:space="preserve"> and considers the payment to have been paid to the foreign branch of Banana Cake Co</w:t>
      </w:r>
      <w:r w:rsidR="00896CE1">
        <w:rPr>
          <w:sz w:val="20"/>
          <w:szCs w:val="20"/>
          <w:lang w:eastAsia="en-AU"/>
        </w:rPr>
        <w:t>.</w:t>
      </w:r>
    </w:p>
    <w:p w14:paraId="2DA503DB" w14:textId="77777777" w:rsidR="00896CE1" w:rsidRDefault="00896CE1" w:rsidP="00896CE1">
      <w:pPr>
        <w:pBdr>
          <w:top w:val="single" w:sz="4" w:space="10" w:color="auto"/>
          <w:left w:val="single" w:sz="4" w:space="10" w:color="auto"/>
          <w:bottom w:val="single" w:sz="4" w:space="10" w:color="auto"/>
          <w:right w:val="single" w:sz="4" w:space="10" w:color="auto"/>
        </w:pBdr>
        <w:rPr>
          <w:sz w:val="20"/>
          <w:szCs w:val="20"/>
          <w:lang w:eastAsia="en-AU"/>
        </w:rPr>
      </w:pPr>
    </w:p>
    <w:p w14:paraId="2E91BD01" w14:textId="4C6B6DCC" w:rsidR="00896CE1" w:rsidRDefault="00896CE1" w:rsidP="00896CE1">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In Country C, </w:t>
      </w:r>
      <w:r w:rsidR="005D61B5">
        <w:rPr>
          <w:sz w:val="20"/>
          <w:szCs w:val="20"/>
          <w:lang w:eastAsia="en-AU"/>
        </w:rPr>
        <w:t>Banana Cake</w:t>
      </w:r>
      <w:r>
        <w:rPr>
          <w:sz w:val="20"/>
          <w:szCs w:val="20"/>
          <w:lang w:eastAsia="en-AU"/>
        </w:rPr>
        <w:t xml:space="preserve"> Co is recognised as having a permanent establishment (PE) but the payment is regarded as having been paid to </w:t>
      </w:r>
      <w:r w:rsidR="005D61B5">
        <w:rPr>
          <w:sz w:val="20"/>
          <w:szCs w:val="20"/>
          <w:lang w:eastAsia="en-AU"/>
        </w:rPr>
        <w:t xml:space="preserve">Banana Cake </w:t>
      </w:r>
      <w:r>
        <w:rPr>
          <w:sz w:val="20"/>
          <w:szCs w:val="20"/>
          <w:lang w:eastAsia="en-AU"/>
        </w:rPr>
        <w:t xml:space="preserve">Co in its own right, instead of being allocated to the </w:t>
      </w:r>
      <w:r w:rsidR="00DE5FE0">
        <w:rPr>
          <w:sz w:val="20"/>
          <w:szCs w:val="20"/>
          <w:lang w:eastAsia="en-AU"/>
        </w:rPr>
        <w:t>PE</w:t>
      </w:r>
      <w:r>
        <w:rPr>
          <w:sz w:val="20"/>
          <w:szCs w:val="20"/>
          <w:lang w:eastAsia="en-AU"/>
        </w:rPr>
        <w:t>.</w:t>
      </w:r>
    </w:p>
    <w:p w14:paraId="280C9E0A" w14:textId="77777777" w:rsidR="00896CE1" w:rsidRDefault="00896CE1" w:rsidP="00896CE1">
      <w:pPr>
        <w:pBdr>
          <w:top w:val="single" w:sz="4" w:space="10" w:color="auto"/>
          <w:left w:val="single" w:sz="4" w:space="10" w:color="auto"/>
          <w:bottom w:val="single" w:sz="4" w:space="10" w:color="auto"/>
          <w:right w:val="single" w:sz="4" w:space="10" w:color="auto"/>
        </w:pBdr>
        <w:rPr>
          <w:sz w:val="20"/>
          <w:szCs w:val="20"/>
          <w:lang w:eastAsia="en-AU"/>
        </w:rPr>
      </w:pPr>
    </w:p>
    <w:p w14:paraId="0717B4D6" w14:textId="086128F8" w:rsidR="003E264E" w:rsidRDefault="00896CE1" w:rsidP="00896CE1">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The payment is therefore not subject to income tax in either Country B or Country C</w:t>
      </w:r>
      <w:r w:rsidR="002D5667">
        <w:rPr>
          <w:sz w:val="20"/>
          <w:szCs w:val="20"/>
          <w:lang w:eastAsia="en-AU"/>
        </w:rPr>
        <w:t xml:space="preserve">. </w:t>
      </w:r>
      <w:r w:rsidR="003E264E">
        <w:rPr>
          <w:sz w:val="20"/>
          <w:szCs w:val="20"/>
          <w:lang w:eastAsia="en-AU"/>
        </w:rPr>
        <w:t>The payment</w:t>
      </w:r>
      <w:r w:rsidR="00DE4174">
        <w:rPr>
          <w:sz w:val="20"/>
          <w:szCs w:val="20"/>
          <w:lang w:eastAsia="en-AU"/>
        </w:rPr>
        <w:t xml:space="preserve"> thus</w:t>
      </w:r>
      <w:r w:rsidR="003E264E">
        <w:rPr>
          <w:sz w:val="20"/>
          <w:szCs w:val="20"/>
          <w:lang w:eastAsia="en-AU"/>
        </w:rPr>
        <w:t xml:space="preserve"> </w:t>
      </w:r>
      <w:r w:rsidR="00F7647F">
        <w:rPr>
          <w:sz w:val="20"/>
          <w:szCs w:val="20"/>
          <w:lang w:eastAsia="en-AU"/>
        </w:rPr>
        <w:t>meets the requirements of section FH 7(1)</w:t>
      </w:r>
      <w:r w:rsidR="00DE4174">
        <w:rPr>
          <w:sz w:val="20"/>
          <w:szCs w:val="20"/>
          <w:lang w:eastAsia="en-AU"/>
        </w:rPr>
        <w:t xml:space="preserve">(a), </w:t>
      </w:r>
      <w:r w:rsidR="00F7647F">
        <w:rPr>
          <w:sz w:val="20"/>
          <w:szCs w:val="20"/>
          <w:lang w:eastAsia="en-AU"/>
        </w:rPr>
        <w:t>(b), (c), and (d).</w:t>
      </w:r>
    </w:p>
    <w:p w14:paraId="338128FF" w14:textId="77777777" w:rsidR="00896CE1" w:rsidRDefault="00896CE1" w:rsidP="00896CE1">
      <w:pPr>
        <w:pBdr>
          <w:top w:val="single" w:sz="4" w:space="10" w:color="auto"/>
          <w:left w:val="single" w:sz="4" w:space="10" w:color="auto"/>
          <w:bottom w:val="single" w:sz="4" w:space="10" w:color="auto"/>
          <w:right w:val="single" w:sz="4" w:space="10" w:color="auto"/>
        </w:pBdr>
        <w:rPr>
          <w:sz w:val="20"/>
          <w:szCs w:val="20"/>
          <w:lang w:eastAsia="en-AU"/>
        </w:rPr>
      </w:pPr>
    </w:p>
    <w:p w14:paraId="7D0E7B66" w14:textId="50601595" w:rsidR="00896CE1" w:rsidRDefault="00896CE1" w:rsidP="00896CE1">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The </w:t>
      </w:r>
      <w:r w:rsidR="00645467">
        <w:rPr>
          <w:sz w:val="20"/>
          <w:szCs w:val="20"/>
          <w:lang w:eastAsia="en-AU"/>
        </w:rPr>
        <w:t xml:space="preserve">counterfactual </w:t>
      </w:r>
      <w:r>
        <w:rPr>
          <w:sz w:val="20"/>
          <w:szCs w:val="20"/>
          <w:lang w:eastAsia="en-AU"/>
        </w:rPr>
        <w:t>requirement</w:t>
      </w:r>
      <w:r w:rsidR="00645467">
        <w:rPr>
          <w:sz w:val="20"/>
          <w:szCs w:val="20"/>
          <w:lang w:eastAsia="en-AU"/>
        </w:rPr>
        <w:t xml:space="preserve"> in section FH 7(1)(e)</w:t>
      </w:r>
      <w:r>
        <w:rPr>
          <w:sz w:val="20"/>
          <w:szCs w:val="20"/>
          <w:lang w:eastAsia="en-AU"/>
        </w:rPr>
        <w:t xml:space="preserve"> is</w:t>
      </w:r>
      <w:r w:rsidR="00F7647F">
        <w:rPr>
          <w:sz w:val="20"/>
          <w:szCs w:val="20"/>
          <w:lang w:eastAsia="en-AU"/>
        </w:rPr>
        <w:t xml:space="preserve"> </w:t>
      </w:r>
      <w:r w:rsidR="003E264E">
        <w:rPr>
          <w:sz w:val="20"/>
          <w:szCs w:val="20"/>
          <w:lang w:eastAsia="en-AU"/>
        </w:rPr>
        <w:t>also</w:t>
      </w:r>
      <w:r>
        <w:rPr>
          <w:sz w:val="20"/>
          <w:szCs w:val="20"/>
          <w:lang w:eastAsia="en-AU"/>
        </w:rPr>
        <w:t xml:space="preserve"> met </w:t>
      </w:r>
      <w:r w:rsidR="00645467">
        <w:rPr>
          <w:sz w:val="20"/>
          <w:szCs w:val="20"/>
          <w:lang w:eastAsia="en-AU"/>
        </w:rPr>
        <w:t xml:space="preserve">as </w:t>
      </w:r>
      <w:r>
        <w:rPr>
          <w:sz w:val="20"/>
          <w:szCs w:val="20"/>
          <w:lang w:eastAsia="en-AU"/>
        </w:rPr>
        <w:t>the payment would have been subject to income tax in Country B had it been</w:t>
      </w:r>
      <w:r w:rsidR="003E264E">
        <w:rPr>
          <w:sz w:val="20"/>
          <w:szCs w:val="20"/>
          <w:lang w:eastAsia="en-AU"/>
        </w:rPr>
        <w:t xml:space="preserve"> treated as a payment to</w:t>
      </w:r>
      <w:r>
        <w:rPr>
          <w:sz w:val="20"/>
          <w:szCs w:val="20"/>
          <w:lang w:eastAsia="en-AU"/>
        </w:rPr>
        <w:t xml:space="preserve"> </w:t>
      </w:r>
      <w:r w:rsidR="00645467">
        <w:rPr>
          <w:sz w:val="20"/>
          <w:szCs w:val="20"/>
          <w:lang w:eastAsia="en-AU"/>
        </w:rPr>
        <w:t xml:space="preserve">Banana Cake </w:t>
      </w:r>
      <w:r>
        <w:rPr>
          <w:sz w:val="20"/>
          <w:szCs w:val="20"/>
          <w:lang w:eastAsia="en-AU"/>
        </w:rPr>
        <w:t>Co</w:t>
      </w:r>
      <w:r w:rsidR="003E264E">
        <w:rPr>
          <w:sz w:val="20"/>
          <w:szCs w:val="20"/>
          <w:lang w:eastAsia="en-AU"/>
        </w:rPr>
        <w:t>’s head office</w:t>
      </w:r>
      <w:r w:rsidR="00F7647F">
        <w:rPr>
          <w:sz w:val="20"/>
          <w:szCs w:val="20"/>
          <w:lang w:eastAsia="en-AU"/>
        </w:rPr>
        <w:t xml:space="preserve"> in Country B.</w:t>
      </w:r>
    </w:p>
    <w:p w14:paraId="2FA1042C" w14:textId="77777777" w:rsidR="00F96AA8" w:rsidRDefault="00F96AA8" w:rsidP="00896CE1">
      <w:pPr>
        <w:pBdr>
          <w:top w:val="single" w:sz="4" w:space="10" w:color="auto"/>
          <w:left w:val="single" w:sz="4" w:space="10" w:color="auto"/>
          <w:bottom w:val="single" w:sz="4" w:space="10" w:color="auto"/>
          <w:right w:val="single" w:sz="4" w:space="10" w:color="auto"/>
        </w:pBdr>
        <w:rPr>
          <w:sz w:val="20"/>
          <w:szCs w:val="20"/>
          <w:lang w:eastAsia="en-AU"/>
        </w:rPr>
      </w:pPr>
    </w:p>
    <w:p w14:paraId="4F29D93C" w14:textId="77777777" w:rsidR="00F96AA8" w:rsidRPr="00925A3A" w:rsidRDefault="00F96AA8" w:rsidP="00896CE1">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As the requirements in Section FH 7(1) are satisfied, subsection (2) denies Pavlova Co a deduction for its payment to Banana Cake Co.</w:t>
      </w:r>
    </w:p>
    <w:p w14:paraId="137FB70E" w14:textId="77777777" w:rsidR="00896CE1" w:rsidRDefault="00896CE1" w:rsidP="00925A3A">
      <w:pPr>
        <w:rPr>
          <w:szCs w:val="20"/>
          <w:lang w:eastAsia="en-AU"/>
        </w:rPr>
      </w:pPr>
    </w:p>
    <w:p w14:paraId="259E48EA" w14:textId="2A657AB9" w:rsidR="00896CE1" w:rsidRPr="00E40182" w:rsidRDefault="00896CE1" w:rsidP="00896CE1">
      <w:pPr>
        <w:pBdr>
          <w:top w:val="single" w:sz="4" w:space="10" w:color="auto"/>
          <w:left w:val="single" w:sz="4" w:space="10" w:color="auto"/>
          <w:bottom w:val="single" w:sz="4" w:space="10" w:color="auto"/>
          <w:right w:val="single" w:sz="4" w:space="10" w:color="auto"/>
        </w:pBdr>
        <w:rPr>
          <w:sz w:val="20"/>
          <w:szCs w:val="20"/>
          <w:lang w:eastAsia="en-AU"/>
        </w:rPr>
      </w:pPr>
      <w:r w:rsidRPr="00E40182">
        <w:rPr>
          <w:b/>
          <w:sz w:val="20"/>
          <w:szCs w:val="20"/>
          <w:lang w:eastAsia="en-AU"/>
        </w:rPr>
        <w:t xml:space="preserve">Example </w:t>
      </w:r>
      <w:r w:rsidR="00824EF8">
        <w:rPr>
          <w:b/>
          <w:sz w:val="20"/>
          <w:szCs w:val="20"/>
          <w:lang w:eastAsia="en-AU"/>
        </w:rPr>
        <w:t>22: D</w:t>
      </w:r>
      <w:r w:rsidR="00645467">
        <w:rPr>
          <w:b/>
          <w:sz w:val="20"/>
          <w:szCs w:val="20"/>
          <w:lang w:eastAsia="en-AU"/>
        </w:rPr>
        <w:t>isregarded</w:t>
      </w:r>
      <w:r w:rsidR="00645467" w:rsidRPr="00E40182">
        <w:rPr>
          <w:b/>
          <w:sz w:val="20"/>
          <w:szCs w:val="20"/>
          <w:lang w:eastAsia="en-AU"/>
        </w:rPr>
        <w:t xml:space="preserve"> </w:t>
      </w:r>
      <w:r w:rsidRPr="00E40182">
        <w:rPr>
          <w:b/>
          <w:sz w:val="20"/>
          <w:szCs w:val="20"/>
          <w:lang w:eastAsia="en-AU"/>
        </w:rPr>
        <w:t>branch payment mismatches</w:t>
      </w:r>
    </w:p>
    <w:p w14:paraId="445FEEA8" w14:textId="77777777" w:rsidR="00896CE1" w:rsidRPr="00E40182" w:rsidRDefault="00896CE1" w:rsidP="00896CE1">
      <w:pPr>
        <w:pBdr>
          <w:top w:val="single" w:sz="4" w:space="10" w:color="auto"/>
          <w:left w:val="single" w:sz="4" w:space="10" w:color="auto"/>
          <w:bottom w:val="single" w:sz="4" w:space="10" w:color="auto"/>
          <w:right w:val="single" w:sz="4" w:space="10" w:color="auto"/>
        </w:pBdr>
        <w:rPr>
          <w:sz w:val="20"/>
          <w:szCs w:val="20"/>
          <w:lang w:eastAsia="en-AU"/>
        </w:rPr>
      </w:pPr>
    </w:p>
    <w:p w14:paraId="2F537EF8" w14:textId="040EF90D" w:rsidR="00B547B2" w:rsidRDefault="00896CE1" w:rsidP="00896CE1">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The facts are the same as </w:t>
      </w:r>
      <w:r w:rsidR="00C26433">
        <w:rPr>
          <w:sz w:val="20"/>
          <w:szCs w:val="20"/>
          <w:lang w:eastAsia="en-AU"/>
        </w:rPr>
        <w:t xml:space="preserve">in </w:t>
      </w:r>
      <w:r w:rsidR="00094CD1">
        <w:rPr>
          <w:sz w:val="20"/>
          <w:szCs w:val="20"/>
          <w:lang w:eastAsia="en-AU"/>
        </w:rPr>
        <w:t>e</w:t>
      </w:r>
      <w:r w:rsidR="00C26433">
        <w:rPr>
          <w:sz w:val="20"/>
          <w:szCs w:val="20"/>
          <w:lang w:eastAsia="en-AU"/>
        </w:rPr>
        <w:t xml:space="preserve">xample </w:t>
      </w:r>
      <w:r w:rsidR="00C26433" w:rsidRPr="001F2A69">
        <w:rPr>
          <w:sz w:val="20"/>
          <w:szCs w:val="20"/>
          <w:lang w:eastAsia="en-AU"/>
        </w:rPr>
        <w:t>2</w:t>
      </w:r>
      <w:r w:rsidR="001F2A69">
        <w:rPr>
          <w:sz w:val="20"/>
          <w:szCs w:val="20"/>
          <w:lang w:eastAsia="en-AU"/>
        </w:rPr>
        <w:t>1</w:t>
      </w:r>
      <w:r w:rsidR="00B547B2">
        <w:rPr>
          <w:sz w:val="20"/>
          <w:szCs w:val="20"/>
          <w:lang w:eastAsia="en-AU"/>
        </w:rPr>
        <w:t xml:space="preserve">, except that </w:t>
      </w:r>
      <w:r w:rsidR="003E264E">
        <w:rPr>
          <w:sz w:val="20"/>
          <w:szCs w:val="20"/>
          <w:lang w:eastAsia="en-AU"/>
        </w:rPr>
        <w:t xml:space="preserve">Banana Cake </w:t>
      </w:r>
      <w:r w:rsidR="00B547B2">
        <w:rPr>
          <w:sz w:val="20"/>
          <w:szCs w:val="20"/>
          <w:lang w:eastAsia="en-AU"/>
        </w:rPr>
        <w:t>Co is not regarded as having a PE in Country C</w:t>
      </w:r>
      <w:r w:rsidR="00C26433">
        <w:rPr>
          <w:sz w:val="20"/>
          <w:szCs w:val="20"/>
          <w:lang w:eastAsia="en-AU"/>
        </w:rPr>
        <w:t>.</w:t>
      </w:r>
      <w:r w:rsidR="00B547B2">
        <w:rPr>
          <w:sz w:val="20"/>
          <w:szCs w:val="20"/>
          <w:lang w:eastAsia="en-AU"/>
        </w:rPr>
        <w:t xml:space="preserve"> Country B still considers that there is a PE in Country C.</w:t>
      </w:r>
    </w:p>
    <w:p w14:paraId="313AC510" w14:textId="77777777" w:rsidR="00B547B2" w:rsidRDefault="00B547B2" w:rsidP="00896CE1">
      <w:pPr>
        <w:pBdr>
          <w:top w:val="single" w:sz="4" w:space="10" w:color="auto"/>
          <w:left w:val="single" w:sz="4" w:space="10" w:color="auto"/>
          <w:bottom w:val="single" w:sz="4" w:space="10" w:color="auto"/>
          <w:right w:val="single" w:sz="4" w:space="10" w:color="auto"/>
        </w:pBdr>
        <w:rPr>
          <w:sz w:val="20"/>
          <w:szCs w:val="20"/>
          <w:lang w:eastAsia="en-AU"/>
        </w:rPr>
      </w:pPr>
    </w:p>
    <w:p w14:paraId="36A6CFE7" w14:textId="77777777" w:rsidR="00896CE1" w:rsidRPr="00925A3A" w:rsidRDefault="00F96AA8" w:rsidP="00F96AA8">
      <w:pPr>
        <w:pBdr>
          <w:top w:val="single" w:sz="4" w:space="10" w:color="auto"/>
          <w:left w:val="single" w:sz="4" w:space="10" w:color="auto"/>
          <w:bottom w:val="single" w:sz="4" w:space="10" w:color="auto"/>
          <w:right w:val="single" w:sz="4" w:space="10" w:color="auto"/>
        </w:pBdr>
        <w:rPr>
          <w:sz w:val="20"/>
          <w:szCs w:val="20"/>
          <w:lang w:eastAsia="en-AU"/>
        </w:rPr>
      </w:pPr>
      <w:r>
        <w:rPr>
          <w:sz w:val="20"/>
          <w:szCs w:val="20"/>
          <w:lang w:eastAsia="en-AU"/>
        </w:rPr>
        <w:t xml:space="preserve">This mismatch therefore satisfies </w:t>
      </w:r>
      <w:r w:rsidR="00DE4174">
        <w:rPr>
          <w:sz w:val="20"/>
          <w:szCs w:val="20"/>
          <w:lang w:eastAsia="en-AU"/>
        </w:rPr>
        <w:t>each of the</w:t>
      </w:r>
      <w:r>
        <w:rPr>
          <w:sz w:val="20"/>
          <w:szCs w:val="20"/>
          <w:lang w:eastAsia="en-AU"/>
        </w:rPr>
        <w:t xml:space="preserve"> requirements of Section FH 7(1) in the same way as the diverted branch payment example above. Pavlova Co will similarly be denied a deduction</w:t>
      </w:r>
      <w:r w:rsidR="00DE4174">
        <w:rPr>
          <w:sz w:val="20"/>
          <w:szCs w:val="20"/>
          <w:lang w:eastAsia="en-AU"/>
        </w:rPr>
        <w:t xml:space="preserve"> under subsection (2)</w:t>
      </w:r>
      <w:r>
        <w:rPr>
          <w:sz w:val="20"/>
          <w:szCs w:val="20"/>
          <w:lang w:eastAsia="en-AU"/>
        </w:rPr>
        <w:t xml:space="preserve"> for its payment to</w:t>
      </w:r>
      <w:r w:rsidR="00074B3A">
        <w:rPr>
          <w:sz w:val="20"/>
          <w:szCs w:val="20"/>
          <w:lang w:eastAsia="en-AU"/>
        </w:rPr>
        <w:t xml:space="preserve"> its group member</w:t>
      </w:r>
      <w:r>
        <w:rPr>
          <w:sz w:val="20"/>
          <w:szCs w:val="20"/>
          <w:lang w:eastAsia="en-AU"/>
        </w:rPr>
        <w:t xml:space="preserve"> Banana Cake Co.</w:t>
      </w:r>
    </w:p>
    <w:p w14:paraId="3882A9A2" w14:textId="77777777" w:rsidR="00925A3A" w:rsidRPr="00925A3A" w:rsidRDefault="00925A3A" w:rsidP="00925A3A">
      <w:pPr>
        <w:rPr>
          <w:szCs w:val="20"/>
          <w:lang w:eastAsia="en-AU"/>
        </w:rPr>
      </w:pPr>
      <w:r w:rsidRPr="00925A3A">
        <w:rPr>
          <w:szCs w:val="20"/>
          <w:lang w:eastAsia="en-AU"/>
        </w:rPr>
        <w:br w:type="page"/>
      </w:r>
    </w:p>
    <w:p w14:paraId="07B28818" w14:textId="77777777" w:rsidR="00925A3A" w:rsidRPr="00925A3A" w:rsidRDefault="00925A3A" w:rsidP="00925A3A">
      <w:pPr>
        <w:keepNext/>
        <w:pBdr>
          <w:bottom w:val="single" w:sz="4" w:space="6" w:color="auto"/>
        </w:pBdr>
        <w:jc w:val="left"/>
        <w:outlineLvl w:val="0"/>
        <w:rPr>
          <w:b/>
          <w:caps/>
          <w:sz w:val="26"/>
          <w:szCs w:val="20"/>
          <w:lang w:eastAsia="en-AU"/>
        </w:rPr>
      </w:pPr>
      <w:bookmarkStart w:id="10" w:name="_Toc500319040"/>
      <w:r w:rsidRPr="00925A3A">
        <w:rPr>
          <w:b/>
          <w:caps/>
          <w:sz w:val="26"/>
          <w:szCs w:val="20"/>
          <w:lang w:eastAsia="en-AU"/>
        </w:rPr>
        <w:lastRenderedPageBreak/>
        <w:t>Deductible hybrid and branch payments</w:t>
      </w:r>
      <w:r w:rsidR="00B91E80">
        <w:rPr>
          <w:b/>
          <w:caps/>
          <w:sz w:val="26"/>
          <w:szCs w:val="20"/>
          <w:lang w:eastAsia="en-AU"/>
        </w:rPr>
        <w:t xml:space="preserve"> (DOUBLE DEDUCTIONS)</w:t>
      </w:r>
      <w:r w:rsidRPr="00925A3A">
        <w:rPr>
          <w:b/>
          <w:caps/>
          <w:sz w:val="26"/>
          <w:szCs w:val="20"/>
          <w:lang w:eastAsia="en-AU"/>
        </w:rPr>
        <w:t xml:space="preserve"> rule</w:t>
      </w:r>
      <w:bookmarkEnd w:id="10"/>
    </w:p>
    <w:p w14:paraId="671BA4D5" w14:textId="77777777" w:rsidR="00925A3A" w:rsidRPr="00925A3A" w:rsidRDefault="00925A3A" w:rsidP="00925A3A">
      <w:pPr>
        <w:rPr>
          <w:szCs w:val="20"/>
          <w:lang w:eastAsia="en-AU"/>
        </w:rPr>
      </w:pPr>
    </w:p>
    <w:p w14:paraId="2A8F6E59" w14:textId="77777777" w:rsidR="00925A3A" w:rsidRPr="00925A3A" w:rsidRDefault="005C0A6C" w:rsidP="00925A3A">
      <w:pPr>
        <w:rPr>
          <w:b/>
          <w:i/>
          <w:szCs w:val="20"/>
          <w:lang w:eastAsia="en-AU"/>
        </w:rPr>
      </w:pPr>
      <w:r>
        <w:rPr>
          <w:b/>
          <w:i/>
          <w:szCs w:val="20"/>
          <w:lang w:eastAsia="en-AU"/>
        </w:rPr>
        <w:t>S</w:t>
      </w:r>
      <w:r w:rsidR="00925A3A" w:rsidRPr="00925A3A">
        <w:rPr>
          <w:b/>
          <w:i/>
          <w:szCs w:val="20"/>
          <w:lang w:eastAsia="en-AU"/>
        </w:rPr>
        <w:t xml:space="preserve">ections FH 8 and </w:t>
      </w:r>
      <w:r>
        <w:rPr>
          <w:b/>
          <w:i/>
          <w:szCs w:val="20"/>
          <w:lang w:eastAsia="en-AU"/>
        </w:rPr>
        <w:t>FH 9</w:t>
      </w:r>
    </w:p>
    <w:p w14:paraId="5B89268B" w14:textId="77777777" w:rsidR="00925A3A" w:rsidRPr="00925A3A" w:rsidRDefault="00925A3A" w:rsidP="00925A3A">
      <w:pPr>
        <w:rPr>
          <w:szCs w:val="20"/>
          <w:lang w:eastAsia="en-AU"/>
        </w:rPr>
      </w:pPr>
    </w:p>
    <w:p w14:paraId="37989703" w14:textId="77777777" w:rsidR="00925A3A" w:rsidRPr="005C0A6C" w:rsidRDefault="005C0A6C" w:rsidP="005C0A6C">
      <w:pPr>
        <w:keepNext/>
        <w:outlineLvl w:val="1"/>
        <w:rPr>
          <w:b/>
          <w:szCs w:val="20"/>
          <w:lang w:eastAsia="en-AU"/>
        </w:rPr>
      </w:pPr>
      <w:r w:rsidRPr="005C0A6C">
        <w:rPr>
          <w:b/>
          <w:szCs w:val="20"/>
          <w:lang w:eastAsia="en-AU"/>
        </w:rPr>
        <w:t>Background</w:t>
      </w:r>
    </w:p>
    <w:p w14:paraId="73E612DF" w14:textId="77777777" w:rsidR="00600D6B" w:rsidRDefault="00600D6B" w:rsidP="00925A3A">
      <w:pPr>
        <w:rPr>
          <w:szCs w:val="20"/>
          <w:lang w:eastAsia="en-AU"/>
        </w:rPr>
      </w:pPr>
    </w:p>
    <w:p w14:paraId="5C6EEB79" w14:textId="7B769643" w:rsidR="005C0A6C" w:rsidRDefault="00422E8E" w:rsidP="00925A3A">
      <w:pPr>
        <w:rPr>
          <w:szCs w:val="20"/>
          <w:lang w:eastAsia="en-AU"/>
        </w:rPr>
      </w:pPr>
      <w:r>
        <w:rPr>
          <w:szCs w:val="20"/>
          <w:lang w:eastAsia="en-AU"/>
        </w:rPr>
        <w:t xml:space="preserve">The deductible hybrid rule is recommendation 6 of the OECD hybrid mismatch report and the branch payments rule is recommendation </w:t>
      </w:r>
      <w:r w:rsidR="00B91E80">
        <w:rPr>
          <w:szCs w:val="20"/>
          <w:lang w:eastAsia="en-AU"/>
        </w:rPr>
        <w:t>4 of the OECD branch mismatch report.</w:t>
      </w:r>
    </w:p>
    <w:p w14:paraId="264C618B" w14:textId="77777777" w:rsidR="0041518A" w:rsidRDefault="0041518A" w:rsidP="0041518A">
      <w:pPr>
        <w:rPr>
          <w:b/>
          <w:i/>
          <w:szCs w:val="20"/>
          <w:lang w:eastAsia="en-AU"/>
        </w:rPr>
      </w:pPr>
    </w:p>
    <w:p w14:paraId="5B46CA24" w14:textId="45B33ECC" w:rsidR="008260EE" w:rsidRPr="0041518A" w:rsidRDefault="00CF4F13" w:rsidP="0041518A">
      <w:pPr>
        <w:rPr>
          <w:b/>
          <w:i/>
          <w:szCs w:val="20"/>
          <w:lang w:eastAsia="en-AU"/>
        </w:rPr>
      </w:pPr>
      <w:r>
        <w:rPr>
          <w:szCs w:val="20"/>
          <w:lang w:eastAsia="en-AU"/>
        </w:rPr>
        <w:t xml:space="preserve">The following diagram </w:t>
      </w:r>
      <w:r w:rsidR="00672DA3">
        <w:rPr>
          <w:szCs w:val="20"/>
          <w:lang w:eastAsia="en-AU"/>
        </w:rPr>
        <w:t xml:space="preserve">is </w:t>
      </w:r>
      <w:r>
        <w:rPr>
          <w:szCs w:val="20"/>
          <w:lang w:eastAsia="en-AU"/>
        </w:rPr>
        <w:t>an example of a deductible hybrid payments mismatch</w:t>
      </w:r>
      <w:r w:rsidR="002D5667">
        <w:rPr>
          <w:szCs w:val="20"/>
          <w:lang w:eastAsia="en-AU"/>
        </w:rPr>
        <w:t xml:space="preserve">. </w:t>
      </w:r>
      <w:r w:rsidR="00204396">
        <w:rPr>
          <w:szCs w:val="20"/>
          <w:lang w:eastAsia="en-AU"/>
        </w:rPr>
        <w:t>Such mismatches always involve a payment from a hybrid entity.</w:t>
      </w:r>
    </w:p>
    <w:p w14:paraId="45C5AD35" w14:textId="77777777" w:rsidR="008260EE" w:rsidRDefault="008260EE" w:rsidP="00695352">
      <w:pPr>
        <w:rPr>
          <w:lang w:eastAsia="en-AU"/>
        </w:rPr>
      </w:pPr>
    </w:p>
    <w:p w14:paraId="4B9293D5" w14:textId="748923C3" w:rsidR="00CF4F13" w:rsidRDefault="00204396" w:rsidP="00695352">
      <w:pPr>
        <w:rPr>
          <w:lang w:eastAsia="en-AU"/>
        </w:rPr>
      </w:pPr>
      <w:r>
        <w:rPr>
          <w:lang w:eastAsia="en-AU"/>
        </w:rPr>
        <w:t xml:space="preserve">Hybrid entities are treated as transparent under the laws of the investor’s tax </w:t>
      </w:r>
      <w:r w:rsidR="000428DE">
        <w:rPr>
          <w:lang w:eastAsia="en-AU"/>
        </w:rPr>
        <w:t>country</w:t>
      </w:r>
      <w:r>
        <w:rPr>
          <w:lang w:eastAsia="en-AU"/>
        </w:rPr>
        <w:t xml:space="preserve"> and opaque under the laws of the establishment or operating </w:t>
      </w:r>
      <w:r w:rsidR="000428DE">
        <w:rPr>
          <w:lang w:eastAsia="en-AU"/>
        </w:rPr>
        <w:t>country</w:t>
      </w:r>
      <w:r w:rsidR="002D5667">
        <w:rPr>
          <w:lang w:eastAsia="en-AU"/>
        </w:rPr>
        <w:t xml:space="preserve">. </w:t>
      </w:r>
      <w:r w:rsidR="008260EE">
        <w:rPr>
          <w:lang w:eastAsia="en-AU"/>
        </w:rPr>
        <w:t xml:space="preserve">This hybrid treatment can result in the same item of expenditure incurred by the hybrid being deductible under the laws of both the parent and payer </w:t>
      </w:r>
      <w:r w:rsidR="000428DE">
        <w:rPr>
          <w:lang w:eastAsia="en-AU"/>
        </w:rPr>
        <w:t>countries</w:t>
      </w:r>
      <w:r w:rsidR="008260EE">
        <w:rPr>
          <w:lang w:eastAsia="en-AU"/>
        </w:rPr>
        <w:t>.</w:t>
      </w:r>
    </w:p>
    <w:p w14:paraId="513E3A74" w14:textId="77777777" w:rsidR="00CF4F13" w:rsidRDefault="00CF4F13" w:rsidP="00695352">
      <w:pPr>
        <w:rPr>
          <w:lang w:eastAsia="en-AU"/>
        </w:rPr>
      </w:pPr>
    </w:p>
    <w:p w14:paraId="5B555971" w14:textId="43AB8A15" w:rsidR="00CF4F13" w:rsidRPr="00CF4F13" w:rsidRDefault="003C605E" w:rsidP="00DD36D5">
      <w:pPr>
        <w:jc w:val="center"/>
        <w:rPr>
          <w:szCs w:val="20"/>
          <w:lang w:eastAsia="en-AU"/>
        </w:rPr>
      </w:pPr>
      <w:r>
        <w:rPr>
          <w:noProof/>
        </w:rPr>
        <w:drawing>
          <wp:inline distT="0" distB="0" distL="0" distR="0" wp14:anchorId="62478BB0" wp14:editId="6DC6BC25">
            <wp:extent cx="4019550" cy="2733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019550" cy="2733675"/>
                    </a:xfrm>
                    <a:prstGeom prst="rect">
                      <a:avLst/>
                    </a:prstGeom>
                  </pic:spPr>
                </pic:pic>
              </a:graphicData>
            </a:graphic>
          </wp:inline>
        </w:drawing>
      </w:r>
    </w:p>
    <w:p w14:paraId="74553411" w14:textId="77777777" w:rsidR="00CF4F13" w:rsidRDefault="00CF4F13" w:rsidP="00695352">
      <w:pPr>
        <w:rPr>
          <w:lang w:eastAsia="en-AU"/>
        </w:rPr>
      </w:pPr>
    </w:p>
    <w:p w14:paraId="0960FA68" w14:textId="77777777" w:rsidR="00D6773F" w:rsidRDefault="00D6773F" w:rsidP="00695352">
      <w:pPr>
        <w:rPr>
          <w:lang w:eastAsia="en-AU"/>
        </w:rPr>
      </w:pPr>
    </w:p>
    <w:p w14:paraId="03BB5F39" w14:textId="6A6EB480" w:rsidR="00AD17B5" w:rsidRDefault="008260EE" w:rsidP="00695352">
      <w:pPr>
        <w:rPr>
          <w:lang w:eastAsia="en-AU"/>
        </w:rPr>
      </w:pPr>
      <w:r>
        <w:rPr>
          <w:lang w:eastAsia="en-AU"/>
        </w:rPr>
        <w:t>In the</w:t>
      </w:r>
      <w:r w:rsidR="00204396">
        <w:rPr>
          <w:lang w:eastAsia="en-AU"/>
        </w:rPr>
        <w:t xml:space="preserve"> example, </w:t>
      </w:r>
      <w:r w:rsidR="003D749A">
        <w:rPr>
          <w:lang w:eastAsia="en-AU"/>
        </w:rPr>
        <w:t>B Co</w:t>
      </w:r>
      <w:r w:rsidR="00204396">
        <w:rPr>
          <w:lang w:eastAsia="en-AU"/>
        </w:rPr>
        <w:t xml:space="preserve"> is a wholly-owned subsidiary of A Co</w:t>
      </w:r>
      <w:r w:rsidR="002D5667">
        <w:rPr>
          <w:lang w:eastAsia="en-AU"/>
        </w:rPr>
        <w:t xml:space="preserve">. </w:t>
      </w:r>
      <w:r w:rsidR="00AD17B5">
        <w:rPr>
          <w:lang w:eastAsia="en-AU"/>
        </w:rPr>
        <w:t>B Co is disregarded for Country A tax purposes</w:t>
      </w:r>
      <w:r w:rsidR="002D5667">
        <w:rPr>
          <w:lang w:eastAsia="en-AU"/>
        </w:rPr>
        <w:t xml:space="preserve">. </w:t>
      </w:r>
      <w:r w:rsidR="00AD17B5">
        <w:rPr>
          <w:lang w:eastAsia="en-AU"/>
        </w:rPr>
        <w:t>B Co borrows from a bank and pays interest on the loan</w:t>
      </w:r>
      <w:r w:rsidR="002D5667">
        <w:rPr>
          <w:lang w:eastAsia="en-AU"/>
        </w:rPr>
        <w:t xml:space="preserve">. </w:t>
      </w:r>
      <w:r w:rsidR="00AD17B5">
        <w:rPr>
          <w:lang w:eastAsia="en-AU"/>
        </w:rPr>
        <w:t>B Co derives no other income</w:t>
      </w:r>
      <w:r w:rsidR="002D5667">
        <w:rPr>
          <w:lang w:eastAsia="en-AU"/>
        </w:rPr>
        <w:t xml:space="preserve">. </w:t>
      </w:r>
      <w:r w:rsidR="00AD17B5">
        <w:rPr>
          <w:lang w:eastAsia="en-AU"/>
        </w:rPr>
        <w:t>Because B Co is disregarded, A Co is treated as the borrower under the loan under Country A’s tax laws</w:t>
      </w:r>
      <w:r w:rsidR="002D5667">
        <w:rPr>
          <w:lang w:eastAsia="en-AU"/>
        </w:rPr>
        <w:t xml:space="preserve">. </w:t>
      </w:r>
      <w:r w:rsidR="00AD17B5">
        <w:rPr>
          <w:lang w:eastAsia="en-AU"/>
        </w:rPr>
        <w:t>The arrangement therefore results in an interest deduction under the laws of both Country B and Country A</w:t>
      </w:r>
      <w:r w:rsidR="00BF02AB">
        <w:rPr>
          <w:lang w:eastAsia="en-AU"/>
        </w:rPr>
        <w:t xml:space="preserve"> (unless Country A denies a deduction for some reason, for example under an active foreign income exemption)</w:t>
      </w:r>
      <w:r w:rsidR="00AD17B5">
        <w:rPr>
          <w:lang w:eastAsia="en-AU"/>
        </w:rPr>
        <w:t>.</w:t>
      </w:r>
    </w:p>
    <w:p w14:paraId="4640C8AD" w14:textId="77777777" w:rsidR="00AD17B5" w:rsidRDefault="00AD17B5" w:rsidP="00695352">
      <w:pPr>
        <w:rPr>
          <w:lang w:eastAsia="en-AU"/>
        </w:rPr>
      </w:pPr>
    </w:p>
    <w:p w14:paraId="3E5F6CD0" w14:textId="6F074BA3" w:rsidR="00B90514" w:rsidRDefault="00AD17B5" w:rsidP="00695352">
      <w:pPr>
        <w:rPr>
          <w:lang w:eastAsia="en-AU"/>
        </w:rPr>
      </w:pPr>
      <w:r>
        <w:rPr>
          <w:lang w:eastAsia="en-AU"/>
        </w:rPr>
        <w:t xml:space="preserve">B Co is consolidated for tax purpose with its operating subsidiary </w:t>
      </w:r>
      <w:r w:rsidR="00B90514">
        <w:rPr>
          <w:lang w:eastAsia="en-AU"/>
        </w:rPr>
        <w:t>(B Sub 1), which allows it to utilise the tax benefit of the interest deduction to B Sub 1</w:t>
      </w:r>
      <w:r w:rsidR="002D5667">
        <w:rPr>
          <w:lang w:eastAsia="en-AU"/>
        </w:rPr>
        <w:t xml:space="preserve">. </w:t>
      </w:r>
      <w:r w:rsidR="00B90514">
        <w:rPr>
          <w:lang w:eastAsia="en-AU"/>
        </w:rPr>
        <w:t>The ability to utilise the tax benefit through the consolidation regime allows the two deductions for the interest expense to be offset against separate income arising in Country A and Country B</w:t>
      </w:r>
      <w:r w:rsidR="002D5667">
        <w:rPr>
          <w:lang w:eastAsia="en-AU"/>
        </w:rPr>
        <w:t xml:space="preserve">. </w:t>
      </w:r>
      <w:r w:rsidR="0041518A">
        <w:rPr>
          <w:lang w:eastAsia="en-AU"/>
        </w:rPr>
        <w:t>This is a double deductions (DD) mismatch.</w:t>
      </w:r>
    </w:p>
    <w:p w14:paraId="6DDE4AD7" w14:textId="77777777" w:rsidR="00CF4F13" w:rsidRPr="0041518A" w:rsidRDefault="00CF4F13" w:rsidP="00695352">
      <w:pPr>
        <w:rPr>
          <w:lang w:eastAsia="en-AU"/>
        </w:rPr>
      </w:pPr>
    </w:p>
    <w:p w14:paraId="03EA0DCC" w14:textId="77777777" w:rsidR="00C830BA" w:rsidRDefault="00C830BA" w:rsidP="00C830BA">
      <w:pPr>
        <w:rPr>
          <w:lang w:eastAsia="en-AU"/>
        </w:rPr>
      </w:pPr>
      <w:r w:rsidRPr="00925A3A">
        <w:rPr>
          <w:lang w:eastAsia="en-AU"/>
        </w:rPr>
        <w:t xml:space="preserve">Branch structures can also achieve the same result, particularly if the country where the entity with the branch is resident </w:t>
      </w:r>
      <w:r w:rsidR="00BF02AB">
        <w:rPr>
          <w:lang w:eastAsia="en-AU"/>
        </w:rPr>
        <w:t xml:space="preserve">in a country that </w:t>
      </w:r>
      <w:r w:rsidRPr="00925A3A">
        <w:rPr>
          <w:lang w:eastAsia="en-AU"/>
        </w:rPr>
        <w:t>taxes the branch income (as New Zealand does).</w:t>
      </w:r>
    </w:p>
    <w:p w14:paraId="45200FF8" w14:textId="77777777" w:rsidR="00C830BA" w:rsidRDefault="00C830BA" w:rsidP="00C830BA">
      <w:pPr>
        <w:rPr>
          <w:lang w:eastAsia="en-AU"/>
        </w:rPr>
      </w:pPr>
    </w:p>
    <w:p w14:paraId="7A117428" w14:textId="77777777" w:rsidR="00C830BA" w:rsidRPr="00C830BA" w:rsidRDefault="00C830BA" w:rsidP="00C830BA">
      <w:pPr>
        <w:rPr>
          <w:lang w:eastAsia="en-AU"/>
        </w:rPr>
      </w:pPr>
    </w:p>
    <w:p w14:paraId="0AA22549" w14:textId="77777777" w:rsidR="00925A3A" w:rsidRPr="00925A3A" w:rsidRDefault="00600D6B" w:rsidP="00925A3A">
      <w:pPr>
        <w:keepNext/>
        <w:outlineLvl w:val="1"/>
        <w:rPr>
          <w:b/>
          <w:szCs w:val="20"/>
          <w:lang w:eastAsia="en-AU"/>
        </w:rPr>
      </w:pPr>
      <w:r>
        <w:rPr>
          <w:b/>
          <w:szCs w:val="20"/>
          <w:lang w:eastAsia="en-AU"/>
        </w:rPr>
        <w:t>Summary of legislative response</w:t>
      </w:r>
    </w:p>
    <w:p w14:paraId="097D13A6" w14:textId="77777777" w:rsidR="00925A3A" w:rsidRPr="00925A3A" w:rsidRDefault="00925A3A" w:rsidP="00925A3A">
      <w:pPr>
        <w:rPr>
          <w:szCs w:val="20"/>
          <w:lang w:eastAsia="en-AU"/>
        </w:rPr>
      </w:pPr>
    </w:p>
    <w:p w14:paraId="1E678EA4" w14:textId="09B479C8" w:rsidR="00925A3A" w:rsidRPr="00925A3A" w:rsidRDefault="00C830BA" w:rsidP="00925A3A">
      <w:pPr>
        <w:rPr>
          <w:snapToGrid w:val="0"/>
          <w:szCs w:val="20"/>
          <w:lang w:eastAsia="en-AU"/>
        </w:rPr>
      </w:pPr>
      <w:r>
        <w:rPr>
          <w:snapToGrid w:val="0"/>
          <w:szCs w:val="20"/>
          <w:lang w:eastAsia="en-AU"/>
        </w:rPr>
        <w:t>Sections</w:t>
      </w:r>
      <w:r w:rsidR="00925A3A" w:rsidRPr="00925A3A">
        <w:rPr>
          <w:snapToGrid w:val="0"/>
          <w:szCs w:val="20"/>
          <w:lang w:eastAsia="en-AU"/>
        </w:rPr>
        <w:t xml:space="preserve"> FH 8 and FH 9 implemen</w:t>
      </w:r>
      <w:r>
        <w:rPr>
          <w:snapToGrid w:val="0"/>
          <w:szCs w:val="20"/>
          <w:lang w:eastAsia="en-AU"/>
        </w:rPr>
        <w:t>t recommendation 6 of the OECD hybrid r</w:t>
      </w:r>
      <w:r w:rsidR="00925A3A" w:rsidRPr="00925A3A">
        <w:rPr>
          <w:snapToGrid w:val="0"/>
          <w:szCs w:val="20"/>
          <w:lang w:eastAsia="en-AU"/>
        </w:rPr>
        <w:t>eport an</w:t>
      </w:r>
      <w:r>
        <w:rPr>
          <w:snapToGrid w:val="0"/>
          <w:szCs w:val="20"/>
          <w:lang w:eastAsia="en-AU"/>
        </w:rPr>
        <w:t>d recommendation 4 of the OECD branch r</w:t>
      </w:r>
      <w:r w:rsidR="00925A3A" w:rsidRPr="00925A3A">
        <w:rPr>
          <w:snapToGrid w:val="0"/>
          <w:szCs w:val="20"/>
          <w:lang w:eastAsia="en-AU"/>
        </w:rPr>
        <w:t>eport</w:t>
      </w:r>
      <w:r w:rsidR="002D5667">
        <w:rPr>
          <w:snapToGrid w:val="0"/>
          <w:szCs w:val="20"/>
          <w:lang w:eastAsia="en-AU"/>
        </w:rPr>
        <w:t xml:space="preserve">. </w:t>
      </w:r>
      <w:r w:rsidR="00925A3A" w:rsidRPr="00925A3A">
        <w:rPr>
          <w:snapToGrid w:val="0"/>
          <w:szCs w:val="20"/>
          <w:lang w:eastAsia="en-AU"/>
        </w:rPr>
        <w:t>They are respectively primary and defensive rules designed to deal with hybrid and branch payment mismatches which produce double deduction (DD) outcomes.</w:t>
      </w:r>
    </w:p>
    <w:p w14:paraId="05D7DA10" w14:textId="77777777" w:rsidR="00925A3A" w:rsidRPr="00925A3A" w:rsidRDefault="00925A3A" w:rsidP="00925A3A">
      <w:pPr>
        <w:tabs>
          <w:tab w:val="left" w:pos="2040"/>
          <w:tab w:val="left" w:pos="2505"/>
        </w:tabs>
        <w:rPr>
          <w:snapToGrid w:val="0"/>
          <w:szCs w:val="20"/>
          <w:lang w:eastAsia="en-AU"/>
        </w:rPr>
      </w:pPr>
    </w:p>
    <w:p w14:paraId="44D538EE" w14:textId="70425C9E" w:rsidR="00C830BA" w:rsidRDefault="00925A3A" w:rsidP="00925A3A">
      <w:pPr>
        <w:rPr>
          <w:snapToGrid w:val="0"/>
          <w:szCs w:val="20"/>
          <w:lang w:eastAsia="en-AU"/>
        </w:rPr>
      </w:pPr>
      <w:r w:rsidRPr="00925A3A">
        <w:rPr>
          <w:snapToGrid w:val="0"/>
          <w:szCs w:val="20"/>
          <w:lang w:eastAsia="en-AU"/>
        </w:rPr>
        <w:t>The primary rule applies where the hybrid entity or branch is owned by a New Zealand resident and located in a foreign country, whereas the defensive rule applies where the hybrid entity or branch is in New Zealand and owned by a person in another country</w:t>
      </w:r>
      <w:r w:rsidR="002D5667">
        <w:rPr>
          <w:snapToGrid w:val="0"/>
          <w:szCs w:val="20"/>
          <w:lang w:eastAsia="en-AU"/>
        </w:rPr>
        <w:t xml:space="preserve">. </w:t>
      </w:r>
      <w:r w:rsidR="009E2441">
        <w:rPr>
          <w:szCs w:val="20"/>
          <w:lang w:eastAsia="en-AU"/>
        </w:rPr>
        <w:t>The primary rule applies with priority over the defensive rules of foreign countries.</w:t>
      </w:r>
    </w:p>
    <w:p w14:paraId="42F5E73D" w14:textId="77777777" w:rsidR="00C830BA" w:rsidRDefault="00C830BA" w:rsidP="00925A3A">
      <w:pPr>
        <w:rPr>
          <w:snapToGrid w:val="0"/>
          <w:szCs w:val="20"/>
          <w:lang w:eastAsia="en-AU"/>
        </w:rPr>
      </w:pPr>
    </w:p>
    <w:p w14:paraId="6EB4F4C3" w14:textId="242F2E33" w:rsidR="00925A3A" w:rsidRPr="00925A3A" w:rsidRDefault="00925A3A" w:rsidP="00925A3A">
      <w:pPr>
        <w:rPr>
          <w:snapToGrid w:val="0"/>
          <w:szCs w:val="20"/>
          <w:lang w:eastAsia="en-AU"/>
        </w:rPr>
      </w:pPr>
      <w:r w:rsidRPr="00925A3A">
        <w:rPr>
          <w:snapToGrid w:val="0"/>
          <w:szCs w:val="20"/>
          <w:lang w:eastAsia="en-AU"/>
        </w:rPr>
        <w:t>Notably, the primary rule’s application is restricted</w:t>
      </w:r>
      <w:r w:rsidR="00672DA3">
        <w:rPr>
          <w:snapToGrid w:val="0"/>
          <w:szCs w:val="20"/>
          <w:lang w:eastAsia="en-AU"/>
        </w:rPr>
        <w:t>.</w:t>
      </w:r>
      <w:r w:rsidRPr="00925A3A">
        <w:rPr>
          <w:snapToGrid w:val="0"/>
          <w:szCs w:val="20"/>
          <w:lang w:eastAsia="en-AU"/>
        </w:rPr>
        <w:t xml:space="preserve"> </w:t>
      </w:r>
      <w:r w:rsidR="00672DA3">
        <w:rPr>
          <w:snapToGrid w:val="0"/>
          <w:szCs w:val="20"/>
          <w:lang w:eastAsia="en-AU"/>
        </w:rPr>
        <w:t>O</w:t>
      </w:r>
      <w:r w:rsidRPr="00925A3A">
        <w:rPr>
          <w:snapToGrid w:val="0"/>
          <w:szCs w:val="20"/>
          <w:lang w:eastAsia="en-AU"/>
        </w:rPr>
        <w:t>nly foreign branches or hybrid entities that are capable of offsetting their losses against the income of a</w:t>
      </w:r>
      <w:r w:rsidR="00BF02AB">
        <w:rPr>
          <w:snapToGrid w:val="0"/>
          <w:szCs w:val="20"/>
          <w:lang w:eastAsia="en-AU"/>
        </w:rPr>
        <w:t>n existing</w:t>
      </w:r>
      <w:r w:rsidRPr="00925A3A">
        <w:rPr>
          <w:snapToGrid w:val="0"/>
          <w:szCs w:val="20"/>
          <w:lang w:eastAsia="en-AU"/>
        </w:rPr>
        <w:t xml:space="preserve"> foreign (non-hybrid) entity are within scope of the rule</w:t>
      </w:r>
      <w:r w:rsidR="002D5667">
        <w:rPr>
          <w:snapToGrid w:val="0"/>
          <w:szCs w:val="20"/>
          <w:lang w:eastAsia="en-AU"/>
        </w:rPr>
        <w:t xml:space="preserve">. </w:t>
      </w:r>
      <w:r w:rsidRPr="00925A3A">
        <w:rPr>
          <w:snapToGrid w:val="0"/>
          <w:szCs w:val="20"/>
          <w:lang w:eastAsia="en-AU"/>
        </w:rPr>
        <w:t>This means that simple offshore structures, such as a New Zealand company with only a foreign branch in a country are excluded from the rule</w:t>
      </w:r>
      <w:r w:rsidR="002D5667">
        <w:rPr>
          <w:snapToGrid w:val="0"/>
          <w:szCs w:val="20"/>
          <w:lang w:eastAsia="en-AU"/>
        </w:rPr>
        <w:t xml:space="preserve">. </w:t>
      </w:r>
      <w:r w:rsidRPr="00925A3A">
        <w:rPr>
          <w:snapToGrid w:val="0"/>
          <w:szCs w:val="20"/>
          <w:lang w:eastAsia="en-AU"/>
        </w:rPr>
        <w:t>The primary rule also contains a transitional rule that ensures that a person that transitions into the scope of the rule will not benefit from the restricted scope in relation to previous year foreign losses.</w:t>
      </w:r>
    </w:p>
    <w:p w14:paraId="2F1EC25E" w14:textId="77777777" w:rsidR="00925A3A" w:rsidRPr="00925A3A" w:rsidRDefault="00925A3A" w:rsidP="00925A3A">
      <w:pPr>
        <w:rPr>
          <w:szCs w:val="20"/>
          <w:lang w:eastAsia="en-AU"/>
        </w:rPr>
      </w:pPr>
    </w:p>
    <w:p w14:paraId="4A136EC8" w14:textId="0BF42F51" w:rsidR="00925A3A" w:rsidRPr="00925A3A" w:rsidRDefault="00925A3A" w:rsidP="00925A3A">
      <w:pPr>
        <w:rPr>
          <w:snapToGrid w:val="0"/>
          <w:szCs w:val="20"/>
          <w:lang w:eastAsia="en-AU"/>
        </w:rPr>
      </w:pPr>
      <w:r w:rsidRPr="00925A3A">
        <w:rPr>
          <w:snapToGrid w:val="0"/>
          <w:szCs w:val="20"/>
          <w:lang w:eastAsia="en-AU"/>
        </w:rPr>
        <w:t>The effect of these provisions is to identify gross amounts of expenditure relating to a person’s branch or hybrid entity</w:t>
      </w:r>
      <w:r w:rsidR="002D5667">
        <w:rPr>
          <w:snapToGrid w:val="0"/>
          <w:szCs w:val="20"/>
          <w:lang w:eastAsia="en-AU"/>
        </w:rPr>
        <w:t xml:space="preserve">. </w:t>
      </w:r>
      <w:r w:rsidRPr="00925A3A">
        <w:rPr>
          <w:snapToGrid w:val="0"/>
          <w:szCs w:val="20"/>
          <w:lang w:eastAsia="en-AU"/>
        </w:rPr>
        <w:t>These identified amounts are non-deductible in New Zealand unless t</w:t>
      </w:r>
      <w:r w:rsidR="00C830BA">
        <w:rPr>
          <w:snapToGrid w:val="0"/>
          <w:szCs w:val="20"/>
          <w:lang w:eastAsia="en-AU"/>
        </w:rPr>
        <w:t>hey can be offset against surplus assessable income under</w:t>
      </w:r>
      <w:r w:rsidRPr="00925A3A">
        <w:rPr>
          <w:snapToGrid w:val="0"/>
          <w:szCs w:val="20"/>
          <w:lang w:eastAsia="en-AU"/>
        </w:rPr>
        <w:t xml:space="preserve"> section FH 12 (see below).</w:t>
      </w:r>
    </w:p>
    <w:p w14:paraId="668DD84E" w14:textId="77777777" w:rsidR="00925A3A" w:rsidRPr="00925A3A" w:rsidRDefault="00925A3A" w:rsidP="00925A3A">
      <w:pPr>
        <w:rPr>
          <w:szCs w:val="20"/>
          <w:lang w:eastAsia="en-AU"/>
        </w:rPr>
      </w:pPr>
    </w:p>
    <w:p w14:paraId="6AB00685" w14:textId="77777777" w:rsidR="00925A3A" w:rsidRPr="00925A3A" w:rsidRDefault="00925A3A" w:rsidP="00925A3A">
      <w:pPr>
        <w:rPr>
          <w:szCs w:val="20"/>
          <w:lang w:eastAsia="en-AU"/>
        </w:rPr>
      </w:pPr>
    </w:p>
    <w:p w14:paraId="7DF70284" w14:textId="77777777" w:rsidR="00925A3A" w:rsidRPr="00925A3A" w:rsidRDefault="00925A3A" w:rsidP="00925A3A">
      <w:pPr>
        <w:keepNext/>
        <w:outlineLvl w:val="1"/>
        <w:rPr>
          <w:b/>
          <w:szCs w:val="20"/>
          <w:lang w:eastAsia="en-AU"/>
        </w:rPr>
      </w:pPr>
      <w:r w:rsidRPr="00925A3A">
        <w:rPr>
          <w:b/>
          <w:szCs w:val="20"/>
          <w:lang w:eastAsia="en-AU"/>
        </w:rPr>
        <w:t>Application date</w:t>
      </w:r>
    </w:p>
    <w:p w14:paraId="082878DE" w14:textId="77777777" w:rsidR="00925A3A" w:rsidRPr="00925A3A" w:rsidRDefault="00925A3A" w:rsidP="00925A3A">
      <w:pPr>
        <w:rPr>
          <w:szCs w:val="20"/>
          <w:lang w:eastAsia="en-AU"/>
        </w:rPr>
      </w:pPr>
    </w:p>
    <w:p w14:paraId="13B19A51" w14:textId="77777777" w:rsidR="00925A3A" w:rsidRPr="00925A3A" w:rsidRDefault="00925A3A" w:rsidP="00925A3A">
      <w:pPr>
        <w:rPr>
          <w:szCs w:val="20"/>
          <w:lang w:eastAsia="en-AU"/>
        </w:rPr>
      </w:pPr>
      <w:r w:rsidRPr="00925A3A">
        <w:rPr>
          <w:szCs w:val="20"/>
          <w:lang w:eastAsia="en-AU"/>
        </w:rPr>
        <w:t>The rules apply to income years beginning on or after 1 July 2018.</w:t>
      </w:r>
    </w:p>
    <w:p w14:paraId="1F79DBB6" w14:textId="77777777" w:rsidR="00925A3A" w:rsidRPr="00925A3A" w:rsidRDefault="00925A3A" w:rsidP="00925A3A">
      <w:pPr>
        <w:rPr>
          <w:szCs w:val="20"/>
          <w:lang w:eastAsia="en-AU"/>
        </w:rPr>
      </w:pPr>
    </w:p>
    <w:p w14:paraId="20EE9722" w14:textId="77777777" w:rsidR="00925A3A" w:rsidRPr="00925A3A" w:rsidRDefault="00925A3A" w:rsidP="00925A3A">
      <w:pPr>
        <w:rPr>
          <w:szCs w:val="20"/>
          <w:lang w:eastAsia="en-AU"/>
        </w:rPr>
      </w:pPr>
    </w:p>
    <w:p w14:paraId="7C28A7CC" w14:textId="77777777" w:rsidR="00925A3A" w:rsidRPr="00925A3A" w:rsidRDefault="00925A3A" w:rsidP="00925A3A">
      <w:pPr>
        <w:keepNext/>
        <w:outlineLvl w:val="1"/>
        <w:rPr>
          <w:b/>
          <w:szCs w:val="20"/>
          <w:lang w:eastAsia="en-AU"/>
        </w:rPr>
      </w:pPr>
      <w:r w:rsidRPr="00925A3A">
        <w:rPr>
          <w:b/>
          <w:szCs w:val="20"/>
          <w:lang w:eastAsia="en-AU"/>
        </w:rPr>
        <w:t>Detailed analysis</w:t>
      </w:r>
    </w:p>
    <w:p w14:paraId="3EBA4302" w14:textId="77777777" w:rsidR="00925A3A" w:rsidRPr="00925A3A" w:rsidRDefault="00925A3A" w:rsidP="00925A3A">
      <w:pPr>
        <w:rPr>
          <w:szCs w:val="20"/>
          <w:lang w:eastAsia="en-AU"/>
        </w:rPr>
      </w:pPr>
    </w:p>
    <w:p w14:paraId="0AA96DFC" w14:textId="77777777" w:rsidR="00925A3A" w:rsidRPr="00925A3A" w:rsidRDefault="00FE767B" w:rsidP="00925A3A">
      <w:pPr>
        <w:keepNext/>
        <w:outlineLvl w:val="2"/>
        <w:rPr>
          <w:b/>
          <w:i/>
          <w:szCs w:val="20"/>
          <w:lang w:eastAsia="en-AU"/>
        </w:rPr>
      </w:pPr>
      <w:r>
        <w:rPr>
          <w:b/>
          <w:i/>
          <w:szCs w:val="20"/>
          <w:lang w:eastAsia="en-AU"/>
        </w:rPr>
        <w:t>Section FH 8 (primary rule)</w:t>
      </w:r>
    </w:p>
    <w:p w14:paraId="20ED1040" w14:textId="77777777" w:rsidR="00925A3A" w:rsidRPr="00925A3A" w:rsidRDefault="00925A3A" w:rsidP="00925A3A">
      <w:pPr>
        <w:rPr>
          <w:szCs w:val="20"/>
          <w:lang w:eastAsia="en-AU"/>
        </w:rPr>
      </w:pPr>
    </w:p>
    <w:p w14:paraId="41952777" w14:textId="77777777" w:rsidR="00925A3A" w:rsidRPr="00925A3A" w:rsidRDefault="00925A3A" w:rsidP="00925A3A">
      <w:pPr>
        <w:rPr>
          <w:snapToGrid w:val="0"/>
          <w:szCs w:val="20"/>
          <w:lang w:eastAsia="en-AU"/>
        </w:rPr>
      </w:pPr>
      <w:r w:rsidRPr="00925A3A">
        <w:rPr>
          <w:snapToGrid w:val="0"/>
          <w:szCs w:val="20"/>
          <w:lang w:eastAsia="en-AU"/>
        </w:rPr>
        <w:t>New Zealand residents that are related to a foreign hybrid entity or have a foreign branch may fall within the scope of this rule.</w:t>
      </w:r>
    </w:p>
    <w:p w14:paraId="1217CD43" w14:textId="77777777" w:rsidR="00925A3A" w:rsidRPr="00925A3A" w:rsidRDefault="00925A3A" w:rsidP="00925A3A">
      <w:pPr>
        <w:rPr>
          <w:snapToGrid w:val="0"/>
          <w:szCs w:val="20"/>
          <w:lang w:eastAsia="en-AU"/>
        </w:rPr>
      </w:pPr>
    </w:p>
    <w:p w14:paraId="362A2C54" w14:textId="5CC13BF6" w:rsidR="00925A3A" w:rsidRDefault="00925A3A" w:rsidP="00925A3A">
      <w:pPr>
        <w:rPr>
          <w:snapToGrid w:val="0"/>
          <w:szCs w:val="20"/>
          <w:lang w:eastAsia="en-AU"/>
        </w:rPr>
      </w:pPr>
      <w:r w:rsidRPr="00925A3A">
        <w:rPr>
          <w:snapToGrid w:val="0"/>
          <w:szCs w:val="20"/>
          <w:lang w:eastAsia="en-AU"/>
        </w:rPr>
        <w:t xml:space="preserve">The </w:t>
      </w:r>
      <w:r w:rsidR="00FE767B">
        <w:rPr>
          <w:snapToGrid w:val="0"/>
          <w:szCs w:val="20"/>
          <w:lang w:eastAsia="en-AU"/>
        </w:rPr>
        <w:t>key</w:t>
      </w:r>
      <w:r w:rsidRPr="00925A3A">
        <w:rPr>
          <w:snapToGrid w:val="0"/>
          <w:szCs w:val="20"/>
          <w:lang w:eastAsia="en-AU"/>
        </w:rPr>
        <w:t xml:space="preserve"> requirement for the rule to apply is in sections FH 8(1)(a) and FH 8(1)(b) which together </w:t>
      </w:r>
      <w:r w:rsidR="009A60D5">
        <w:rPr>
          <w:snapToGrid w:val="0"/>
          <w:szCs w:val="20"/>
          <w:lang w:eastAsia="en-AU"/>
        </w:rPr>
        <w:t>mean the section only applies if</w:t>
      </w:r>
      <w:r w:rsidRPr="00925A3A">
        <w:rPr>
          <w:snapToGrid w:val="0"/>
          <w:szCs w:val="20"/>
          <w:lang w:eastAsia="en-AU"/>
        </w:rPr>
        <w:t xml:space="preserve"> the relevant foreign country allows losses of the hybrid entity/branch to be offset against income of </w:t>
      </w:r>
      <w:r w:rsidR="009A60D5">
        <w:rPr>
          <w:snapToGrid w:val="0"/>
          <w:szCs w:val="20"/>
          <w:lang w:eastAsia="en-AU"/>
        </w:rPr>
        <w:t>an existing</w:t>
      </w:r>
      <w:r w:rsidR="009A60D5" w:rsidRPr="00925A3A">
        <w:rPr>
          <w:snapToGrid w:val="0"/>
          <w:szCs w:val="20"/>
          <w:lang w:eastAsia="en-AU"/>
        </w:rPr>
        <w:t xml:space="preserve"> </w:t>
      </w:r>
      <w:r w:rsidRPr="00925A3A">
        <w:rPr>
          <w:snapToGrid w:val="0"/>
          <w:szCs w:val="20"/>
          <w:lang w:eastAsia="en-AU"/>
        </w:rPr>
        <w:t>person whose income is not taxed in New Zealand (other than that which is sourced</w:t>
      </w:r>
      <w:r w:rsidR="00E24945">
        <w:rPr>
          <w:snapToGrid w:val="0"/>
          <w:szCs w:val="20"/>
          <w:lang w:eastAsia="en-AU"/>
        </w:rPr>
        <w:t xml:space="preserve"> in New Zealand)</w:t>
      </w:r>
      <w:r w:rsidR="002D5667">
        <w:rPr>
          <w:snapToGrid w:val="0"/>
          <w:szCs w:val="20"/>
          <w:lang w:eastAsia="en-AU"/>
        </w:rPr>
        <w:t xml:space="preserve">. </w:t>
      </w:r>
      <w:r w:rsidR="00E24945">
        <w:rPr>
          <w:snapToGrid w:val="0"/>
          <w:szCs w:val="20"/>
          <w:lang w:eastAsia="en-AU"/>
        </w:rPr>
        <w:t xml:space="preserve">This is generally referred to </w:t>
      </w:r>
      <w:r w:rsidRPr="00925A3A">
        <w:rPr>
          <w:snapToGrid w:val="0"/>
          <w:szCs w:val="20"/>
          <w:lang w:eastAsia="en-AU"/>
        </w:rPr>
        <w:t>as non-dual inclusion income</w:t>
      </w:r>
      <w:r w:rsidR="00E24945">
        <w:rPr>
          <w:snapToGrid w:val="0"/>
          <w:szCs w:val="20"/>
          <w:lang w:eastAsia="en-AU"/>
        </w:rPr>
        <w:t xml:space="preserve"> in the OECD hybrid and branch mismatch reports</w:t>
      </w:r>
      <w:r w:rsidR="00B96836">
        <w:rPr>
          <w:snapToGrid w:val="0"/>
          <w:szCs w:val="20"/>
          <w:lang w:eastAsia="en-AU"/>
        </w:rPr>
        <w:t>,</w:t>
      </w:r>
      <w:r w:rsidR="0055609B">
        <w:rPr>
          <w:snapToGrid w:val="0"/>
          <w:szCs w:val="20"/>
          <w:lang w:eastAsia="en-AU"/>
        </w:rPr>
        <w:t xml:space="preserve"> and is </w:t>
      </w:r>
      <w:r w:rsidR="009A60D5">
        <w:rPr>
          <w:snapToGrid w:val="0"/>
          <w:szCs w:val="20"/>
          <w:lang w:eastAsia="en-AU"/>
        </w:rPr>
        <w:t xml:space="preserve">income which is not </w:t>
      </w:r>
      <w:r w:rsidR="00B96836">
        <w:rPr>
          <w:snapToGrid w:val="0"/>
          <w:szCs w:val="20"/>
          <w:lang w:eastAsia="en-AU"/>
        </w:rPr>
        <w:t xml:space="preserve">surplus assessable income </w:t>
      </w:r>
      <w:r w:rsidR="0055609B">
        <w:rPr>
          <w:snapToGrid w:val="0"/>
          <w:szCs w:val="20"/>
          <w:lang w:eastAsia="en-AU"/>
        </w:rPr>
        <w:t xml:space="preserve">under </w:t>
      </w:r>
      <w:r w:rsidR="00B96836">
        <w:rPr>
          <w:snapToGrid w:val="0"/>
          <w:szCs w:val="20"/>
          <w:lang w:eastAsia="en-AU"/>
        </w:rPr>
        <w:t>the new legislation.</w:t>
      </w:r>
    </w:p>
    <w:p w14:paraId="745D5ADB" w14:textId="30A52E00" w:rsidR="009E2441" w:rsidRDefault="009E2441" w:rsidP="00925A3A">
      <w:pPr>
        <w:rPr>
          <w:snapToGrid w:val="0"/>
          <w:szCs w:val="20"/>
          <w:lang w:eastAsia="en-AU"/>
        </w:rPr>
      </w:pPr>
    </w:p>
    <w:p w14:paraId="603EF7B6" w14:textId="41633532" w:rsidR="009E2441" w:rsidRPr="00925A3A" w:rsidRDefault="009E2441" w:rsidP="001F2A69">
      <w:pPr>
        <w:keepNext/>
        <w:pBdr>
          <w:top w:val="single" w:sz="4" w:space="10" w:color="auto"/>
          <w:left w:val="single" w:sz="4" w:space="10" w:color="auto"/>
          <w:bottom w:val="single" w:sz="4" w:space="10" w:color="auto"/>
          <w:right w:val="single" w:sz="4" w:space="10" w:color="auto"/>
        </w:pBdr>
        <w:rPr>
          <w:b/>
          <w:sz w:val="20"/>
          <w:szCs w:val="20"/>
          <w:lang w:eastAsia="en-AU"/>
        </w:rPr>
      </w:pPr>
      <w:r w:rsidRPr="00925A3A">
        <w:rPr>
          <w:b/>
          <w:sz w:val="20"/>
          <w:szCs w:val="20"/>
          <w:lang w:eastAsia="en-AU"/>
        </w:rPr>
        <w:lastRenderedPageBreak/>
        <w:t xml:space="preserve">Example </w:t>
      </w:r>
      <w:r w:rsidR="00824EF8">
        <w:rPr>
          <w:b/>
          <w:sz w:val="20"/>
          <w:szCs w:val="20"/>
          <w:lang w:eastAsia="en-AU"/>
        </w:rPr>
        <w:t xml:space="preserve">23: </w:t>
      </w:r>
      <w:r w:rsidR="001F2A69">
        <w:rPr>
          <w:b/>
          <w:sz w:val="20"/>
          <w:szCs w:val="20"/>
          <w:lang w:eastAsia="en-AU"/>
        </w:rPr>
        <w:t>New Zealand company with simple foreign branch structure</w:t>
      </w:r>
    </w:p>
    <w:p w14:paraId="6AB1F926" w14:textId="653F3D6B" w:rsidR="009E2441" w:rsidRDefault="009E2441" w:rsidP="001F2A69">
      <w:pPr>
        <w:keepNext/>
        <w:pBdr>
          <w:top w:val="single" w:sz="4" w:space="10" w:color="auto"/>
          <w:left w:val="single" w:sz="4" w:space="10" w:color="auto"/>
          <w:bottom w:val="single" w:sz="4" w:space="10" w:color="auto"/>
          <w:right w:val="single" w:sz="4" w:space="10" w:color="auto"/>
        </w:pBdr>
        <w:rPr>
          <w:sz w:val="20"/>
          <w:szCs w:val="20"/>
          <w:lang w:eastAsia="en-AU"/>
        </w:rPr>
      </w:pPr>
    </w:p>
    <w:p w14:paraId="46242410" w14:textId="7709B090" w:rsidR="001F2A69" w:rsidRDefault="001F2A69" w:rsidP="001F2A69">
      <w:pPr>
        <w:keepNext/>
        <w:pBdr>
          <w:top w:val="single" w:sz="4" w:space="10" w:color="auto"/>
          <w:left w:val="single" w:sz="4" w:space="10" w:color="auto"/>
          <w:bottom w:val="single" w:sz="4" w:space="10" w:color="auto"/>
          <w:right w:val="single" w:sz="4" w:space="10" w:color="auto"/>
        </w:pBdr>
        <w:jc w:val="left"/>
        <w:rPr>
          <w:sz w:val="20"/>
          <w:szCs w:val="20"/>
          <w:lang w:eastAsia="en-AU"/>
        </w:rPr>
      </w:pPr>
      <w:r>
        <w:object w:dxaOrig="7020" w:dyaOrig="4560" w14:anchorId="4A854DE2">
          <v:shape id="_x0000_i1030" type="#_x0000_t75" style="width:351pt;height:227.25pt" o:ole="">
            <v:imagedata r:id="rId23" o:title=""/>
          </v:shape>
          <o:OLEObject Type="Embed" ProgID="Visio.Drawing.15" ShapeID="_x0000_i1030" DrawAspect="Content" ObjectID="_1618044695" r:id="rId24"/>
        </w:object>
      </w:r>
    </w:p>
    <w:p w14:paraId="6928C9F4" w14:textId="77777777" w:rsidR="001F2A69" w:rsidRPr="00925A3A" w:rsidRDefault="001F2A69" w:rsidP="001F2A69">
      <w:pPr>
        <w:keepNext/>
        <w:pBdr>
          <w:top w:val="single" w:sz="4" w:space="10" w:color="auto"/>
          <w:left w:val="single" w:sz="4" w:space="10" w:color="auto"/>
          <w:bottom w:val="single" w:sz="4" w:space="10" w:color="auto"/>
          <w:right w:val="single" w:sz="4" w:space="10" w:color="auto"/>
        </w:pBdr>
        <w:rPr>
          <w:sz w:val="20"/>
          <w:szCs w:val="20"/>
          <w:lang w:eastAsia="en-AU"/>
        </w:rPr>
      </w:pPr>
    </w:p>
    <w:p w14:paraId="28C40A2D" w14:textId="37FFEB9C" w:rsidR="009E2441" w:rsidRDefault="009E2441" w:rsidP="001F2A69">
      <w:pPr>
        <w:keepNext/>
        <w:pBdr>
          <w:top w:val="single" w:sz="4" w:space="10" w:color="auto"/>
          <w:left w:val="single" w:sz="4" w:space="10" w:color="auto"/>
          <w:bottom w:val="single" w:sz="4" w:space="10" w:color="auto"/>
          <w:right w:val="single" w:sz="4" w:space="10" w:color="auto"/>
        </w:pBdr>
        <w:rPr>
          <w:snapToGrid w:val="0"/>
          <w:sz w:val="20"/>
          <w:szCs w:val="20"/>
          <w:lang w:eastAsia="en-AU"/>
        </w:rPr>
      </w:pPr>
      <w:proofErr w:type="spellStart"/>
      <w:r w:rsidRPr="009F5270">
        <w:rPr>
          <w:snapToGrid w:val="0"/>
          <w:sz w:val="20"/>
          <w:szCs w:val="20"/>
          <w:lang w:eastAsia="en-AU"/>
        </w:rPr>
        <w:t>Kōwhai</w:t>
      </w:r>
      <w:proofErr w:type="spellEnd"/>
      <w:r w:rsidRPr="009F5270">
        <w:rPr>
          <w:snapToGrid w:val="0"/>
          <w:sz w:val="20"/>
          <w:szCs w:val="20"/>
          <w:lang w:eastAsia="en-AU"/>
        </w:rPr>
        <w:t xml:space="preserve"> </w:t>
      </w:r>
      <w:r>
        <w:rPr>
          <w:snapToGrid w:val="0"/>
          <w:sz w:val="20"/>
          <w:szCs w:val="20"/>
          <w:lang w:eastAsia="en-AU"/>
        </w:rPr>
        <w:t xml:space="preserve">Co, a company resident in New Zealand, sells native wood carvings in New Zealand and in Lilliput (a foreign country). </w:t>
      </w:r>
      <w:proofErr w:type="spellStart"/>
      <w:r w:rsidRPr="009F5270">
        <w:rPr>
          <w:snapToGrid w:val="0"/>
          <w:sz w:val="20"/>
          <w:szCs w:val="20"/>
          <w:lang w:eastAsia="en-AU"/>
        </w:rPr>
        <w:t>Kōwhai</w:t>
      </w:r>
      <w:proofErr w:type="spellEnd"/>
      <w:r w:rsidRPr="009F5270">
        <w:rPr>
          <w:snapToGrid w:val="0"/>
          <w:sz w:val="20"/>
          <w:szCs w:val="20"/>
          <w:lang w:eastAsia="en-AU"/>
        </w:rPr>
        <w:t xml:space="preserve"> </w:t>
      </w:r>
      <w:r>
        <w:rPr>
          <w:snapToGrid w:val="0"/>
          <w:sz w:val="20"/>
          <w:szCs w:val="20"/>
          <w:lang w:eastAsia="en-AU"/>
        </w:rPr>
        <w:t xml:space="preserve">Co conducts its Lilliput business through a branch in that country. </w:t>
      </w:r>
      <w:proofErr w:type="spellStart"/>
      <w:r w:rsidRPr="009F5270">
        <w:rPr>
          <w:snapToGrid w:val="0"/>
          <w:sz w:val="20"/>
          <w:szCs w:val="20"/>
          <w:lang w:eastAsia="en-AU"/>
        </w:rPr>
        <w:t>Kōwhai</w:t>
      </w:r>
      <w:proofErr w:type="spellEnd"/>
      <w:r w:rsidRPr="009F5270">
        <w:rPr>
          <w:snapToGrid w:val="0"/>
          <w:sz w:val="20"/>
          <w:szCs w:val="20"/>
          <w:lang w:eastAsia="en-AU"/>
        </w:rPr>
        <w:t xml:space="preserve"> </w:t>
      </w:r>
      <w:r>
        <w:rPr>
          <w:snapToGrid w:val="0"/>
          <w:sz w:val="20"/>
          <w:szCs w:val="20"/>
          <w:lang w:eastAsia="en-AU"/>
        </w:rPr>
        <w:t>Co borrows from a bank to support its activities in Lilliput. This loan is att</w:t>
      </w:r>
      <w:r w:rsidR="00D6773F">
        <w:rPr>
          <w:snapToGrid w:val="0"/>
          <w:sz w:val="20"/>
          <w:szCs w:val="20"/>
          <w:lang w:eastAsia="en-AU"/>
        </w:rPr>
        <w:t>ributed to its Lilliput branch.</w:t>
      </w:r>
    </w:p>
    <w:p w14:paraId="6FFE928A" w14:textId="77777777" w:rsidR="00D6773F" w:rsidRDefault="00D6773F" w:rsidP="001F2A69">
      <w:pPr>
        <w:keepNext/>
        <w:pBdr>
          <w:top w:val="single" w:sz="4" w:space="10" w:color="auto"/>
          <w:left w:val="single" w:sz="4" w:space="10" w:color="auto"/>
          <w:bottom w:val="single" w:sz="4" w:space="10" w:color="auto"/>
          <w:right w:val="single" w:sz="4" w:space="10" w:color="auto"/>
        </w:pBdr>
        <w:rPr>
          <w:snapToGrid w:val="0"/>
          <w:sz w:val="20"/>
          <w:szCs w:val="20"/>
          <w:lang w:eastAsia="en-AU"/>
        </w:rPr>
      </w:pPr>
    </w:p>
    <w:p w14:paraId="03C72C1B" w14:textId="77777777" w:rsid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 xml:space="preserve">As New Zealand taxes its residents on their worldwide income, </w:t>
      </w:r>
      <w:proofErr w:type="spellStart"/>
      <w:r w:rsidRPr="009F5270">
        <w:rPr>
          <w:snapToGrid w:val="0"/>
          <w:sz w:val="20"/>
          <w:szCs w:val="20"/>
          <w:lang w:eastAsia="en-AU"/>
        </w:rPr>
        <w:t>Kōwhai</w:t>
      </w:r>
      <w:proofErr w:type="spellEnd"/>
      <w:r w:rsidRPr="009F5270">
        <w:rPr>
          <w:snapToGrid w:val="0"/>
          <w:sz w:val="20"/>
          <w:szCs w:val="20"/>
          <w:lang w:eastAsia="en-AU"/>
        </w:rPr>
        <w:t xml:space="preserve"> </w:t>
      </w:r>
      <w:r>
        <w:rPr>
          <w:snapToGrid w:val="0"/>
          <w:sz w:val="20"/>
          <w:szCs w:val="20"/>
          <w:lang w:eastAsia="en-AU"/>
        </w:rPr>
        <w:t xml:space="preserve">Co will be entitled to a deduction in New Zealand for interest paid on the loan. The interest expenditure will also be deductible in Lilliput for </w:t>
      </w:r>
      <w:proofErr w:type="spellStart"/>
      <w:r w:rsidRPr="009F5270">
        <w:rPr>
          <w:snapToGrid w:val="0"/>
          <w:sz w:val="20"/>
          <w:szCs w:val="20"/>
          <w:lang w:eastAsia="en-AU"/>
        </w:rPr>
        <w:t>Kōwhai</w:t>
      </w:r>
      <w:proofErr w:type="spellEnd"/>
      <w:r w:rsidRPr="009F5270">
        <w:rPr>
          <w:snapToGrid w:val="0"/>
          <w:sz w:val="20"/>
          <w:szCs w:val="20"/>
          <w:lang w:eastAsia="en-AU"/>
        </w:rPr>
        <w:t xml:space="preserve"> </w:t>
      </w:r>
      <w:r>
        <w:rPr>
          <w:snapToGrid w:val="0"/>
          <w:sz w:val="20"/>
          <w:szCs w:val="20"/>
          <w:lang w:eastAsia="en-AU"/>
        </w:rPr>
        <w:t>Co’s branch.</w:t>
      </w:r>
    </w:p>
    <w:p w14:paraId="0AF3AD6D" w14:textId="77777777" w:rsid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4150E91E" w14:textId="0D09597F" w:rsid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 xml:space="preserve">FH 8(1)(a) is not satisfied as </w:t>
      </w:r>
      <w:proofErr w:type="spellStart"/>
      <w:r w:rsidRPr="009F5270">
        <w:rPr>
          <w:snapToGrid w:val="0"/>
          <w:sz w:val="20"/>
          <w:szCs w:val="20"/>
          <w:lang w:eastAsia="en-AU"/>
        </w:rPr>
        <w:t>Kōwhai</w:t>
      </w:r>
      <w:proofErr w:type="spellEnd"/>
      <w:r w:rsidRPr="009F5270">
        <w:rPr>
          <w:snapToGrid w:val="0"/>
          <w:sz w:val="20"/>
          <w:szCs w:val="20"/>
          <w:lang w:eastAsia="en-AU"/>
        </w:rPr>
        <w:t xml:space="preserve"> </w:t>
      </w:r>
      <w:r>
        <w:rPr>
          <w:snapToGrid w:val="0"/>
          <w:sz w:val="20"/>
          <w:szCs w:val="20"/>
          <w:lang w:eastAsia="en-AU"/>
        </w:rPr>
        <w:t>Co has not used the income of another person or entity) to offset against its Lilliput branch interest expenditure (ther</w:t>
      </w:r>
      <w:r w:rsidR="00D6773F">
        <w:rPr>
          <w:snapToGrid w:val="0"/>
          <w:sz w:val="20"/>
          <w:szCs w:val="20"/>
          <w:lang w:eastAsia="en-AU"/>
        </w:rPr>
        <w:t>e is no such person or entity).</w:t>
      </w:r>
    </w:p>
    <w:p w14:paraId="580BF86B" w14:textId="77777777" w:rsid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5E45F683" w14:textId="77777777" w:rsid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 xml:space="preserve">Accordingly, </w:t>
      </w:r>
      <w:proofErr w:type="spellStart"/>
      <w:r w:rsidRPr="009F5270">
        <w:rPr>
          <w:snapToGrid w:val="0"/>
          <w:sz w:val="20"/>
          <w:szCs w:val="20"/>
          <w:lang w:eastAsia="en-AU"/>
        </w:rPr>
        <w:t>Kōwhai</w:t>
      </w:r>
      <w:proofErr w:type="spellEnd"/>
      <w:r w:rsidRPr="009F5270">
        <w:rPr>
          <w:snapToGrid w:val="0"/>
          <w:sz w:val="20"/>
          <w:szCs w:val="20"/>
          <w:lang w:eastAsia="en-AU"/>
        </w:rPr>
        <w:t xml:space="preserve"> </w:t>
      </w:r>
      <w:r>
        <w:rPr>
          <w:snapToGrid w:val="0"/>
          <w:sz w:val="20"/>
          <w:szCs w:val="20"/>
          <w:lang w:eastAsia="en-AU"/>
        </w:rPr>
        <w:t xml:space="preserve">Co’s New Zealand tax position has not been altered by the introduction of hybrid and branch mismatch rules. However, a rule equivalent to section FH 9 (the defensive rule for double deductions in hybrid entities and branches) in a foreign country may have an impact on </w:t>
      </w:r>
      <w:proofErr w:type="spellStart"/>
      <w:r w:rsidRPr="009F5270">
        <w:rPr>
          <w:snapToGrid w:val="0"/>
          <w:sz w:val="20"/>
          <w:szCs w:val="20"/>
          <w:lang w:eastAsia="en-AU"/>
        </w:rPr>
        <w:t>Kōwhai</w:t>
      </w:r>
      <w:proofErr w:type="spellEnd"/>
      <w:r w:rsidRPr="009F5270">
        <w:rPr>
          <w:snapToGrid w:val="0"/>
          <w:sz w:val="20"/>
          <w:szCs w:val="20"/>
          <w:lang w:eastAsia="en-AU"/>
        </w:rPr>
        <w:t xml:space="preserve"> </w:t>
      </w:r>
      <w:r>
        <w:rPr>
          <w:snapToGrid w:val="0"/>
          <w:sz w:val="20"/>
          <w:szCs w:val="20"/>
          <w:lang w:eastAsia="en-AU"/>
        </w:rPr>
        <w:t>Co’s foreign tax affairs.</w:t>
      </w:r>
    </w:p>
    <w:p w14:paraId="4BE28EA4" w14:textId="77777777" w:rsidR="009E2441" w:rsidRPr="00925A3A" w:rsidRDefault="009E2441" w:rsidP="00925A3A">
      <w:pPr>
        <w:rPr>
          <w:snapToGrid w:val="0"/>
          <w:szCs w:val="20"/>
          <w:lang w:eastAsia="en-AU"/>
        </w:rPr>
      </w:pPr>
    </w:p>
    <w:p w14:paraId="0AF353B5" w14:textId="77777777" w:rsidR="00925A3A" w:rsidRPr="00925A3A" w:rsidRDefault="00925A3A" w:rsidP="00925A3A">
      <w:pPr>
        <w:rPr>
          <w:snapToGrid w:val="0"/>
          <w:szCs w:val="20"/>
          <w:lang w:eastAsia="en-AU"/>
        </w:rPr>
      </w:pPr>
    </w:p>
    <w:p w14:paraId="33DEFB48" w14:textId="5B9407E6" w:rsidR="00B96836" w:rsidRDefault="00925A3A" w:rsidP="00925A3A">
      <w:pPr>
        <w:rPr>
          <w:snapToGrid w:val="0"/>
          <w:szCs w:val="20"/>
          <w:lang w:eastAsia="en-AU"/>
        </w:rPr>
      </w:pPr>
      <w:r w:rsidRPr="00925A3A">
        <w:rPr>
          <w:snapToGrid w:val="0"/>
          <w:szCs w:val="20"/>
          <w:lang w:eastAsia="en-AU"/>
        </w:rPr>
        <w:t xml:space="preserve">Section FH 8(2) </w:t>
      </w:r>
      <w:r w:rsidR="009A60D5">
        <w:rPr>
          <w:snapToGrid w:val="0"/>
          <w:szCs w:val="20"/>
          <w:lang w:eastAsia="en-AU"/>
        </w:rPr>
        <w:t>denies</w:t>
      </w:r>
      <w:r w:rsidRPr="00925A3A">
        <w:rPr>
          <w:snapToGrid w:val="0"/>
          <w:szCs w:val="20"/>
          <w:lang w:eastAsia="en-AU"/>
        </w:rPr>
        <w:t xml:space="preserve"> a New Zealand person </w:t>
      </w:r>
      <w:r w:rsidR="00B96836">
        <w:rPr>
          <w:snapToGrid w:val="0"/>
          <w:szCs w:val="20"/>
          <w:lang w:eastAsia="en-AU"/>
        </w:rPr>
        <w:t xml:space="preserve">a deduction </w:t>
      </w:r>
      <w:r w:rsidRPr="00925A3A">
        <w:rPr>
          <w:snapToGrid w:val="0"/>
          <w:szCs w:val="20"/>
          <w:lang w:eastAsia="en-AU"/>
        </w:rPr>
        <w:t>for the expenditure it incurs through the hybrid entity or branch</w:t>
      </w:r>
      <w:r w:rsidR="002D5667">
        <w:rPr>
          <w:snapToGrid w:val="0"/>
          <w:szCs w:val="20"/>
          <w:lang w:eastAsia="en-AU"/>
        </w:rPr>
        <w:t xml:space="preserve">. </w:t>
      </w:r>
      <w:r w:rsidR="00B96836">
        <w:rPr>
          <w:snapToGrid w:val="0"/>
          <w:szCs w:val="20"/>
          <w:lang w:eastAsia="en-AU"/>
        </w:rPr>
        <w:t>This expenditure is treated as a mismatch amount that can be offset (</w:t>
      </w:r>
      <w:r w:rsidR="0047243A">
        <w:rPr>
          <w:snapToGrid w:val="0"/>
          <w:szCs w:val="20"/>
          <w:lang w:eastAsia="en-AU"/>
        </w:rPr>
        <w:t>that is,</w:t>
      </w:r>
      <w:r w:rsidR="00B96836">
        <w:rPr>
          <w:snapToGrid w:val="0"/>
          <w:szCs w:val="20"/>
          <w:lang w:eastAsia="en-AU"/>
        </w:rPr>
        <w:t xml:space="preserve"> deducted) to the extent there is surplus assessable income under section FH</w:t>
      </w:r>
      <w:r w:rsidR="0047243A">
        <w:rPr>
          <w:snapToGrid w:val="0"/>
          <w:szCs w:val="20"/>
          <w:lang w:eastAsia="en-AU"/>
        </w:rPr>
        <w:t> </w:t>
      </w:r>
      <w:r w:rsidR="00B96836">
        <w:rPr>
          <w:snapToGrid w:val="0"/>
          <w:szCs w:val="20"/>
          <w:lang w:eastAsia="en-AU"/>
        </w:rPr>
        <w:t>12.</w:t>
      </w:r>
    </w:p>
    <w:p w14:paraId="0C5AB94C" w14:textId="77777777" w:rsidR="00925A3A" w:rsidRPr="00925A3A" w:rsidRDefault="00925A3A" w:rsidP="00925A3A">
      <w:pPr>
        <w:rPr>
          <w:snapToGrid w:val="0"/>
          <w:szCs w:val="20"/>
          <w:lang w:eastAsia="en-AU"/>
        </w:rPr>
      </w:pPr>
    </w:p>
    <w:p w14:paraId="0F835EAC" w14:textId="5A26EFCA" w:rsidR="00925A3A" w:rsidRPr="00925A3A" w:rsidRDefault="00925A3A" w:rsidP="001F2A69">
      <w:pPr>
        <w:keepNext/>
        <w:pBdr>
          <w:top w:val="single" w:sz="4" w:space="10" w:color="auto"/>
          <w:left w:val="single" w:sz="4" w:space="10" w:color="auto"/>
          <w:bottom w:val="single" w:sz="4" w:space="10" w:color="auto"/>
          <w:right w:val="single" w:sz="4" w:space="10" w:color="auto"/>
        </w:pBdr>
        <w:rPr>
          <w:b/>
          <w:sz w:val="20"/>
          <w:szCs w:val="20"/>
          <w:lang w:eastAsia="en-AU"/>
        </w:rPr>
      </w:pPr>
      <w:r w:rsidRPr="00925A3A">
        <w:rPr>
          <w:b/>
          <w:sz w:val="20"/>
          <w:szCs w:val="20"/>
          <w:lang w:eastAsia="en-AU"/>
        </w:rPr>
        <w:lastRenderedPageBreak/>
        <w:t xml:space="preserve">Example </w:t>
      </w:r>
      <w:r w:rsidR="00824EF8">
        <w:rPr>
          <w:b/>
          <w:sz w:val="20"/>
          <w:szCs w:val="20"/>
          <w:lang w:eastAsia="en-AU"/>
        </w:rPr>
        <w:t xml:space="preserve">24: </w:t>
      </w:r>
      <w:r w:rsidR="001F2A69">
        <w:rPr>
          <w:b/>
          <w:sz w:val="20"/>
          <w:szCs w:val="20"/>
          <w:lang w:eastAsia="en-AU"/>
        </w:rPr>
        <w:t>Foreign hybrid entity structure</w:t>
      </w:r>
    </w:p>
    <w:p w14:paraId="3DD39997" w14:textId="7C929EBF" w:rsidR="00925A3A" w:rsidRDefault="00925A3A" w:rsidP="001F2A69">
      <w:pPr>
        <w:keepNext/>
        <w:pBdr>
          <w:top w:val="single" w:sz="4" w:space="10" w:color="auto"/>
          <w:left w:val="single" w:sz="4" w:space="10" w:color="auto"/>
          <w:bottom w:val="single" w:sz="4" w:space="10" w:color="auto"/>
          <w:right w:val="single" w:sz="4" w:space="10" w:color="auto"/>
        </w:pBdr>
        <w:rPr>
          <w:sz w:val="20"/>
          <w:szCs w:val="20"/>
          <w:lang w:eastAsia="en-AU"/>
        </w:rPr>
      </w:pPr>
    </w:p>
    <w:p w14:paraId="1FE0F781" w14:textId="052D5E16" w:rsidR="001F2A69" w:rsidRDefault="001F2A69" w:rsidP="001F2A69">
      <w:pPr>
        <w:keepNext/>
        <w:pBdr>
          <w:top w:val="single" w:sz="4" w:space="10" w:color="auto"/>
          <w:left w:val="single" w:sz="4" w:space="10" w:color="auto"/>
          <w:bottom w:val="single" w:sz="4" w:space="10" w:color="auto"/>
          <w:right w:val="single" w:sz="4" w:space="10" w:color="auto"/>
        </w:pBdr>
        <w:rPr>
          <w:sz w:val="20"/>
          <w:szCs w:val="20"/>
          <w:lang w:eastAsia="en-AU"/>
        </w:rPr>
      </w:pPr>
      <w:r>
        <w:object w:dxaOrig="9541" w:dyaOrig="6091" w14:anchorId="74F8BB10">
          <v:shape id="_x0000_i1031" type="#_x0000_t75" style="width:450.75pt;height:4in" o:ole="">
            <v:imagedata r:id="rId25" o:title=""/>
          </v:shape>
          <o:OLEObject Type="Embed" ProgID="Visio.Drawing.15" ShapeID="_x0000_i1031" DrawAspect="Content" ObjectID="_1618044696" r:id="rId26"/>
        </w:object>
      </w:r>
    </w:p>
    <w:p w14:paraId="75450424" w14:textId="77777777" w:rsidR="001F2A69" w:rsidRPr="00925A3A" w:rsidRDefault="001F2A69" w:rsidP="00925A3A">
      <w:pPr>
        <w:pBdr>
          <w:top w:val="single" w:sz="4" w:space="10" w:color="auto"/>
          <w:left w:val="single" w:sz="4" w:space="10" w:color="auto"/>
          <w:bottom w:val="single" w:sz="4" w:space="10" w:color="auto"/>
          <w:right w:val="single" w:sz="4" w:space="10" w:color="auto"/>
        </w:pBdr>
        <w:rPr>
          <w:sz w:val="20"/>
          <w:szCs w:val="20"/>
          <w:lang w:eastAsia="en-AU"/>
        </w:rPr>
      </w:pPr>
    </w:p>
    <w:p w14:paraId="79B81D07" w14:textId="696013B4"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r w:rsidRPr="00925A3A">
        <w:rPr>
          <w:snapToGrid w:val="0"/>
          <w:sz w:val="20"/>
          <w:szCs w:val="20"/>
          <w:lang w:eastAsia="en-AU"/>
        </w:rPr>
        <w:t>The Glob</w:t>
      </w:r>
      <w:r w:rsidR="00686B3D">
        <w:rPr>
          <w:snapToGrid w:val="0"/>
          <w:sz w:val="20"/>
          <w:szCs w:val="20"/>
          <w:lang w:eastAsia="en-AU"/>
        </w:rPr>
        <w:t>e group consists of Prospero Co, Falstaff Co and Mercutio Co</w:t>
      </w:r>
      <w:r w:rsidR="002D5667">
        <w:rPr>
          <w:snapToGrid w:val="0"/>
          <w:sz w:val="20"/>
          <w:szCs w:val="20"/>
          <w:lang w:eastAsia="en-AU"/>
        </w:rPr>
        <w:t xml:space="preserve">. </w:t>
      </w:r>
      <w:r w:rsidR="00686B3D">
        <w:rPr>
          <w:snapToGrid w:val="0"/>
          <w:sz w:val="20"/>
          <w:szCs w:val="20"/>
          <w:lang w:eastAsia="en-AU"/>
        </w:rPr>
        <w:t>Prospero Co</w:t>
      </w:r>
      <w:r w:rsidRPr="00925A3A">
        <w:rPr>
          <w:snapToGrid w:val="0"/>
          <w:sz w:val="20"/>
          <w:szCs w:val="20"/>
          <w:lang w:eastAsia="en-AU"/>
        </w:rPr>
        <w:t>, a company resident in New Zealand,</w:t>
      </w:r>
      <w:r w:rsidR="00686B3D">
        <w:rPr>
          <w:snapToGrid w:val="0"/>
          <w:sz w:val="20"/>
          <w:szCs w:val="20"/>
          <w:lang w:eastAsia="en-AU"/>
        </w:rPr>
        <w:t xml:space="preserve"> owns </w:t>
      </w:r>
      <w:r w:rsidR="00A415BC">
        <w:rPr>
          <w:snapToGrid w:val="0"/>
          <w:sz w:val="20"/>
          <w:szCs w:val="20"/>
          <w:lang w:eastAsia="en-AU"/>
        </w:rPr>
        <w:t>seventy five</w:t>
      </w:r>
      <w:r w:rsidR="00686B3D">
        <w:rPr>
          <w:snapToGrid w:val="0"/>
          <w:sz w:val="20"/>
          <w:szCs w:val="20"/>
          <w:lang w:eastAsia="en-AU"/>
        </w:rPr>
        <w:t xml:space="preserve"> percent of Falstaff Co</w:t>
      </w:r>
      <w:r w:rsidRPr="00925A3A">
        <w:rPr>
          <w:snapToGrid w:val="0"/>
          <w:sz w:val="20"/>
          <w:szCs w:val="20"/>
          <w:lang w:eastAsia="en-AU"/>
        </w:rPr>
        <w:t>, a hybrid entity resident in Titania (a</w:t>
      </w:r>
      <w:r w:rsidR="00686B3D">
        <w:rPr>
          <w:snapToGrid w:val="0"/>
          <w:sz w:val="20"/>
          <w:szCs w:val="20"/>
          <w:lang w:eastAsia="en-AU"/>
        </w:rPr>
        <w:t xml:space="preserve"> foreign country)</w:t>
      </w:r>
      <w:r w:rsidR="002D5667">
        <w:rPr>
          <w:snapToGrid w:val="0"/>
          <w:sz w:val="20"/>
          <w:szCs w:val="20"/>
          <w:lang w:eastAsia="en-AU"/>
        </w:rPr>
        <w:t xml:space="preserve">. </w:t>
      </w:r>
      <w:r w:rsidR="00686B3D">
        <w:rPr>
          <w:snapToGrid w:val="0"/>
          <w:sz w:val="20"/>
          <w:szCs w:val="20"/>
          <w:lang w:eastAsia="en-AU"/>
        </w:rPr>
        <w:t>Falstaff Co</w:t>
      </w:r>
      <w:r w:rsidRPr="00925A3A">
        <w:rPr>
          <w:snapToGrid w:val="0"/>
          <w:sz w:val="20"/>
          <w:szCs w:val="20"/>
          <w:lang w:eastAsia="en-AU"/>
        </w:rPr>
        <w:t xml:space="preserve"> is treated as a company in Titania, but is treated for New Zealand tax purposes as a partnership</w:t>
      </w:r>
      <w:r w:rsidR="002D5667">
        <w:rPr>
          <w:snapToGrid w:val="0"/>
          <w:sz w:val="20"/>
          <w:szCs w:val="20"/>
          <w:lang w:eastAsia="en-AU"/>
        </w:rPr>
        <w:t xml:space="preserve">. </w:t>
      </w:r>
      <w:r w:rsidRPr="00925A3A">
        <w:rPr>
          <w:snapToGrid w:val="0"/>
          <w:sz w:val="20"/>
          <w:szCs w:val="20"/>
          <w:lang w:eastAsia="en-AU"/>
        </w:rPr>
        <w:t>Its income and expenditure is thus attrib</w:t>
      </w:r>
      <w:r w:rsidR="00686B3D">
        <w:rPr>
          <w:snapToGrid w:val="0"/>
          <w:sz w:val="20"/>
          <w:szCs w:val="20"/>
          <w:lang w:eastAsia="en-AU"/>
        </w:rPr>
        <w:t>uted to its owners (Prospero Co</w:t>
      </w:r>
      <w:r w:rsidRPr="00925A3A">
        <w:rPr>
          <w:snapToGrid w:val="0"/>
          <w:sz w:val="20"/>
          <w:szCs w:val="20"/>
          <w:lang w:eastAsia="en-AU"/>
        </w:rPr>
        <w:t xml:space="preserve"> and the </w:t>
      </w:r>
      <w:r w:rsidR="00A415BC">
        <w:rPr>
          <w:snapToGrid w:val="0"/>
          <w:sz w:val="20"/>
          <w:szCs w:val="20"/>
          <w:lang w:eastAsia="en-AU"/>
        </w:rPr>
        <w:t xml:space="preserve">twenty five </w:t>
      </w:r>
      <w:r w:rsidRPr="00925A3A">
        <w:rPr>
          <w:snapToGrid w:val="0"/>
          <w:sz w:val="20"/>
          <w:szCs w:val="20"/>
          <w:lang w:eastAsia="en-AU"/>
        </w:rPr>
        <w:t>percen</w:t>
      </w:r>
      <w:r w:rsidR="00686B3D">
        <w:rPr>
          <w:snapToGrid w:val="0"/>
          <w:sz w:val="20"/>
          <w:szCs w:val="20"/>
          <w:lang w:eastAsia="en-AU"/>
        </w:rPr>
        <w:t>t minority owner)</w:t>
      </w:r>
      <w:r w:rsidR="002D5667">
        <w:rPr>
          <w:snapToGrid w:val="0"/>
          <w:sz w:val="20"/>
          <w:szCs w:val="20"/>
          <w:lang w:eastAsia="en-AU"/>
        </w:rPr>
        <w:t xml:space="preserve">. </w:t>
      </w:r>
      <w:r w:rsidR="00686B3D">
        <w:rPr>
          <w:snapToGrid w:val="0"/>
          <w:sz w:val="20"/>
          <w:szCs w:val="20"/>
          <w:lang w:eastAsia="en-AU"/>
        </w:rPr>
        <w:t>Falstaff Co</w:t>
      </w:r>
      <w:r w:rsidRPr="00925A3A">
        <w:rPr>
          <w:snapToGrid w:val="0"/>
          <w:sz w:val="20"/>
          <w:szCs w:val="20"/>
          <w:lang w:eastAsia="en-AU"/>
        </w:rPr>
        <w:t xml:space="preserve"> </w:t>
      </w:r>
      <w:r w:rsidR="00686B3D">
        <w:rPr>
          <w:snapToGrid w:val="0"/>
          <w:sz w:val="20"/>
          <w:szCs w:val="20"/>
          <w:lang w:eastAsia="en-AU"/>
        </w:rPr>
        <w:t xml:space="preserve">owns </w:t>
      </w:r>
      <w:r w:rsidR="00A415BC">
        <w:rPr>
          <w:snapToGrid w:val="0"/>
          <w:sz w:val="20"/>
          <w:szCs w:val="20"/>
          <w:lang w:eastAsia="en-AU"/>
        </w:rPr>
        <w:t>one hundred</w:t>
      </w:r>
      <w:r w:rsidR="00686B3D">
        <w:rPr>
          <w:snapToGrid w:val="0"/>
          <w:sz w:val="20"/>
          <w:szCs w:val="20"/>
          <w:lang w:eastAsia="en-AU"/>
        </w:rPr>
        <w:t xml:space="preserve"> percent of Mercutio Co</w:t>
      </w:r>
      <w:r w:rsidRPr="00925A3A">
        <w:rPr>
          <w:snapToGrid w:val="0"/>
          <w:sz w:val="20"/>
          <w:szCs w:val="20"/>
          <w:lang w:eastAsia="en-AU"/>
        </w:rPr>
        <w:t>, a company resident in Titania, and the two entities are consolidated</w:t>
      </w:r>
      <w:r w:rsidR="002D5667">
        <w:rPr>
          <w:snapToGrid w:val="0"/>
          <w:sz w:val="20"/>
          <w:szCs w:val="20"/>
          <w:lang w:eastAsia="en-AU"/>
        </w:rPr>
        <w:t xml:space="preserve">. </w:t>
      </w:r>
      <w:r w:rsidRPr="00925A3A">
        <w:rPr>
          <w:snapToGrid w:val="0"/>
          <w:sz w:val="20"/>
          <w:szCs w:val="20"/>
          <w:lang w:eastAsia="en-AU"/>
        </w:rPr>
        <w:t>The consolidation regime of Titania allows the losses of one entity to be offset against the in</w:t>
      </w:r>
      <w:r w:rsidR="00686B3D">
        <w:rPr>
          <w:snapToGrid w:val="0"/>
          <w:sz w:val="20"/>
          <w:szCs w:val="20"/>
          <w:lang w:eastAsia="en-AU"/>
        </w:rPr>
        <w:t>come of the other</w:t>
      </w:r>
      <w:r w:rsidR="002D5667">
        <w:rPr>
          <w:snapToGrid w:val="0"/>
          <w:sz w:val="20"/>
          <w:szCs w:val="20"/>
          <w:lang w:eastAsia="en-AU"/>
        </w:rPr>
        <w:t xml:space="preserve">. </w:t>
      </w:r>
      <w:r w:rsidR="00686B3D">
        <w:rPr>
          <w:snapToGrid w:val="0"/>
          <w:sz w:val="20"/>
          <w:szCs w:val="20"/>
          <w:lang w:eastAsia="en-AU"/>
        </w:rPr>
        <w:t>Mercutio Co</w:t>
      </w:r>
      <w:r w:rsidRPr="00925A3A">
        <w:rPr>
          <w:snapToGrid w:val="0"/>
          <w:sz w:val="20"/>
          <w:szCs w:val="20"/>
          <w:lang w:eastAsia="en-AU"/>
        </w:rPr>
        <w:t xml:space="preserve"> is treated for New Zealand tax purposes as a company, and undertakes an active business in Titania, such that its income i</w:t>
      </w:r>
      <w:r w:rsidR="00686B3D">
        <w:rPr>
          <w:snapToGrid w:val="0"/>
          <w:sz w:val="20"/>
          <w:szCs w:val="20"/>
          <w:lang w:eastAsia="en-AU"/>
        </w:rPr>
        <w:t>s not attributed to Prospero Co</w:t>
      </w:r>
      <w:r w:rsidRPr="00925A3A">
        <w:rPr>
          <w:snapToGrid w:val="0"/>
          <w:sz w:val="20"/>
          <w:szCs w:val="20"/>
          <w:lang w:eastAsia="en-AU"/>
        </w:rPr>
        <w:t xml:space="preserve"> under the CFC regime.</w:t>
      </w:r>
    </w:p>
    <w:p w14:paraId="273E9A51"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27B2EA2C" w14:textId="2376E7F8"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r w:rsidRPr="00925A3A">
        <w:rPr>
          <w:snapToGrid w:val="0"/>
          <w:sz w:val="20"/>
          <w:szCs w:val="20"/>
          <w:lang w:eastAsia="en-AU"/>
        </w:rPr>
        <w:t>Falsta</w:t>
      </w:r>
      <w:r w:rsidR="00686B3D">
        <w:rPr>
          <w:snapToGrid w:val="0"/>
          <w:sz w:val="20"/>
          <w:szCs w:val="20"/>
          <w:lang w:eastAsia="en-AU"/>
        </w:rPr>
        <w:t>ff Co</w:t>
      </w:r>
      <w:r w:rsidRPr="00925A3A">
        <w:rPr>
          <w:snapToGrid w:val="0"/>
          <w:sz w:val="20"/>
          <w:szCs w:val="20"/>
          <w:lang w:eastAsia="en-AU"/>
        </w:rPr>
        <w:t xml:space="preserve"> performs a financing function for the Globe Group,</w:t>
      </w:r>
      <w:r w:rsidR="001A1E1B">
        <w:rPr>
          <w:snapToGrid w:val="0"/>
          <w:sz w:val="20"/>
          <w:szCs w:val="20"/>
          <w:lang w:eastAsia="en-AU"/>
        </w:rPr>
        <w:t xml:space="preserve"> and its financing costs are deductible in Titania</w:t>
      </w:r>
      <w:r w:rsidRPr="00925A3A">
        <w:rPr>
          <w:snapToGrid w:val="0"/>
          <w:sz w:val="20"/>
          <w:szCs w:val="20"/>
          <w:lang w:eastAsia="en-AU"/>
        </w:rPr>
        <w:t xml:space="preserve"> which means that it regularly makes tax losses in Titania</w:t>
      </w:r>
      <w:r w:rsidR="002D5667">
        <w:rPr>
          <w:snapToGrid w:val="0"/>
          <w:sz w:val="20"/>
          <w:szCs w:val="20"/>
          <w:lang w:eastAsia="en-AU"/>
        </w:rPr>
        <w:t xml:space="preserve">. </w:t>
      </w:r>
      <w:r w:rsidRPr="00925A3A">
        <w:rPr>
          <w:snapToGrid w:val="0"/>
          <w:sz w:val="20"/>
          <w:szCs w:val="20"/>
          <w:lang w:eastAsia="en-AU"/>
        </w:rPr>
        <w:t>The financing expenditure is</w:t>
      </w:r>
      <w:r w:rsidR="00686B3D">
        <w:rPr>
          <w:snapToGrid w:val="0"/>
          <w:sz w:val="20"/>
          <w:szCs w:val="20"/>
          <w:lang w:eastAsia="en-AU"/>
        </w:rPr>
        <w:t xml:space="preserve"> also attributed to Prospero Co</w:t>
      </w:r>
      <w:r w:rsidRPr="00925A3A">
        <w:rPr>
          <w:snapToGrid w:val="0"/>
          <w:sz w:val="20"/>
          <w:szCs w:val="20"/>
          <w:lang w:eastAsia="en-AU"/>
        </w:rPr>
        <w:t xml:space="preserve"> under New Zealand law, and Pr</w:t>
      </w:r>
      <w:r w:rsidR="00686B3D">
        <w:rPr>
          <w:snapToGrid w:val="0"/>
          <w:sz w:val="20"/>
          <w:szCs w:val="20"/>
          <w:lang w:eastAsia="en-AU"/>
        </w:rPr>
        <w:t>ospero Co</w:t>
      </w:r>
      <w:r w:rsidRPr="00925A3A">
        <w:rPr>
          <w:snapToGrid w:val="0"/>
          <w:sz w:val="20"/>
          <w:szCs w:val="20"/>
          <w:lang w:eastAsia="en-AU"/>
        </w:rPr>
        <w:t xml:space="preserve"> claims deductions for its </w:t>
      </w:r>
      <w:r w:rsidR="00A415BC">
        <w:rPr>
          <w:snapToGrid w:val="0"/>
          <w:sz w:val="20"/>
          <w:szCs w:val="20"/>
          <w:lang w:eastAsia="en-AU"/>
        </w:rPr>
        <w:t xml:space="preserve">seventy five </w:t>
      </w:r>
      <w:r w:rsidRPr="00925A3A">
        <w:rPr>
          <w:snapToGrid w:val="0"/>
          <w:sz w:val="20"/>
          <w:szCs w:val="20"/>
          <w:lang w:eastAsia="en-AU"/>
        </w:rPr>
        <w:t>percent share of that ex</w:t>
      </w:r>
      <w:r w:rsidR="00686B3D">
        <w:rPr>
          <w:snapToGrid w:val="0"/>
          <w:sz w:val="20"/>
          <w:szCs w:val="20"/>
          <w:lang w:eastAsia="en-AU"/>
        </w:rPr>
        <w:t>penditure</w:t>
      </w:r>
      <w:r w:rsidR="002D5667">
        <w:rPr>
          <w:snapToGrid w:val="0"/>
          <w:sz w:val="20"/>
          <w:szCs w:val="20"/>
          <w:lang w:eastAsia="en-AU"/>
        </w:rPr>
        <w:t xml:space="preserve">. </w:t>
      </w:r>
      <w:r w:rsidR="00686B3D">
        <w:rPr>
          <w:snapToGrid w:val="0"/>
          <w:sz w:val="20"/>
          <w:szCs w:val="20"/>
          <w:lang w:eastAsia="en-AU"/>
        </w:rPr>
        <w:t>Because Falstaff Co</w:t>
      </w:r>
      <w:r w:rsidRPr="00925A3A">
        <w:rPr>
          <w:snapToGrid w:val="0"/>
          <w:sz w:val="20"/>
          <w:szCs w:val="20"/>
          <w:lang w:eastAsia="en-AU"/>
        </w:rPr>
        <w:t xml:space="preserve"> borrows in Titanian dollars, fluctuations in the NZ$/T$ exchange rate mean the amount of its deduc</w:t>
      </w:r>
      <w:r w:rsidR="00686B3D">
        <w:rPr>
          <w:snapToGrid w:val="0"/>
          <w:sz w:val="20"/>
          <w:szCs w:val="20"/>
          <w:lang w:eastAsia="en-AU"/>
        </w:rPr>
        <w:t>tions attributed to Prospero Co</w:t>
      </w:r>
      <w:r w:rsidRPr="00925A3A">
        <w:rPr>
          <w:snapToGrid w:val="0"/>
          <w:sz w:val="20"/>
          <w:szCs w:val="20"/>
          <w:lang w:eastAsia="en-AU"/>
        </w:rPr>
        <w:t xml:space="preserve"> under New Zealand tax rules can be much larger or smaller than the amount calculated for Titanian tax purposes.</w:t>
      </w:r>
    </w:p>
    <w:p w14:paraId="15CE5E2C"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28FF7CB3" w14:textId="5BA7B43B" w:rsidR="00925A3A" w:rsidRDefault="00686B3D"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Prospero Co</w:t>
      </w:r>
      <w:r w:rsidR="00925A3A" w:rsidRPr="00925A3A">
        <w:rPr>
          <w:snapToGrid w:val="0"/>
          <w:sz w:val="20"/>
          <w:szCs w:val="20"/>
          <w:lang w:eastAsia="en-AU"/>
        </w:rPr>
        <w:t xml:space="preserve"> satisfies section FH 8(1) due to the ability of its re</w:t>
      </w:r>
      <w:r>
        <w:rPr>
          <w:snapToGrid w:val="0"/>
          <w:sz w:val="20"/>
          <w:szCs w:val="20"/>
          <w:lang w:eastAsia="en-AU"/>
        </w:rPr>
        <w:t>lated hybrid entity Falstaff Co</w:t>
      </w:r>
      <w:r w:rsidR="00925A3A" w:rsidRPr="00925A3A">
        <w:rPr>
          <w:snapToGrid w:val="0"/>
          <w:sz w:val="20"/>
          <w:szCs w:val="20"/>
          <w:lang w:eastAsia="en-AU"/>
        </w:rPr>
        <w:t xml:space="preserve"> to offset its losses ag</w:t>
      </w:r>
      <w:r>
        <w:rPr>
          <w:snapToGrid w:val="0"/>
          <w:sz w:val="20"/>
          <w:szCs w:val="20"/>
          <w:lang w:eastAsia="en-AU"/>
        </w:rPr>
        <w:t>ainst the income of Mercutio Co</w:t>
      </w:r>
      <w:r w:rsidR="00925A3A" w:rsidRPr="00925A3A">
        <w:rPr>
          <w:snapToGrid w:val="0"/>
          <w:sz w:val="20"/>
          <w:szCs w:val="20"/>
          <w:lang w:eastAsia="en-AU"/>
        </w:rPr>
        <w:t>, which is not generally assessable in New Zealand</w:t>
      </w:r>
      <w:r w:rsidR="0055609B">
        <w:rPr>
          <w:snapToGrid w:val="0"/>
          <w:sz w:val="20"/>
          <w:szCs w:val="20"/>
          <w:lang w:eastAsia="en-AU"/>
        </w:rPr>
        <w:t xml:space="preserve"> under the CFC regime</w:t>
      </w:r>
      <w:r w:rsidR="002D5667">
        <w:rPr>
          <w:snapToGrid w:val="0"/>
          <w:sz w:val="20"/>
          <w:szCs w:val="20"/>
          <w:lang w:eastAsia="en-AU"/>
        </w:rPr>
        <w:t xml:space="preserve">. </w:t>
      </w:r>
      <w:r w:rsidR="00925A3A" w:rsidRPr="00925A3A">
        <w:rPr>
          <w:snapToGrid w:val="0"/>
          <w:sz w:val="20"/>
          <w:szCs w:val="20"/>
          <w:lang w:eastAsia="en-AU"/>
        </w:rPr>
        <w:t>Und</w:t>
      </w:r>
      <w:r>
        <w:rPr>
          <w:snapToGrid w:val="0"/>
          <w:sz w:val="20"/>
          <w:szCs w:val="20"/>
          <w:lang w:eastAsia="en-AU"/>
        </w:rPr>
        <w:t>er section</w:t>
      </w:r>
      <w:r w:rsidR="0055609B">
        <w:rPr>
          <w:snapToGrid w:val="0"/>
          <w:sz w:val="20"/>
          <w:szCs w:val="20"/>
          <w:lang w:eastAsia="en-AU"/>
        </w:rPr>
        <w:t>s</w:t>
      </w:r>
      <w:r>
        <w:rPr>
          <w:snapToGrid w:val="0"/>
          <w:sz w:val="20"/>
          <w:szCs w:val="20"/>
          <w:lang w:eastAsia="en-AU"/>
        </w:rPr>
        <w:t xml:space="preserve"> FH 8(2)</w:t>
      </w:r>
      <w:r w:rsidR="0055609B">
        <w:rPr>
          <w:snapToGrid w:val="0"/>
          <w:sz w:val="20"/>
          <w:szCs w:val="20"/>
          <w:lang w:eastAsia="en-AU"/>
        </w:rPr>
        <w:t xml:space="preserve"> and (3)</w:t>
      </w:r>
      <w:r>
        <w:rPr>
          <w:snapToGrid w:val="0"/>
          <w:sz w:val="20"/>
          <w:szCs w:val="20"/>
          <w:lang w:eastAsia="en-AU"/>
        </w:rPr>
        <w:t>, Prospero Co</w:t>
      </w:r>
      <w:r w:rsidR="0055609B">
        <w:rPr>
          <w:snapToGrid w:val="0"/>
          <w:sz w:val="20"/>
          <w:szCs w:val="20"/>
          <w:lang w:eastAsia="en-AU"/>
        </w:rPr>
        <w:t xml:space="preserve"> has a denied deduction and</w:t>
      </w:r>
      <w:r w:rsidR="00925A3A" w:rsidRPr="00925A3A">
        <w:rPr>
          <w:snapToGrid w:val="0"/>
          <w:sz w:val="20"/>
          <w:szCs w:val="20"/>
          <w:lang w:eastAsia="en-AU"/>
        </w:rPr>
        <w:t xml:space="preserve"> mismatch amount equal to its expenditure from Falstaff Co</w:t>
      </w:r>
      <w:r w:rsidR="002D5667">
        <w:rPr>
          <w:snapToGrid w:val="0"/>
          <w:sz w:val="20"/>
          <w:szCs w:val="20"/>
          <w:lang w:eastAsia="en-AU"/>
        </w:rPr>
        <w:t xml:space="preserve">. </w:t>
      </w:r>
      <w:r w:rsidR="00925A3A" w:rsidRPr="00925A3A">
        <w:rPr>
          <w:snapToGrid w:val="0"/>
          <w:sz w:val="20"/>
          <w:szCs w:val="20"/>
          <w:lang w:eastAsia="en-AU"/>
        </w:rPr>
        <w:t>There is no need to compare the amount of this expenditure with the am</w:t>
      </w:r>
      <w:r>
        <w:rPr>
          <w:snapToGrid w:val="0"/>
          <w:sz w:val="20"/>
          <w:szCs w:val="20"/>
          <w:lang w:eastAsia="en-AU"/>
        </w:rPr>
        <w:t>ount of expenditure Falstaff Co</w:t>
      </w:r>
      <w:r w:rsidR="00925A3A" w:rsidRPr="00925A3A">
        <w:rPr>
          <w:snapToGrid w:val="0"/>
          <w:sz w:val="20"/>
          <w:szCs w:val="20"/>
          <w:lang w:eastAsia="en-AU"/>
        </w:rPr>
        <w:t xml:space="preserve"> calculates for Titanian tax purposes.</w:t>
      </w:r>
    </w:p>
    <w:p w14:paraId="6C5FBA23" w14:textId="77777777" w:rsidR="00166BE5" w:rsidRDefault="00166BE5"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2F74CC20" w14:textId="77777777" w:rsidR="00166BE5" w:rsidRPr="00925A3A" w:rsidRDefault="00166BE5"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If Mercutio Co were a partnership, so that its income was subject to New Zealand tax in the hands of Prospero, section FH 8(1) would not apply, and no deduction for the financing costs would be denied to Prospero under section FH 8.</w:t>
      </w:r>
    </w:p>
    <w:p w14:paraId="2EC7A165" w14:textId="77777777" w:rsidR="00925A3A" w:rsidRPr="00925A3A" w:rsidRDefault="00925A3A" w:rsidP="00925A3A">
      <w:pPr>
        <w:rPr>
          <w:snapToGrid w:val="0"/>
          <w:szCs w:val="20"/>
          <w:lang w:eastAsia="en-AU"/>
        </w:rPr>
      </w:pPr>
    </w:p>
    <w:p w14:paraId="3B877B41" w14:textId="0773BA1C" w:rsidR="00925A3A" w:rsidRPr="00925A3A" w:rsidRDefault="00925A3A" w:rsidP="00925A3A">
      <w:pPr>
        <w:rPr>
          <w:snapToGrid w:val="0"/>
          <w:szCs w:val="20"/>
          <w:lang w:eastAsia="en-AU"/>
        </w:rPr>
      </w:pPr>
      <w:r w:rsidRPr="00925A3A">
        <w:rPr>
          <w:snapToGrid w:val="0"/>
          <w:szCs w:val="20"/>
          <w:lang w:eastAsia="en-AU"/>
        </w:rPr>
        <w:t xml:space="preserve">A person that is outside the scope of section FH 8(1) because its foreign hybrid or branch is not able to set off expenditure or loss against another person’s non-dual inclusion income and then falls within the scope of the subsection due to a change of group structure (for example, the acquisition of a new non-hybrid entity in the same country as the hybrid entity) is subject to the rule on a prospective basis and </w:t>
      </w:r>
      <w:r w:rsidR="0055609B">
        <w:rPr>
          <w:snapToGrid w:val="0"/>
          <w:szCs w:val="20"/>
          <w:lang w:eastAsia="en-AU"/>
        </w:rPr>
        <w:t xml:space="preserve">also must consider </w:t>
      </w:r>
      <w:r w:rsidRPr="00925A3A">
        <w:rPr>
          <w:snapToGrid w:val="0"/>
          <w:szCs w:val="20"/>
          <w:lang w:eastAsia="en-AU"/>
        </w:rPr>
        <w:t>subsection</w:t>
      </w:r>
      <w:r w:rsidR="0055609B">
        <w:rPr>
          <w:snapToGrid w:val="0"/>
          <w:szCs w:val="20"/>
          <w:lang w:eastAsia="en-AU"/>
        </w:rPr>
        <w:t>s</w:t>
      </w:r>
      <w:r w:rsidRPr="00925A3A">
        <w:rPr>
          <w:snapToGrid w:val="0"/>
          <w:szCs w:val="20"/>
          <w:lang w:eastAsia="en-AU"/>
        </w:rPr>
        <w:t xml:space="preserve"> (4) and (5) of section FH</w:t>
      </w:r>
      <w:r w:rsidR="001E3303">
        <w:rPr>
          <w:snapToGrid w:val="0"/>
          <w:szCs w:val="20"/>
          <w:lang w:eastAsia="en-AU"/>
        </w:rPr>
        <w:t> </w:t>
      </w:r>
      <w:r w:rsidRPr="00925A3A">
        <w:rPr>
          <w:snapToGrid w:val="0"/>
          <w:szCs w:val="20"/>
          <w:lang w:eastAsia="en-AU"/>
        </w:rPr>
        <w:t>8</w:t>
      </w:r>
      <w:r w:rsidR="002D5667">
        <w:rPr>
          <w:snapToGrid w:val="0"/>
          <w:szCs w:val="20"/>
          <w:lang w:eastAsia="en-AU"/>
        </w:rPr>
        <w:t xml:space="preserve">. </w:t>
      </w:r>
      <w:r w:rsidRPr="00925A3A">
        <w:rPr>
          <w:snapToGrid w:val="0"/>
          <w:szCs w:val="20"/>
          <w:lang w:eastAsia="en-AU"/>
        </w:rPr>
        <w:t xml:space="preserve">These provisions function as a transitional rule for persons in such a situation to reverse </w:t>
      </w:r>
      <w:r w:rsidRPr="00925A3A">
        <w:rPr>
          <w:snapToGrid w:val="0"/>
          <w:szCs w:val="20"/>
          <w:lang w:eastAsia="en-AU"/>
        </w:rPr>
        <w:lastRenderedPageBreak/>
        <w:t>their historic foreign hybrid or branch losses if they become usable in the other country in a way that would defeat the integrity of the primary rule.</w:t>
      </w:r>
    </w:p>
    <w:p w14:paraId="5790451A" w14:textId="77777777" w:rsidR="00925A3A" w:rsidRPr="00925A3A" w:rsidRDefault="00925A3A" w:rsidP="00925A3A">
      <w:pPr>
        <w:rPr>
          <w:snapToGrid w:val="0"/>
          <w:szCs w:val="20"/>
          <w:lang w:eastAsia="en-AU"/>
        </w:rPr>
      </w:pPr>
    </w:p>
    <w:p w14:paraId="54B7E424" w14:textId="77777777" w:rsidR="00925A3A" w:rsidRPr="00925A3A" w:rsidRDefault="00925A3A" w:rsidP="00925A3A">
      <w:pPr>
        <w:rPr>
          <w:snapToGrid w:val="0"/>
          <w:szCs w:val="20"/>
          <w:lang w:eastAsia="en-AU"/>
        </w:rPr>
      </w:pPr>
      <w:r w:rsidRPr="00925A3A">
        <w:rPr>
          <w:snapToGrid w:val="0"/>
          <w:szCs w:val="20"/>
          <w:lang w:eastAsia="en-AU"/>
        </w:rPr>
        <w:t>This transitional rule only applies if:</w:t>
      </w:r>
    </w:p>
    <w:p w14:paraId="2DB80FEC" w14:textId="77777777" w:rsidR="00925A3A" w:rsidRPr="00925A3A" w:rsidRDefault="00925A3A" w:rsidP="00925A3A">
      <w:pPr>
        <w:rPr>
          <w:snapToGrid w:val="0"/>
          <w:szCs w:val="20"/>
          <w:lang w:eastAsia="en-AU"/>
        </w:rPr>
      </w:pPr>
    </w:p>
    <w:p w14:paraId="09479838" w14:textId="77777777" w:rsidR="00925A3A" w:rsidRDefault="00925A3A" w:rsidP="0055609B">
      <w:pPr>
        <w:pStyle w:val="ListParagraph"/>
        <w:numPr>
          <w:ilvl w:val="0"/>
          <w:numId w:val="45"/>
        </w:numPr>
        <w:spacing w:after="140"/>
        <w:rPr>
          <w:snapToGrid w:val="0"/>
          <w:szCs w:val="20"/>
          <w:lang w:eastAsia="en-AU"/>
        </w:rPr>
      </w:pPr>
      <w:r w:rsidRPr="0055609B">
        <w:rPr>
          <w:snapToGrid w:val="0"/>
          <w:szCs w:val="20"/>
          <w:lang w:eastAsia="en-AU"/>
        </w:rPr>
        <w:t>the person was related to a foreign hybrid entity or had a foreign branch prior to subsection (1) applying to the person; and</w:t>
      </w:r>
    </w:p>
    <w:p w14:paraId="1AA75AC3" w14:textId="77777777" w:rsidR="0055609B" w:rsidRPr="0055609B" w:rsidRDefault="0055609B" w:rsidP="0055609B">
      <w:pPr>
        <w:pStyle w:val="ListParagraph"/>
        <w:spacing w:after="140"/>
        <w:rPr>
          <w:snapToGrid w:val="0"/>
          <w:szCs w:val="20"/>
          <w:lang w:eastAsia="en-AU"/>
        </w:rPr>
      </w:pPr>
    </w:p>
    <w:p w14:paraId="2151AA15" w14:textId="77777777" w:rsidR="00925A3A" w:rsidRPr="0055609B" w:rsidRDefault="00925A3A" w:rsidP="0055609B">
      <w:pPr>
        <w:pStyle w:val="ListParagraph"/>
        <w:numPr>
          <w:ilvl w:val="0"/>
          <w:numId w:val="45"/>
        </w:numPr>
        <w:rPr>
          <w:snapToGrid w:val="0"/>
          <w:szCs w:val="20"/>
          <w:lang w:eastAsia="en-AU"/>
        </w:rPr>
      </w:pPr>
      <w:r w:rsidRPr="0055609B">
        <w:rPr>
          <w:snapToGrid w:val="0"/>
          <w:szCs w:val="20"/>
          <w:lang w:eastAsia="en-AU"/>
        </w:rPr>
        <w:t>the laws of the relevant foreign country allow accumulated losses of the hybrid entity or branch to be set off against income that is not assessable in New Zealand under the new structure.</w:t>
      </w:r>
    </w:p>
    <w:p w14:paraId="54F6A6CB" w14:textId="77777777" w:rsidR="00925A3A" w:rsidRPr="00925A3A" w:rsidRDefault="00925A3A" w:rsidP="00925A3A">
      <w:pPr>
        <w:rPr>
          <w:snapToGrid w:val="0"/>
          <w:szCs w:val="20"/>
          <w:lang w:eastAsia="en-AU"/>
        </w:rPr>
      </w:pPr>
    </w:p>
    <w:p w14:paraId="1569984F" w14:textId="77777777" w:rsidR="00925A3A" w:rsidRPr="00925A3A" w:rsidRDefault="00925A3A" w:rsidP="00925A3A">
      <w:pPr>
        <w:rPr>
          <w:snapToGrid w:val="0"/>
          <w:szCs w:val="20"/>
          <w:lang w:eastAsia="en-AU"/>
        </w:rPr>
      </w:pPr>
      <w:r w:rsidRPr="00925A3A">
        <w:rPr>
          <w:snapToGrid w:val="0"/>
          <w:szCs w:val="20"/>
          <w:lang w:eastAsia="en-AU"/>
        </w:rPr>
        <w:t>To the extent those</w:t>
      </w:r>
      <w:r w:rsidR="00C974C1">
        <w:rPr>
          <w:snapToGrid w:val="0"/>
          <w:szCs w:val="20"/>
          <w:lang w:eastAsia="en-AU"/>
        </w:rPr>
        <w:t xml:space="preserve"> requirements are met, </w:t>
      </w:r>
      <w:r w:rsidRPr="00925A3A">
        <w:rPr>
          <w:snapToGrid w:val="0"/>
          <w:szCs w:val="20"/>
          <w:lang w:eastAsia="en-AU"/>
        </w:rPr>
        <w:t>section FH 8(5) treats the net loss of the hybrid entity or branch as assessable income and a mismatch amount.</w:t>
      </w:r>
    </w:p>
    <w:p w14:paraId="0F04CB05" w14:textId="77777777" w:rsidR="00925A3A" w:rsidRDefault="00925A3A" w:rsidP="00925A3A">
      <w:pPr>
        <w:jc w:val="left"/>
        <w:rPr>
          <w:snapToGrid w:val="0"/>
          <w:szCs w:val="20"/>
          <w:lang w:eastAsia="en-AU"/>
        </w:rPr>
      </w:pPr>
    </w:p>
    <w:p w14:paraId="1A09EA64" w14:textId="77777777" w:rsidR="00D1380C" w:rsidRPr="00925A3A" w:rsidRDefault="00D1380C" w:rsidP="00925A3A">
      <w:pPr>
        <w:jc w:val="left"/>
        <w:rPr>
          <w:snapToGrid w:val="0"/>
          <w:szCs w:val="20"/>
          <w:lang w:eastAsia="en-AU"/>
        </w:rPr>
      </w:pPr>
    </w:p>
    <w:p w14:paraId="45ED3AC2" w14:textId="64A498C7"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r w:rsidRPr="00925A3A">
        <w:rPr>
          <w:b/>
          <w:snapToGrid w:val="0"/>
          <w:sz w:val="20"/>
          <w:szCs w:val="20"/>
          <w:lang w:eastAsia="en-AU"/>
        </w:rPr>
        <w:t xml:space="preserve">Example </w:t>
      </w:r>
      <w:r w:rsidR="00824EF8">
        <w:rPr>
          <w:b/>
          <w:snapToGrid w:val="0"/>
          <w:sz w:val="20"/>
          <w:szCs w:val="20"/>
          <w:lang w:eastAsia="en-AU"/>
        </w:rPr>
        <w:t xml:space="preserve">25: </w:t>
      </w:r>
      <w:r w:rsidR="00BE51B7">
        <w:rPr>
          <w:b/>
          <w:sz w:val="20"/>
          <w:szCs w:val="20"/>
          <w:lang w:eastAsia="en-AU"/>
        </w:rPr>
        <w:t>New Zealand company with foreign branch making acquisition</w:t>
      </w:r>
    </w:p>
    <w:p w14:paraId="38F40A4E" w14:textId="5871AE10" w:rsid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1C2F7FB2" w14:textId="6946DD1E" w:rsidR="001F2A69" w:rsidRDefault="001F2A69"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r>
        <w:object w:dxaOrig="7020" w:dyaOrig="3631" w14:anchorId="177B1E52">
          <v:shape id="_x0000_i1032" type="#_x0000_t75" style="width:351pt;height:181.5pt" o:ole="">
            <v:imagedata r:id="rId27" o:title=""/>
          </v:shape>
          <o:OLEObject Type="Embed" ProgID="Visio.Drawing.15" ShapeID="_x0000_i1032" DrawAspect="Content" ObjectID="_1618044697" r:id="rId28"/>
        </w:object>
      </w:r>
    </w:p>
    <w:p w14:paraId="63FA487B" w14:textId="77777777" w:rsidR="001F2A69" w:rsidRPr="00925A3A" w:rsidRDefault="001F2A69"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6F9A35FA" w14:textId="1D671632" w:rsidR="00925A3A" w:rsidRDefault="008312EB"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Drake Co</w:t>
      </w:r>
      <w:r w:rsidR="00925A3A" w:rsidRPr="00925A3A">
        <w:rPr>
          <w:snapToGrid w:val="0"/>
          <w:sz w:val="20"/>
          <w:szCs w:val="20"/>
          <w:lang w:eastAsia="en-AU"/>
        </w:rPr>
        <w:t>, a company resident in New Zealand, has for many years sold guitars in Pink Moon Country (a foreign country) through a branch</w:t>
      </w:r>
      <w:r w:rsidR="002D5667">
        <w:rPr>
          <w:snapToGrid w:val="0"/>
          <w:sz w:val="20"/>
          <w:szCs w:val="20"/>
          <w:lang w:eastAsia="en-AU"/>
        </w:rPr>
        <w:t xml:space="preserve">. </w:t>
      </w:r>
      <w:r w:rsidR="00925A3A" w:rsidRPr="00925A3A">
        <w:rPr>
          <w:snapToGrid w:val="0"/>
          <w:sz w:val="20"/>
          <w:szCs w:val="20"/>
          <w:lang w:eastAsia="en-AU"/>
        </w:rPr>
        <w:t>In the last two years trading conditions have been poor in Pink Moon Country and the branch has made losses</w:t>
      </w:r>
      <w:r w:rsidR="002D5667">
        <w:rPr>
          <w:snapToGrid w:val="0"/>
          <w:sz w:val="20"/>
          <w:szCs w:val="20"/>
          <w:lang w:eastAsia="en-AU"/>
        </w:rPr>
        <w:t xml:space="preserve">. </w:t>
      </w:r>
      <w:r w:rsidR="00925A3A" w:rsidRPr="00925A3A">
        <w:rPr>
          <w:snapToGrid w:val="0"/>
          <w:sz w:val="20"/>
          <w:szCs w:val="20"/>
          <w:lang w:eastAsia="en-AU"/>
        </w:rPr>
        <w:t>These</w:t>
      </w:r>
      <w:r w:rsidR="00ED69DD">
        <w:rPr>
          <w:snapToGrid w:val="0"/>
          <w:sz w:val="20"/>
          <w:szCs w:val="20"/>
          <w:lang w:eastAsia="en-AU"/>
        </w:rPr>
        <w:t xml:space="preserve"> losses</w:t>
      </w:r>
      <w:r w:rsidR="00925A3A" w:rsidRPr="00925A3A">
        <w:rPr>
          <w:snapToGrid w:val="0"/>
          <w:sz w:val="20"/>
          <w:szCs w:val="20"/>
          <w:lang w:eastAsia="en-AU"/>
        </w:rPr>
        <w:t xml:space="preserve"> accumulate in Pink Moon Country and can also be offset against Drake Co.’s assessable income f</w:t>
      </w:r>
      <w:r>
        <w:rPr>
          <w:snapToGrid w:val="0"/>
          <w:sz w:val="20"/>
          <w:szCs w:val="20"/>
          <w:lang w:eastAsia="en-AU"/>
        </w:rPr>
        <w:t>rom other activities</w:t>
      </w:r>
      <w:r w:rsidR="002D5667">
        <w:rPr>
          <w:snapToGrid w:val="0"/>
          <w:sz w:val="20"/>
          <w:szCs w:val="20"/>
          <w:lang w:eastAsia="en-AU"/>
        </w:rPr>
        <w:t xml:space="preserve">. </w:t>
      </w:r>
      <w:r>
        <w:rPr>
          <w:snapToGrid w:val="0"/>
          <w:sz w:val="20"/>
          <w:szCs w:val="20"/>
          <w:lang w:eastAsia="en-AU"/>
        </w:rPr>
        <w:t>Drake Co</w:t>
      </w:r>
      <w:r w:rsidR="00925A3A" w:rsidRPr="00925A3A">
        <w:rPr>
          <w:snapToGrid w:val="0"/>
          <w:sz w:val="20"/>
          <w:szCs w:val="20"/>
          <w:lang w:eastAsia="en-AU"/>
        </w:rPr>
        <w:t xml:space="preserve"> has had no other activities or interests in Pink Moon Country.</w:t>
      </w:r>
    </w:p>
    <w:p w14:paraId="260DC6BB" w14:textId="77777777" w:rsidR="001F2A69" w:rsidRPr="00925A3A" w:rsidRDefault="001F2A69"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0A159BA1" w14:textId="77777777" w:rsidR="00925A3A" w:rsidRPr="00925A3A" w:rsidRDefault="008312EB"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Drake Co</w:t>
      </w:r>
      <w:r w:rsidR="00925A3A" w:rsidRPr="00925A3A">
        <w:rPr>
          <w:snapToGrid w:val="0"/>
          <w:sz w:val="20"/>
          <w:szCs w:val="20"/>
          <w:lang w:eastAsia="en-AU"/>
        </w:rPr>
        <w:t xml:space="preserve"> does not satisfy the section FH 8(1)(a) and section FH 8(1)(b) requirements because the branch losses cannot be offset against the income of an entity that is not taxable in New Zealand.</w:t>
      </w:r>
    </w:p>
    <w:p w14:paraId="7A0020DD"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71F9B305" w14:textId="0C1D762F"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r w:rsidRPr="00925A3A">
        <w:rPr>
          <w:snapToGrid w:val="0"/>
          <w:sz w:val="20"/>
          <w:szCs w:val="20"/>
          <w:lang w:eastAsia="en-AU"/>
        </w:rPr>
        <w:t>However, Drake Co</w:t>
      </w:r>
      <w:r w:rsidR="00ED69DD">
        <w:rPr>
          <w:snapToGrid w:val="0"/>
          <w:sz w:val="20"/>
          <w:szCs w:val="20"/>
          <w:lang w:eastAsia="en-AU"/>
        </w:rPr>
        <w:t xml:space="preserve"> believes its prospects in Pink Moon Country will improve, and</w:t>
      </w:r>
      <w:r w:rsidR="00ED69DD" w:rsidRPr="00925A3A">
        <w:rPr>
          <w:snapToGrid w:val="0"/>
          <w:sz w:val="20"/>
          <w:szCs w:val="20"/>
          <w:lang w:eastAsia="en-AU"/>
        </w:rPr>
        <w:t xml:space="preserve"> </w:t>
      </w:r>
      <w:r w:rsidRPr="00925A3A">
        <w:rPr>
          <w:snapToGrid w:val="0"/>
          <w:sz w:val="20"/>
          <w:szCs w:val="20"/>
          <w:lang w:eastAsia="en-AU"/>
        </w:rPr>
        <w:t xml:space="preserve">has now decided to expand its operations </w:t>
      </w:r>
      <w:r w:rsidR="00ED69DD">
        <w:rPr>
          <w:snapToGrid w:val="0"/>
          <w:sz w:val="20"/>
          <w:szCs w:val="20"/>
          <w:lang w:eastAsia="en-AU"/>
        </w:rPr>
        <w:t>there</w:t>
      </w:r>
      <w:r w:rsidR="008312EB">
        <w:rPr>
          <w:snapToGrid w:val="0"/>
          <w:sz w:val="20"/>
          <w:szCs w:val="20"/>
          <w:lang w:eastAsia="en-AU"/>
        </w:rPr>
        <w:t xml:space="preserve"> by acquiring </w:t>
      </w:r>
      <w:proofErr w:type="spellStart"/>
      <w:r w:rsidR="008312EB">
        <w:rPr>
          <w:snapToGrid w:val="0"/>
          <w:sz w:val="20"/>
          <w:szCs w:val="20"/>
          <w:lang w:eastAsia="en-AU"/>
        </w:rPr>
        <w:t>Bryter</w:t>
      </w:r>
      <w:proofErr w:type="spellEnd"/>
      <w:r w:rsidR="008312EB">
        <w:rPr>
          <w:snapToGrid w:val="0"/>
          <w:sz w:val="20"/>
          <w:szCs w:val="20"/>
          <w:lang w:eastAsia="en-AU"/>
        </w:rPr>
        <w:t xml:space="preserve"> Co</w:t>
      </w:r>
      <w:r w:rsidRPr="00925A3A">
        <w:rPr>
          <w:snapToGrid w:val="0"/>
          <w:sz w:val="20"/>
          <w:szCs w:val="20"/>
          <w:lang w:eastAsia="en-AU"/>
        </w:rPr>
        <w:t xml:space="preserve"> </w:t>
      </w:r>
      <w:r w:rsidRPr="00925A3A">
        <w:rPr>
          <w:snapToGrid w:val="0"/>
          <w:sz w:val="20"/>
          <w:szCs w:val="20"/>
          <w:lang w:eastAsia="en-AU"/>
        </w:rPr>
        <w:noBreakHyphen/>
        <w:t xml:space="preserve"> a company resident in Pink Moon Country that sells pianos and has </w:t>
      </w:r>
      <w:r w:rsidR="00ED69DD">
        <w:rPr>
          <w:snapToGrid w:val="0"/>
          <w:sz w:val="20"/>
          <w:szCs w:val="20"/>
          <w:lang w:eastAsia="en-AU"/>
        </w:rPr>
        <w:t>a profitable track record</w:t>
      </w:r>
      <w:r w:rsidR="002D5667">
        <w:rPr>
          <w:snapToGrid w:val="0"/>
          <w:sz w:val="20"/>
          <w:szCs w:val="20"/>
          <w:lang w:eastAsia="en-AU"/>
        </w:rPr>
        <w:t xml:space="preserve">. </w:t>
      </w:r>
      <w:proofErr w:type="spellStart"/>
      <w:r w:rsidR="008312EB">
        <w:rPr>
          <w:snapToGrid w:val="0"/>
          <w:sz w:val="20"/>
          <w:szCs w:val="20"/>
          <w:lang w:eastAsia="en-AU"/>
        </w:rPr>
        <w:t>Bryter</w:t>
      </w:r>
      <w:proofErr w:type="spellEnd"/>
      <w:r w:rsidR="008312EB">
        <w:rPr>
          <w:snapToGrid w:val="0"/>
          <w:sz w:val="20"/>
          <w:szCs w:val="20"/>
          <w:lang w:eastAsia="en-AU"/>
        </w:rPr>
        <w:t xml:space="preserve"> Co</w:t>
      </w:r>
      <w:r w:rsidRPr="00925A3A">
        <w:rPr>
          <w:snapToGrid w:val="0"/>
          <w:sz w:val="20"/>
          <w:szCs w:val="20"/>
          <w:lang w:eastAsia="en-AU"/>
        </w:rPr>
        <w:t xml:space="preserve"> is treated as a company for New Zealand tax purposes.</w:t>
      </w:r>
    </w:p>
    <w:p w14:paraId="1355C706"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6DBB7096" w14:textId="2E4E4D0D"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r w:rsidRPr="00925A3A">
        <w:rPr>
          <w:snapToGrid w:val="0"/>
          <w:sz w:val="20"/>
          <w:szCs w:val="20"/>
          <w:lang w:eastAsia="en-AU"/>
        </w:rPr>
        <w:t>The tax laws of Pink Moon Country allow Drake Co. to group its Pink Moon branch operation</w:t>
      </w:r>
      <w:r w:rsidR="00ED69DD">
        <w:rPr>
          <w:snapToGrid w:val="0"/>
          <w:sz w:val="20"/>
          <w:szCs w:val="20"/>
          <w:lang w:eastAsia="en-AU"/>
        </w:rPr>
        <w:t xml:space="preserve"> losses</w:t>
      </w:r>
      <w:r w:rsidRPr="00925A3A">
        <w:rPr>
          <w:snapToGrid w:val="0"/>
          <w:sz w:val="20"/>
          <w:szCs w:val="20"/>
          <w:lang w:eastAsia="en-AU"/>
        </w:rPr>
        <w:t xml:space="preserve"> with </w:t>
      </w:r>
      <w:proofErr w:type="spellStart"/>
      <w:r w:rsidRPr="00925A3A">
        <w:rPr>
          <w:snapToGrid w:val="0"/>
          <w:sz w:val="20"/>
          <w:szCs w:val="20"/>
          <w:lang w:eastAsia="en-AU"/>
        </w:rPr>
        <w:t>B</w:t>
      </w:r>
      <w:r w:rsidR="008312EB">
        <w:rPr>
          <w:snapToGrid w:val="0"/>
          <w:sz w:val="20"/>
          <w:szCs w:val="20"/>
          <w:lang w:eastAsia="en-AU"/>
        </w:rPr>
        <w:t>ryter</w:t>
      </w:r>
      <w:proofErr w:type="spellEnd"/>
      <w:r w:rsidR="008312EB">
        <w:rPr>
          <w:snapToGrid w:val="0"/>
          <w:sz w:val="20"/>
          <w:szCs w:val="20"/>
          <w:lang w:eastAsia="en-AU"/>
        </w:rPr>
        <w:t xml:space="preserve"> Co</w:t>
      </w:r>
      <w:r w:rsidRPr="00925A3A">
        <w:rPr>
          <w:snapToGrid w:val="0"/>
          <w:sz w:val="20"/>
          <w:szCs w:val="20"/>
          <w:lang w:eastAsia="en-AU"/>
        </w:rPr>
        <w:t xml:space="preserve"> profit such that its future branch losses can be offset </w:t>
      </w:r>
      <w:r w:rsidR="008312EB">
        <w:rPr>
          <w:snapToGrid w:val="0"/>
          <w:sz w:val="20"/>
          <w:szCs w:val="20"/>
          <w:lang w:eastAsia="en-AU"/>
        </w:rPr>
        <w:t xml:space="preserve">against the income of </w:t>
      </w:r>
      <w:proofErr w:type="spellStart"/>
      <w:r w:rsidR="008312EB">
        <w:rPr>
          <w:snapToGrid w:val="0"/>
          <w:sz w:val="20"/>
          <w:szCs w:val="20"/>
          <w:lang w:eastAsia="en-AU"/>
        </w:rPr>
        <w:t>Bryter</w:t>
      </w:r>
      <w:proofErr w:type="spellEnd"/>
      <w:r w:rsidR="008312EB">
        <w:rPr>
          <w:snapToGrid w:val="0"/>
          <w:sz w:val="20"/>
          <w:szCs w:val="20"/>
          <w:lang w:eastAsia="en-AU"/>
        </w:rPr>
        <w:t xml:space="preserve"> Co</w:t>
      </w:r>
      <w:r w:rsidR="002D5667">
        <w:rPr>
          <w:snapToGrid w:val="0"/>
          <w:sz w:val="20"/>
          <w:szCs w:val="20"/>
          <w:lang w:eastAsia="en-AU"/>
        </w:rPr>
        <w:t xml:space="preserve">. </w:t>
      </w:r>
      <w:r w:rsidR="008312EB">
        <w:rPr>
          <w:snapToGrid w:val="0"/>
          <w:sz w:val="20"/>
          <w:szCs w:val="20"/>
          <w:lang w:eastAsia="en-AU"/>
        </w:rPr>
        <w:t>Drake Co</w:t>
      </w:r>
      <w:r w:rsidRPr="00925A3A">
        <w:rPr>
          <w:snapToGrid w:val="0"/>
          <w:sz w:val="20"/>
          <w:szCs w:val="20"/>
          <w:lang w:eastAsia="en-AU"/>
        </w:rPr>
        <w:t xml:space="preserve"> must now apply section FH 8 to any future branch losses; they will become non-deductible mismatch amounts under section</w:t>
      </w:r>
      <w:r w:rsidR="008312EB">
        <w:rPr>
          <w:snapToGrid w:val="0"/>
          <w:sz w:val="20"/>
          <w:szCs w:val="20"/>
          <w:lang w:eastAsia="en-AU"/>
        </w:rPr>
        <w:t>s</w:t>
      </w:r>
      <w:r w:rsidRPr="00925A3A">
        <w:rPr>
          <w:snapToGrid w:val="0"/>
          <w:sz w:val="20"/>
          <w:szCs w:val="20"/>
          <w:lang w:eastAsia="en-AU"/>
        </w:rPr>
        <w:t xml:space="preserve"> FH 8(2)</w:t>
      </w:r>
      <w:r w:rsidR="008312EB">
        <w:rPr>
          <w:snapToGrid w:val="0"/>
          <w:sz w:val="20"/>
          <w:szCs w:val="20"/>
          <w:lang w:eastAsia="en-AU"/>
        </w:rPr>
        <w:t xml:space="preserve"> and (3)</w:t>
      </w:r>
      <w:r w:rsidRPr="00925A3A">
        <w:rPr>
          <w:snapToGrid w:val="0"/>
          <w:sz w:val="20"/>
          <w:szCs w:val="20"/>
          <w:lang w:eastAsia="en-AU"/>
        </w:rPr>
        <w:t>.</w:t>
      </w:r>
      <w:r w:rsidR="00BE51B7">
        <w:rPr>
          <w:snapToGrid w:val="0"/>
          <w:sz w:val="20"/>
          <w:szCs w:val="20"/>
          <w:lang w:eastAsia="en-AU"/>
        </w:rPr>
        <w:t xml:space="preserve"> </w:t>
      </w:r>
      <w:r w:rsidRPr="00925A3A">
        <w:rPr>
          <w:snapToGrid w:val="0"/>
          <w:sz w:val="20"/>
          <w:szCs w:val="20"/>
          <w:lang w:eastAsia="en-AU"/>
        </w:rPr>
        <w:t>The laws of Pink Moon Country have no rules preventin</w:t>
      </w:r>
      <w:r w:rsidR="008312EB">
        <w:rPr>
          <w:snapToGrid w:val="0"/>
          <w:sz w:val="20"/>
          <w:szCs w:val="20"/>
          <w:lang w:eastAsia="en-AU"/>
        </w:rPr>
        <w:t>g the branch losses of Drake Co</w:t>
      </w:r>
      <w:r w:rsidRPr="00925A3A">
        <w:rPr>
          <w:snapToGrid w:val="0"/>
          <w:sz w:val="20"/>
          <w:szCs w:val="20"/>
          <w:lang w:eastAsia="en-AU"/>
        </w:rPr>
        <w:t xml:space="preserve"> a</w:t>
      </w:r>
      <w:r w:rsidR="00FE767B">
        <w:rPr>
          <w:snapToGrid w:val="0"/>
          <w:sz w:val="20"/>
          <w:szCs w:val="20"/>
          <w:lang w:eastAsia="en-AU"/>
        </w:rPr>
        <w:t xml:space="preserve">ccumulated before the </w:t>
      </w:r>
      <w:proofErr w:type="spellStart"/>
      <w:r w:rsidR="00FE767B">
        <w:rPr>
          <w:snapToGrid w:val="0"/>
          <w:sz w:val="20"/>
          <w:szCs w:val="20"/>
          <w:lang w:eastAsia="en-AU"/>
        </w:rPr>
        <w:t>Bryter</w:t>
      </w:r>
      <w:proofErr w:type="spellEnd"/>
      <w:r w:rsidR="00FE767B">
        <w:rPr>
          <w:snapToGrid w:val="0"/>
          <w:sz w:val="20"/>
          <w:szCs w:val="20"/>
          <w:lang w:eastAsia="en-AU"/>
        </w:rPr>
        <w:t xml:space="preserve"> Co</w:t>
      </w:r>
      <w:r w:rsidRPr="00925A3A">
        <w:rPr>
          <w:snapToGrid w:val="0"/>
          <w:sz w:val="20"/>
          <w:szCs w:val="20"/>
          <w:lang w:eastAsia="en-AU"/>
        </w:rPr>
        <w:t xml:space="preserve"> acquisition </w:t>
      </w:r>
      <w:r w:rsidR="00ED69DD">
        <w:rPr>
          <w:snapToGrid w:val="0"/>
          <w:sz w:val="20"/>
          <w:szCs w:val="20"/>
          <w:lang w:eastAsia="en-AU"/>
        </w:rPr>
        <w:t>being</w:t>
      </w:r>
      <w:r w:rsidRPr="00925A3A">
        <w:rPr>
          <w:snapToGrid w:val="0"/>
          <w:sz w:val="20"/>
          <w:szCs w:val="20"/>
          <w:lang w:eastAsia="en-AU"/>
        </w:rPr>
        <w:t xml:space="preserve"> carried forwa</w:t>
      </w:r>
      <w:r w:rsidR="00FE767B">
        <w:rPr>
          <w:snapToGrid w:val="0"/>
          <w:sz w:val="20"/>
          <w:szCs w:val="20"/>
          <w:lang w:eastAsia="en-AU"/>
        </w:rPr>
        <w:t xml:space="preserve">rd and offset against </w:t>
      </w:r>
      <w:proofErr w:type="spellStart"/>
      <w:r w:rsidR="00FE767B">
        <w:rPr>
          <w:snapToGrid w:val="0"/>
          <w:sz w:val="20"/>
          <w:szCs w:val="20"/>
          <w:lang w:eastAsia="en-AU"/>
        </w:rPr>
        <w:t>Bryter</w:t>
      </w:r>
      <w:proofErr w:type="spellEnd"/>
      <w:r w:rsidR="00FE767B">
        <w:rPr>
          <w:snapToGrid w:val="0"/>
          <w:sz w:val="20"/>
          <w:szCs w:val="20"/>
          <w:lang w:eastAsia="en-AU"/>
        </w:rPr>
        <w:t xml:space="preserve"> Co</w:t>
      </w:r>
      <w:r w:rsidRPr="00925A3A">
        <w:rPr>
          <w:snapToGrid w:val="0"/>
          <w:sz w:val="20"/>
          <w:szCs w:val="20"/>
          <w:lang w:eastAsia="en-AU"/>
        </w:rPr>
        <w:t xml:space="preserve"> inc</w:t>
      </w:r>
      <w:r w:rsidR="00FE767B">
        <w:rPr>
          <w:snapToGrid w:val="0"/>
          <w:sz w:val="20"/>
          <w:szCs w:val="20"/>
          <w:lang w:eastAsia="en-AU"/>
        </w:rPr>
        <w:t xml:space="preserve">ome post-acquisition. </w:t>
      </w:r>
      <w:r w:rsidR="00EA0D9A">
        <w:rPr>
          <w:snapToGrid w:val="0"/>
          <w:sz w:val="20"/>
          <w:szCs w:val="20"/>
          <w:lang w:eastAsia="en-AU"/>
        </w:rPr>
        <w:t>Drake Co meets the requirements of FH 8(4) and so</w:t>
      </w:r>
      <w:r w:rsidRPr="00925A3A">
        <w:rPr>
          <w:snapToGrid w:val="0"/>
          <w:sz w:val="20"/>
          <w:szCs w:val="20"/>
          <w:lang w:eastAsia="en-AU"/>
        </w:rPr>
        <w:t xml:space="preserve"> must apply section FH 8(5) and include as assessable income the accumulated Pink Moon Country branch losses </w:t>
      </w:r>
      <w:r w:rsidR="00EA0D9A">
        <w:rPr>
          <w:snapToGrid w:val="0"/>
          <w:sz w:val="20"/>
          <w:szCs w:val="20"/>
          <w:lang w:eastAsia="en-AU"/>
        </w:rPr>
        <w:t>(</w:t>
      </w:r>
      <w:r w:rsidRPr="00925A3A">
        <w:rPr>
          <w:snapToGrid w:val="0"/>
          <w:sz w:val="20"/>
          <w:szCs w:val="20"/>
          <w:lang w:eastAsia="en-AU"/>
        </w:rPr>
        <w:t>as calculated for New Zealand tax purposes</w:t>
      </w:r>
      <w:r w:rsidR="00EA0D9A">
        <w:rPr>
          <w:snapToGrid w:val="0"/>
          <w:sz w:val="20"/>
          <w:szCs w:val="20"/>
          <w:lang w:eastAsia="en-AU"/>
        </w:rPr>
        <w:t>)</w:t>
      </w:r>
      <w:r w:rsidRPr="00925A3A">
        <w:rPr>
          <w:snapToGrid w:val="0"/>
          <w:sz w:val="20"/>
          <w:szCs w:val="20"/>
          <w:lang w:eastAsia="en-AU"/>
        </w:rPr>
        <w:t xml:space="preserve"> in its New Zealand income in t</w:t>
      </w:r>
      <w:r w:rsidR="00FE767B">
        <w:rPr>
          <w:snapToGrid w:val="0"/>
          <w:sz w:val="20"/>
          <w:szCs w:val="20"/>
          <w:lang w:eastAsia="en-AU"/>
        </w:rPr>
        <w:t xml:space="preserve">he income year of the </w:t>
      </w:r>
      <w:proofErr w:type="spellStart"/>
      <w:r w:rsidR="00FE767B">
        <w:rPr>
          <w:snapToGrid w:val="0"/>
          <w:sz w:val="20"/>
          <w:szCs w:val="20"/>
          <w:lang w:eastAsia="en-AU"/>
        </w:rPr>
        <w:t>Bryter</w:t>
      </w:r>
      <w:proofErr w:type="spellEnd"/>
      <w:r w:rsidR="00FE767B">
        <w:rPr>
          <w:snapToGrid w:val="0"/>
          <w:sz w:val="20"/>
          <w:szCs w:val="20"/>
          <w:lang w:eastAsia="en-AU"/>
        </w:rPr>
        <w:t xml:space="preserve"> Co</w:t>
      </w:r>
      <w:r w:rsidRPr="00925A3A">
        <w:rPr>
          <w:snapToGrid w:val="0"/>
          <w:sz w:val="20"/>
          <w:szCs w:val="20"/>
          <w:lang w:eastAsia="en-AU"/>
        </w:rPr>
        <w:t xml:space="preserve"> acquisition.</w:t>
      </w:r>
    </w:p>
    <w:p w14:paraId="4ADB1D0F" w14:textId="77777777" w:rsidR="00FE767B" w:rsidRDefault="00FE767B" w:rsidP="00925A3A">
      <w:pPr>
        <w:rPr>
          <w:snapToGrid w:val="0"/>
          <w:szCs w:val="20"/>
          <w:lang w:eastAsia="en-AU"/>
        </w:rPr>
      </w:pPr>
    </w:p>
    <w:p w14:paraId="52F697F3" w14:textId="77777777" w:rsidR="00B644F8" w:rsidRPr="00925A3A" w:rsidRDefault="00B644F8" w:rsidP="00925A3A">
      <w:pPr>
        <w:rPr>
          <w:snapToGrid w:val="0"/>
          <w:szCs w:val="20"/>
          <w:lang w:eastAsia="en-AU"/>
        </w:rPr>
      </w:pPr>
    </w:p>
    <w:p w14:paraId="59301467" w14:textId="77777777" w:rsidR="00925A3A" w:rsidRPr="00925A3A" w:rsidRDefault="00FE767B" w:rsidP="00925A3A">
      <w:pPr>
        <w:keepNext/>
        <w:outlineLvl w:val="2"/>
        <w:rPr>
          <w:b/>
          <w:i/>
          <w:szCs w:val="20"/>
          <w:lang w:eastAsia="en-AU"/>
        </w:rPr>
      </w:pPr>
      <w:r>
        <w:rPr>
          <w:b/>
          <w:i/>
          <w:szCs w:val="20"/>
          <w:lang w:eastAsia="en-AU"/>
        </w:rPr>
        <w:t>Section FH 9 (defensive rule)</w:t>
      </w:r>
    </w:p>
    <w:p w14:paraId="248B8611" w14:textId="77777777" w:rsidR="00925A3A" w:rsidRPr="00925A3A" w:rsidRDefault="00925A3A" w:rsidP="00925A3A">
      <w:pPr>
        <w:rPr>
          <w:szCs w:val="20"/>
          <w:lang w:eastAsia="en-AU"/>
        </w:rPr>
      </w:pPr>
    </w:p>
    <w:p w14:paraId="17A2FB11" w14:textId="334980A1" w:rsidR="00925A3A" w:rsidRPr="00925A3A" w:rsidRDefault="00925A3A" w:rsidP="00925A3A">
      <w:pPr>
        <w:rPr>
          <w:szCs w:val="20"/>
          <w:lang w:eastAsia="en-AU"/>
        </w:rPr>
      </w:pPr>
      <w:r w:rsidRPr="00925A3A">
        <w:rPr>
          <w:szCs w:val="20"/>
          <w:lang w:eastAsia="en-AU"/>
        </w:rPr>
        <w:t>The defensive rule mirrors the primary rule</w:t>
      </w:r>
      <w:r w:rsidR="002D5667">
        <w:rPr>
          <w:szCs w:val="20"/>
          <w:lang w:eastAsia="en-AU"/>
        </w:rPr>
        <w:t xml:space="preserve">. </w:t>
      </w:r>
      <w:r w:rsidRPr="00925A3A">
        <w:rPr>
          <w:szCs w:val="20"/>
          <w:lang w:eastAsia="en-AU"/>
        </w:rPr>
        <w:t xml:space="preserve">It </w:t>
      </w:r>
      <w:r w:rsidR="00ED69DD">
        <w:rPr>
          <w:szCs w:val="20"/>
          <w:lang w:eastAsia="en-AU"/>
        </w:rPr>
        <w:t>applies to</w:t>
      </w:r>
      <w:r w:rsidRPr="00925A3A">
        <w:rPr>
          <w:szCs w:val="20"/>
          <w:lang w:eastAsia="en-AU"/>
        </w:rPr>
        <w:t xml:space="preserve"> a foreign resident operating in New Zealand through a branch or a New Zealand hybrid entity in the same control group as a foreign resident</w:t>
      </w:r>
      <w:r w:rsidR="002D5667">
        <w:rPr>
          <w:szCs w:val="20"/>
          <w:lang w:eastAsia="en-AU"/>
        </w:rPr>
        <w:t xml:space="preserve">. </w:t>
      </w:r>
      <w:r w:rsidRPr="00925A3A">
        <w:rPr>
          <w:szCs w:val="20"/>
          <w:lang w:eastAsia="en-AU"/>
        </w:rPr>
        <w:t>The defensive rule does not apply where the country of that foreign resident ha</w:t>
      </w:r>
      <w:r w:rsidR="00FE767B">
        <w:rPr>
          <w:szCs w:val="20"/>
          <w:lang w:eastAsia="en-AU"/>
        </w:rPr>
        <w:t>s enacted hybrid mismatch legislation corresponding to the primary rule</w:t>
      </w:r>
      <w:r w:rsidRPr="00925A3A">
        <w:rPr>
          <w:szCs w:val="20"/>
          <w:lang w:eastAsia="en-AU"/>
        </w:rPr>
        <w:t>.</w:t>
      </w:r>
    </w:p>
    <w:p w14:paraId="62867A30" w14:textId="77777777" w:rsidR="00925A3A" w:rsidRPr="00925A3A" w:rsidRDefault="00925A3A" w:rsidP="00925A3A">
      <w:pPr>
        <w:rPr>
          <w:szCs w:val="20"/>
          <w:lang w:eastAsia="en-AU"/>
        </w:rPr>
      </w:pPr>
    </w:p>
    <w:p w14:paraId="5C0A7A6C" w14:textId="77777777" w:rsidR="00925A3A" w:rsidRPr="00925A3A" w:rsidRDefault="00925A3A" w:rsidP="00925A3A">
      <w:pPr>
        <w:rPr>
          <w:szCs w:val="20"/>
          <w:lang w:eastAsia="en-AU"/>
        </w:rPr>
      </w:pPr>
      <w:r w:rsidRPr="00925A3A">
        <w:rPr>
          <w:szCs w:val="20"/>
          <w:lang w:eastAsia="en-AU"/>
        </w:rPr>
        <w:t>The rule applies when expenditure of the hybrid entity/branch is deductible in New Zealand and the country of the foreign resident also allows that expenditure as a deduction for the foreign resident.</w:t>
      </w:r>
    </w:p>
    <w:p w14:paraId="19076C29" w14:textId="77777777" w:rsidR="00925A3A" w:rsidRPr="00925A3A" w:rsidRDefault="00925A3A" w:rsidP="00925A3A">
      <w:pPr>
        <w:rPr>
          <w:szCs w:val="20"/>
          <w:lang w:eastAsia="en-AU"/>
        </w:rPr>
      </w:pPr>
    </w:p>
    <w:p w14:paraId="4CCD1C16" w14:textId="77777777" w:rsidR="00925A3A" w:rsidRPr="00925A3A" w:rsidRDefault="00FE767B" w:rsidP="00925A3A">
      <w:pPr>
        <w:rPr>
          <w:snapToGrid w:val="0"/>
          <w:szCs w:val="20"/>
          <w:lang w:eastAsia="en-AU"/>
        </w:rPr>
      </w:pPr>
      <w:r>
        <w:rPr>
          <w:snapToGrid w:val="0"/>
          <w:szCs w:val="20"/>
          <w:lang w:eastAsia="en-AU"/>
        </w:rPr>
        <w:t>S</w:t>
      </w:r>
      <w:r w:rsidR="00925A3A" w:rsidRPr="00925A3A">
        <w:rPr>
          <w:snapToGrid w:val="0"/>
          <w:szCs w:val="20"/>
          <w:lang w:eastAsia="en-AU"/>
        </w:rPr>
        <w:t>ection FH 9(2)</w:t>
      </w:r>
      <w:r>
        <w:rPr>
          <w:snapToGrid w:val="0"/>
          <w:szCs w:val="20"/>
          <w:lang w:eastAsia="en-AU"/>
        </w:rPr>
        <w:t xml:space="preserve"> denies a deduction for the expenditure incurred in New Zealand, and section FH 9(3) treats the denied deduction as a mismatch amount unless and until it is set off </w:t>
      </w:r>
      <w:r w:rsidR="00925A3A" w:rsidRPr="00925A3A">
        <w:rPr>
          <w:snapToGrid w:val="0"/>
          <w:szCs w:val="20"/>
          <w:lang w:eastAsia="en-AU"/>
        </w:rPr>
        <w:t>against surplus assessable income unde</w:t>
      </w:r>
      <w:r>
        <w:rPr>
          <w:snapToGrid w:val="0"/>
          <w:szCs w:val="20"/>
          <w:lang w:eastAsia="en-AU"/>
        </w:rPr>
        <w:t xml:space="preserve">r </w:t>
      </w:r>
      <w:r w:rsidR="00925A3A" w:rsidRPr="00925A3A">
        <w:rPr>
          <w:snapToGrid w:val="0"/>
          <w:szCs w:val="20"/>
          <w:lang w:eastAsia="en-AU"/>
        </w:rPr>
        <w:t>section FH 12.</w:t>
      </w:r>
    </w:p>
    <w:p w14:paraId="73BB64DC" w14:textId="77777777" w:rsidR="00925A3A" w:rsidRDefault="00925A3A" w:rsidP="00925A3A">
      <w:pPr>
        <w:jc w:val="left"/>
        <w:rPr>
          <w:szCs w:val="20"/>
          <w:lang w:eastAsia="en-AU"/>
        </w:rPr>
      </w:pPr>
    </w:p>
    <w:p w14:paraId="0971CB48" w14:textId="77777777" w:rsidR="00D1380C" w:rsidRPr="00925A3A" w:rsidRDefault="00D1380C" w:rsidP="00925A3A">
      <w:pPr>
        <w:jc w:val="left"/>
        <w:rPr>
          <w:szCs w:val="20"/>
          <w:lang w:eastAsia="en-AU"/>
        </w:rPr>
      </w:pPr>
    </w:p>
    <w:p w14:paraId="201A1E58" w14:textId="180D916D" w:rsidR="00925A3A" w:rsidRDefault="00925A3A" w:rsidP="00925A3A">
      <w:pPr>
        <w:pBdr>
          <w:top w:val="single" w:sz="4" w:space="10" w:color="auto"/>
          <w:left w:val="single" w:sz="4" w:space="10" w:color="auto"/>
          <w:bottom w:val="single" w:sz="4" w:space="10" w:color="auto"/>
          <w:right w:val="single" w:sz="4" w:space="10" w:color="auto"/>
        </w:pBdr>
        <w:rPr>
          <w:b/>
          <w:snapToGrid w:val="0"/>
          <w:sz w:val="20"/>
          <w:szCs w:val="20"/>
          <w:lang w:eastAsia="en-AU"/>
        </w:rPr>
      </w:pPr>
      <w:r w:rsidRPr="00925A3A">
        <w:rPr>
          <w:b/>
          <w:snapToGrid w:val="0"/>
          <w:sz w:val="20"/>
          <w:szCs w:val="20"/>
          <w:lang w:eastAsia="en-AU"/>
        </w:rPr>
        <w:t xml:space="preserve">Example </w:t>
      </w:r>
      <w:r w:rsidR="00824EF8">
        <w:rPr>
          <w:b/>
          <w:snapToGrid w:val="0"/>
          <w:sz w:val="20"/>
          <w:szCs w:val="20"/>
          <w:lang w:eastAsia="en-AU"/>
        </w:rPr>
        <w:t xml:space="preserve">26: </w:t>
      </w:r>
      <w:r w:rsidR="00F32C8B" w:rsidRPr="00BE51B7">
        <w:rPr>
          <w:b/>
          <w:snapToGrid w:val="0"/>
          <w:sz w:val="20"/>
          <w:szCs w:val="20"/>
          <w:lang w:eastAsia="en-AU"/>
        </w:rPr>
        <w:fldChar w:fldCharType="begin"/>
      </w:r>
      <w:r w:rsidR="00F32C8B" w:rsidRPr="00BE51B7">
        <w:rPr>
          <w:b/>
          <w:snapToGrid w:val="0"/>
          <w:sz w:val="20"/>
          <w:szCs w:val="20"/>
          <w:lang w:eastAsia="en-AU"/>
        </w:rPr>
        <w:instrText>seq NumList</w:instrText>
      </w:r>
      <w:r w:rsidR="00F32C8B" w:rsidRPr="00BE51B7">
        <w:rPr>
          <w:b/>
          <w:snapToGrid w:val="0"/>
          <w:sz w:val="20"/>
          <w:szCs w:val="20"/>
          <w:lang w:eastAsia="en-AU"/>
        </w:rPr>
        <w:fldChar w:fldCharType="end"/>
      </w:r>
      <w:r w:rsidR="00BE51B7">
        <w:rPr>
          <w:b/>
          <w:snapToGrid w:val="0"/>
          <w:sz w:val="20"/>
          <w:szCs w:val="20"/>
          <w:lang w:eastAsia="en-AU"/>
        </w:rPr>
        <w:t>Foreign-owned hybrid entity resident in New Zealand</w:t>
      </w:r>
    </w:p>
    <w:p w14:paraId="047532FE" w14:textId="77777777" w:rsidR="00BE51B7" w:rsidRPr="00BE51B7" w:rsidRDefault="00BE51B7"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250AD057" w14:textId="40E879A3" w:rsidR="00925A3A" w:rsidRPr="00925A3A" w:rsidRDefault="00F84481"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Jefferson Co</w:t>
      </w:r>
      <w:r w:rsidR="00925A3A" w:rsidRPr="00925A3A">
        <w:rPr>
          <w:snapToGrid w:val="0"/>
          <w:sz w:val="20"/>
          <w:szCs w:val="20"/>
          <w:lang w:eastAsia="en-AU"/>
        </w:rPr>
        <w:t xml:space="preserve">, a foreign company resident in Washington Country (a foreign jurisdiction) </w:t>
      </w:r>
      <w:r>
        <w:rPr>
          <w:snapToGrid w:val="0"/>
          <w:sz w:val="20"/>
          <w:szCs w:val="20"/>
          <w:lang w:eastAsia="en-AU"/>
        </w:rPr>
        <w:t xml:space="preserve">owns </w:t>
      </w:r>
      <w:r w:rsidR="00E63EFC">
        <w:rPr>
          <w:snapToGrid w:val="0"/>
          <w:sz w:val="20"/>
          <w:szCs w:val="20"/>
          <w:lang w:eastAsia="en-AU"/>
        </w:rPr>
        <w:t xml:space="preserve">one hundred </w:t>
      </w:r>
      <w:r>
        <w:rPr>
          <w:snapToGrid w:val="0"/>
          <w:sz w:val="20"/>
          <w:szCs w:val="20"/>
          <w:lang w:eastAsia="en-AU"/>
        </w:rPr>
        <w:t>percent of Hamilton Co</w:t>
      </w:r>
      <w:r w:rsidR="00925A3A" w:rsidRPr="00925A3A">
        <w:rPr>
          <w:snapToGrid w:val="0"/>
          <w:sz w:val="20"/>
          <w:szCs w:val="20"/>
          <w:lang w:eastAsia="en-AU"/>
        </w:rPr>
        <w:t>, an unlimited liability company reside</w:t>
      </w:r>
      <w:r>
        <w:rPr>
          <w:snapToGrid w:val="0"/>
          <w:sz w:val="20"/>
          <w:szCs w:val="20"/>
          <w:lang w:eastAsia="en-AU"/>
        </w:rPr>
        <w:t>nt in New Zealand</w:t>
      </w:r>
      <w:r w:rsidR="002D5667">
        <w:rPr>
          <w:snapToGrid w:val="0"/>
          <w:sz w:val="20"/>
          <w:szCs w:val="20"/>
          <w:lang w:eastAsia="en-AU"/>
        </w:rPr>
        <w:t xml:space="preserve">. </w:t>
      </w:r>
      <w:r>
        <w:rPr>
          <w:snapToGrid w:val="0"/>
          <w:sz w:val="20"/>
          <w:szCs w:val="20"/>
          <w:lang w:eastAsia="en-AU"/>
        </w:rPr>
        <w:t>Hamilton Co</w:t>
      </w:r>
      <w:r w:rsidR="00925A3A" w:rsidRPr="00925A3A">
        <w:rPr>
          <w:snapToGrid w:val="0"/>
          <w:sz w:val="20"/>
          <w:szCs w:val="20"/>
          <w:lang w:eastAsia="en-AU"/>
        </w:rPr>
        <w:t xml:space="preserve"> is a hybrid entity.</w:t>
      </w:r>
    </w:p>
    <w:p w14:paraId="2AE76031"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0961EF54" w14:textId="77FEDA66" w:rsidR="00925A3A" w:rsidRPr="00925A3A" w:rsidRDefault="00F84481"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Hamilton Co</w:t>
      </w:r>
      <w:r w:rsidR="00925A3A" w:rsidRPr="00925A3A">
        <w:rPr>
          <w:snapToGrid w:val="0"/>
          <w:sz w:val="20"/>
          <w:szCs w:val="20"/>
          <w:lang w:eastAsia="en-AU"/>
        </w:rPr>
        <w:t xml:space="preserve"> incurs various expenses in carrying out its business</w:t>
      </w:r>
      <w:r w:rsidR="002D5667">
        <w:rPr>
          <w:snapToGrid w:val="0"/>
          <w:sz w:val="20"/>
          <w:szCs w:val="20"/>
          <w:lang w:eastAsia="en-AU"/>
        </w:rPr>
        <w:t xml:space="preserve">. </w:t>
      </w:r>
      <w:r w:rsidR="00925A3A" w:rsidRPr="00925A3A">
        <w:rPr>
          <w:snapToGrid w:val="0"/>
          <w:sz w:val="20"/>
          <w:szCs w:val="20"/>
          <w:lang w:eastAsia="en-AU"/>
        </w:rPr>
        <w:t xml:space="preserve">These expenses are deductible in New Zealand and are </w:t>
      </w:r>
      <w:r w:rsidR="00BF02AB">
        <w:rPr>
          <w:snapToGrid w:val="0"/>
          <w:sz w:val="20"/>
          <w:szCs w:val="20"/>
          <w:lang w:eastAsia="en-AU"/>
        </w:rPr>
        <w:t xml:space="preserve">also </w:t>
      </w:r>
      <w:r w:rsidR="00925A3A" w:rsidRPr="00925A3A">
        <w:rPr>
          <w:snapToGrid w:val="0"/>
          <w:sz w:val="20"/>
          <w:szCs w:val="20"/>
          <w:lang w:eastAsia="en-AU"/>
        </w:rPr>
        <w:t>treated as deductible aga</w:t>
      </w:r>
      <w:r>
        <w:rPr>
          <w:snapToGrid w:val="0"/>
          <w:sz w:val="20"/>
          <w:szCs w:val="20"/>
          <w:lang w:eastAsia="en-AU"/>
        </w:rPr>
        <w:t>inst the income of Jefferson Co</w:t>
      </w:r>
      <w:r w:rsidR="00925A3A" w:rsidRPr="00925A3A">
        <w:rPr>
          <w:snapToGrid w:val="0"/>
          <w:sz w:val="20"/>
          <w:szCs w:val="20"/>
          <w:lang w:eastAsia="en-AU"/>
        </w:rPr>
        <w:t xml:space="preserve"> under the tax laws of Washington Country</w:t>
      </w:r>
      <w:r w:rsidR="002D5667">
        <w:rPr>
          <w:snapToGrid w:val="0"/>
          <w:sz w:val="20"/>
          <w:szCs w:val="20"/>
          <w:lang w:eastAsia="en-AU"/>
        </w:rPr>
        <w:t xml:space="preserve">. </w:t>
      </w:r>
      <w:r w:rsidR="00925A3A" w:rsidRPr="00925A3A">
        <w:rPr>
          <w:snapToGrid w:val="0"/>
          <w:sz w:val="20"/>
          <w:szCs w:val="20"/>
          <w:lang w:eastAsia="en-AU"/>
        </w:rPr>
        <w:t>Washington Country has not enacted hybrid rules.</w:t>
      </w:r>
    </w:p>
    <w:p w14:paraId="0D270D7C"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2E3D08B8" w14:textId="46CCBCD4"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r w:rsidRPr="00925A3A">
        <w:rPr>
          <w:snapToGrid w:val="0"/>
          <w:sz w:val="20"/>
          <w:szCs w:val="20"/>
          <w:lang w:eastAsia="en-AU"/>
        </w:rPr>
        <w:t>Und</w:t>
      </w:r>
      <w:r w:rsidR="00F84481">
        <w:rPr>
          <w:snapToGrid w:val="0"/>
          <w:sz w:val="20"/>
          <w:szCs w:val="20"/>
          <w:lang w:eastAsia="en-AU"/>
        </w:rPr>
        <w:t>er section</w:t>
      </w:r>
      <w:r w:rsidR="0002065A">
        <w:rPr>
          <w:snapToGrid w:val="0"/>
          <w:sz w:val="20"/>
          <w:szCs w:val="20"/>
          <w:lang w:eastAsia="en-AU"/>
        </w:rPr>
        <w:t>s</w:t>
      </w:r>
      <w:r w:rsidR="00F84481">
        <w:rPr>
          <w:snapToGrid w:val="0"/>
          <w:sz w:val="20"/>
          <w:szCs w:val="20"/>
          <w:lang w:eastAsia="en-AU"/>
        </w:rPr>
        <w:t xml:space="preserve"> FH 9(2)</w:t>
      </w:r>
      <w:r w:rsidR="0002065A">
        <w:rPr>
          <w:snapToGrid w:val="0"/>
          <w:sz w:val="20"/>
          <w:szCs w:val="20"/>
          <w:lang w:eastAsia="en-AU"/>
        </w:rPr>
        <w:t xml:space="preserve"> and FH 9(3)</w:t>
      </w:r>
      <w:r w:rsidR="00F84481">
        <w:rPr>
          <w:snapToGrid w:val="0"/>
          <w:sz w:val="20"/>
          <w:szCs w:val="20"/>
          <w:lang w:eastAsia="en-AU"/>
        </w:rPr>
        <w:t>, Hamilton Co</w:t>
      </w:r>
      <w:r w:rsidRPr="00925A3A">
        <w:rPr>
          <w:snapToGrid w:val="0"/>
          <w:sz w:val="20"/>
          <w:szCs w:val="20"/>
          <w:lang w:eastAsia="en-AU"/>
        </w:rPr>
        <w:t xml:space="preserve"> has a</w:t>
      </w:r>
      <w:r w:rsidR="0002065A">
        <w:rPr>
          <w:snapToGrid w:val="0"/>
          <w:sz w:val="20"/>
          <w:szCs w:val="20"/>
          <w:lang w:eastAsia="en-AU"/>
        </w:rPr>
        <w:t xml:space="preserve"> denied deduction </w:t>
      </w:r>
      <w:r w:rsidR="00A948EF">
        <w:rPr>
          <w:snapToGrid w:val="0"/>
          <w:sz w:val="20"/>
          <w:szCs w:val="20"/>
          <w:lang w:eastAsia="en-AU"/>
        </w:rPr>
        <w:t xml:space="preserve">and </w:t>
      </w:r>
      <w:r w:rsidR="00A948EF" w:rsidRPr="00925A3A">
        <w:rPr>
          <w:snapToGrid w:val="0"/>
          <w:sz w:val="20"/>
          <w:szCs w:val="20"/>
          <w:lang w:eastAsia="en-AU"/>
        </w:rPr>
        <w:t>mismatch</w:t>
      </w:r>
      <w:r w:rsidRPr="00925A3A">
        <w:rPr>
          <w:snapToGrid w:val="0"/>
          <w:sz w:val="20"/>
          <w:szCs w:val="20"/>
          <w:lang w:eastAsia="en-AU"/>
        </w:rPr>
        <w:t xml:space="preserve"> amount for its incurred expenditure</w:t>
      </w:r>
      <w:r w:rsidR="002D5667">
        <w:rPr>
          <w:snapToGrid w:val="0"/>
          <w:sz w:val="20"/>
          <w:szCs w:val="20"/>
          <w:lang w:eastAsia="en-AU"/>
        </w:rPr>
        <w:t xml:space="preserve">. </w:t>
      </w:r>
      <w:r w:rsidRPr="00925A3A">
        <w:rPr>
          <w:snapToGrid w:val="0"/>
          <w:sz w:val="20"/>
          <w:szCs w:val="20"/>
          <w:lang w:eastAsia="en-AU"/>
        </w:rPr>
        <w:t>This expenditure will be non-deductible, except as provided for in section FH 12</w:t>
      </w:r>
      <w:r w:rsidR="002D5667">
        <w:rPr>
          <w:snapToGrid w:val="0"/>
          <w:sz w:val="20"/>
          <w:szCs w:val="20"/>
          <w:lang w:eastAsia="en-AU"/>
        </w:rPr>
        <w:t xml:space="preserve">. </w:t>
      </w:r>
      <w:r w:rsidRPr="00925A3A">
        <w:rPr>
          <w:snapToGrid w:val="0"/>
          <w:sz w:val="20"/>
          <w:szCs w:val="20"/>
          <w:lang w:eastAsia="en-AU"/>
        </w:rPr>
        <w:t>This denial is intended to ensure that the e</w:t>
      </w:r>
      <w:r w:rsidR="00F84481">
        <w:rPr>
          <w:snapToGrid w:val="0"/>
          <w:sz w:val="20"/>
          <w:szCs w:val="20"/>
          <w:lang w:eastAsia="en-AU"/>
        </w:rPr>
        <w:t>xpenses incurred by Hamilton Co</w:t>
      </w:r>
      <w:r w:rsidRPr="00925A3A">
        <w:rPr>
          <w:snapToGrid w:val="0"/>
          <w:sz w:val="20"/>
          <w:szCs w:val="20"/>
          <w:lang w:eastAsia="en-AU"/>
        </w:rPr>
        <w:t xml:space="preserve"> cannot be used to offset income which is taxable in New Zealand but</w:t>
      </w:r>
      <w:r w:rsidR="00F84481">
        <w:rPr>
          <w:snapToGrid w:val="0"/>
          <w:sz w:val="20"/>
          <w:szCs w:val="20"/>
          <w:lang w:eastAsia="en-AU"/>
        </w:rPr>
        <w:t xml:space="preserve"> is not taxable to Jefferson Co</w:t>
      </w:r>
      <w:r w:rsidRPr="00925A3A">
        <w:rPr>
          <w:snapToGrid w:val="0"/>
          <w:sz w:val="20"/>
          <w:szCs w:val="20"/>
          <w:lang w:eastAsia="en-AU"/>
        </w:rPr>
        <w:t xml:space="preserve"> in Washington Country.</w:t>
      </w:r>
    </w:p>
    <w:p w14:paraId="768436EF" w14:textId="77777777" w:rsidR="00925A3A" w:rsidRPr="00925A3A" w:rsidRDefault="00925A3A" w:rsidP="00925A3A">
      <w:pPr>
        <w:rPr>
          <w:snapToGrid w:val="0"/>
          <w:szCs w:val="20"/>
          <w:lang w:eastAsia="en-AU"/>
        </w:rPr>
      </w:pPr>
    </w:p>
    <w:p w14:paraId="493C6297" w14:textId="1D452ACC" w:rsidR="00515D6C" w:rsidRPr="00925A3A" w:rsidRDefault="00BF02AB" w:rsidP="00515D6C">
      <w:pPr>
        <w:rPr>
          <w:szCs w:val="20"/>
          <w:lang w:eastAsia="en-AU"/>
        </w:rPr>
      </w:pPr>
      <w:r>
        <w:rPr>
          <w:szCs w:val="20"/>
          <w:lang w:eastAsia="en-AU"/>
        </w:rPr>
        <w:t>A</w:t>
      </w:r>
      <w:r w:rsidR="00515D6C">
        <w:rPr>
          <w:szCs w:val="20"/>
          <w:lang w:eastAsia="en-AU"/>
        </w:rPr>
        <w:t xml:space="preserve"> mismatch amount under subsection (3) cannot be carried forward</w:t>
      </w:r>
      <w:r w:rsidR="00605979">
        <w:rPr>
          <w:szCs w:val="20"/>
          <w:lang w:eastAsia="en-AU"/>
        </w:rPr>
        <w:t xml:space="preserve"> and deducted under section FH 12</w:t>
      </w:r>
      <w:r w:rsidR="00515D6C">
        <w:rPr>
          <w:szCs w:val="20"/>
          <w:lang w:eastAsia="en-AU"/>
        </w:rPr>
        <w:t xml:space="preserve"> if the foreign </w:t>
      </w:r>
      <w:r w:rsidR="000428DE">
        <w:rPr>
          <w:szCs w:val="20"/>
          <w:lang w:eastAsia="en-AU"/>
        </w:rPr>
        <w:t>country</w:t>
      </w:r>
      <w:r w:rsidR="00515D6C">
        <w:rPr>
          <w:szCs w:val="20"/>
          <w:lang w:eastAsia="en-AU"/>
        </w:rPr>
        <w:t xml:space="preserve"> introduces hybrid mismatch legislation corresponding to the primary rule for deductible hybrid and branch payment mismatches.</w:t>
      </w:r>
    </w:p>
    <w:p w14:paraId="2C9F06C2" w14:textId="77777777" w:rsidR="009D6118" w:rsidRDefault="009D6118">
      <w:pPr>
        <w:jc w:val="left"/>
        <w:rPr>
          <w:b/>
          <w:caps/>
          <w:sz w:val="26"/>
          <w:szCs w:val="20"/>
          <w:lang w:eastAsia="en-AU"/>
        </w:rPr>
      </w:pPr>
      <w:bookmarkStart w:id="11" w:name="_Toc500319041"/>
      <w:r>
        <w:rPr>
          <w:b/>
          <w:caps/>
          <w:sz w:val="26"/>
          <w:szCs w:val="20"/>
          <w:lang w:eastAsia="en-AU"/>
        </w:rPr>
        <w:br w:type="page"/>
      </w:r>
    </w:p>
    <w:p w14:paraId="6BD31A63" w14:textId="77777777" w:rsidR="00925A3A" w:rsidRPr="00925A3A" w:rsidRDefault="00925A3A" w:rsidP="00925A3A">
      <w:pPr>
        <w:keepNext/>
        <w:pBdr>
          <w:bottom w:val="single" w:sz="4" w:space="6" w:color="auto"/>
        </w:pBdr>
        <w:jc w:val="left"/>
        <w:outlineLvl w:val="0"/>
        <w:rPr>
          <w:b/>
          <w:caps/>
          <w:sz w:val="26"/>
          <w:szCs w:val="20"/>
          <w:lang w:eastAsia="en-AU"/>
        </w:rPr>
      </w:pPr>
      <w:r w:rsidRPr="00925A3A">
        <w:rPr>
          <w:b/>
          <w:caps/>
          <w:sz w:val="26"/>
          <w:szCs w:val="20"/>
          <w:lang w:eastAsia="en-AU"/>
        </w:rPr>
        <w:lastRenderedPageBreak/>
        <w:t>Dual resident payer rule</w:t>
      </w:r>
      <w:bookmarkEnd w:id="11"/>
    </w:p>
    <w:p w14:paraId="1CA846F9" w14:textId="77777777" w:rsidR="00925A3A" w:rsidRPr="00925A3A" w:rsidRDefault="00925A3A" w:rsidP="00925A3A">
      <w:pPr>
        <w:rPr>
          <w:szCs w:val="20"/>
          <w:lang w:eastAsia="en-AU"/>
        </w:rPr>
      </w:pPr>
    </w:p>
    <w:p w14:paraId="7EB76D6F" w14:textId="77777777" w:rsidR="00925A3A" w:rsidRPr="00925A3A" w:rsidRDefault="00515D6C" w:rsidP="00925A3A">
      <w:pPr>
        <w:rPr>
          <w:b/>
          <w:i/>
          <w:szCs w:val="20"/>
          <w:lang w:eastAsia="en-AU"/>
        </w:rPr>
      </w:pPr>
      <w:r>
        <w:rPr>
          <w:b/>
          <w:i/>
          <w:szCs w:val="20"/>
          <w:lang w:eastAsia="en-AU"/>
        </w:rPr>
        <w:t>Section FH 10</w:t>
      </w:r>
    </w:p>
    <w:p w14:paraId="5DEE3741" w14:textId="77777777" w:rsidR="00925A3A" w:rsidRDefault="00925A3A" w:rsidP="00925A3A">
      <w:pPr>
        <w:rPr>
          <w:szCs w:val="20"/>
          <w:lang w:eastAsia="en-AU"/>
        </w:rPr>
      </w:pPr>
    </w:p>
    <w:p w14:paraId="6D905189" w14:textId="77777777" w:rsidR="00D1380C" w:rsidRDefault="00D1380C" w:rsidP="00925A3A">
      <w:pPr>
        <w:rPr>
          <w:szCs w:val="20"/>
          <w:lang w:eastAsia="en-AU"/>
        </w:rPr>
      </w:pPr>
    </w:p>
    <w:p w14:paraId="16CAA33D" w14:textId="04EA0637" w:rsidR="008C6B58" w:rsidRPr="008C6B58" w:rsidRDefault="00D6773F" w:rsidP="00925A3A">
      <w:pPr>
        <w:rPr>
          <w:b/>
          <w:szCs w:val="20"/>
          <w:lang w:eastAsia="en-AU"/>
        </w:rPr>
      </w:pPr>
      <w:r>
        <w:rPr>
          <w:b/>
          <w:szCs w:val="20"/>
          <w:lang w:eastAsia="en-AU"/>
        </w:rPr>
        <w:t>Background</w:t>
      </w:r>
    </w:p>
    <w:p w14:paraId="76E520D7" w14:textId="77777777" w:rsidR="008C6B58" w:rsidRDefault="008C6B58" w:rsidP="00925A3A">
      <w:pPr>
        <w:rPr>
          <w:szCs w:val="20"/>
          <w:lang w:eastAsia="en-AU"/>
        </w:rPr>
      </w:pPr>
    </w:p>
    <w:p w14:paraId="4F29D576" w14:textId="5A9CBD5C" w:rsidR="003313BE" w:rsidRDefault="003313BE" w:rsidP="00925A3A">
      <w:pPr>
        <w:rPr>
          <w:szCs w:val="20"/>
          <w:lang w:eastAsia="en-AU"/>
        </w:rPr>
      </w:pPr>
      <w:r>
        <w:rPr>
          <w:szCs w:val="20"/>
          <w:lang w:eastAsia="en-AU"/>
        </w:rPr>
        <w:t>The dual resident payer rule is recommendation 7 of th</w:t>
      </w:r>
      <w:r w:rsidR="00075178">
        <w:rPr>
          <w:szCs w:val="20"/>
          <w:lang w:eastAsia="en-AU"/>
        </w:rPr>
        <w:t>e OECD hybrid mismatch report</w:t>
      </w:r>
      <w:r w:rsidR="002D5667">
        <w:rPr>
          <w:szCs w:val="20"/>
          <w:lang w:eastAsia="en-AU"/>
        </w:rPr>
        <w:t xml:space="preserve">. </w:t>
      </w:r>
      <w:r w:rsidR="00075178">
        <w:rPr>
          <w:szCs w:val="20"/>
          <w:lang w:eastAsia="en-AU"/>
        </w:rPr>
        <w:t xml:space="preserve">It is similar to recommendation 6 of the OECD hybrid mismatch report in that it deals with a single payment </w:t>
      </w:r>
      <w:r w:rsidR="00606BB0">
        <w:rPr>
          <w:szCs w:val="20"/>
          <w:lang w:eastAsia="en-AU"/>
        </w:rPr>
        <w:t xml:space="preserve">that </w:t>
      </w:r>
      <w:r w:rsidR="00075178">
        <w:rPr>
          <w:szCs w:val="20"/>
          <w:lang w:eastAsia="en-AU"/>
        </w:rPr>
        <w:t xml:space="preserve">is deducible in two </w:t>
      </w:r>
      <w:r w:rsidR="000428DE">
        <w:rPr>
          <w:szCs w:val="20"/>
          <w:lang w:eastAsia="en-AU"/>
        </w:rPr>
        <w:t>countries</w:t>
      </w:r>
      <w:r w:rsidR="002D5667">
        <w:rPr>
          <w:szCs w:val="20"/>
          <w:lang w:eastAsia="en-AU"/>
        </w:rPr>
        <w:t xml:space="preserve">. </w:t>
      </w:r>
      <w:r w:rsidR="00075178">
        <w:rPr>
          <w:szCs w:val="20"/>
          <w:lang w:eastAsia="en-AU"/>
        </w:rPr>
        <w:t>However, in this case, there is only one entity (a company) involved</w:t>
      </w:r>
      <w:r w:rsidR="007451D9">
        <w:rPr>
          <w:szCs w:val="20"/>
          <w:lang w:eastAsia="en-AU"/>
        </w:rPr>
        <w:t xml:space="preserve">, which both </w:t>
      </w:r>
      <w:r w:rsidR="000428DE">
        <w:rPr>
          <w:szCs w:val="20"/>
          <w:lang w:eastAsia="en-AU"/>
        </w:rPr>
        <w:t xml:space="preserve">countries </w:t>
      </w:r>
      <w:r w:rsidR="007451D9">
        <w:rPr>
          <w:szCs w:val="20"/>
          <w:lang w:eastAsia="en-AU"/>
        </w:rPr>
        <w:t>treat as tax resident</w:t>
      </w:r>
      <w:r w:rsidR="00F5240A">
        <w:rPr>
          <w:szCs w:val="20"/>
          <w:lang w:eastAsia="en-AU"/>
        </w:rPr>
        <w:t xml:space="preserve"> and can lead to double deduction (DD) mismatches</w:t>
      </w:r>
      <w:r w:rsidR="00075178">
        <w:rPr>
          <w:szCs w:val="20"/>
          <w:lang w:eastAsia="en-AU"/>
        </w:rPr>
        <w:t>.</w:t>
      </w:r>
    </w:p>
    <w:p w14:paraId="12EEE55D" w14:textId="77777777" w:rsidR="00F5240A" w:rsidRDefault="00F5240A" w:rsidP="00925A3A">
      <w:pPr>
        <w:rPr>
          <w:szCs w:val="20"/>
          <w:lang w:eastAsia="en-AU"/>
        </w:rPr>
      </w:pPr>
    </w:p>
    <w:p w14:paraId="71E1DDED" w14:textId="05BC8FEC" w:rsidR="00925A3A" w:rsidRDefault="00F5240A" w:rsidP="00925A3A">
      <w:pPr>
        <w:rPr>
          <w:szCs w:val="20"/>
          <w:lang w:eastAsia="en-AU"/>
        </w:rPr>
      </w:pPr>
      <w:r>
        <w:rPr>
          <w:szCs w:val="20"/>
          <w:lang w:eastAsia="en-AU"/>
        </w:rPr>
        <w:t>The diagram below illustrates an example of a dual resident payer mismatch.</w:t>
      </w:r>
    </w:p>
    <w:p w14:paraId="010BAF55" w14:textId="77777777" w:rsidR="00F5240A" w:rsidRDefault="00F5240A" w:rsidP="00925A3A">
      <w:pPr>
        <w:rPr>
          <w:szCs w:val="20"/>
          <w:lang w:eastAsia="en-AU"/>
        </w:rPr>
      </w:pPr>
    </w:p>
    <w:p w14:paraId="38520873" w14:textId="77777777" w:rsidR="00EC01A3" w:rsidRDefault="00F5240A" w:rsidP="00925A3A">
      <w:pPr>
        <w:rPr>
          <w:szCs w:val="20"/>
          <w:lang w:eastAsia="en-AU"/>
        </w:rPr>
      </w:pPr>
      <w:r>
        <w:rPr>
          <w:noProof/>
        </w:rPr>
        <w:drawing>
          <wp:inline distT="0" distB="0" distL="0" distR="0" wp14:anchorId="7C2CD624" wp14:editId="5F202946">
            <wp:extent cx="4457700" cy="2333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457700" cy="2333625"/>
                    </a:xfrm>
                    <a:prstGeom prst="rect">
                      <a:avLst/>
                    </a:prstGeom>
                  </pic:spPr>
                </pic:pic>
              </a:graphicData>
            </a:graphic>
          </wp:inline>
        </w:drawing>
      </w:r>
    </w:p>
    <w:p w14:paraId="3E1B02F0" w14:textId="77777777" w:rsidR="00EC01A3" w:rsidRDefault="00EC01A3" w:rsidP="00925A3A">
      <w:pPr>
        <w:rPr>
          <w:szCs w:val="20"/>
          <w:lang w:eastAsia="en-AU"/>
        </w:rPr>
      </w:pPr>
    </w:p>
    <w:p w14:paraId="2D4C8A5B" w14:textId="4B383BEA" w:rsidR="00C32392" w:rsidRDefault="00F5240A" w:rsidP="00925A3A">
      <w:pPr>
        <w:rPr>
          <w:szCs w:val="20"/>
          <w:lang w:eastAsia="en-AU"/>
        </w:rPr>
      </w:pPr>
      <w:r>
        <w:rPr>
          <w:szCs w:val="20"/>
          <w:lang w:eastAsia="en-AU"/>
        </w:rPr>
        <w:t>In the example, B Co (a company incorporated in Country B but tax resident in both Country A and Country B) is a wholly-owned subsidiary of A Co (a company incorporated and tax resident in Country A)</w:t>
      </w:r>
      <w:r w:rsidR="002D5667">
        <w:rPr>
          <w:szCs w:val="20"/>
          <w:lang w:eastAsia="en-AU"/>
        </w:rPr>
        <w:t xml:space="preserve">. </w:t>
      </w:r>
      <w:r w:rsidR="00284DB2">
        <w:rPr>
          <w:szCs w:val="20"/>
          <w:lang w:eastAsia="en-AU"/>
        </w:rPr>
        <w:t>B Co owns the shares in B Sub 1 (also incorporated and tax resident in Country B)</w:t>
      </w:r>
      <w:r w:rsidR="002D5667">
        <w:rPr>
          <w:szCs w:val="20"/>
          <w:lang w:eastAsia="en-AU"/>
        </w:rPr>
        <w:t xml:space="preserve">. </w:t>
      </w:r>
      <w:r w:rsidR="00284DB2">
        <w:rPr>
          <w:szCs w:val="20"/>
          <w:lang w:eastAsia="en-AU"/>
        </w:rPr>
        <w:t xml:space="preserve">B Co is consolidated for tax purposes with A Co </w:t>
      </w:r>
      <w:r w:rsidR="00C32392">
        <w:rPr>
          <w:szCs w:val="20"/>
          <w:lang w:eastAsia="en-AU"/>
        </w:rPr>
        <w:t>(under Country A law) and B Sub 1 (under B Country law).</w:t>
      </w:r>
    </w:p>
    <w:p w14:paraId="6C647E60" w14:textId="77777777" w:rsidR="00C32392" w:rsidRDefault="00C32392" w:rsidP="00925A3A">
      <w:pPr>
        <w:rPr>
          <w:szCs w:val="20"/>
          <w:lang w:eastAsia="en-AU"/>
        </w:rPr>
      </w:pPr>
    </w:p>
    <w:p w14:paraId="6651275A" w14:textId="08BAC7BD" w:rsidR="00F5240A" w:rsidRDefault="00C32392" w:rsidP="00925A3A">
      <w:pPr>
        <w:rPr>
          <w:szCs w:val="20"/>
          <w:lang w:eastAsia="en-AU"/>
        </w:rPr>
      </w:pPr>
      <w:r>
        <w:rPr>
          <w:szCs w:val="20"/>
          <w:lang w:eastAsia="en-AU"/>
        </w:rPr>
        <w:t>Similar to the deductible hybrid payment example above, B Co borrows from a bank and pays interest on the loan</w:t>
      </w:r>
      <w:r w:rsidR="002D5667">
        <w:rPr>
          <w:szCs w:val="20"/>
          <w:lang w:eastAsia="en-AU"/>
        </w:rPr>
        <w:t xml:space="preserve">. </w:t>
      </w:r>
      <w:r>
        <w:rPr>
          <w:szCs w:val="20"/>
          <w:lang w:eastAsia="en-AU"/>
        </w:rPr>
        <w:t>B Co derives no other income</w:t>
      </w:r>
      <w:r w:rsidR="002D5667">
        <w:rPr>
          <w:szCs w:val="20"/>
          <w:lang w:eastAsia="en-AU"/>
        </w:rPr>
        <w:t xml:space="preserve">. </w:t>
      </w:r>
      <w:r>
        <w:rPr>
          <w:szCs w:val="20"/>
          <w:lang w:eastAsia="en-AU"/>
        </w:rPr>
        <w:t xml:space="preserve">Because B Co is resident in both Country A and Country B it is subject to tax on its worldwide income in both </w:t>
      </w:r>
      <w:r w:rsidR="000428DE">
        <w:rPr>
          <w:szCs w:val="20"/>
          <w:lang w:eastAsia="en-AU"/>
        </w:rPr>
        <w:t xml:space="preserve">countries </w:t>
      </w:r>
      <w:r>
        <w:rPr>
          <w:szCs w:val="20"/>
          <w:lang w:eastAsia="en-AU"/>
        </w:rPr>
        <w:t>on a net basis and can utilise any net loss under the tax consolidation regimes of both countries to</w:t>
      </w:r>
      <w:r w:rsidR="00606BB0">
        <w:rPr>
          <w:szCs w:val="20"/>
          <w:lang w:eastAsia="en-AU"/>
        </w:rPr>
        <w:t xml:space="preserve"> offset income of</w:t>
      </w:r>
      <w:r>
        <w:rPr>
          <w:szCs w:val="20"/>
          <w:lang w:eastAsia="en-AU"/>
        </w:rPr>
        <w:t xml:space="preserve"> other resident companies</w:t>
      </w:r>
      <w:r w:rsidR="002D5667">
        <w:rPr>
          <w:szCs w:val="20"/>
          <w:lang w:eastAsia="en-AU"/>
        </w:rPr>
        <w:t xml:space="preserve">. </w:t>
      </w:r>
      <w:r w:rsidR="002C4F37">
        <w:rPr>
          <w:szCs w:val="20"/>
          <w:lang w:eastAsia="en-AU"/>
        </w:rPr>
        <w:t>This creates the potential for the two deductions for the interest expense to be set off against separate income arising in Country A and Country B.</w:t>
      </w:r>
    </w:p>
    <w:p w14:paraId="525F98E9" w14:textId="77777777" w:rsidR="00F5240A" w:rsidRDefault="00F5240A" w:rsidP="00925A3A">
      <w:pPr>
        <w:rPr>
          <w:szCs w:val="20"/>
          <w:lang w:eastAsia="en-AU"/>
        </w:rPr>
      </w:pPr>
    </w:p>
    <w:p w14:paraId="387A0E18" w14:textId="77777777" w:rsidR="002C4F37" w:rsidRPr="00925A3A" w:rsidRDefault="002C4F37" w:rsidP="00925A3A">
      <w:pPr>
        <w:rPr>
          <w:szCs w:val="20"/>
          <w:lang w:eastAsia="en-AU"/>
        </w:rPr>
      </w:pPr>
    </w:p>
    <w:p w14:paraId="3D7B7454" w14:textId="77777777" w:rsidR="00925A3A" w:rsidRPr="00925A3A" w:rsidRDefault="00925A3A" w:rsidP="00925A3A">
      <w:pPr>
        <w:keepNext/>
        <w:outlineLvl w:val="1"/>
        <w:rPr>
          <w:b/>
          <w:szCs w:val="20"/>
          <w:lang w:eastAsia="en-AU"/>
        </w:rPr>
      </w:pPr>
      <w:r w:rsidRPr="00925A3A">
        <w:rPr>
          <w:b/>
          <w:szCs w:val="20"/>
          <w:lang w:eastAsia="en-AU"/>
        </w:rPr>
        <w:t>Summary</w:t>
      </w:r>
      <w:r w:rsidR="008C6B58">
        <w:rPr>
          <w:b/>
          <w:szCs w:val="20"/>
          <w:lang w:eastAsia="en-AU"/>
        </w:rPr>
        <w:t xml:space="preserve"> of legislative response</w:t>
      </w:r>
    </w:p>
    <w:p w14:paraId="442A8A8A" w14:textId="77777777" w:rsidR="00925A3A" w:rsidRPr="00925A3A" w:rsidRDefault="00925A3A" w:rsidP="00925A3A">
      <w:pPr>
        <w:rPr>
          <w:szCs w:val="20"/>
          <w:lang w:eastAsia="en-AU"/>
        </w:rPr>
      </w:pPr>
    </w:p>
    <w:p w14:paraId="2F11A9AC" w14:textId="76E5579A" w:rsidR="00925A3A" w:rsidRPr="00925A3A" w:rsidRDefault="008C6B58" w:rsidP="00925A3A">
      <w:pPr>
        <w:rPr>
          <w:snapToGrid w:val="0"/>
          <w:szCs w:val="20"/>
          <w:lang w:eastAsia="en-AU"/>
        </w:rPr>
      </w:pPr>
      <w:r>
        <w:rPr>
          <w:snapToGrid w:val="0"/>
          <w:szCs w:val="20"/>
          <w:lang w:eastAsia="en-AU"/>
        </w:rPr>
        <w:t>S</w:t>
      </w:r>
      <w:r w:rsidR="00925A3A" w:rsidRPr="00925A3A">
        <w:rPr>
          <w:snapToGrid w:val="0"/>
          <w:szCs w:val="20"/>
          <w:lang w:eastAsia="en-AU"/>
        </w:rPr>
        <w:t>ection FH 10 implement</w:t>
      </w:r>
      <w:r>
        <w:rPr>
          <w:snapToGrid w:val="0"/>
          <w:szCs w:val="20"/>
          <w:lang w:eastAsia="en-AU"/>
        </w:rPr>
        <w:t>s recommendation 7 of the OECD hybrid mismatch r</w:t>
      </w:r>
      <w:r w:rsidR="00925A3A" w:rsidRPr="00925A3A">
        <w:rPr>
          <w:snapToGrid w:val="0"/>
          <w:szCs w:val="20"/>
          <w:lang w:eastAsia="en-AU"/>
        </w:rPr>
        <w:t>eport</w:t>
      </w:r>
      <w:r w:rsidR="002D5667">
        <w:rPr>
          <w:snapToGrid w:val="0"/>
          <w:szCs w:val="20"/>
          <w:lang w:eastAsia="en-AU"/>
        </w:rPr>
        <w:t xml:space="preserve">. </w:t>
      </w:r>
      <w:r w:rsidR="00925A3A" w:rsidRPr="00925A3A">
        <w:rPr>
          <w:snapToGrid w:val="0"/>
          <w:szCs w:val="20"/>
          <w:lang w:eastAsia="en-AU"/>
        </w:rPr>
        <w:t>It deal</w:t>
      </w:r>
      <w:r w:rsidR="00BF02AB">
        <w:rPr>
          <w:snapToGrid w:val="0"/>
          <w:szCs w:val="20"/>
          <w:lang w:eastAsia="en-AU"/>
        </w:rPr>
        <w:t>s</w:t>
      </w:r>
      <w:r w:rsidR="00925A3A" w:rsidRPr="00925A3A">
        <w:rPr>
          <w:snapToGrid w:val="0"/>
          <w:szCs w:val="20"/>
          <w:lang w:eastAsia="en-AU"/>
        </w:rPr>
        <w:t xml:space="preserve"> with companies that are resident in two countries and which produce double deduction (DD) outcomes</w:t>
      </w:r>
      <w:r w:rsidR="002C4F37">
        <w:rPr>
          <w:snapToGrid w:val="0"/>
          <w:szCs w:val="20"/>
          <w:lang w:eastAsia="en-AU"/>
        </w:rPr>
        <w:t xml:space="preserve"> by denying the deduction in New Zealand (noting that the other </w:t>
      </w:r>
      <w:r w:rsidR="000428DE">
        <w:rPr>
          <w:snapToGrid w:val="0"/>
          <w:szCs w:val="20"/>
          <w:lang w:eastAsia="en-AU"/>
        </w:rPr>
        <w:t>country</w:t>
      </w:r>
      <w:r w:rsidR="002C4F37">
        <w:rPr>
          <w:snapToGrid w:val="0"/>
          <w:szCs w:val="20"/>
          <w:lang w:eastAsia="en-AU"/>
        </w:rPr>
        <w:t xml:space="preserve"> will also deny the deduction if they have an equivalent to recommendation 7)</w:t>
      </w:r>
      <w:r w:rsidR="002D5667">
        <w:rPr>
          <w:snapToGrid w:val="0"/>
          <w:szCs w:val="20"/>
          <w:lang w:eastAsia="en-AU"/>
        </w:rPr>
        <w:t xml:space="preserve">. </w:t>
      </w:r>
      <w:r w:rsidR="002C4F37">
        <w:rPr>
          <w:snapToGrid w:val="0"/>
          <w:szCs w:val="20"/>
          <w:lang w:eastAsia="en-AU"/>
        </w:rPr>
        <w:t>The deduction denied will be treated as a mismatch amount until there is surplus assessable income under section FH 12.</w:t>
      </w:r>
    </w:p>
    <w:p w14:paraId="53A707A5" w14:textId="77777777" w:rsidR="00925A3A" w:rsidRPr="00925A3A" w:rsidRDefault="00925A3A" w:rsidP="00925A3A">
      <w:pPr>
        <w:rPr>
          <w:snapToGrid w:val="0"/>
          <w:szCs w:val="20"/>
          <w:lang w:eastAsia="en-AU"/>
        </w:rPr>
      </w:pPr>
    </w:p>
    <w:p w14:paraId="49DD2ED1" w14:textId="65CB5E0D" w:rsidR="00925A3A" w:rsidRPr="00925A3A" w:rsidRDefault="00925A3A" w:rsidP="00925A3A">
      <w:pPr>
        <w:tabs>
          <w:tab w:val="left" w:pos="2040"/>
          <w:tab w:val="left" w:pos="2505"/>
        </w:tabs>
        <w:rPr>
          <w:snapToGrid w:val="0"/>
          <w:szCs w:val="20"/>
          <w:lang w:eastAsia="en-AU"/>
        </w:rPr>
      </w:pPr>
      <w:r w:rsidRPr="00925A3A">
        <w:rPr>
          <w:snapToGrid w:val="0"/>
          <w:szCs w:val="20"/>
          <w:lang w:eastAsia="en-AU"/>
        </w:rPr>
        <w:t>New Zealand tax law already prevents a dual resident company from grouping its losses or</w:t>
      </w:r>
      <w:r w:rsidR="00606BB0">
        <w:rPr>
          <w:snapToGrid w:val="0"/>
          <w:szCs w:val="20"/>
          <w:lang w:eastAsia="en-AU"/>
        </w:rPr>
        <w:t xml:space="preserve"> being a member of</w:t>
      </w:r>
      <w:r w:rsidR="002C4F37">
        <w:rPr>
          <w:snapToGrid w:val="0"/>
          <w:szCs w:val="20"/>
          <w:lang w:eastAsia="en-AU"/>
        </w:rPr>
        <w:t xml:space="preserve"> a tax consolidated group</w:t>
      </w:r>
      <w:r w:rsidRPr="00925A3A">
        <w:rPr>
          <w:snapToGrid w:val="0"/>
          <w:szCs w:val="20"/>
          <w:lang w:eastAsia="en-AU"/>
        </w:rPr>
        <w:t>, which are two ways that dual resident company losses can be offset against income that is not taxed in both countries</w:t>
      </w:r>
      <w:r w:rsidR="002D5667">
        <w:rPr>
          <w:snapToGrid w:val="0"/>
          <w:szCs w:val="20"/>
          <w:lang w:eastAsia="en-AU"/>
        </w:rPr>
        <w:t xml:space="preserve">. </w:t>
      </w:r>
      <w:r w:rsidRPr="00925A3A">
        <w:rPr>
          <w:snapToGrid w:val="0"/>
          <w:szCs w:val="20"/>
          <w:lang w:eastAsia="en-AU"/>
        </w:rPr>
        <w:t>This rule will more thoroughly prevent this outcome by removing the ability of a dual resident company to offset its expenditure against income earned through a reverse hybrid, such as (potentially) a New Zealand limited partnership.</w:t>
      </w:r>
    </w:p>
    <w:p w14:paraId="4559D4A7" w14:textId="77777777" w:rsidR="00925A3A" w:rsidRPr="00925A3A" w:rsidRDefault="00925A3A" w:rsidP="00925A3A">
      <w:pPr>
        <w:rPr>
          <w:szCs w:val="20"/>
          <w:lang w:eastAsia="en-AU"/>
        </w:rPr>
      </w:pPr>
    </w:p>
    <w:p w14:paraId="223FE482" w14:textId="77777777" w:rsidR="00925A3A" w:rsidRPr="00925A3A" w:rsidRDefault="00925A3A" w:rsidP="00925A3A">
      <w:pPr>
        <w:rPr>
          <w:szCs w:val="20"/>
          <w:lang w:eastAsia="en-AU"/>
        </w:rPr>
      </w:pPr>
    </w:p>
    <w:p w14:paraId="082E20E7" w14:textId="77777777" w:rsidR="00925A3A" w:rsidRPr="00925A3A" w:rsidRDefault="00925A3A" w:rsidP="00925A3A">
      <w:pPr>
        <w:keepNext/>
        <w:outlineLvl w:val="1"/>
        <w:rPr>
          <w:b/>
          <w:szCs w:val="20"/>
          <w:lang w:eastAsia="en-AU"/>
        </w:rPr>
      </w:pPr>
      <w:r w:rsidRPr="00925A3A">
        <w:rPr>
          <w:b/>
          <w:szCs w:val="20"/>
          <w:lang w:eastAsia="en-AU"/>
        </w:rPr>
        <w:t>Application date</w:t>
      </w:r>
    </w:p>
    <w:p w14:paraId="6CB0F0F1" w14:textId="77777777" w:rsidR="00925A3A" w:rsidRPr="00925A3A" w:rsidRDefault="00925A3A" w:rsidP="00925A3A">
      <w:pPr>
        <w:rPr>
          <w:szCs w:val="20"/>
          <w:lang w:eastAsia="en-AU"/>
        </w:rPr>
      </w:pPr>
    </w:p>
    <w:p w14:paraId="5B184223" w14:textId="77777777" w:rsidR="00925A3A" w:rsidRPr="00925A3A" w:rsidRDefault="00925A3A" w:rsidP="00925A3A">
      <w:pPr>
        <w:rPr>
          <w:szCs w:val="20"/>
          <w:lang w:eastAsia="en-AU"/>
        </w:rPr>
      </w:pPr>
      <w:r w:rsidRPr="00925A3A">
        <w:rPr>
          <w:szCs w:val="20"/>
          <w:lang w:eastAsia="en-AU"/>
        </w:rPr>
        <w:t>The rule appl</w:t>
      </w:r>
      <w:r w:rsidR="00BF02AB">
        <w:rPr>
          <w:szCs w:val="20"/>
          <w:lang w:eastAsia="en-AU"/>
        </w:rPr>
        <w:t>ies</w:t>
      </w:r>
      <w:r w:rsidRPr="00925A3A">
        <w:rPr>
          <w:szCs w:val="20"/>
          <w:lang w:eastAsia="en-AU"/>
        </w:rPr>
        <w:t xml:space="preserve"> to income years beginning on or after 1 July 2018.</w:t>
      </w:r>
    </w:p>
    <w:p w14:paraId="4CAE2AD5" w14:textId="77777777" w:rsidR="00925A3A" w:rsidRPr="00925A3A" w:rsidRDefault="00925A3A" w:rsidP="00925A3A">
      <w:pPr>
        <w:rPr>
          <w:szCs w:val="20"/>
          <w:lang w:eastAsia="en-AU"/>
        </w:rPr>
      </w:pPr>
    </w:p>
    <w:p w14:paraId="50ADF95B" w14:textId="77777777" w:rsidR="00925A3A" w:rsidRPr="00925A3A" w:rsidRDefault="00925A3A" w:rsidP="00925A3A">
      <w:pPr>
        <w:rPr>
          <w:snapToGrid w:val="0"/>
          <w:szCs w:val="20"/>
          <w:lang w:eastAsia="en-AU"/>
        </w:rPr>
      </w:pPr>
    </w:p>
    <w:p w14:paraId="3D43F8F1" w14:textId="77777777" w:rsidR="00925A3A" w:rsidRPr="00925A3A" w:rsidRDefault="00925A3A" w:rsidP="00925A3A">
      <w:pPr>
        <w:keepNext/>
        <w:outlineLvl w:val="1"/>
        <w:rPr>
          <w:b/>
          <w:szCs w:val="20"/>
          <w:lang w:eastAsia="en-AU"/>
        </w:rPr>
      </w:pPr>
      <w:r w:rsidRPr="00925A3A">
        <w:rPr>
          <w:b/>
          <w:szCs w:val="20"/>
          <w:lang w:eastAsia="en-AU"/>
        </w:rPr>
        <w:t>Detailed analysis</w:t>
      </w:r>
    </w:p>
    <w:p w14:paraId="73B20A11" w14:textId="77777777" w:rsidR="00925A3A" w:rsidRPr="00925A3A" w:rsidRDefault="00925A3A" w:rsidP="00925A3A">
      <w:pPr>
        <w:rPr>
          <w:szCs w:val="20"/>
          <w:lang w:eastAsia="en-AU"/>
        </w:rPr>
      </w:pPr>
    </w:p>
    <w:p w14:paraId="10392A2F" w14:textId="77777777" w:rsidR="00925A3A" w:rsidRPr="00925A3A" w:rsidRDefault="008C6B58" w:rsidP="00925A3A">
      <w:pPr>
        <w:rPr>
          <w:snapToGrid w:val="0"/>
          <w:szCs w:val="20"/>
          <w:lang w:eastAsia="en-AU"/>
        </w:rPr>
      </w:pPr>
      <w:r>
        <w:rPr>
          <w:snapToGrid w:val="0"/>
          <w:szCs w:val="20"/>
          <w:lang w:eastAsia="en-AU"/>
        </w:rPr>
        <w:t>S</w:t>
      </w:r>
      <w:r w:rsidR="00925A3A" w:rsidRPr="00925A3A">
        <w:rPr>
          <w:snapToGrid w:val="0"/>
          <w:szCs w:val="20"/>
          <w:lang w:eastAsia="en-AU"/>
        </w:rPr>
        <w:t xml:space="preserve">ection FH 10(1) provides that the rule applies to a company that is a New Zealand resident and is liable to tax in another </w:t>
      </w:r>
      <w:r w:rsidR="000428DE">
        <w:rPr>
          <w:snapToGrid w:val="0"/>
          <w:szCs w:val="20"/>
          <w:lang w:eastAsia="en-AU"/>
        </w:rPr>
        <w:t>country</w:t>
      </w:r>
      <w:r w:rsidR="00925A3A" w:rsidRPr="00925A3A">
        <w:rPr>
          <w:snapToGrid w:val="0"/>
          <w:szCs w:val="20"/>
          <w:lang w:eastAsia="en-AU"/>
        </w:rPr>
        <w:t xml:space="preserve"> due to its domicile, residence or place of incorporation.</w:t>
      </w:r>
    </w:p>
    <w:p w14:paraId="7C141839" w14:textId="77777777" w:rsidR="00925A3A" w:rsidRPr="00925A3A" w:rsidRDefault="00925A3A" w:rsidP="00925A3A">
      <w:pPr>
        <w:rPr>
          <w:snapToGrid w:val="0"/>
          <w:szCs w:val="20"/>
          <w:lang w:eastAsia="en-AU"/>
        </w:rPr>
      </w:pPr>
    </w:p>
    <w:p w14:paraId="29F24A07" w14:textId="610AFC74" w:rsidR="00925A3A" w:rsidRDefault="008C6B58" w:rsidP="00925A3A">
      <w:pPr>
        <w:rPr>
          <w:snapToGrid w:val="0"/>
          <w:szCs w:val="20"/>
          <w:lang w:eastAsia="en-AU"/>
        </w:rPr>
      </w:pPr>
      <w:r>
        <w:rPr>
          <w:snapToGrid w:val="0"/>
          <w:szCs w:val="20"/>
          <w:lang w:eastAsia="en-AU"/>
        </w:rPr>
        <w:t>S</w:t>
      </w:r>
      <w:r w:rsidR="00925A3A" w:rsidRPr="00925A3A">
        <w:rPr>
          <w:snapToGrid w:val="0"/>
          <w:szCs w:val="20"/>
          <w:lang w:eastAsia="en-AU"/>
        </w:rPr>
        <w:t>ection FH 10(2) states that a company meeting the requirements of subs</w:t>
      </w:r>
      <w:r w:rsidR="002C4F37">
        <w:rPr>
          <w:snapToGrid w:val="0"/>
          <w:szCs w:val="20"/>
          <w:lang w:eastAsia="en-AU"/>
        </w:rPr>
        <w:t>ection (1) is denied a deduction</w:t>
      </w:r>
      <w:r w:rsidR="00925A3A" w:rsidRPr="00925A3A">
        <w:rPr>
          <w:snapToGrid w:val="0"/>
          <w:szCs w:val="20"/>
          <w:lang w:eastAsia="en-AU"/>
        </w:rPr>
        <w:t xml:space="preserve"> for all of its exp</w:t>
      </w:r>
      <w:r w:rsidR="002C4F37">
        <w:rPr>
          <w:snapToGrid w:val="0"/>
          <w:szCs w:val="20"/>
          <w:lang w:eastAsia="en-AU"/>
        </w:rPr>
        <w:t>enditure</w:t>
      </w:r>
      <w:r w:rsidR="002D5667">
        <w:rPr>
          <w:snapToGrid w:val="0"/>
          <w:szCs w:val="20"/>
          <w:lang w:eastAsia="en-AU"/>
        </w:rPr>
        <w:t xml:space="preserve">. </w:t>
      </w:r>
      <w:r w:rsidR="002C4F37">
        <w:rPr>
          <w:snapToGrid w:val="0"/>
          <w:szCs w:val="20"/>
          <w:lang w:eastAsia="en-AU"/>
        </w:rPr>
        <w:t xml:space="preserve">The deduction denied is a mismatch amount </w:t>
      </w:r>
      <w:r w:rsidR="00925A3A" w:rsidRPr="00925A3A">
        <w:rPr>
          <w:snapToGrid w:val="0"/>
          <w:szCs w:val="20"/>
          <w:lang w:eastAsia="en-AU"/>
        </w:rPr>
        <w:t>under section FH 10(3)</w:t>
      </w:r>
      <w:r w:rsidR="002D5667">
        <w:rPr>
          <w:snapToGrid w:val="0"/>
          <w:szCs w:val="20"/>
          <w:lang w:eastAsia="en-AU"/>
        </w:rPr>
        <w:t xml:space="preserve">. </w:t>
      </w:r>
      <w:r w:rsidR="00B644F8">
        <w:rPr>
          <w:snapToGrid w:val="0"/>
          <w:szCs w:val="20"/>
          <w:lang w:eastAsia="en-AU"/>
        </w:rPr>
        <w:t>Such a company must then consider whether there is any surplus assessable income under</w:t>
      </w:r>
      <w:r w:rsidR="00925A3A" w:rsidRPr="00925A3A">
        <w:rPr>
          <w:snapToGrid w:val="0"/>
          <w:szCs w:val="20"/>
          <w:lang w:eastAsia="en-AU"/>
        </w:rPr>
        <w:t xml:space="preserve"> section FH 12 to determine whether the denial can be reversed</w:t>
      </w:r>
      <w:r w:rsidR="002D5667">
        <w:rPr>
          <w:snapToGrid w:val="0"/>
          <w:szCs w:val="20"/>
          <w:lang w:eastAsia="en-AU"/>
        </w:rPr>
        <w:t xml:space="preserve">. </w:t>
      </w:r>
      <w:r w:rsidR="00925A3A" w:rsidRPr="00925A3A">
        <w:rPr>
          <w:snapToGrid w:val="0"/>
          <w:szCs w:val="20"/>
          <w:lang w:eastAsia="en-AU"/>
        </w:rPr>
        <w:t xml:space="preserve">Generally, the two sections will interact by allowing the expenditure to be offset against the income of the company, less any income that is not and will not be included in the other </w:t>
      </w:r>
      <w:r w:rsidR="000428DE">
        <w:rPr>
          <w:snapToGrid w:val="0"/>
          <w:szCs w:val="20"/>
          <w:lang w:eastAsia="en-AU"/>
        </w:rPr>
        <w:t>country</w:t>
      </w:r>
      <w:r w:rsidR="00925A3A" w:rsidRPr="00925A3A">
        <w:rPr>
          <w:snapToGrid w:val="0"/>
          <w:szCs w:val="20"/>
          <w:lang w:eastAsia="en-AU"/>
        </w:rPr>
        <w:t xml:space="preserve"> that the company is resident in</w:t>
      </w:r>
      <w:r w:rsidR="002D5667">
        <w:rPr>
          <w:snapToGrid w:val="0"/>
          <w:szCs w:val="20"/>
          <w:lang w:eastAsia="en-AU"/>
        </w:rPr>
        <w:t xml:space="preserve">. </w:t>
      </w:r>
      <w:r w:rsidR="00BF02AB">
        <w:rPr>
          <w:snapToGrid w:val="0"/>
          <w:szCs w:val="20"/>
          <w:lang w:eastAsia="en-AU"/>
        </w:rPr>
        <w:t>This might include:</w:t>
      </w:r>
    </w:p>
    <w:p w14:paraId="4F0ECA2E" w14:textId="77777777" w:rsidR="00BF02AB" w:rsidRPr="00925A3A" w:rsidRDefault="00BF02AB" w:rsidP="00925A3A">
      <w:pPr>
        <w:rPr>
          <w:snapToGrid w:val="0"/>
          <w:szCs w:val="20"/>
          <w:lang w:eastAsia="en-AU"/>
        </w:rPr>
      </w:pPr>
    </w:p>
    <w:p w14:paraId="056F262C" w14:textId="77777777" w:rsidR="00925A3A" w:rsidRDefault="00BF02AB" w:rsidP="00A948EF">
      <w:pPr>
        <w:pStyle w:val="ListParagraph"/>
        <w:numPr>
          <w:ilvl w:val="0"/>
          <w:numId w:val="45"/>
        </w:numPr>
        <w:spacing w:after="140"/>
        <w:rPr>
          <w:snapToGrid w:val="0"/>
          <w:szCs w:val="20"/>
          <w:lang w:eastAsia="en-AU"/>
        </w:rPr>
      </w:pPr>
      <w:r>
        <w:rPr>
          <w:snapToGrid w:val="0"/>
          <w:szCs w:val="20"/>
          <w:lang w:eastAsia="en-AU"/>
        </w:rPr>
        <w:t>income earned through a New Zealand limited partnership, if the other residence country treats the limited partnership as a country for its tax purposes;</w:t>
      </w:r>
    </w:p>
    <w:p w14:paraId="14182933" w14:textId="77777777" w:rsidR="00BF02AB" w:rsidRPr="00925A3A" w:rsidRDefault="00BF02AB" w:rsidP="00A948EF">
      <w:pPr>
        <w:pStyle w:val="ListParagraph"/>
        <w:numPr>
          <w:ilvl w:val="0"/>
          <w:numId w:val="45"/>
        </w:numPr>
        <w:spacing w:after="140"/>
        <w:rPr>
          <w:snapToGrid w:val="0"/>
          <w:szCs w:val="20"/>
          <w:lang w:eastAsia="en-AU"/>
        </w:rPr>
      </w:pPr>
      <w:r>
        <w:rPr>
          <w:snapToGrid w:val="0"/>
          <w:szCs w:val="20"/>
          <w:lang w:eastAsia="en-AU"/>
        </w:rPr>
        <w:t>income earned in a foreign branch, if the other country has a foreign branch exemption.</w:t>
      </w:r>
    </w:p>
    <w:bookmarkEnd w:id="3"/>
    <w:p w14:paraId="7DF13A61" w14:textId="77777777" w:rsidR="00925A3A" w:rsidRPr="00925A3A" w:rsidRDefault="00925A3A" w:rsidP="00925A3A">
      <w:pPr>
        <w:jc w:val="left"/>
        <w:rPr>
          <w:szCs w:val="20"/>
          <w:highlight w:val="yellow"/>
          <w:lang w:eastAsia="en-AU"/>
        </w:rPr>
      </w:pPr>
      <w:r w:rsidRPr="00925A3A">
        <w:rPr>
          <w:szCs w:val="20"/>
          <w:highlight w:val="yellow"/>
          <w:lang w:eastAsia="en-AU"/>
        </w:rPr>
        <w:br w:type="page"/>
      </w:r>
    </w:p>
    <w:p w14:paraId="2A598590" w14:textId="77777777" w:rsidR="00925A3A" w:rsidRPr="00925A3A" w:rsidRDefault="00925A3A" w:rsidP="00925A3A">
      <w:pPr>
        <w:keepNext/>
        <w:pBdr>
          <w:bottom w:val="single" w:sz="4" w:space="6" w:color="auto"/>
        </w:pBdr>
        <w:jc w:val="left"/>
        <w:outlineLvl w:val="0"/>
        <w:rPr>
          <w:b/>
          <w:caps/>
          <w:sz w:val="26"/>
          <w:szCs w:val="20"/>
          <w:lang w:eastAsia="en-AU"/>
        </w:rPr>
      </w:pPr>
      <w:bookmarkStart w:id="12" w:name="_Toc500319042"/>
      <w:r w:rsidRPr="00925A3A">
        <w:rPr>
          <w:b/>
          <w:caps/>
          <w:sz w:val="26"/>
          <w:szCs w:val="20"/>
          <w:lang w:eastAsia="en-AU"/>
        </w:rPr>
        <w:lastRenderedPageBreak/>
        <w:t>Imported mismatch rule</w:t>
      </w:r>
      <w:bookmarkEnd w:id="12"/>
    </w:p>
    <w:p w14:paraId="4765B590" w14:textId="77777777" w:rsidR="00925A3A" w:rsidRPr="00925A3A" w:rsidRDefault="00925A3A" w:rsidP="00925A3A">
      <w:pPr>
        <w:rPr>
          <w:szCs w:val="20"/>
          <w:lang w:eastAsia="en-AU"/>
        </w:rPr>
      </w:pPr>
    </w:p>
    <w:p w14:paraId="23F31D65" w14:textId="77777777" w:rsidR="00925A3A" w:rsidRPr="00925A3A" w:rsidRDefault="00264A81" w:rsidP="00925A3A">
      <w:pPr>
        <w:rPr>
          <w:b/>
          <w:i/>
          <w:szCs w:val="20"/>
          <w:lang w:eastAsia="en-AU"/>
        </w:rPr>
      </w:pPr>
      <w:r>
        <w:rPr>
          <w:b/>
          <w:i/>
          <w:szCs w:val="20"/>
          <w:lang w:eastAsia="en-AU"/>
        </w:rPr>
        <w:t>Section FH 11</w:t>
      </w:r>
    </w:p>
    <w:p w14:paraId="40BB7B7E" w14:textId="77777777" w:rsidR="00925A3A" w:rsidRPr="00925A3A" w:rsidRDefault="00925A3A" w:rsidP="00925A3A">
      <w:pPr>
        <w:rPr>
          <w:szCs w:val="20"/>
          <w:lang w:eastAsia="en-AU"/>
        </w:rPr>
      </w:pPr>
    </w:p>
    <w:p w14:paraId="737D5568" w14:textId="77777777" w:rsidR="00925A3A" w:rsidRPr="00925A3A" w:rsidRDefault="00925A3A" w:rsidP="00925A3A">
      <w:pPr>
        <w:rPr>
          <w:szCs w:val="20"/>
          <w:lang w:eastAsia="en-AU"/>
        </w:rPr>
      </w:pPr>
    </w:p>
    <w:p w14:paraId="2A425F4F" w14:textId="77777777" w:rsidR="00925A3A" w:rsidRPr="00925A3A" w:rsidRDefault="00925A3A" w:rsidP="00925A3A">
      <w:pPr>
        <w:keepNext/>
        <w:outlineLvl w:val="1"/>
        <w:rPr>
          <w:b/>
          <w:szCs w:val="20"/>
          <w:lang w:eastAsia="en-AU"/>
        </w:rPr>
      </w:pPr>
      <w:r w:rsidRPr="00925A3A">
        <w:rPr>
          <w:b/>
          <w:szCs w:val="20"/>
          <w:lang w:eastAsia="en-AU"/>
        </w:rPr>
        <w:t>Background</w:t>
      </w:r>
    </w:p>
    <w:p w14:paraId="4F4F1C29" w14:textId="77777777" w:rsidR="00925A3A" w:rsidRDefault="00925A3A" w:rsidP="00925A3A">
      <w:pPr>
        <w:rPr>
          <w:szCs w:val="20"/>
          <w:lang w:eastAsia="en-AU"/>
        </w:rPr>
      </w:pPr>
    </w:p>
    <w:p w14:paraId="28F82F28" w14:textId="74136E9F" w:rsidR="00264A81" w:rsidRDefault="00264A81" w:rsidP="00925A3A">
      <w:pPr>
        <w:rPr>
          <w:szCs w:val="20"/>
          <w:lang w:eastAsia="en-AU"/>
        </w:rPr>
      </w:pPr>
      <w:r>
        <w:rPr>
          <w:szCs w:val="20"/>
          <w:lang w:eastAsia="en-AU"/>
        </w:rPr>
        <w:t>The imported mismatch rule is recommendation 8 of the OECD hybrid mismatch report and recommendation 5 of the OECD branch mismatch report.</w:t>
      </w:r>
    </w:p>
    <w:p w14:paraId="5435D856" w14:textId="77777777" w:rsidR="00264A81" w:rsidRPr="00925A3A" w:rsidRDefault="00264A81" w:rsidP="00925A3A">
      <w:pPr>
        <w:rPr>
          <w:szCs w:val="20"/>
          <w:lang w:eastAsia="en-AU"/>
        </w:rPr>
      </w:pPr>
    </w:p>
    <w:p w14:paraId="30B94E09" w14:textId="45A40273" w:rsidR="00925A3A" w:rsidRPr="00F5240A" w:rsidRDefault="00925A3A" w:rsidP="00F5240A">
      <w:pPr>
        <w:rPr>
          <w:szCs w:val="20"/>
          <w:lang w:eastAsia="en-AU"/>
        </w:rPr>
      </w:pPr>
      <w:r w:rsidRPr="00925A3A">
        <w:rPr>
          <w:szCs w:val="20"/>
          <w:lang w:eastAsia="en-AU"/>
        </w:rPr>
        <w:t>An imported mismatch occurs when a payment that does not directly result in a hybrid mismatch outcome funds another payment that</w:t>
      </w:r>
      <w:r w:rsidR="00FD1C08">
        <w:rPr>
          <w:szCs w:val="20"/>
          <w:lang w:eastAsia="en-AU"/>
        </w:rPr>
        <w:t xml:space="preserve"> does</w:t>
      </w:r>
      <w:r w:rsidRPr="00925A3A">
        <w:rPr>
          <w:szCs w:val="20"/>
          <w:lang w:eastAsia="en-AU"/>
        </w:rPr>
        <w:t xml:space="preserve"> </w:t>
      </w:r>
      <w:r w:rsidR="0096795E">
        <w:rPr>
          <w:szCs w:val="20"/>
          <w:lang w:eastAsia="en-AU"/>
        </w:rPr>
        <w:t xml:space="preserve">result in </w:t>
      </w:r>
      <w:r w:rsidRPr="00925A3A">
        <w:rPr>
          <w:szCs w:val="20"/>
          <w:lang w:eastAsia="en-AU"/>
        </w:rPr>
        <w:t>a hy</w:t>
      </w:r>
      <w:r w:rsidR="00264A81">
        <w:rPr>
          <w:szCs w:val="20"/>
          <w:lang w:eastAsia="en-AU"/>
        </w:rPr>
        <w:t>brid mismatch outcome</w:t>
      </w:r>
      <w:r w:rsidR="002D5667">
        <w:rPr>
          <w:szCs w:val="20"/>
          <w:lang w:eastAsia="en-AU"/>
        </w:rPr>
        <w:t xml:space="preserve">. </w:t>
      </w:r>
      <w:r w:rsidR="00264A81">
        <w:rPr>
          <w:szCs w:val="20"/>
          <w:lang w:eastAsia="en-AU"/>
        </w:rPr>
        <w:t>The illustration below</w:t>
      </w:r>
      <w:r w:rsidRPr="00925A3A">
        <w:rPr>
          <w:szCs w:val="20"/>
          <w:lang w:eastAsia="en-AU"/>
        </w:rPr>
        <w:t xml:space="preserve"> is an example of an imported mismatch.</w:t>
      </w:r>
    </w:p>
    <w:p w14:paraId="4FF36D3C" w14:textId="77777777" w:rsidR="00925A3A" w:rsidRPr="00925A3A" w:rsidRDefault="00925A3A" w:rsidP="00925A3A">
      <w:pPr>
        <w:rPr>
          <w:szCs w:val="20"/>
          <w:lang w:eastAsia="en-AU"/>
        </w:rPr>
      </w:pPr>
    </w:p>
    <w:p w14:paraId="48B278F4" w14:textId="4FEB9ED8" w:rsidR="00925A3A" w:rsidRPr="00925A3A" w:rsidRDefault="009E2441" w:rsidP="009E2441">
      <w:pPr>
        <w:rPr>
          <w:szCs w:val="20"/>
          <w:lang w:eastAsia="en-AU"/>
        </w:rPr>
      </w:pPr>
      <w:r w:rsidRPr="00925A3A">
        <w:rPr>
          <w:szCs w:val="20"/>
          <w:lang w:eastAsia="en-AU"/>
        </w:rPr>
        <w:object w:dxaOrig="7020" w:dyaOrig="5175" w14:anchorId="22DE944A">
          <v:shape id="_x0000_i1033" type="#_x0000_t75" style="width:351pt;height:259.5pt" o:ole="">
            <v:imagedata r:id="rId30" o:title=""/>
          </v:shape>
          <o:OLEObject Type="Embed" ProgID="Visio.Drawing.15" ShapeID="_x0000_i1033" DrawAspect="Content" ObjectID="_1618044698" r:id="rId31"/>
        </w:object>
      </w:r>
    </w:p>
    <w:p w14:paraId="303C3DB8" w14:textId="35BB9024" w:rsidR="00925A3A" w:rsidRDefault="00925A3A" w:rsidP="00925A3A">
      <w:pPr>
        <w:rPr>
          <w:szCs w:val="20"/>
          <w:lang w:eastAsia="en-AU"/>
        </w:rPr>
      </w:pPr>
    </w:p>
    <w:p w14:paraId="7795883F" w14:textId="77777777" w:rsidR="009E2441" w:rsidRPr="00925A3A" w:rsidRDefault="009E2441" w:rsidP="00925A3A">
      <w:pPr>
        <w:rPr>
          <w:szCs w:val="20"/>
          <w:lang w:eastAsia="en-AU"/>
        </w:rPr>
      </w:pPr>
    </w:p>
    <w:p w14:paraId="12188D4C" w14:textId="52B44135" w:rsidR="00925A3A" w:rsidRDefault="00925A3A" w:rsidP="00925A3A">
      <w:pPr>
        <w:rPr>
          <w:szCs w:val="20"/>
          <w:lang w:eastAsia="en-AU"/>
        </w:rPr>
      </w:pPr>
      <w:r w:rsidRPr="00925A3A">
        <w:rPr>
          <w:szCs w:val="20"/>
          <w:lang w:eastAsia="en-AU"/>
        </w:rPr>
        <w:t>The imported mi</w:t>
      </w:r>
      <w:r w:rsidR="00264A81">
        <w:rPr>
          <w:szCs w:val="20"/>
          <w:lang w:eastAsia="en-AU"/>
        </w:rPr>
        <w:t>smatch here occurs between B Co and Borrower Co</w:t>
      </w:r>
      <w:r w:rsidR="002D5667">
        <w:rPr>
          <w:szCs w:val="20"/>
          <w:lang w:eastAsia="en-AU"/>
        </w:rPr>
        <w:t xml:space="preserve">. </w:t>
      </w:r>
      <w:r w:rsidR="00264A81">
        <w:rPr>
          <w:szCs w:val="20"/>
          <w:lang w:eastAsia="en-AU"/>
        </w:rPr>
        <w:t>Borrower Co</w:t>
      </w:r>
      <w:r w:rsidRPr="00925A3A">
        <w:rPr>
          <w:szCs w:val="20"/>
          <w:lang w:eastAsia="en-AU"/>
        </w:rPr>
        <w:t xml:space="preserve"> gets a ded</w:t>
      </w:r>
      <w:r w:rsidR="00264A81">
        <w:rPr>
          <w:szCs w:val="20"/>
          <w:lang w:eastAsia="en-AU"/>
        </w:rPr>
        <w:t>uction for its payment and B Co</w:t>
      </w:r>
      <w:r w:rsidRPr="00925A3A">
        <w:rPr>
          <w:szCs w:val="20"/>
          <w:lang w:eastAsia="en-AU"/>
        </w:rPr>
        <w:t xml:space="preserve"> includes that payment as taxable income, meaning there is no direct hybrid mismatch on that payment</w:t>
      </w:r>
      <w:r w:rsidR="002D5667">
        <w:rPr>
          <w:szCs w:val="20"/>
          <w:lang w:eastAsia="en-AU"/>
        </w:rPr>
        <w:t xml:space="preserve">. </w:t>
      </w:r>
      <w:r w:rsidRPr="00925A3A">
        <w:rPr>
          <w:szCs w:val="20"/>
          <w:lang w:eastAsia="en-AU"/>
        </w:rPr>
        <w:t>However, that payment is used to fund the payment on a hybrid</w:t>
      </w:r>
      <w:r w:rsidR="00264A81">
        <w:rPr>
          <w:szCs w:val="20"/>
          <w:lang w:eastAsia="en-AU"/>
        </w:rPr>
        <w:t xml:space="preserve"> financial instrument from B Co</w:t>
      </w:r>
      <w:r w:rsidRPr="00925A3A">
        <w:rPr>
          <w:szCs w:val="20"/>
          <w:lang w:eastAsia="en-AU"/>
        </w:rPr>
        <w:t xml:space="preserve"> to A Co</w:t>
      </w:r>
      <w:r w:rsidR="002D5667">
        <w:rPr>
          <w:szCs w:val="20"/>
          <w:lang w:eastAsia="en-AU"/>
        </w:rPr>
        <w:t xml:space="preserve">. </w:t>
      </w:r>
      <w:r w:rsidR="00FD1C08">
        <w:rPr>
          <w:szCs w:val="20"/>
          <w:lang w:eastAsia="en-AU"/>
        </w:rPr>
        <w:t>Assuming neither Country A nor Country B has hybrid rules, t</w:t>
      </w:r>
      <w:r w:rsidRPr="00925A3A">
        <w:rPr>
          <w:szCs w:val="20"/>
          <w:lang w:eastAsia="en-AU"/>
        </w:rPr>
        <w:t>his payment results in a deduction for B Co., but no corresponding income inclusion for A Co</w:t>
      </w:r>
      <w:r w:rsidR="002D5667">
        <w:rPr>
          <w:szCs w:val="20"/>
          <w:lang w:eastAsia="en-AU"/>
        </w:rPr>
        <w:t xml:space="preserve">. </w:t>
      </w:r>
      <w:r w:rsidR="00264A81">
        <w:rPr>
          <w:szCs w:val="20"/>
          <w:lang w:eastAsia="en-AU"/>
        </w:rPr>
        <w:t>The loan between Borrower Co</w:t>
      </w:r>
      <w:r w:rsidRPr="00925A3A">
        <w:rPr>
          <w:szCs w:val="20"/>
          <w:lang w:eastAsia="en-AU"/>
        </w:rPr>
        <w:t xml:space="preserve"> and B Co. then ‘imports’ the hybrid mismatch back to Country C, where there is a resulting indirect deduction/no inclusion </w:t>
      </w:r>
      <w:r w:rsidR="00264A81">
        <w:rPr>
          <w:szCs w:val="20"/>
          <w:lang w:eastAsia="en-AU"/>
        </w:rPr>
        <w:t xml:space="preserve">(D/NI) </w:t>
      </w:r>
      <w:r w:rsidRPr="00925A3A">
        <w:rPr>
          <w:szCs w:val="20"/>
          <w:lang w:eastAsia="en-AU"/>
        </w:rPr>
        <w:t>hybrid mismatch.</w:t>
      </w:r>
    </w:p>
    <w:p w14:paraId="52F151BC" w14:textId="77777777" w:rsidR="00925A3A" w:rsidRPr="00925A3A" w:rsidRDefault="00925A3A" w:rsidP="00925A3A">
      <w:pPr>
        <w:rPr>
          <w:szCs w:val="20"/>
          <w:lang w:eastAsia="en-AU"/>
        </w:rPr>
      </w:pPr>
    </w:p>
    <w:p w14:paraId="0ED96AD2" w14:textId="77777777" w:rsidR="00925A3A" w:rsidRPr="00925A3A" w:rsidRDefault="00925A3A" w:rsidP="00925A3A">
      <w:pPr>
        <w:rPr>
          <w:szCs w:val="20"/>
          <w:lang w:eastAsia="en-AU"/>
        </w:rPr>
      </w:pPr>
    </w:p>
    <w:p w14:paraId="45E3C5BE" w14:textId="77777777" w:rsidR="00925A3A" w:rsidRPr="00925A3A" w:rsidRDefault="00264A81" w:rsidP="00925A3A">
      <w:pPr>
        <w:keepNext/>
        <w:outlineLvl w:val="1"/>
        <w:rPr>
          <w:b/>
          <w:szCs w:val="20"/>
          <w:lang w:eastAsia="en-AU"/>
        </w:rPr>
      </w:pPr>
      <w:r>
        <w:rPr>
          <w:b/>
          <w:szCs w:val="20"/>
          <w:lang w:eastAsia="en-AU"/>
        </w:rPr>
        <w:t>Summary of legislative response</w:t>
      </w:r>
    </w:p>
    <w:p w14:paraId="4E25E07D" w14:textId="77777777" w:rsidR="00264A81" w:rsidRPr="00925A3A" w:rsidRDefault="00264A81" w:rsidP="00925A3A">
      <w:pPr>
        <w:rPr>
          <w:szCs w:val="20"/>
          <w:lang w:eastAsia="en-AU"/>
        </w:rPr>
      </w:pPr>
    </w:p>
    <w:p w14:paraId="1E220CC7" w14:textId="2A41DB56" w:rsidR="00650AB2" w:rsidRDefault="00E743EA" w:rsidP="00925A3A">
      <w:pPr>
        <w:rPr>
          <w:szCs w:val="20"/>
          <w:lang w:eastAsia="en-AU"/>
        </w:rPr>
      </w:pPr>
      <w:r>
        <w:rPr>
          <w:szCs w:val="20"/>
          <w:lang w:eastAsia="en-AU"/>
        </w:rPr>
        <w:t>Section FH 11</w:t>
      </w:r>
      <w:r w:rsidR="00650AB2">
        <w:rPr>
          <w:szCs w:val="20"/>
          <w:lang w:eastAsia="en-AU"/>
        </w:rPr>
        <w:t xml:space="preserve"> implements recommendation 8 of the OECD hybrid mismatch report and recommendation 5 of the OECD branch mismatch report.</w:t>
      </w:r>
    </w:p>
    <w:p w14:paraId="1B510151" w14:textId="77777777" w:rsidR="00650AB2" w:rsidRDefault="00650AB2" w:rsidP="00925A3A">
      <w:pPr>
        <w:rPr>
          <w:szCs w:val="20"/>
          <w:lang w:eastAsia="en-AU"/>
        </w:rPr>
      </w:pPr>
    </w:p>
    <w:p w14:paraId="0DAC3DCC" w14:textId="09E83688" w:rsidR="00925A3A" w:rsidRPr="00925A3A" w:rsidRDefault="00E743EA" w:rsidP="00925A3A">
      <w:pPr>
        <w:rPr>
          <w:szCs w:val="20"/>
          <w:lang w:eastAsia="en-AU"/>
        </w:rPr>
      </w:pPr>
      <w:r>
        <w:rPr>
          <w:szCs w:val="20"/>
          <w:lang w:eastAsia="en-AU"/>
        </w:rPr>
        <w:t>Section FH 11</w:t>
      </w:r>
      <w:r w:rsidR="00925A3A" w:rsidRPr="00925A3A">
        <w:rPr>
          <w:szCs w:val="20"/>
          <w:lang w:eastAsia="en-AU"/>
        </w:rPr>
        <w:t xml:space="preserve"> denies a deduction for a payment (the imported mismatch payment) which does not itself give rise to a hybrid or branch mismatch, but which is treated as funding such a </w:t>
      </w:r>
      <w:r w:rsidR="00925A3A" w:rsidRPr="00925A3A">
        <w:rPr>
          <w:szCs w:val="20"/>
          <w:lang w:eastAsia="en-AU"/>
        </w:rPr>
        <w:lastRenderedPageBreak/>
        <w:t>payment (the funded payment)</w:t>
      </w:r>
      <w:r w:rsidR="002D5667">
        <w:rPr>
          <w:szCs w:val="20"/>
          <w:lang w:eastAsia="en-AU"/>
        </w:rPr>
        <w:t xml:space="preserve">. </w:t>
      </w:r>
      <w:r w:rsidR="00925A3A" w:rsidRPr="00925A3A">
        <w:rPr>
          <w:szCs w:val="20"/>
          <w:lang w:eastAsia="en-AU"/>
        </w:rPr>
        <w:t>Imported mismatch payments are split into payments where the imported mismatch payment and the funded payment are part of an arrangement (a structured arrangement) and those where they are not.</w:t>
      </w:r>
    </w:p>
    <w:p w14:paraId="23CB6585" w14:textId="77777777" w:rsidR="00E743EA" w:rsidRDefault="00E743EA" w:rsidP="00695352">
      <w:pPr>
        <w:rPr>
          <w:lang w:eastAsia="en-AU"/>
        </w:rPr>
      </w:pPr>
    </w:p>
    <w:p w14:paraId="4D0271D0" w14:textId="77777777" w:rsidR="00E743EA" w:rsidRDefault="00E743EA" w:rsidP="00695352">
      <w:pPr>
        <w:rPr>
          <w:lang w:eastAsia="en-AU"/>
        </w:rPr>
      </w:pPr>
    </w:p>
    <w:p w14:paraId="71D511E0" w14:textId="77777777" w:rsidR="00925A3A" w:rsidRPr="00925A3A" w:rsidRDefault="00925A3A" w:rsidP="00925A3A">
      <w:pPr>
        <w:keepNext/>
        <w:outlineLvl w:val="1"/>
        <w:rPr>
          <w:b/>
          <w:szCs w:val="20"/>
          <w:lang w:eastAsia="en-AU"/>
        </w:rPr>
      </w:pPr>
      <w:r w:rsidRPr="00925A3A">
        <w:rPr>
          <w:b/>
          <w:szCs w:val="20"/>
          <w:lang w:eastAsia="en-AU"/>
        </w:rPr>
        <w:t>Application date</w:t>
      </w:r>
    </w:p>
    <w:p w14:paraId="161BABFF" w14:textId="77777777" w:rsidR="00925A3A" w:rsidRPr="00925A3A" w:rsidRDefault="00925A3A" w:rsidP="00925A3A">
      <w:pPr>
        <w:rPr>
          <w:szCs w:val="20"/>
          <w:lang w:eastAsia="en-AU"/>
        </w:rPr>
      </w:pPr>
    </w:p>
    <w:p w14:paraId="3EA22596" w14:textId="62CDFD94" w:rsidR="00925A3A" w:rsidRPr="00925A3A" w:rsidRDefault="00925A3A" w:rsidP="00925A3A">
      <w:pPr>
        <w:rPr>
          <w:szCs w:val="20"/>
          <w:lang w:eastAsia="en-AU"/>
        </w:rPr>
      </w:pPr>
      <w:r w:rsidRPr="00925A3A">
        <w:rPr>
          <w:szCs w:val="20"/>
          <w:lang w:eastAsia="en-AU"/>
        </w:rPr>
        <w:t xml:space="preserve">Section FH 11(3), which denies a deduction for an imported mismatch payment which is part of a structured arrangement, applies </w:t>
      </w:r>
      <w:r w:rsidR="00C52047">
        <w:rPr>
          <w:szCs w:val="20"/>
          <w:lang w:eastAsia="en-AU"/>
        </w:rPr>
        <w:t xml:space="preserve">to payments made </w:t>
      </w:r>
      <w:r w:rsidR="000A6F06">
        <w:rPr>
          <w:szCs w:val="20"/>
          <w:lang w:eastAsia="en-AU"/>
        </w:rPr>
        <w:t xml:space="preserve">in </w:t>
      </w:r>
      <w:r w:rsidR="000A6F06" w:rsidRPr="00925A3A">
        <w:rPr>
          <w:szCs w:val="20"/>
          <w:lang w:eastAsia="en-AU"/>
        </w:rPr>
        <w:t>income</w:t>
      </w:r>
      <w:r w:rsidRPr="00925A3A">
        <w:rPr>
          <w:szCs w:val="20"/>
          <w:lang w:eastAsia="en-AU"/>
        </w:rPr>
        <w:t xml:space="preserve"> years beginning on or after 1 July 2018</w:t>
      </w:r>
      <w:r w:rsidR="002D5667">
        <w:rPr>
          <w:szCs w:val="20"/>
          <w:lang w:eastAsia="en-AU"/>
        </w:rPr>
        <w:t xml:space="preserve">. </w:t>
      </w:r>
      <w:r w:rsidRPr="00925A3A">
        <w:rPr>
          <w:szCs w:val="20"/>
          <w:lang w:eastAsia="en-AU"/>
        </w:rPr>
        <w:t xml:space="preserve">Deductions for other imported mismatch payments </w:t>
      </w:r>
      <w:r w:rsidR="001A194D">
        <w:rPr>
          <w:szCs w:val="20"/>
          <w:lang w:eastAsia="en-AU"/>
        </w:rPr>
        <w:t xml:space="preserve">(unstructured imported mismatches) </w:t>
      </w:r>
      <w:r w:rsidRPr="00925A3A">
        <w:rPr>
          <w:szCs w:val="20"/>
          <w:lang w:eastAsia="en-AU"/>
        </w:rPr>
        <w:t>are not denied until income years beginning on or after 1 January 2020.</w:t>
      </w:r>
    </w:p>
    <w:p w14:paraId="6D88BE10" w14:textId="77777777" w:rsidR="00925A3A" w:rsidRPr="00925A3A" w:rsidRDefault="00925A3A" w:rsidP="00925A3A">
      <w:pPr>
        <w:rPr>
          <w:szCs w:val="20"/>
          <w:lang w:eastAsia="en-AU"/>
        </w:rPr>
      </w:pPr>
    </w:p>
    <w:p w14:paraId="31F04C19" w14:textId="77777777" w:rsidR="00925A3A" w:rsidRPr="00925A3A" w:rsidRDefault="00925A3A" w:rsidP="00925A3A">
      <w:pPr>
        <w:rPr>
          <w:szCs w:val="20"/>
          <w:lang w:eastAsia="en-AU"/>
        </w:rPr>
      </w:pPr>
    </w:p>
    <w:p w14:paraId="6AA41E4A" w14:textId="77777777" w:rsidR="00925A3A" w:rsidRPr="00925A3A" w:rsidRDefault="00925A3A" w:rsidP="00925A3A">
      <w:pPr>
        <w:keepNext/>
        <w:outlineLvl w:val="1"/>
        <w:rPr>
          <w:b/>
          <w:szCs w:val="20"/>
          <w:lang w:eastAsia="en-AU"/>
        </w:rPr>
      </w:pPr>
      <w:r w:rsidRPr="00925A3A">
        <w:rPr>
          <w:b/>
          <w:szCs w:val="20"/>
          <w:lang w:eastAsia="en-AU"/>
        </w:rPr>
        <w:t>Detailed analysis</w:t>
      </w:r>
    </w:p>
    <w:p w14:paraId="352AFA77" w14:textId="77777777" w:rsidR="00925A3A" w:rsidRDefault="00925A3A" w:rsidP="00925A3A">
      <w:pPr>
        <w:rPr>
          <w:szCs w:val="20"/>
          <w:lang w:eastAsia="en-AU"/>
        </w:rPr>
      </w:pPr>
    </w:p>
    <w:p w14:paraId="4CD76B31" w14:textId="77777777" w:rsidR="00303162" w:rsidRPr="00303162" w:rsidRDefault="00303162" w:rsidP="00925A3A">
      <w:pPr>
        <w:rPr>
          <w:b/>
          <w:i/>
          <w:szCs w:val="20"/>
          <w:lang w:eastAsia="en-AU"/>
        </w:rPr>
      </w:pPr>
      <w:r>
        <w:rPr>
          <w:b/>
          <w:i/>
          <w:szCs w:val="20"/>
          <w:lang w:eastAsia="en-AU"/>
        </w:rPr>
        <w:t>General</w:t>
      </w:r>
    </w:p>
    <w:p w14:paraId="7F3806F8" w14:textId="77777777" w:rsidR="00303162" w:rsidRDefault="00303162" w:rsidP="00925A3A">
      <w:pPr>
        <w:rPr>
          <w:szCs w:val="20"/>
          <w:lang w:eastAsia="en-AU"/>
        </w:rPr>
      </w:pPr>
    </w:p>
    <w:p w14:paraId="237065EF" w14:textId="7ECAA1B5" w:rsidR="000B7992" w:rsidRDefault="00D7668A" w:rsidP="000B7992">
      <w:pPr>
        <w:rPr>
          <w:szCs w:val="20"/>
          <w:lang w:eastAsia="en-AU"/>
        </w:rPr>
      </w:pPr>
      <w:r>
        <w:rPr>
          <w:szCs w:val="20"/>
          <w:lang w:eastAsia="en-AU"/>
        </w:rPr>
        <w:t>The imported mismatch rule in section FH 11 prevent</w:t>
      </w:r>
      <w:r w:rsidR="00FD1C08">
        <w:rPr>
          <w:szCs w:val="20"/>
          <w:lang w:eastAsia="en-AU"/>
        </w:rPr>
        <w:t>s</w:t>
      </w:r>
      <w:r>
        <w:rPr>
          <w:szCs w:val="20"/>
          <w:lang w:eastAsia="en-AU"/>
        </w:rPr>
        <w:t xml:space="preserve"> taxpayers from entering into structured arrangements or arrangements with group members that shift the effect of an offshore hybrid mismatch into New Zealand through the use of a non-hybrid instru</w:t>
      </w:r>
      <w:r w:rsidR="000B7992">
        <w:rPr>
          <w:szCs w:val="20"/>
          <w:lang w:eastAsia="en-AU"/>
        </w:rPr>
        <w:t>ment such as an ordinary loan.</w:t>
      </w:r>
    </w:p>
    <w:p w14:paraId="2A0355D2" w14:textId="77777777" w:rsidR="007C046E" w:rsidRDefault="007C046E" w:rsidP="00925A3A">
      <w:pPr>
        <w:rPr>
          <w:szCs w:val="20"/>
          <w:lang w:eastAsia="en-AU"/>
        </w:rPr>
      </w:pPr>
    </w:p>
    <w:p w14:paraId="5D002484" w14:textId="17B39638" w:rsidR="003D749A" w:rsidRDefault="007C046E" w:rsidP="003D749A">
      <w:pPr>
        <w:rPr>
          <w:szCs w:val="20"/>
          <w:lang w:eastAsia="en-AU"/>
        </w:rPr>
      </w:pPr>
      <w:r>
        <w:rPr>
          <w:szCs w:val="20"/>
          <w:lang w:eastAsia="en-AU"/>
        </w:rPr>
        <w:t>In brief, t</w:t>
      </w:r>
      <w:r w:rsidR="00CA5532">
        <w:rPr>
          <w:szCs w:val="20"/>
          <w:lang w:eastAsia="en-AU"/>
        </w:rPr>
        <w:t xml:space="preserve">he </w:t>
      </w:r>
      <w:r>
        <w:rPr>
          <w:szCs w:val="20"/>
          <w:lang w:eastAsia="en-AU"/>
        </w:rPr>
        <w:t xml:space="preserve">imported mismatch </w:t>
      </w:r>
      <w:r w:rsidR="00CA5532">
        <w:rPr>
          <w:szCs w:val="20"/>
          <w:lang w:eastAsia="en-AU"/>
        </w:rPr>
        <w:t xml:space="preserve">rule denies deductions for a broad range of payments, including interest, royalties, rents and payments for services, if the income from such </w:t>
      </w:r>
      <w:r w:rsidR="00FD1C08" w:rsidRPr="009E2441">
        <w:rPr>
          <w:szCs w:val="20"/>
          <w:lang w:eastAsia="en-AU"/>
        </w:rPr>
        <w:t>funds</w:t>
      </w:r>
      <w:r w:rsidR="00FD1C08">
        <w:rPr>
          <w:szCs w:val="20"/>
          <w:lang w:eastAsia="en-AU"/>
        </w:rPr>
        <w:t xml:space="preserve"> </w:t>
      </w:r>
      <w:r w:rsidR="00CA5532">
        <w:rPr>
          <w:szCs w:val="20"/>
          <w:lang w:eastAsia="en-AU"/>
        </w:rPr>
        <w:t xml:space="preserve">is offset, directly or indirectly, against a </w:t>
      </w:r>
      <w:r w:rsidR="00FD1C08" w:rsidRPr="009E2441">
        <w:rPr>
          <w:szCs w:val="20"/>
          <w:lang w:eastAsia="en-AU"/>
        </w:rPr>
        <w:t>payment</w:t>
      </w:r>
      <w:r w:rsidR="00FD1C08">
        <w:rPr>
          <w:szCs w:val="20"/>
          <w:lang w:eastAsia="en-AU"/>
        </w:rPr>
        <w:t xml:space="preserve"> </w:t>
      </w:r>
      <w:r w:rsidR="00CA5532">
        <w:rPr>
          <w:szCs w:val="20"/>
          <w:lang w:eastAsia="en-AU"/>
        </w:rPr>
        <w:t xml:space="preserve">that arises under a hybrid mismatch arrangement in a foreign </w:t>
      </w:r>
      <w:r w:rsidR="000428DE">
        <w:rPr>
          <w:szCs w:val="20"/>
          <w:lang w:eastAsia="en-AU"/>
        </w:rPr>
        <w:t>country</w:t>
      </w:r>
      <w:r w:rsidR="002D5667">
        <w:rPr>
          <w:szCs w:val="20"/>
          <w:lang w:eastAsia="en-AU"/>
        </w:rPr>
        <w:t xml:space="preserve">. </w:t>
      </w:r>
      <w:r w:rsidR="003D749A">
        <w:rPr>
          <w:szCs w:val="20"/>
          <w:lang w:eastAsia="en-AU"/>
        </w:rPr>
        <w:t xml:space="preserve">This means that the hybrid or branch mismatch will be between two foreign </w:t>
      </w:r>
      <w:r w:rsidR="000428DE">
        <w:rPr>
          <w:szCs w:val="20"/>
          <w:lang w:eastAsia="en-AU"/>
        </w:rPr>
        <w:t>countries</w:t>
      </w:r>
      <w:r w:rsidR="003D749A">
        <w:rPr>
          <w:szCs w:val="20"/>
          <w:lang w:eastAsia="en-AU"/>
        </w:rPr>
        <w:t xml:space="preserve">, rather than between New Zealand and a foreign </w:t>
      </w:r>
      <w:r w:rsidR="000428DE">
        <w:rPr>
          <w:szCs w:val="20"/>
          <w:lang w:eastAsia="en-AU"/>
        </w:rPr>
        <w:t>country</w:t>
      </w:r>
      <w:r w:rsidR="003D749A">
        <w:rPr>
          <w:szCs w:val="20"/>
          <w:lang w:eastAsia="en-AU"/>
        </w:rPr>
        <w:t>, but there will be a deductible payment in New Zealand that is helping fund the hybrid or branch mismatch payment.</w:t>
      </w:r>
    </w:p>
    <w:p w14:paraId="6985C3E0" w14:textId="77777777" w:rsidR="000B7992" w:rsidRDefault="000B7992" w:rsidP="00925A3A">
      <w:pPr>
        <w:rPr>
          <w:b/>
          <w:i/>
          <w:szCs w:val="20"/>
          <w:lang w:eastAsia="en-AU"/>
        </w:rPr>
      </w:pPr>
    </w:p>
    <w:p w14:paraId="4BB8661B" w14:textId="77777777" w:rsidR="007C046E" w:rsidRPr="005E78FC" w:rsidRDefault="00303162" w:rsidP="00925A3A">
      <w:pPr>
        <w:rPr>
          <w:b/>
          <w:i/>
          <w:szCs w:val="20"/>
          <w:lang w:eastAsia="en-AU"/>
        </w:rPr>
      </w:pPr>
      <w:r>
        <w:rPr>
          <w:b/>
          <w:i/>
          <w:szCs w:val="20"/>
          <w:lang w:eastAsia="en-AU"/>
        </w:rPr>
        <w:t>Conditions</w:t>
      </w:r>
    </w:p>
    <w:p w14:paraId="7C31EBB4" w14:textId="77777777" w:rsidR="005E78FC" w:rsidRDefault="005E78FC" w:rsidP="00925A3A">
      <w:pPr>
        <w:rPr>
          <w:szCs w:val="20"/>
          <w:lang w:eastAsia="en-AU"/>
        </w:rPr>
      </w:pPr>
    </w:p>
    <w:p w14:paraId="222C46B0" w14:textId="079DD75E" w:rsidR="00303162" w:rsidRDefault="000B7992" w:rsidP="00925A3A">
      <w:pPr>
        <w:rPr>
          <w:szCs w:val="20"/>
          <w:lang w:eastAsia="en-AU"/>
        </w:rPr>
      </w:pPr>
      <w:r>
        <w:rPr>
          <w:szCs w:val="20"/>
          <w:lang w:eastAsia="en-AU"/>
        </w:rPr>
        <w:t>Subsection (1) provides that t</w:t>
      </w:r>
      <w:r w:rsidR="00303162">
        <w:rPr>
          <w:szCs w:val="20"/>
          <w:lang w:eastAsia="en-AU"/>
        </w:rPr>
        <w:t>he imported mismatch rule applies where there is a person that makes a payment</w:t>
      </w:r>
      <w:r>
        <w:rPr>
          <w:szCs w:val="20"/>
          <w:lang w:eastAsia="en-AU"/>
        </w:rPr>
        <w:t xml:space="preserve"> (the funder)</w:t>
      </w:r>
      <w:r w:rsidR="00303162">
        <w:rPr>
          <w:szCs w:val="20"/>
          <w:lang w:eastAsia="en-AU"/>
        </w:rPr>
        <w:t xml:space="preserve"> to another person in a foreign </w:t>
      </w:r>
      <w:r w:rsidR="000428DE">
        <w:rPr>
          <w:szCs w:val="20"/>
          <w:lang w:eastAsia="en-AU"/>
        </w:rPr>
        <w:t>country</w:t>
      </w:r>
      <w:r w:rsidR="00303162">
        <w:rPr>
          <w:szCs w:val="20"/>
          <w:lang w:eastAsia="en-AU"/>
        </w:rPr>
        <w:t xml:space="preserve"> that does not have the hybrid and branch mismatch rules corresponding </w:t>
      </w:r>
      <w:r>
        <w:rPr>
          <w:szCs w:val="20"/>
          <w:lang w:eastAsia="en-AU"/>
        </w:rPr>
        <w:t>to subpart FH and which:</w:t>
      </w:r>
    </w:p>
    <w:p w14:paraId="17A08FCD" w14:textId="77777777" w:rsidR="00925A3A" w:rsidRPr="00925A3A" w:rsidRDefault="00925A3A" w:rsidP="00925A3A">
      <w:pPr>
        <w:rPr>
          <w:szCs w:val="20"/>
          <w:lang w:eastAsia="en-AU"/>
        </w:rPr>
      </w:pPr>
    </w:p>
    <w:p w14:paraId="05B9785A" w14:textId="329081D6" w:rsidR="00925A3A" w:rsidRPr="000B7992" w:rsidRDefault="00925A3A" w:rsidP="000B7992">
      <w:pPr>
        <w:numPr>
          <w:ilvl w:val="0"/>
          <w:numId w:val="1"/>
        </w:numPr>
        <w:spacing w:after="140"/>
        <w:rPr>
          <w:szCs w:val="20"/>
          <w:lang w:eastAsia="en-AU"/>
        </w:rPr>
      </w:pPr>
      <w:r w:rsidRPr="00925A3A">
        <w:rPr>
          <w:szCs w:val="20"/>
          <w:lang w:eastAsia="en-AU"/>
        </w:rPr>
        <w:t xml:space="preserve">directly or indirectly funds a hybrid </w:t>
      </w:r>
      <w:r w:rsidR="008517C8">
        <w:rPr>
          <w:szCs w:val="20"/>
          <w:lang w:eastAsia="en-AU"/>
        </w:rPr>
        <w:t xml:space="preserve">or branch </w:t>
      </w:r>
      <w:r w:rsidRPr="00925A3A">
        <w:rPr>
          <w:szCs w:val="20"/>
          <w:lang w:eastAsia="en-AU"/>
        </w:rPr>
        <w:t>mismatch payment</w:t>
      </w:r>
      <w:r w:rsidR="002D5667">
        <w:rPr>
          <w:szCs w:val="20"/>
          <w:lang w:eastAsia="en-AU"/>
        </w:rPr>
        <w:t xml:space="preserve">. </w:t>
      </w:r>
      <w:r w:rsidRPr="000B7992">
        <w:rPr>
          <w:szCs w:val="20"/>
          <w:lang w:eastAsia="en-AU"/>
        </w:rPr>
        <w:t xml:space="preserve">In order for the funded payment to be a hybrid mismatch payment, it must be between two </w:t>
      </w:r>
      <w:r w:rsidR="008D3909">
        <w:rPr>
          <w:szCs w:val="20"/>
          <w:lang w:eastAsia="en-AU"/>
        </w:rPr>
        <w:t xml:space="preserve">non-residents </w:t>
      </w:r>
      <w:r w:rsidRPr="000B7992">
        <w:rPr>
          <w:szCs w:val="20"/>
          <w:lang w:eastAsia="en-AU"/>
        </w:rPr>
        <w:t xml:space="preserve">who do not have hybrid </w:t>
      </w:r>
      <w:r w:rsidR="008D3909">
        <w:rPr>
          <w:szCs w:val="20"/>
          <w:lang w:eastAsia="en-AU"/>
        </w:rPr>
        <w:t xml:space="preserve">or branch </w:t>
      </w:r>
      <w:r w:rsidRPr="000B7992">
        <w:rPr>
          <w:szCs w:val="20"/>
          <w:lang w:eastAsia="en-AU"/>
        </w:rPr>
        <w:t>mismatch rules that counteract the mismatch (paragraphs (a), (d) and (e));</w:t>
      </w:r>
    </w:p>
    <w:p w14:paraId="374AD61C" w14:textId="77777777" w:rsidR="00925A3A" w:rsidRPr="00925A3A" w:rsidRDefault="00925A3A" w:rsidP="00E852A0">
      <w:pPr>
        <w:numPr>
          <w:ilvl w:val="0"/>
          <w:numId w:val="1"/>
        </w:numPr>
        <w:spacing w:after="140"/>
        <w:rPr>
          <w:szCs w:val="20"/>
          <w:lang w:eastAsia="en-AU"/>
        </w:rPr>
      </w:pPr>
      <w:r w:rsidRPr="00925A3A">
        <w:rPr>
          <w:szCs w:val="20"/>
          <w:lang w:eastAsia="en-AU"/>
        </w:rPr>
        <w:t>is otherwise deductible to the funder (paragraph (b)); and</w:t>
      </w:r>
    </w:p>
    <w:p w14:paraId="4D04B99A" w14:textId="77777777" w:rsidR="00925A3A" w:rsidRPr="00925A3A" w:rsidRDefault="00925A3A" w:rsidP="00E852A0">
      <w:pPr>
        <w:numPr>
          <w:ilvl w:val="0"/>
          <w:numId w:val="1"/>
        </w:numPr>
        <w:spacing w:after="140"/>
        <w:rPr>
          <w:szCs w:val="20"/>
          <w:lang w:eastAsia="en-AU"/>
        </w:rPr>
      </w:pPr>
      <w:r w:rsidRPr="00925A3A">
        <w:rPr>
          <w:szCs w:val="20"/>
          <w:lang w:eastAsia="en-AU"/>
        </w:rPr>
        <w:t>is:</w:t>
      </w:r>
    </w:p>
    <w:p w14:paraId="49512315" w14:textId="77777777" w:rsidR="00925A3A" w:rsidRPr="00925A3A" w:rsidRDefault="00925A3A" w:rsidP="00E852A0">
      <w:pPr>
        <w:numPr>
          <w:ilvl w:val="0"/>
          <w:numId w:val="8"/>
        </w:numPr>
        <w:spacing w:after="140"/>
        <w:ind w:left="1134" w:hanging="567"/>
        <w:rPr>
          <w:szCs w:val="20"/>
          <w:lang w:eastAsia="en-AU"/>
        </w:rPr>
      </w:pPr>
      <w:r w:rsidRPr="00925A3A">
        <w:rPr>
          <w:szCs w:val="20"/>
          <w:lang w:eastAsia="en-AU"/>
        </w:rPr>
        <w:t>made under a structured arrangement; or</w:t>
      </w:r>
    </w:p>
    <w:p w14:paraId="48BBCA2D" w14:textId="77777777" w:rsidR="00925A3A" w:rsidRPr="00925A3A" w:rsidRDefault="00925A3A" w:rsidP="00E852A0">
      <w:pPr>
        <w:numPr>
          <w:ilvl w:val="0"/>
          <w:numId w:val="8"/>
        </w:numPr>
        <w:ind w:left="1134" w:hanging="567"/>
        <w:rPr>
          <w:szCs w:val="20"/>
          <w:lang w:eastAsia="en-AU"/>
        </w:rPr>
      </w:pPr>
      <w:r w:rsidRPr="00925A3A">
        <w:rPr>
          <w:szCs w:val="20"/>
          <w:lang w:eastAsia="en-AU"/>
        </w:rPr>
        <w:t>funds a hybrid mismatch between two persons (</w:t>
      </w:r>
      <w:r w:rsidR="003D749A">
        <w:rPr>
          <w:szCs w:val="20"/>
          <w:lang w:eastAsia="en-AU"/>
        </w:rPr>
        <w:t>the payer and the payee) where the payer is</w:t>
      </w:r>
      <w:r w:rsidRPr="00925A3A">
        <w:rPr>
          <w:szCs w:val="20"/>
          <w:lang w:eastAsia="en-AU"/>
        </w:rPr>
        <w:t xml:space="preserve"> in the same control group as the funder (paragraph (c)).</w:t>
      </w:r>
    </w:p>
    <w:p w14:paraId="6747E940" w14:textId="77777777" w:rsidR="00D25020" w:rsidRDefault="00D25020" w:rsidP="00925A3A">
      <w:pPr>
        <w:rPr>
          <w:szCs w:val="20"/>
          <w:lang w:eastAsia="en-AU"/>
        </w:rPr>
      </w:pPr>
    </w:p>
    <w:p w14:paraId="4CCC3256" w14:textId="77777777" w:rsidR="00D25020" w:rsidRPr="00D25020" w:rsidRDefault="00D25020" w:rsidP="00925A3A">
      <w:pPr>
        <w:rPr>
          <w:b/>
          <w:i/>
          <w:szCs w:val="20"/>
          <w:lang w:eastAsia="en-AU"/>
        </w:rPr>
      </w:pPr>
      <w:r>
        <w:rPr>
          <w:b/>
          <w:i/>
          <w:szCs w:val="20"/>
          <w:lang w:eastAsia="en-AU"/>
        </w:rPr>
        <w:t>Structured and unstructured imported mismatches</w:t>
      </w:r>
    </w:p>
    <w:p w14:paraId="50B3F145" w14:textId="77777777" w:rsidR="00D25020" w:rsidRDefault="00D25020" w:rsidP="00925A3A">
      <w:pPr>
        <w:rPr>
          <w:szCs w:val="20"/>
          <w:lang w:eastAsia="en-AU"/>
        </w:rPr>
      </w:pPr>
    </w:p>
    <w:p w14:paraId="223BD0B7" w14:textId="5E282B78" w:rsidR="00BC6DB7" w:rsidRDefault="00925A3A" w:rsidP="00925A3A">
      <w:pPr>
        <w:rPr>
          <w:szCs w:val="20"/>
          <w:lang w:eastAsia="en-AU"/>
        </w:rPr>
      </w:pPr>
      <w:r w:rsidRPr="00925A3A">
        <w:rPr>
          <w:szCs w:val="20"/>
          <w:lang w:eastAsia="en-AU"/>
        </w:rPr>
        <w:t>The amount of the deduction denied to the funder depends on whether the payment is made under a structured arrangement or not</w:t>
      </w:r>
      <w:r w:rsidR="002D5667">
        <w:rPr>
          <w:szCs w:val="20"/>
          <w:lang w:eastAsia="en-AU"/>
        </w:rPr>
        <w:t xml:space="preserve">. </w:t>
      </w:r>
      <w:r w:rsidRPr="00925A3A">
        <w:rPr>
          <w:szCs w:val="20"/>
          <w:lang w:eastAsia="en-AU"/>
        </w:rPr>
        <w:t xml:space="preserve">The definition of a structured arrangement is the </w:t>
      </w:r>
      <w:r w:rsidRPr="00925A3A">
        <w:rPr>
          <w:szCs w:val="20"/>
          <w:lang w:eastAsia="en-AU"/>
        </w:rPr>
        <w:lastRenderedPageBreak/>
        <w:t>definition used for the hybrid rules generally</w:t>
      </w:r>
      <w:r w:rsidR="003D749A">
        <w:rPr>
          <w:szCs w:val="20"/>
          <w:lang w:eastAsia="en-AU"/>
        </w:rPr>
        <w:t xml:space="preserve"> (discussed above)</w:t>
      </w:r>
      <w:r w:rsidR="002D5667">
        <w:rPr>
          <w:szCs w:val="20"/>
          <w:lang w:eastAsia="en-AU"/>
        </w:rPr>
        <w:t xml:space="preserve">. </w:t>
      </w:r>
      <w:r w:rsidRPr="00925A3A">
        <w:rPr>
          <w:szCs w:val="20"/>
          <w:lang w:eastAsia="en-AU"/>
        </w:rPr>
        <w:t>A structured arrangement can exist between control group members</w:t>
      </w:r>
      <w:r w:rsidR="002D5667">
        <w:rPr>
          <w:szCs w:val="20"/>
          <w:lang w:eastAsia="en-AU"/>
        </w:rPr>
        <w:t xml:space="preserve">. </w:t>
      </w:r>
      <w:r w:rsidRPr="00925A3A">
        <w:rPr>
          <w:szCs w:val="20"/>
          <w:lang w:eastAsia="en-AU"/>
        </w:rPr>
        <w:t>For example if funds are provided by a foreign parent to a New Zealand borrower via a series of consecutive intra-group funding transactions, and a transaction in that series gives rise to a hybrid mismatch, it is highly likely that the loan to the New Zealand borrower is part of a structured arrangement</w:t>
      </w:r>
      <w:r w:rsidR="002D5667">
        <w:rPr>
          <w:szCs w:val="20"/>
          <w:lang w:eastAsia="en-AU"/>
        </w:rPr>
        <w:t xml:space="preserve">. </w:t>
      </w:r>
      <w:r w:rsidR="00BC6DB7">
        <w:rPr>
          <w:szCs w:val="20"/>
          <w:lang w:eastAsia="en-AU"/>
        </w:rPr>
        <w:t>Interest on the loan is subject to denial under section FH 11.</w:t>
      </w:r>
    </w:p>
    <w:p w14:paraId="6BC2BE7D" w14:textId="77777777" w:rsidR="00BC6DB7" w:rsidRDefault="00BC6DB7" w:rsidP="00925A3A">
      <w:pPr>
        <w:rPr>
          <w:szCs w:val="20"/>
          <w:lang w:eastAsia="en-AU"/>
        </w:rPr>
      </w:pPr>
    </w:p>
    <w:p w14:paraId="2912C297" w14:textId="1F377356" w:rsidR="00925A3A" w:rsidRPr="00925A3A" w:rsidRDefault="00BC6DB7" w:rsidP="00925A3A">
      <w:pPr>
        <w:rPr>
          <w:szCs w:val="20"/>
          <w:lang w:eastAsia="en-AU"/>
        </w:rPr>
      </w:pPr>
      <w:r>
        <w:rPr>
          <w:szCs w:val="20"/>
          <w:lang w:eastAsia="en-AU"/>
        </w:rPr>
        <w:t>In determining whether or not a payment is made under a structured arrangement, it is not relevant when the arrangement was entered into, only when the payment is made</w:t>
      </w:r>
      <w:r w:rsidR="002D5667">
        <w:rPr>
          <w:szCs w:val="20"/>
          <w:lang w:eastAsia="en-AU"/>
        </w:rPr>
        <w:t xml:space="preserve">. </w:t>
      </w:r>
      <w:r>
        <w:rPr>
          <w:szCs w:val="20"/>
          <w:lang w:eastAsia="en-AU"/>
        </w:rPr>
        <w:t>For example, suppose that in 2010, a multinational group set up a structure which gave rise to a hybrid mismatch not involving New Zealand, but where payments from New Zealand funded a part of the hybrid mismatch payment</w:t>
      </w:r>
      <w:r w:rsidR="002D5667">
        <w:rPr>
          <w:szCs w:val="20"/>
          <w:lang w:eastAsia="en-AU"/>
        </w:rPr>
        <w:t xml:space="preserve">. </w:t>
      </w:r>
      <w:r>
        <w:rPr>
          <w:szCs w:val="20"/>
          <w:lang w:eastAsia="en-AU"/>
        </w:rPr>
        <w:t>A payment made as part of such a structure by a New Zealand person in a tax year beginning on or after 1 July 2018 wi</w:t>
      </w:r>
      <w:r w:rsidR="00D6773F">
        <w:rPr>
          <w:szCs w:val="20"/>
          <w:lang w:eastAsia="en-AU"/>
        </w:rPr>
        <w:t>ll be subject to section FH 11.</w:t>
      </w:r>
    </w:p>
    <w:p w14:paraId="4FBFD406" w14:textId="77777777" w:rsidR="00925A3A" w:rsidRPr="00925A3A" w:rsidRDefault="00925A3A" w:rsidP="00925A3A">
      <w:pPr>
        <w:rPr>
          <w:szCs w:val="20"/>
          <w:lang w:eastAsia="en-AU"/>
        </w:rPr>
      </w:pPr>
    </w:p>
    <w:p w14:paraId="0D35DABA" w14:textId="03D6D797" w:rsidR="00925A3A" w:rsidRPr="00925A3A" w:rsidRDefault="00925A3A" w:rsidP="00925A3A">
      <w:pPr>
        <w:rPr>
          <w:szCs w:val="20"/>
          <w:lang w:eastAsia="en-AU"/>
        </w:rPr>
      </w:pPr>
      <w:r w:rsidRPr="00925A3A">
        <w:rPr>
          <w:szCs w:val="20"/>
          <w:lang w:eastAsia="en-AU"/>
        </w:rPr>
        <w:t>If the payment is under a structured arrangement, the amount of the denial is given by subsection (3)</w:t>
      </w:r>
      <w:r w:rsidR="002D5667">
        <w:rPr>
          <w:szCs w:val="20"/>
          <w:lang w:eastAsia="en-AU"/>
        </w:rPr>
        <w:t xml:space="preserve">. </w:t>
      </w:r>
      <w:r w:rsidRPr="00925A3A">
        <w:rPr>
          <w:szCs w:val="20"/>
          <w:lang w:eastAsia="en-AU"/>
        </w:rPr>
        <w:t>It is the amount of the deduction, limited to the amount of the funded payment for which a deduction would be disallowed to the payer of the hybrid mismatch payment if hybrid mismatch legislation applied to that person.</w:t>
      </w:r>
    </w:p>
    <w:p w14:paraId="6614BE4D" w14:textId="77777777" w:rsidR="00925A3A" w:rsidRPr="00925A3A" w:rsidRDefault="00925A3A" w:rsidP="00925A3A">
      <w:pPr>
        <w:rPr>
          <w:szCs w:val="20"/>
          <w:lang w:eastAsia="en-AU"/>
        </w:rPr>
      </w:pPr>
    </w:p>
    <w:p w14:paraId="44D57AAC" w14:textId="3FED74BF" w:rsidR="00C02864" w:rsidRDefault="00925A3A" w:rsidP="00925A3A">
      <w:pPr>
        <w:rPr>
          <w:szCs w:val="20"/>
          <w:lang w:eastAsia="en-AU"/>
        </w:rPr>
      </w:pPr>
      <w:r w:rsidRPr="00925A3A">
        <w:rPr>
          <w:szCs w:val="20"/>
          <w:lang w:eastAsia="en-AU"/>
        </w:rPr>
        <w:t>If the payment is not under a structured arrangement, the amount denied is the amount that can fairly and reasonably be treated as providing funds for the funded payment giving rise to a hybrid mismatch</w:t>
      </w:r>
      <w:r w:rsidR="00D23D3D">
        <w:rPr>
          <w:szCs w:val="20"/>
          <w:lang w:eastAsia="en-AU"/>
        </w:rPr>
        <w:t xml:space="preserve"> under subsection (4)</w:t>
      </w:r>
      <w:r w:rsidR="002D5667">
        <w:rPr>
          <w:szCs w:val="20"/>
          <w:lang w:eastAsia="en-AU"/>
        </w:rPr>
        <w:t xml:space="preserve">. </w:t>
      </w:r>
      <w:r w:rsidRPr="00925A3A">
        <w:rPr>
          <w:szCs w:val="20"/>
          <w:lang w:eastAsia="en-AU"/>
        </w:rPr>
        <w:t xml:space="preserve">Subsection (5) provides that this </w:t>
      </w:r>
      <w:r w:rsidR="00FD1C08">
        <w:rPr>
          <w:szCs w:val="20"/>
          <w:lang w:eastAsia="en-AU"/>
        </w:rPr>
        <w:t>amount</w:t>
      </w:r>
      <w:r w:rsidR="00FD1C08" w:rsidRPr="00925A3A">
        <w:rPr>
          <w:szCs w:val="20"/>
          <w:lang w:eastAsia="en-AU"/>
        </w:rPr>
        <w:t xml:space="preserve"> </w:t>
      </w:r>
      <w:r w:rsidRPr="00925A3A">
        <w:rPr>
          <w:szCs w:val="20"/>
          <w:lang w:eastAsia="en-AU"/>
        </w:rPr>
        <w:t xml:space="preserve">should be determined consistently with the approach used </w:t>
      </w:r>
      <w:r w:rsidR="003D749A">
        <w:rPr>
          <w:szCs w:val="20"/>
          <w:lang w:eastAsia="en-AU"/>
        </w:rPr>
        <w:t>in chapter 8 of the OECD hybrid mismatch r</w:t>
      </w:r>
      <w:r w:rsidRPr="00925A3A">
        <w:rPr>
          <w:szCs w:val="20"/>
          <w:lang w:eastAsia="en-AU"/>
        </w:rPr>
        <w:t>eport.</w:t>
      </w:r>
    </w:p>
    <w:p w14:paraId="4CCFE523" w14:textId="77777777" w:rsidR="00280D1B" w:rsidRDefault="00280D1B" w:rsidP="00925A3A">
      <w:pPr>
        <w:rPr>
          <w:szCs w:val="20"/>
          <w:lang w:eastAsia="en-AU"/>
        </w:rPr>
      </w:pPr>
    </w:p>
    <w:p w14:paraId="5E964296" w14:textId="77777777" w:rsidR="00280D1B" w:rsidRPr="00280D1B" w:rsidRDefault="00280D1B" w:rsidP="00925A3A">
      <w:pPr>
        <w:rPr>
          <w:b/>
          <w:i/>
          <w:szCs w:val="20"/>
          <w:lang w:eastAsia="en-AU"/>
        </w:rPr>
      </w:pPr>
      <w:r>
        <w:rPr>
          <w:b/>
          <w:i/>
          <w:szCs w:val="20"/>
          <w:lang w:eastAsia="en-AU"/>
        </w:rPr>
        <w:t>OECD imported mismatch approach</w:t>
      </w:r>
    </w:p>
    <w:p w14:paraId="45854A49" w14:textId="77777777" w:rsidR="00C02864" w:rsidRDefault="00C02864" w:rsidP="00925A3A">
      <w:pPr>
        <w:rPr>
          <w:szCs w:val="20"/>
          <w:lang w:eastAsia="en-AU"/>
        </w:rPr>
      </w:pPr>
    </w:p>
    <w:p w14:paraId="257FAB89" w14:textId="76FC526E" w:rsidR="00E110CC" w:rsidRDefault="00C02864" w:rsidP="00925A3A">
      <w:pPr>
        <w:rPr>
          <w:szCs w:val="20"/>
          <w:lang w:eastAsia="en-AU"/>
        </w:rPr>
      </w:pPr>
      <w:r>
        <w:rPr>
          <w:szCs w:val="20"/>
          <w:lang w:eastAsia="en-AU"/>
        </w:rPr>
        <w:t xml:space="preserve">One of the complexities with the imported mismatch rule </w:t>
      </w:r>
      <w:r w:rsidR="00FD1C08">
        <w:rPr>
          <w:szCs w:val="20"/>
          <w:lang w:eastAsia="en-AU"/>
        </w:rPr>
        <w:t>arises</w:t>
      </w:r>
      <w:r>
        <w:rPr>
          <w:szCs w:val="20"/>
          <w:lang w:eastAsia="en-AU"/>
        </w:rPr>
        <w:t xml:space="preserve"> because there may be multiple </w:t>
      </w:r>
      <w:r w:rsidR="000428DE">
        <w:rPr>
          <w:szCs w:val="20"/>
          <w:lang w:eastAsia="en-AU"/>
        </w:rPr>
        <w:t xml:space="preserve">countries </w:t>
      </w:r>
      <w:r>
        <w:rPr>
          <w:szCs w:val="20"/>
          <w:lang w:eastAsia="en-AU"/>
        </w:rPr>
        <w:t xml:space="preserve">(including New Zealand) with deductible payments that are helping fund the hybrid mismatch arising between two </w:t>
      </w:r>
      <w:r w:rsidR="001B033C">
        <w:rPr>
          <w:szCs w:val="20"/>
          <w:lang w:eastAsia="en-AU"/>
        </w:rPr>
        <w:t xml:space="preserve">other foreign </w:t>
      </w:r>
      <w:r w:rsidR="000428DE">
        <w:rPr>
          <w:szCs w:val="20"/>
          <w:lang w:eastAsia="en-AU"/>
        </w:rPr>
        <w:t>countries</w:t>
      </w:r>
      <w:r w:rsidR="00FD1C08">
        <w:rPr>
          <w:szCs w:val="20"/>
          <w:lang w:eastAsia="en-AU"/>
        </w:rPr>
        <w:t xml:space="preserve">. Some </w:t>
      </w:r>
      <w:r w:rsidR="00280D1B">
        <w:rPr>
          <w:szCs w:val="20"/>
          <w:lang w:eastAsia="en-AU"/>
        </w:rPr>
        <w:t>co-ordination and order is required so that the double non-taxation is countered appropriately</w:t>
      </w:r>
      <w:r w:rsidR="002D5667">
        <w:rPr>
          <w:szCs w:val="20"/>
          <w:lang w:eastAsia="en-AU"/>
        </w:rPr>
        <w:t xml:space="preserve">. </w:t>
      </w:r>
      <w:r w:rsidR="00FD1C08">
        <w:rPr>
          <w:szCs w:val="20"/>
          <w:lang w:eastAsia="en-AU"/>
        </w:rPr>
        <w:t>The</w:t>
      </w:r>
      <w:r w:rsidR="00504ABA">
        <w:rPr>
          <w:szCs w:val="20"/>
          <w:lang w:eastAsia="en-AU"/>
        </w:rPr>
        <w:t xml:space="preserve"> OECD </w:t>
      </w:r>
      <w:r w:rsidR="00C27358">
        <w:rPr>
          <w:szCs w:val="20"/>
          <w:lang w:eastAsia="en-AU"/>
        </w:rPr>
        <w:t xml:space="preserve">hybrid mismatch report </w:t>
      </w:r>
      <w:r w:rsidR="00C85BC5">
        <w:rPr>
          <w:szCs w:val="20"/>
          <w:lang w:eastAsia="en-AU"/>
        </w:rPr>
        <w:t>outlines</w:t>
      </w:r>
      <w:r w:rsidR="00280D1B">
        <w:rPr>
          <w:szCs w:val="20"/>
          <w:lang w:eastAsia="en-AU"/>
        </w:rPr>
        <w:t xml:space="preserve"> three tracing and priority rules</w:t>
      </w:r>
      <w:r w:rsidR="00C27358">
        <w:rPr>
          <w:szCs w:val="20"/>
          <w:lang w:eastAsia="en-AU"/>
        </w:rPr>
        <w:t xml:space="preserve"> to determine the order and extent to which deductions should be denied for imported hybrid mismatches</w:t>
      </w:r>
      <w:r w:rsidR="00E110CC">
        <w:rPr>
          <w:szCs w:val="20"/>
          <w:lang w:eastAsia="en-AU"/>
        </w:rPr>
        <w:t xml:space="preserve"> which should be applied in the following order</w:t>
      </w:r>
      <w:r w:rsidR="002D5667">
        <w:rPr>
          <w:szCs w:val="20"/>
          <w:lang w:eastAsia="en-AU"/>
        </w:rPr>
        <w:t xml:space="preserve">. </w:t>
      </w:r>
      <w:r w:rsidR="00461882">
        <w:rPr>
          <w:szCs w:val="20"/>
          <w:lang w:eastAsia="en-AU"/>
        </w:rPr>
        <w:t>This ordering is not c</w:t>
      </w:r>
      <w:r w:rsidR="00D23D3D">
        <w:rPr>
          <w:szCs w:val="20"/>
          <w:lang w:eastAsia="en-AU"/>
        </w:rPr>
        <w:t xml:space="preserve">odified in the legislation, although subsection (5) </w:t>
      </w:r>
      <w:r w:rsidR="00FD1C08">
        <w:rPr>
          <w:szCs w:val="20"/>
          <w:lang w:eastAsia="en-AU"/>
        </w:rPr>
        <w:t xml:space="preserve">states </w:t>
      </w:r>
      <w:r w:rsidR="00D23D3D">
        <w:rPr>
          <w:szCs w:val="20"/>
          <w:lang w:eastAsia="en-AU"/>
        </w:rPr>
        <w:t xml:space="preserve">that the amount </w:t>
      </w:r>
      <w:r w:rsidR="00FD1C08">
        <w:rPr>
          <w:szCs w:val="20"/>
          <w:lang w:eastAsia="en-AU"/>
        </w:rPr>
        <w:t>of deduction denied</w:t>
      </w:r>
      <w:r w:rsidR="00D23D3D">
        <w:rPr>
          <w:szCs w:val="20"/>
          <w:lang w:eastAsia="en-AU"/>
        </w:rPr>
        <w:t xml:space="preserve"> under unstructured hybrid mismatches should be determined consistently with the approach used in chapter 8 of the OECD hybrid mismatch report.</w:t>
      </w:r>
    </w:p>
    <w:p w14:paraId="2DE47885" w14:textId="77777777" w:rsidR="00E110CC" w:rsidRDefault="00E110CC" w:rsidP="00925A3A">
      <w:pPr>
        <w:rPr>
          <w:szCs w:val="20"/>
          <w:lang w:eastAsia="en-AU"/>
        </w:rPr>
      </w:pPr>
    </w:p>
    <w:p w14:paraId="30F04050" w14:textId="313A23CC" w:rsidR="00E110CC" w:rsidRDefault="00D6773F" w:rsidP="00925A3A">
      <w:pPr>
        <w:rPr>
          <w:i/>
          <w:szCs w:val="20"/>
          <w:lang w:eastAsia="en-AU"/>
        </w:rPr>
      </w:pPr>
      <w:r>
        <w:rPr>
          <w:i/>
          <w:szCs w:val="20"/>
          <w:lang w:eastAsia="en-AU"/>
        </w:rPr>
        <w:t>Structured imported mismatches</w:t>
      </w:r>
    </w:p>
    <w:p w14:paraId="0BE0072C" w14:textId="54240CAF" w:rsidR="00F72F62" w:rsidRDefault="00F72F62" w:rsidP="00925A3A">
      <w:pPr>
        <w:rPr>
          <w:szCs w:val="20"/>
          <w:lang w:eastAsia="en-AU"/>
        </w:rPr>
      </w:pPr>
    </w:p>
    <w:p w14:paraId="2C7FC8C0" w14:textId="37F169C4" w:rsidR="00E110CC" w:rsidRDefault="00865366" w:rsidP="00925A3A">
      <w:pPr>
        <w:rPr>
          <w:szCs w:val="20"/>
          <w:lang w:eastAsia="en-AU"/>
        </w:rPr>
      </w:pPr>
      <w:r>
        <w:rPr>
          <w:szCs w:val="20"/>
          <w:lang w:eastAsia="en-AU"/>
        </w:rPr>
        <w:t xml:space="preserve">The </w:t>
      </w:r>
      <w:r w:rsidR="009466AF">
        <w:rPr>
          <w:szCs w:val="20"/>
          <w:lang w:eastAsia="en-AU"/>
        </w:rPr>
        <w:t xml:space="preserve">structured </w:t>
      </w:r>
      <w:r>
        <w:rPr>
          <w:szCs w:val="20"/>
          <w:lang w:eastAsia="en-AU"/>
        </w:rPr>
        <w:t xml:space="preserve">imported mismatch rule </w:t>
      </w:r>
      <w:r w:rsidR="00FD1C08">
        <w:rPr>
          <w:szCs w:val="20"/>
          <w:lang w:eastAsia="en-AU"/>
        </w:rPr>
        <w:t>applies</w:t>
      </w:r>
      <w:r>
        <w:rPr>
          <w:szCs w:val="20"/>
          <w:lang w:eastAsia="en-AU"/>
        </w:rPr>
        <w:t xml:space="preserve"> first to deny deductions to the extent there is a payment made under a structured arrangement that results in a</w:t>
      </w:r>
      <w:r w:rsidR="00832339">
        <w:rPr>
          <w:szCs w:val="20"/>
          <w:lang w:eastAsia="en-AU"/>
        </w:rPr>
        <w:t>n overseas</w:t>
      </w:r>
      <w:r>
        <w:rPr>
          <w:szCs w:val="20"/>
          <w:lang w:eastAsia="en-AU"/>
        </w:rPr>
        <w:t xml:space="preserve"> hybrid mismatch under subsection (3)</w:t>
      </w:r>
      <w:r w:rsidR="002D5667">
        <w:rPr>
          <w:szCs w:val="20"/>
          <w:lang w:eastAsia="en-AU"/>
        </w:rPr>
        <w:t xml:space="preserve">. </w:t>
      </w:r>
      <w:r w:rsidR="007278E6">
        <w:rPr>
          <w:szCs w:val="20"/>
          <w:lang w:eastAsia="en-AU"/>
        </w:rPr>
        <w:t>This rule applies a tracing approach to determine the extent to which an imported mismatch payment made under a structured arrangement has funded a hybrid payment under the same arrangement.</w:t>
      </w:r>
    </w:p>
    <w:p w14:paraId="3D453635" w14:textId="77777777" w:rsidR="00E110CC" w:rsidRPr="00925A3A" w:rsidRDefault="00E110CC" w:rsidP="00925A3A">
      <w:pPr>
        <w:rPr>
          <w:szCs w:val="20"/>
          <w:lang w:eastAsia="en-AU"/>
        </w:rPr>
      </w:pPr>
    </w:p>
    <w:p w14:paraId="5A8120B2" w14:textId="77777777" w:rsidR="00BE51B7" w:rsidRDefault="00BE51B7">
      <w:pPr>
        <w:jc w:val="left"/>
        <w:rPr>
          <w:b/>
          <w:snapToGrid w:val="0"/>
          <w:sz w:val="20"/>
          <w:szCs w:val="20"/>
          <w:lang w:eastAsia="en-AU"/>
        </w:rPr>
      </w:pPr>
      <w:r>
        <w:rPr>
          <w:b/>
          <w:snapToGrid w:val="0"/>
          <w:sz w:val="20"/>
          <w:szCs w:val="20"/>
          <w:lang w:eastAsia="en-AU"/>
        </w:rPr>
        <w:br w:type="page"/>
      </w:r>
    </w:p>
    <w:p w14:paraId="233D5B88" w14:textId="05C18C6F" w:rsidR="007F55E0" w:rsidRDefault="007F55E0" w:rsidP="007F55E0">
      <w:pPr>
        <w:pBdr>
          <w:top w:val="single" w:sz="4" w:space="10" w:color="auto"/>
          <w:left w:val="single" w:sz="4" w:space="10" w:color="auto"/>
          <w:bottom w:val="single" w:sz="4" w:space="10" w:color="auto"/>
          <w:right w:val="single" w:sz="4" w:space="10" w:color="auto"/>
        </w:pBdr>
        <w:rPr>
          <w:b/>
          <w:snapToGrid w:val="0"/>
          <w:sz w:val="20"/>
          <w:szCs w:val="20"/>
          <w:lang w:eastAsia="en-AU"/>
        </w:rPr>
      </w:pPr>
      <w:r w:rsidRPr="00925A3A">
        <w:rPr>
          <w:b/>
          <w:snapToGrid w:val="0"/>
          <w:sz w:val="20"/>
          <w:szCs w:val="20"/>
          <w:lang w:eastAsia="en-AU"/>
        </w:rPr>
        <w:lastRenderedPageBreak/>
        <w:t>Example</w:t>
      </w:r>
      <w:r w:rsidR="00F32C8B">
        <w:rPr>
          <w:b/>
          <w:snapToGrid w:val="0"/>
          <w:sz w:val="20"/>
          <w:szCs w:val="20"/>
          <w:lang w:eastAsia="en-AU"/>
        </w:rPr>
        <w:t xml:space="preserve"> </w:t>
      </w:r>
      <w:r w:rsidR="00824EF8">
        <w:rPr>
          <w:b/>
          <w:snapToGrid w:val="0"/>
          <w:sz w:val="20"/>
          <w:szCs w:val="20"/>
          <w:lang w:eastAsia="en-AU"/>
        </w:rPr>
        <w:t>27: S</w:t>
      </w:r>
      <w:r w:rsidR="007278E6">
        <w:rPr>
          <w:b/>
          <w:snapToGrid w:val="0"/>
          <w:sz w:val="20"/>
          <w:szCs w:val="20"/>
          <w:lang w:eastAsia="en-AU"/>
        </w:rPr>
        <w:t>tructured imported mismatch rule</w:t>
      </w:r>
    </w:p>
    <w:p w14:paraId="03ED46CD" w14:textId="77777777" w:rsidR="00434903" w:rsidRDefault="00434903"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40C1EA82" w14:textId="549EBF97" w:rsidR="007E2C82" w:rsidRDefault="007E2C82"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 xml:space="preserve">In the example illustrated in the figure below, </w:t>
      </w:r>
      <w:r w:rsidR="00CC0A38">
        <w:rPr>
          <w:snapToGrid w:val="0"/>
          <w:sz w:val="20"/>
          <w:szCs w:val="20"/>
          <w:lang w:eastAsia="en-AU"/>
        </w:rPr>
        <w:t>A Co (a company resident in Country A) is the parent company of the ABCDE Group</w:t>
      </w:r>
      <w:r w:rsidR="002D5667">
        <w:rPr>
          <w:snapToGrid w:val="0"/>
          <w:sz w:val="20"/>
          <w:szCs w:val="20"/>
          <w:lang w:eastAsia="en-AU"/>
        </w:rPr>
        <w:t xml:space="preserve">. </w:t>
      </w:r>
      <w:r w:rsidR="00CC0A38">
        <w:rPr>
          <w:snapToGrid w:val="0"/>
          <w:sz w:val="20"/>
          <w:szCs w:val="20"/>
          <w:lang w:eastAsia="en-AU"/>
        </w:rPr>
        <w:t>A Co provides financing to B Co (a wholly-owned subsidiary of A Co resident in Country B) under a hybrid financial instrument</w:t>
      </w:r>
      <w:r w:rsidR="002D5667">
        <w:rPr>
          <w:snapToGrid w:val="0"/>
          <w:sz w:val="20"/>
          <w:szCs w:val="20"/>
          <w:lang w:eastAsia="en-AU"/>
        </w:rPr>
        <w:t xml:space="preserve">. </w:t>
      </w:r>
      <w:r>
        <w:rPr>
          <w:snapToGrid w:val="0"/>
          <w:sz w:val="20"/>
          <w:szCs w:val="20"/>
          <w:lang w:eastAsia="en-AU"/>
        </w:rPr>
        <w:t>Interest payments on the hybrid financial instrument</w:t>
      </w:r>
      <w:r w:rsidR="00CC0A38">
        <w:rPr>
          <w:snapToGrid w:val="0"/>
          <w:sz w:val="20"/>
          <w:szCs w:val="20"/>
          <w:lang w:eastAsia="en-AU"/>
        </w:rPr>
        <w:t xml:space="preserve"> are deductible under Country B law but not included in ordinary income under Country A law</w:t>
      </w:r>
      <w:r w:rsidR="002D5667">
        <w:rPr>
          <w:snapToGrid w:val="0"/>
          <w:sz w:val="20"/>
          <w:szCs w:val="20"/>
          <w:lang w:eastAsia="en-AU"/>
        </w:rPr>
        <w:t xml:space="preserve">. </w:t>
      </w:r>
      <w:r w:rsidR="00CC0A38">
        <w:rPr>
          <w:snapToGrid w:val="0"/>
          <w:sz w:val="20"/>
          <w:szCs w:val="20"/>
          <w:lang w:eastAsia="en-AU"/>
        </w:rPr>
        <w:t>B Co on-lends the money provided under the hybrid financial instrument to C Co and D Co (companies that are resident in Country C and Country D respectively)</w:t>
      </w:r>
      <w:r w:rsidR="002D5667">
        <w:rPr>
          <w:snapToGrid w:val="0"/>
          <w:sz w:val="20"/>
          <w:szCs w:val="20"/>
          <w:lang w:eastAsia="en-AU"/>
        </w:rPr>
        <w:t xml:space="preserve">. </w:t>
      </w:r>
      <w:r w:rsidR="00CC0A38">
        <w:rPr>
          <w:snapToGrid w:val="0"/>
          <w:sz w:val="20"/>
          <w:szCs w:val="20"/>
          <w:lang w:eastAsia="en-AU"/>
        </w:rPr>
        <w:t>C Co on</w:t>
      </w:r>
      <w:r>
        <w:rPr>
          <w:snapToGrid w:val="0"/>
          <w:sz w:val="20"/>
          <w:szCs w:val="20"/>
          <w:lang w:eastAsia="en-AU"/>
        </w:rPr>
        <w:t xml:space="preserve">-lends money to E Co (a wholly-owned subsidiary </w:t>
      </w:r>
      <w:r w:rsidR="00AD644A">
        <w:rPr>
          <w:snapToGrid w:val="0"/>
          <w:sz w:val="20"/>
          <w:szCs w:val="20"/>
          <w:lang w:eastAsia="en-AU"/>
        </w:rPr>
        <w:t>of C Co resident in New Zealand</w:t>
      </w:r>
      <w:r>
        <w:rPr>
          <w:snapToGrid w:val="0"/>
          <w:sz w:val="20"/>
          <w:szCs w:val="20"/>
          <w:lang w:eastAsia="en-AU"/>
        </w:rPr>
        <w:t>)</w:t>
      </w:r>
      <w:r w:rsidR="002D5667">
        <w:rPr>
          <w:snapToGrid w:val="0"/>
          <w:sz w:val="20"/>
          <w:szCs w:val="20"/>
          <w:lang w:eastAsia="en-AU"/>
        </w:rPr>
        <w:t>.</w:t>
      </w:r>
    </w:p>
    <w:p w14:paraId="6A4E545E" w14:textId="06077A6E" w:rsidR="002B5E5C" w:rsidRDefault="00CC0A38" w:rsidP="00DD36D5">
      <w:pPr>
        <w:pBdr>
          <w:top w:val="single" w:sz="4" w:space="10" w:color="auto"/>
          <w:left w:val="single" w:sz="4" w:space="10" w:color="auto"/>
          <w:bottom w:val="single" w:sz="4" w:space="10" w:color="auto"/>
          <w:right w:val="single" w:sz="4" w:space="10" w:color="auto"/>
        </w:pBdr>
        <w:jc w:val="center"/>
        <w:rPr>
          <w:snapToGrid w:val="0"/>
          <w:sz w:val="20"/>
          <w:szCs w:val="20"/>
          <w:lang w:eastAsia="en-AU"/>
        </w:rPr>
      </w:pPr>
      <w:r>
        <w:rPr>
          <w:noProof/>
        </w:rPr>
        <w:drawing>
          <wp:inline distT="0" distB="0" distL="0" distR="0" wp14:anchorId="3C927AD5" wp14:editId="5A7F13D8">
            <wp:extent cx="4276725" cy="394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276725" cy="3943350"/>
                    </a:xfrm>
                    <a:prstGeom prst="rect">
                      <a:avLst/>
                    </a:prstGeom>
                  </pic:spPr>
                </pic:pic>
              </a:graphicData>
            </a:graphic>
          </wp:inline>
        </w:drawing>
      </w:r>
    </w:p>
    <w:p w14:paraId="5A077D81" w14:textId="77777777" w:rsidR="007278E6" w:rsidRDefault="007278E6"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6C669228" w14:textId="4D751820" w:rsidR="00AD644A" w:rsidRDefault="007E2C82"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The loans are all part of the same intra-group financing arrangement</w:t>
      </w:r>
      <w:r w:rsidR="002D5667">
        <w:rPr>
          <w:snapToGrid w:val="0"/>
          <w:sz w:val="20"/>
          <w:szCs w:val="20"/>
          <w:lang w:eastAsia="en-AU"/>
        </w:rPr>
        <w:t xml:space="preserve">. </w:t>
      </w:r>
      <w:r>
        <w:rPr>
          <w:snapToGrid w:val="0"/>
          <w:sz w:val="20"/>
          <w:szCs w:val="20"/>
          <w:lang w:eastAsia="en-AU"/>
        </w:rPr>
        <w:t>The figure illustrates the group financing structure and the total gross amounts of interest payments made in each accounting period under this structure</w:t>
      </w:r>
      <w:r w:rsidR="002D5667">
        <w:rPr>
          <w:snapToGrid w:val="0"/>
          <w:sz w:val="20"/>
          <w:szCs w:val="20"/>
          <w:lang w:eastAsia="en-AU"/>
        </w:rPr>
        <w:t xml:space="preserve">. </w:t>
      </w:r>
      <w:r>
        <w:rPr>
          <w:snapToGrid w:val="0"/>
          <w:sz w:val="20"/>
          <w:szCs w:val="20"/>
          <w:lang w:eastAsia="en-AU"/>
        </w:rPr>
        <w:t xml:space="preserve">E Co is the only group entity </w:t>
      </w:r>
      <w:r w:rsidR="00AD644A">
        <w:rPr>
          <w:snapToGrid w:val="0"/>
          <w:sz w:val="20"/>
          <w:szCs w:val="20"/>
          <w:lang w:eastAsia="en-AU"/>
        </w:rPr>
        <w:t>resident in a country that has implemented the OECD hybrid and branch recommendations.</w:t>
      </w:r>
    </w:p>
    <w:p w14:paraId="3601EFA2" w14:textId="77777777" w:rsidR="00F679FA" w:rsidRPr="00F679FA" w:rsidRDefault="00F679FA"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0352F14C" w14:textId="77777777" w:rsidR="00AD644A" w:rsidRDefault="00AD644A" w:rsidP="007F55E0">
      <w:pPr>
        <w:pBdr>
          <w:top w:val="single" w:sz="4" w:space="10" w:color="auto"/>
          <w:left w:val="single" w:sz="4" w:space="10" w:color="auto"/>
          <w:bottom w:val="single" w:sz="4" w:space="10" w:color="auto"/>
          <w:right w:val="single" w:sz="4" w:space="10" w:color="auto"/>
        </w:pBdr>
        <w:rPr>
          <w:i/>
          <w:snapToGrid w:val="0"/>
          <w:sz w:val="20"/>
          <w:szCs w:val="20"/>
          <w:lang w:eastAsia="en-AU"/>
        </w:rPr>
      </w:pPr>
      <w:r>
        <w:rPr>
          <w:i/>
          <w:snapToGrid w:val="0"/>
          <w:sz w:val="20"/>
          <w:szCs w:val="20"/>
          <w:lang w:eastAsia="en-AU"/>
        </w:rPr>
        <w:t xml:space="preserve">Question </w:t>
      </w:r>
      <w:r w:rsidR="00FF6428">
        <w:rPr>
          <w:i/>
          <w:snapToGrid w:val="0"/>
          <w:sz w:val="20"/>
          <w:szCs w:val="20"/>
          <w:lang w:eastAsia="en-AU"/>
        </w:rPr>
        <w:t>1</w:t>
      </w:r>
    </w:p>
    <w:p w14:paraId="1FFFA31D" w14:textId="77777777" w:rsidR="00AD644A" w:rsidRDefault="00AD644A" w:rsidP="007F55E0">
      <w:pPr>
        <w:pBdr>
          <w:top w:val="single" w:sz="4" w:space="10" w:color="auto"/>
          <w:left w:val="single" w:sz="4" w:space="10" w:color="auto"/>
          <w:bottom w:val="single" w:sz="4" w:space="10" w:color="auto"/>
          <w:right w:val="single" w:sz="4" w:space="10" w:color="auto"/>
        </w:pBdr>
        <w:rPr>
          <w:i/>
          <w:snapToGrid w:val="0"/>
          <w:sz w:val="20"/>
          <w:szCs w:val="20"/>
          <w:lang w:eastAsia="en-AU"/>
        </w:rPr>
      </w:pPr>
    </w:p>
    <w:p w14:paraId="2D215359" w14:textId="0601D034" w:rsidR="00AD644A" w:rsidRDefault="00AD644A"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Whether the interest payments made by E Co to C Co are subject to adjustment under the imported mismatch rule in section FH 11 and, if so, the amount of the adjustment required under that rule.</w:t>
      </w:r>
    </w:p>
    <w:p w14:paraId="72875692" w14:textId="77777777" w:rsidR="00AD644A" w:rsidRDefault="00AD644A"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4D1105B1" w14:textId="77777777" w:rsidR="00AD644A" w:rsidRDefault="00AD644A"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r>
        <w:rPr>
          <w:i/>
          <w:snapToGrid w:val="0"/>
          <w:sz w:val="20"/>
          <w:szCs w:val="20"/>
          <w:lang w:eastAsia="en-AU"/>
        </w:rPr>
        <w:t>Answer</w:t>
      </w:r>
      <w:r w:rsidR="00FF6428">
        <w:rPr>
          <w:i/>
          <w:snapToGrid w:val="0"/>
          <w:sz w:val="20"/>
          <w:szCs w:val="20"/>
          <w:lang w:eastAsia="en-AU"/>
        </w:rPr>
        <w:t xml:space="preserve"> 1</w:t>
      </w:r>
    </w:p>
    <w:p w14:paraId="21142B73" w14:textId="77777777" w:rsidR="00AD644A" w:rsidRDefault="00AD644A"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1DD38D95" w14:textId="3E9B7B33" w:rsidR="00FF6428" w:rsidRDefault="00FF6428"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E Co’s imported mismatch payment to C Co and B Co’s payment under the hybrid financial instrument to A Co are payments made under the same structured imported mismatch arrangement</w:t>
      </w:r>
      <w:r w:rsidR="002D5667">
        <w:rPr>
          <w:snapToGrid w:val="0"/>
          <w:sz w:val="20"/>
          <w:szCs w:val="20"/>
          <w:lang w:eastAsia="en-AU"/>
        </w:rPr>
        <w:t xml:space="preserve">. </w:t>
      </w:r>
      <w:r>
        <w:rPr>
          <w:snapToGrid w:val="0"/>
          <w:sz w:val="20"/>
          <w:szCs w:val="20"/>
          <w:lang w:eastAsia="en-AU"/>
        </w:rPr>
        <w:t xml:space="preserve">New Zealand should, therefore, deny the full amount of the interest deduction </w:t>
      </w:r>
      <w:r w:rsidR="007F3304">
        <w:rPr>
          <w:snapToGrid w:val="0"/>
          <w:sz w:val="20"/>
          <w:szCs w:val="20"/>
          <w:lang w:eastAsia="en-AU"/>
        </w:rPr>
        <w:t>(</w:t>
      </w:r>
      <w:r w:rsidR="00B272C8">
        <w:rPr>
          <w:snapToGrid w:val="0"/>
          <w:sz w:val="20"/>
          <w:szCs w:val="20"/>
          <w:lang w:eastAsia="en-AU"/>
        </w:rPr>
        <w:t>40</w:t>
      </w:r>
      <w:r w:rsidR="007F3304">
        <w:rPr>
          <w:snapToGrid w:val="0"/>
          <w:sz w:val="20"/>
          <w:szCs w:val="20"/>
          <w:lang w:eastAsia="en-AU"/>
        </w:rPr>
        <w:t xml:space="preserve">) </w:t>
      </w:r>
      <w:r>
        <w:rPr>
          <w:snapToGrid w:val="0"/>
          <w:sz w:val="20"/>
          <w:szCs w:val="20"/>
          <w:lang w:eastAsia="en-AU"/>
        </w:rPr>
        <w:t>under the structured imported mismatch rule under section FH 11.</w:t>
      </w:r>
    </w:p>
    <w:p w14:paraId="57EB4673" w14:textId="77777777" w:rsidR="00FF6428" w:rsidRDefault="00FF6428"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77FA81E4" w14:textId="6E51F1CD" w:rsidR="007F55E0" w:rsidRDefault="00FF6428"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New Zealand will still impose non-resident withholding tax at the applicable rate on the interest paid by E Co to C Co.</w:t>
      </w:r>
    </w:p>
    <w:p w14:paraId="6055F90B" w14:textId="77777777" w:rsidR="00FF6428" w:rsidRDefault="00FF6428"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5D400684" w14:textId="623A3F6D" w:rsidR="00FF6428" w:rsidRDefault="00D6773F" w:rsidP="007F55E0">
      <w:pPr>
        <w:pBdr>
          <w:top w:val="single" w:sz="4" w:space="10" w:color="auto"/>
          <w:left w:val="single" w:sz="4" w:space="10" w:color="auto"/>
          <w:bottom w:val="single" w:sz="4" w:space="10" w:color="auto"/>
          <w:right w:val="single" w:sz="4" w:space="10" w:color="auto"/>
        </w:pBdr>
        <w:rPr>
          <w:i/>
          <w:snapToGrid w:val="0"/>
          <w:sz w:val="20"/>
          <w:szCs w:val="20"/>
          <w:lang w:eastAsia="en-AU"/>
        </w:rPr>
      </w:pPr>
      <w:r>
        <w:rPr>
          <w:i/>
          <w:snapToGrid w:val="0"/>
          <w:sz w:val="20"/>
          <w:szCs w:val="20"/>
          <w:lang w:eastAsia="en-AU"/>
        </w:rPr>
        <w:t>Question 2</w:t>
      </w:r>
    </w:p>
    <w:p w14:paraId="7C46E8E4" w14:textId="77777777" w:rsidR="00FF6428" w:rsidRDefault="00FF6428" w:rsidP="007F55E0">
      <w:pPr>
        <w:pBdr>
          <w:top w:val="single" w:sz="4" w:space="10" w:color="auto"/>
          <w:left w:val="single" w:sz="4" w:space="10" w:color="auto"/>
          <w:bottom w:val="single" w:sz="4" w:space="10" w:color="auto"/>
          <w:right w:val="single" w:sz="4" w:space="10" w:color="auto"/>
        </w:pBdr>
        <w:rPr>
          <w:i/>
          <w:snapToGrid w:val="0"/>
          <w:sz w:val="20"/>
          <w:szCs w:val="20"/>
          <w:lang w:eastAsia="en-AU"/>
        </w:rPr>
      </w:pPr>
    </w:p>
    <w:p w14:paraId="47616518" w14:textId="15643E27" w:rsidR="00FF6428" w:rsidRDefault="00041EF8"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 xml:space="preserve">Whether the </w:t>
      </w:r>
      <w:r w:rsidR="00B272C8">
        <w:rPr>
          <w:snapToGrid w:val="0"/>
          <w:sz w:val="20"/>
          <w:szCs w:val="20"/>
          <w:lang w:eastAsia="en-AU"/>
        </w:rPr>
        <w:t xml:space="preserve">answer </w:t>
      </w:r>
      <w:r>
        <w:rPr>
          <w:snapToGrid w:val="0"/>
          <w:sz w:val="20"/>
          <w:szCs w:val="20"/>
          <w:lang w:eastAsia="en-AU"/>
        </w:rPr>
        <w:t xml:space="preserve">changes if Country C is </w:t>
      </w:r>
      <w:r w:rsidR="00390911">
        <w:rPr>
          <w:snapToGrid w:val="0"/>
          <w:sz w:val="20"/>
          <w:szCs w:val="20"/>
          <w:lang w:eastAsia="en-AU"/>
        </w:rPr>
        <w:t>a country that has</w:t>
      </w:r>
      <w:r>
        <w:rPr>
          <w:snapToGrid w:val="0"/>
          <w:sz w:val="20"/>
          <w:szCs w:val="20"/>
          <w:lang w:eastAsia="en-AU"/>
        </w:rPr>
        <w:t xml:space="preserve"> implemented the OECD </w:t>
      </w:r>
      <w:r w:rsidR="00D6773F">
        <w:rPr>
          <w:snapToGrid w:val="0"/>
          <w:sz w:val="20"/>
          <w:szCs w:val="20"/>
          <w:lang w:eastAsia="en-AU"/>
        </w:rPr>
        <w:t>recommendations</w:t>
      </w:r>
    </w:p>
    <w:p w14:paraId="7E7023B4" w14:textId="77777777" w:rsidR="00041EF8" w:rsidRDefault="00041EF8"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2F16B65D" w14:textId="77777777" w:rsidR="00041EF8" w:rsidRDefault="00041EF8"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r>
        <w:rPr>
          <w:i/>
          <w:snapToGrid w:val="0"/>
          <w:sz w:val="20"/>
          <w:szCs w:val="20"/>
          <w:lang w:eastAsia="en-AU"/>
        </w:rPr>
        <w:t>Answer 2</w:t>
      </w:r>
    </w:p>
    <w:p w14:paraId="155EDEEF" w14:textId="77777777" w:rsidR="00047216" w:rsidRDefault="00047216"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739B45CC" w14:textId="333FFF87" w:rsidR="00047216" w:rsidRDefault="00047216"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lastRenderedPageBreak/>
        <w:t xml:space="preserve">E Co is no longer making a payment to a person in a foreign </w:t>
      </w:r>
      <w:r w:rsidR="000428DE">
        <w:rPr>
          <w:snapToGrid w:val="0"/>
          <w:sz w:val="20"/>
          <w:szCs w:val="20"/>
          <w:lang w:eastAsia="en-AU"/>
        </w:rPr>
        <w:t>country</w:t>
      </w:r>
      <w:r>
        <w:rPr>
          <w:snapToGrid w:val="0"/>
          <w:sz w:val="20"/>
          <w:szCs w:val="20"/>
          <w:lang w:eastAsia="en-AU"/>
        </w:rPr>
        <w:t xml:space="preserve"> that does not have hybrid mismatch legislation (as C Co is in </w:t>
      </w:r>
      <w:r w:rsidR="00390911">
        <w:rPr>
          <w:snapToGrid w:val="0"/>
          <w:sz w:val="20"/>
          <w:szCs w:val="20"/>
          <w:lang w:eastAsia="en-AU"/>
        </w:rPr>
        <w:t xml:space="preserve">Country C </w:t>
      </w:r>
      <w:r>
        <w:rPr>
          <w:snapToGrid w:val="0"/>
          <w:sz w:val="20"/>
          <w:szCs w:val="20"/>
          <w:lang w:eastAsia="en-AU"/>
        </w:rPr>
        <w:t>which has implemented the OECD recommendations)</w:t>
      </w:r>
      <w:r w:rsidR="00832339">
        <w:rPr>
          <w:snapToGrid w:val="0"/>
          <w:sz w:val="20"/>
          <w:szCs w:val="20"/>
          <w:lang w:eastAsia="en-AU"/>
        </w:rPr>
        <w:t xml:space="preserve">, which means that section </w:t>
      </w:r>
      <w:r w:rsidR="00115FC7">
        <w:rPr>
          <w:snapToGrid w:val="0"/>
          <w:sz w:val="20"/>
          <w:szCs w:val="20"/>
          <w:lang w:eastAsia="en-AU"/>
        </w:rPr>
        <w:t>FH 11</w:t>
      </w:r>
      <w:r w:rsidR="00832339">
        <w:rPr>
          <w:snapToGrid w:val="0"/>
          <w:sz w:val="20"/>
          <w:szCs w:val="20"/>
          <w:lang w:eastAsia="en-AU"/>
        </w:rPr>
        <w:t xml:space="preserve"> will not apply</w:t>
      </w:r>
      <w:r w:rsidR="002D5667">
        <w:rPr>
          <w:snapToGrid w:val="0"/>
          <w:sz w:val="20"/>
          <w:szCs w:val="20"/>
          <w:lang w:eastAsia="en-AU"/>
        </w:rPr>
        <w:t xml:space="preserve">. </w:t>
      </w:r>
      <w:r w:rsidR="00832339">
        <w:rPr>
          <w:snapToGrid w:val="0"/>
          <w:sz w:val="20"/>
          <w:szCs w:val="20"/>
          <w:lang w:eastAsia="en-AU"/>
        </w:rPr>
        <w:t>This is because</w:t>
      </w:r>
      <w:r w:rsidR="00115FC7">
        <w:rPr>
          <w:snapToGrid w:val="0"/>
          <w:sz w:val="20"/>
          <w:szCs w:val="20"/>
          <w:lang w:eastAsia="en-AU"/>
        </w:rPr>
        <w:t xml:space="preserve"> the imported mismatch should</w:t>
      </w:r>
      <w:r w:rsidR="00832339">
        <w:rPr>
          <w:snapToGrid w:val="0"/>
          <w:sz w:val="20"/>
          <w:szCs w:val="20"/>
          <w:lang w:eastAsia="en-AU"/>
        </w:rPr>
        <w:t xml:space="preserve"> instead</w:t>
      </w:r>
      <w:r w:rsidR="00115FC7">
        <w:rPr>
          <w:snapToGrid w:val="0"/>
          <w:sz w:val="20"/>
          <w:szCs w:val="20"/>
          <w:lang w:eastAsia="en-AU"/>
        </w:rPr>
        <w:t xml:space="preserve"> be countered by C Co in </w:t>
      </w:r>
      <w:r w:rsidR="00390911">
        <w:rPr>
          <w:snapToGrid w:val="0"/>
          <w:sz w:val="20"/>
          <w:szCs w:val="20"/>
          <w:lang w:eastAsia="en-AU"/>
        </w:rPr>
        <w:t>Country C</w:t>
      </w:r>
      <w:r w:rsidR="00115FC7">
        <w:rPr>
          <w:snapToGrid w:val="0"/>
          <w:sz w:val="20"/>
          <w:szCs w:val="20"/>
          <w:lang w:eastAsia="en-AU"/>
        </w:rPr>
        <w:t>.</w:t>
      </w:r>
    </w:p>
    <w:p w14:paraId="26D18E2F" w14:textId="77777777" w:rsidR="00B272C8" w:rsidRDefault="00B272C8"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50486A47" w14:textId="77777777" w:rsidR="00B272C8" w:rsidRDefault="00B272C8"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r>
        <w:rPr>
          <w:i/>
          <w:snapToGrid w:val="0"/>
          <w:sz w:val="20"/>
          <w:szCs w:val="20"/>
          <w:lang w:eastAsia="en-AU"/>
        </w:rPr>
        <w:t>Question 3</w:t>
      </w:r>
    </w:p>
    <w:p w14:paraId="05221165" w14:textId="77777777" w:rsidR="00B272C8" w:rsidRDefault="00B272C8"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0701FCE1" w14:textId="77777777" w:rsidR="00B272C8" w:rsidRDefault="00B272C8"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Whether the answer changes if Country B is a country that has implemented the OECD recommendations.</w:t>
      </w:r>
    </w:p>
    <w:p w14:paraId="724EE527" w14:textId="77777777" w:rsidR="00B272C8" w:rsidRDefault="00B272C8"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57BA09D2" w14:textId="77777777" w:rsidR="00B272C8" w:rsidRDefault="00B272C8"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r>
        <w:rPr>
          <w:i/>
          <w:snapToGrid w:val="0"/>
          <w:sz w:val="20"/>
          <w:szCs w:val="20"/>
          <w:lang w:eastAsia="en-AU"/>
        </w:rPr>
        <w:t>Answer 3</w:t>
      </w:r>
    </w:p>
    <w:p w14:paraId="1717927C" w14:textId="77777777" w:rsidR="00B272C8" w:rsidRDefault="00B272C8"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7E5B66AD" w14:textId="77777777" w:rsidR="00B272C8" w:rsidRPr="00B272C8" w:rsidRDefault="00B272C8" w:rsidP="007F55E0">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 xml:space="preserve">If B Co is resident in a country that has implemented the OECD recommendations it should apply its hybrids rules so the payment from B Co to A Co is </w:t>
      </w:r>
      <w:r w:rsidR="00390911">
        <w:rPr>
          <w:snapToGrid w:val="0"/>
          <w:sz w:val="20"/>
          <w:szCs w:val="20"/>
          <w:lang w:eastAsia="en-AU"/>
        </w:rPr>
        <w:t>non-deductible. If this happens, there will be no hybrid mismatch for New Zealand to counteract.</w:t>
      </w:r>
    </w:p>
    <w:p w14:paraId="137EED91" w14:textId="77777777" w:rsidR="00925A3A" w:rsidRDefault="00925A3A" w:rsidP="00925A3A">
      <w:pPr>
        <w:jc w:val="left"/>
        <w:rPr>
          <w:szCs w:val="20"/>
          <w:lang w:eastAsia="en-AU"/>
        </w:rPr>
      </w:pPr>
    </w:p>
    <w:p w14:paraId="076C8AC0" w14:textId="59660743" w:rsidR="00F469E8" w:rsidRPr="00F469E8" w:rsidRDefault="00F469E8" w:rsidP="00925A3A">
      <w:pPr>
        <w:jc w:val="left"/>
        <w:rPr>
          <w:i/>
          <w:szCs w:val="20"/>
          <w:lang w:eastAsia="en-AU"/>
        </w:rPr>
      </w:pPr>
      <w:r>
        <w:rPr>
          <w:i/>
          <w:szCs w:val="20"/>
          <w:lang w:eastAsia="en-AU"/>
        </w:rPr>
        <w:t>Direct i</w:t>
      </w:r>
      <w:r w:rsidR="00D6773F">
        <w:rPr>
          <w:i/>
          <w:szCs w:val="20"/>
          <w:lang w:eastAsia="en-AU"/>
        </w:rPr>
        <w:t>mported mismatches</w:t>
      </w:r>
    </w:p>
    <w:p w14:paraId="6A13AEA1" w14:textId="77777777" w:rsidR="00F469E8" w:rsidRDefault="00F469E8" w:rsidP="00925A3A">
      <w:pPr>
        <w:jc w:val="left"/>
        <w:rPr>
          <w:szCs w:val="20"/>
          <w:lang w:eastAsia="en-AU"/>
        </w:rPr>
      </w:pPr>
    </w:p>
    <w:p w14:paraId="101F5040" w14:textId="66CE4854" w:rsidR="00F82ED6" w:rsidRDefault="00832339" w:rsidP="00D6773F">
      <w:pPr>
        <w:rPr>
          <w:szCs w:val="20"/>
          <w:lang w:eastAsia="en-AU"/>
        </w:rPr>
      </w:pPr>
      <w:r>
        <w:rPr>
          <w:szCs w:val="20"/>
          <w:lang w:eastAsia="en-AU"/>
        </w:rPr>
        <w:t xml:space="preserve">To the extent the overseas hybrid mismatch has not been neutralised by one or more </w:t>
      </w:r>
      <w:r w:rsidR="000428DE">
        <w:rPr>
          <w:szCs w:val="20"/>
          <w:lang w:eastAsia="en-AU"/>
        </w:rPr>
        <w:t xml:space="preserve">countries </w:t>
      </w:r>
      <w:r>
        <w:rPr>
          <w:szCs w:val="20"/>
          <w:lang w:eastAsia="en-AU"/>
        </w:rPr>
        <w:t>applying the structured imported mismatch rule,</w:t>
      </w:r>
      <w:r w:rsidR="00C52047">
        <w:rPr>
          <w:szCs w:val="20"/>
          <w:lang w:eastAsia="en-AU"/>
        </w:rPr>
        <w:t xml:space="preserve"> there is an unstructured imported mismatch, and subsection (4) applies</w:t>
      </w:r>
      <w:r w:rsidR="002D5667">
        <w:rPr>
          <w:szCs w:val="20"/>
          <w:lang w:eastAsia="en-AU"/>
        </w:rPr>
        <w:t xml:space="preserve">. </w:t>
      </w:r>
      <w:r w:rsidR="00C52047">
        <w:rPr>
          <w:szCs w:val="20"/>
          <w:lang w:eastAsia="en-AU"/>
        </w:rPr>
        <w:t>Subsections (4) and (5) provide that the amount denied should be determined consistent with the approach in chapter 8 of the hybrid mismatch report</w:t>
      </w:r>
      <w:r w:rsidR="002D5667">
        <w:rPr>
          <w:szCs w:val="20"/>
          <w:lang w:eastAsia="en-AU"/>
        </w:rPr>
        <w:t xml:space="preserve">. </w:t>
      </w:r>
      <w:r w:rsidR="00C52047">
        <w:rPr>
          <w:szCs w:val="20"/>
          <w:lang w:eastAsia="en-AU"/>
        </w:rPr>
        <w:t>Chapter 8 provides for a two rules to allocate unstructured imported hybrid mismatch payments</w:t>
      </w:r>
      <w:r w:rsidR="002D5667">
        <w:rPr>
          <w:szCs w:val="20"/>
          <w:lang w:eastAsia="en-AU"/>
        </w:rPr>
        <w:t xml:space="preserve">. </w:t>
      </w:r>
      <w:r w:rsidR="00C52047">
        <w:rPr>
          <w:szCs w:val="20"/>
          <w:lang w:eastAsia="en-AU"/>
        </w:rPr>
        <w:t xml:space="preserve">The </w:t>
      </w:r>
      <w:r w:rsidR="000A6F06">
        <w:rPr>
          <w:szCs w:val="20"/>
          <w:lang w:eastAsia="en-AU"/>
        </w:rPr>
        <w:t>first rule</w:t>
      </w:r>
      <w:r>
        <w:rPr>
          <w:szCs w:val="20"/>
          <w:lang w:eastAsia="en-AU"/>
        </w:rPr>
        <w:t xml:space="preserve"> </w:t>
      </w:r>
      <w:r w:rsidR="00461882">
        <w:rPr>
          <w:szCs w:val="20"/>
          <w:lang w:eastAsia="en-AU"/>
        </w:rPr>
        <w:t>is the direct imported mismatch rule</w:t>
      </w:r>
      <w:r w:rsidR="002D5667">
        <w:rPr>
          <w:szCs w:val="20"/>
          <w:lang w:eastAsia="en-AU"/>
        </w:rPr>
        <w:t xml:space="preserve">. </w:t>
      </w:r>
      <w:r w:rsidR="00461882">
        <w:rPr>
          <w:szCs w:val="20"/>
          <w:lang w:eastAsia="en-AU"/>
        </w:rPr>
        <w:t xml:space="preserve">This rule </w:t>
      </w:r>
      <w:r>
        <w:rPr>
          <w:szCs w:val="20"/>
          <w:lang w:eastAsia="en-AU"/>
        </w:rPr>
        <w:t>considers wheth</w:t>
      </w:r>
      <w:r w:rsidR="00461882">
        <w:rPr>
          <w:szCs w:val="20"/>
          <w:lang w:eastAsia="en-AU"/>
        </w:rPr>
        <w:t>er the foreign deduction from the overseas hybrid mismatch</w:t>
      </w:r>
      <w:r w:rsidR="0096751D">
        <w:rPr>
          <w:szCs w:val="20"/>
          <w:lang w:eastAsia="en-AU"/>
        </w:rPr>
        <w:t xml:space="preserve"> </w:t>
      </w:r>
      <w:r>
        <w:rPr>
          <w:szCs w:val="20"/>
          <w:lang w:eastAsia="en-AU"/>
        </w:rPr>
        <w:t>can be directly offset against an imported mismatch</w:t>
      </w:r>
      <w:r w:rsidR="00461882">
        <w:rPr>
          <w:szCs w:val="20"/>
          <w:lang w:eastAsia="en-AU"/>
        </w:rPr>
        <w:t xml:space="preserve"> payment that is</w:t>
      </w:r>
      <w:r w:rsidR="00390911">
        <w:rPr>
          <w:szCs w:val="20"/>
          <w:lang w:eastAsia="en-AU"/>
        </w:rPr>
        <w:t xml:space="preserve"> made by</w:t>
      </w:r>
      <w:r w:rsidR="00461882">
        <w:rPr>
          <w:szCs w:val="20"/>
          <w:lang w:eastAsia="en-AU"/>
        </w:rPr>
        <w:t xml:space="preserve"> a member of the same control group.</w:t>
      </w:r>
    </w:p>
    <w:p w14:paraId="1C566119" w14:textId="77777777" w:rsidR="00F82ED6" w:rsidRDefault="00F82ED6" w:rsidP="00D6773F">
      <w:pPr>
        <w:rPr>
          <w:szCs w:val="20"/>
          <w:lang w:eastAsia="en-AU"/>
        </w:rPr>
      </w:pPr>
    </w:p>
    <w:p w14:paraId="38D7B840" w14:textId="7567291B" w:rsidR="003C6A1B" w:rsidRDefault="00F82ED6" w:rsidP="00D6773F">
      <w:pPr>
        <w:rPr>
          <w:szCs w:val="20"/>
          <w:lang w:eastAsia="en-AU"/>
        </w:rPr>
      </w:pPr>
      <w:r>
        <w:rPr>
          <w:szCs w:val="20"/>
          <w:lang w:eastAsia="en-AU"/>
        </w:rPr>
        <w:t>The</w:t>
      </w:r>
      <w:r w:rsidR="0096751D">
        <w:rPr>
          <w:szCs w:val="20"/>
          <w:lang w:eastAsia="en-AU"/>
        </w:rPr>
        <w:t xml:space="preserve"> rule applies an apportionment approach</w:t>
      </w:r>
      <w:r w:rsidR="003C6A1B">
        <w:rPr>
          <w:szCs w:val="20"/>
          <w:lang w:eastAsia="en-AU"/>
        </w:rPr>
        <w:t xml:space="preserve"> to help determine the extent to which </w:t>
      </w:r>
      <w:r w:rsidR="00390911">
        <w:rPr>
          <w:szCs w:val="20"/>
          <w:lang w:eastAsia="en-AU"/>
        </w:rPr>
        <w:t xml:space="preserve">a country </w:t>
      </w:r>
      <w:r w:rsidR="003C6A1B">
        <w:rPr>
          <w:szCs w:val="20"/>
          <w:lang w:eastAsia="en-AU"/>
        </w:rPr>
        <w:t xml:space="preserve">should counter the overseas hybrid mismatch where </w:t>
      </w:r>
      <w:r w:rsidR="00390911">
        <w:rPr>
          <w:szCs w:val="20"/>
          <w:lang w:eastAsia="en-AU"/>
        </w:rPr>
        <w:t>more than one country has a</w:t>
      </w:r>
      <w:r>
        <w:rPr>
          <w:szCs w:val="20"/>
          <w:lang w:eastAsia="en-AU"/>
        </w:rPr>
        <w:t xml:space="preserve"> </w:t>
      </w:r>
      <w:r w:rsidR="003C6A1B">
        <w:rPr>
          <w:szCs w:val="20"/>
          <w:lang w:eastAsia="en-AU"/>
        </w:rPr>
        <w:t>direct imported mismatch</w:t>
      </w:r>
      <w:r w:rsidR="002D5667">
        <w:rPr>
          <w:szCs w:val="20"/>
          <w:lang w:eastAsia="en-AU"/>
        </w:rPr>
        <w:t xml:space="preserve">. </w:t>
      </w:r>
      <w:r w:rsidR="003C6A1B">
        <w:rPr>
          <w:szCs w:val="20"/>
          <w:lang w:eastAsia="en-AU"/>
        </w:rPr>
        <w:t xml:space="preserve">The intent </w:t>
      </w:r>
      <w:r>
        <w:rPr>
          <w:szCs w:val="20"/>
          <w:lang w:eastAsia="en-AU"/>
        </w:rPr>
        <w:t xml:space="preserve">of the apportionment approach </w:t>
      </w:r>
      <w:r w:rsidR="003C6A1B">
        <w:rPr>
          <w:szCs w:val="20"/>
          <w:lang w:eastAsia="en-AU"/>
        </w:rPr>
        <w:t xml:space="preserve">is to prevent more than one </w:t>
      </w:r>
      <w:r w:rsidR="000428DE">
        <w:rPr>
          <w:szCs w:val="20"/>
          <w:lang w:eastAsia="en-AU"/>
        </w:rPr>
        <w:t>country</w:t>
      </w:r>
      <w:r w:rsidR="003C6A1B">
        <w:rPr>
          <w:szCs w:val="20"/>
          <w:lang w:eastAsia="en-AU"/>
        </w:rPr>
        <w:t xml:space="preserve"> counteracting the same overseas hyb</w:t>
      </w:r>
      <w:r>
        <w:rPr>
          <w:szCs w:val="20"/>
          <w:lang w:eastAsia="en-AU"/>
        </w:rPr>
        <w:t xml:space="preserve">rid mismatch such that </w:t>
      </w:r>
      <w:r w:rsidR="00390911">
        <w:rPr>
          <w:szCs w:val="20"/>
          <w:lang w:eastAsia="en-AU"/>
        </w:rPr>
        <w:t>there would be</w:t>
      </w:r>
      <w:r>
        <w:rPr>
          <w:szCs w:val="20"/>
          <w:lang w:eastAsia="en-AU"/>
        </w:rPr>
        <w:t xml:space="preserve"> double taxation.</w:t>
      </w:r>
    </w:p>
    <w:p w14:paraId="46C4439F" w14:textId="77777777" w:rsidR="00461882" w:rsidRDefault="00461882" w:rsidP="00925A3A">
      <w:pPr>
        <w:jc w:val="left"/>
        <w:rPr>
          <w:szCs w:val="20"/>
          <w:lang w:eastAsia="en-AU"/>
        </w:rPr>
      </w:pPr>
    </w:p>
    <w:p w14:paraId="5494E071" w14:textId="77777777" w:rsidR="00D1380C" w:rsidRDefault="00D1380C" w:rsidP="00925A3A">
      <w:pPr>
        <w:jc w:val="left"/>
        <w:rPr>
          <w:szCs w:val="20"/>
          <w:lang w:eastAsia="en-AU"/>
        </w:rPr>
      </w:pPr>
    </w:p>
    <w:p w14:paraId="7262F277" w14:textId="3A79E73E" w:rsidR="00D23D3D" w:rsidRDefault="00D23D3D" w:rsidP="00D23D3D">
      <w:pPr>
        <w:pBdr>
          <w:top w:val="single" w:sz="4" w:space="10" w:color="auto"/>
          <w:left w:val="single" w:sz="4" w:space="10" w:color="auto"/>
          <w:bottom w:val="single" w:sz="4" w:space="10" w:color="auto"/>
          <w:right w:val="single" w:sz="4" w:space="10" w:color="auto"/>
        </w:pBdr>
        <w:rPr>
          <w:b/>
          <w:snapToGrid w:val="0"/>
          <w:sz w:val="20"/>
          <w:szCs w:val="20"/>
          <w:lang w:eastAsia="en-AU"/>
        </w:rPr>
      </w:pPr>
      <w:r w:rsidRPr="00925A3A">
        <w:rPr>
          <w:b/>
          <w:snapToGrid w:val="0"/>
          <w:sz w:val="20"/>
          <w:szCs w:val="20"/>
          <w:lang w:eastAsia="en-AU"/>
        </w:rPr>
        <w:t>Example</w:t>
      </w:r>
      <w:r w:rsidR="00F32C8B">
        <w:rPr>
          <w:b/>
          <w:snapToGrid w:val="0"/>
          <w:sz w:val="20"/>
          <w:szCs w:val="20"/>
          <w:lang w:eastAsia="en-AU"/>
        </w:rPr>
        <w:t xml:space="preserve"> </w:t>
      </w:r>
      <w:r w:rsidR="00824EF8">
        <w:rPr>
          <w:b/>
          <w:sz w:val="20"/>
          <w:szCs w:val="20"/>
          <w:lang w:eastAsia="en-AU"/>
        </w:rPr>
        <w:t>28: S</w:t>
      </w:r>
      <w:r w:rsidR="004A6077">
        <w:rPr>
          <w:b/>
          <w:snapToGrid w:val="0"/>
          <w:sz w:val="20"/>
          <w:szCs w:val="20"/>
          <w:lang w:eastAsia="en-AU"/>
        </w:rPr>
        <w:t xml:space="preserve">tructured imported mismatch rule and </w:t>
      </w:r>
      <w:r w:rsidR="00D6773F">
        <w:rPr>
          <w:b/>
          <w:snapToGrid w:val="0"/>
          <w:sz w:val="20"/>
          <w:szCs w:val="20"/>
          <w:lang w:eastAsia="en-AU"/>
        </w:rPr>
        <w:t>direct imported mismatch rule</w:t>
      </w:r>
    </w:p>
    <w:p w14:paraId="58FCB8EA" w14:textId="77777777" w:rsidR="00D23D3D" w:rsidRDefault="00D23D3D" w:rsidP="00D23D3D">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724EC23F" w14:textId="0E616A07" w:rsidR="00AA4E8C" w:rsidRDefault="004A6077" w:rsidP="00D23D3D">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 xml:space="preserve">The facts are the same as above, except that B Co already has an existing funding arrangement in place with D Co that is unconnected with the group financing structure and that C Co, D Co and E Co (the shaded entities) are all resident in </w:t>
      </w:r>
      <w:r w:rsidR="000428DE">
        <w:rPr>
          <w:snapToGrid w:val="0"/>
          <w:sz w:val="20"/>
          <w:szCs w:val="20"/>
          <w:lang w:eastAsia="en-AU"/>
        </w:rPr>
        <w:t xml:space="preserve">countries </w:t>
      </w:r>
      <w:r>
        <w:rPr>
          <w:snapToGrid w:val="0"/>
          <w:sz w:val="20"/>
          <w:szCs w:val="20"/>
          <w:lang w:eastAsia="en-AU"/>
        </w:rPr>
        <w:t>that have implemented the OECD hybrid and branch recommendations.</w:t>
      </w:r>
    </w:p>
    <w:p w14:paraId="527ED18A" w14:textId="77777777" w:rsidR="00AA4E8C" w:rsidRDefault="00AA4E8C" w:rsidP="00D23D3D">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66396F46" w14:textId="3830AFB6" w:rsidR="004A6077" w:rsidRDefault="00C52047" w:rsidP="00D23D3D">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A</w:t>
      </w:r>
      <w:r w:rsidR="004A6077">
        <w:rPr>
          <w:snapToGrid w:val="0"/>
          <w:sz w:val="20"/>
          <w:szCs w:val="20"/>
          <w:lang w:eastAsia="en-AU"/>
        </w:rPr>
        <w:t xml:space="preserve">ssume </w:t>
      </w:r>
      <w:r w:rsidR="00F16AF8">
        <w:rPr>
          <w:snapToGrid w:val="0"/>
          <w:sz w:val="20"/>
          <w:szCs w:val="20"/>
          <w:lang w:eastAsia="en-AU"/>
        </w:rPr>
        <w:t xml:space="preserve">in this example </w:t>
      </w:r>
      <w:r w:rsidR="004A6077">
        <w:rPr>
          <w:snapToGrid w:val="0"/>
          <w:sz w:val="20"/>
          <w:szCs w:val="20"/>
          <w:lang w:eastAsia="en-AU"/>
        </w:rPr>
        <w:t>that D Co is resident in New Zealand.</w:t>
      </w:r>
    </w:p>
    <w:p w14:paraId="446ECFF5" w14:textId="77777777" w:rsidR="004A6077" w:rsidRDefault="004A6077" w:rsidP="00D23D3D">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6A2CC9AF" w14:textId="57B316B6" w:rsidR="004A6077" w:rsidRDefault="004A6077" w:rsidP="00D23D3D">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The figure below illustrates the total gross interest payments made in each accounting period under the group’s financing structure.</w:t>
      </w:r>
    </w:p>
    <w:p w14:paraId="53423D0D" w14:textId="77777777" w:rsidR="004A6077" w:rsidRDefault="004A6077" w:rsidP="00D23D3D">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2F2D0CF1" w14:textId="55586FAE" w:rsidR="00461882" w:rsidRDefault="00E14BC2" w:rsidP="00DD36D5">
      <w:pPr>
        <w:pBdr>
          <w:top w:val="single" w:sz="4" w:space="10" w:color="auto"/>
          <w:left w:val="single" w:sz="4" w:space="10" w:color="auto"/>
          <w:bottom w:val="single" w:sz="4" w:space="10" w:color="auto"/>
          <w:right w:val="single" w:sz="4" w:space="10" w:color="auto"/>
        </w:pBdr>
        <w:jc w:val="center"/>
        <w:rPr>
          <w:noProof/>
        </w:rPr>
      </w:pPr>
      <w:r>
        <w:rPr>
          <w:noProof/>
        </w:rPr>
        <w:lastRenderedPageBreak/>
        <w:drawing>
          <wp:inline distT="0" distB="0" distL="0" distR="0" wp14:anchorId="582936D6" wp14:editId="402982C3">
            <wp:extent cx="4248150" cy="4238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248150" cy="4238625"/>
                    </a:xfrm>
                    <a:prstGeom prst="rect">
                      <a:avLst/>
                    </a:prstGeom>
                  </pic:spPr>
                </pic:pic>
              </a:graphicData>
            </a:graphic>
          </wp:inline>
        </w:drawing>
      </w:r>
    </w:p>
    <w:p w14:paraId="6E563EA2" w14:textId="77777777" w:rsidR="00572F5B" w:rsidRDefault="00572F5B" w:rsidP="00F16AF8">
      <w:pPr>
        <w:pBdr>
          <w:top w:val="single" w:sz="4" w:space="10" w:color="auto"/>
          <w:left w:val="single" w:sz="4" w:space="10" w:color="auto"/>
          <w:bottom w:val="single" w:sz="4" w:space="10" w:color="auto"/>
          <w:right w:val="single" w:sz="4" w:space="10" w:color="auto"/>
        </w:pBdr>
        <w:rPr>
          <w:noProof/>
        </w:rPr>
      </w:pPr>
    </w:p>
    <w:p w14:paraId="7DADB8D2" w14:textId="318F29B3" w:rsidR="00F16AF8" w:rsidRDefault="00F16AF8" w:rsidP="00F16AF8">
      <w:pPr>
        <w:pBdr>
          <w:top w:val="single" w:sz="4" w:space="10" w:color="auto"/>
          <w:left w:val="single" w:sz="4" w:space="10" w:color="auto"/>
          <w:bottom w:val="single" w:sz="4" w:space="10" w:color="auto"/>
          <w:right w:val="single" w:sz="4" w:space="10" w:color="auto"/>
        </w:pBdr>
        <w:rPr>
          <w:i/>
          <w:snapToGrid w:val="0"/>
          <w:sz w:val="20"/>
          <w:szCs w:val="20"/>
          <w:lang w:eastAsia="en-AU"/>
        </w:rPr>
      </w:pPr>
      <w:r>
        <w:rPr>
          <w:i/>
          <w:snapToGrid w:val="0"/>
          <w:sz w:val="20"/>
          <w:szCs w:val="20"/>
          <w:lang w:eastAsia="en-AU"/>
        </w:rPr>
        <w:t>Question</w:t>
      </w:r>
      <w:r w:rsidR="00C52047">
        <w:rPr>
          <w:i/>
          <w:snapToGrid w:val="0"/>
          <w:sz w:val="20"/>
          <w:szCs w:val="20"/>
          <w:lang w:eastAsia="en-AU"/>
        </w:rPr>
        <w:t>s</w:t>
      </w:r>
    </w:p>
    <w:p w14:paraId="0C9846C1" w14:textId="77777777" w:rsidR="00F16AF8" w:rsidRDefault="00F16AF8" w:rsidP="00F16AF8">
      <w:pPr>
        <w:pBdr>
          <w:top w:val="single" w:sz="4" w:space="10" w:color="auto"/>
          <w:left w:val="single" w:sz="4" w:space="10" w:color="auto"/>
          <w:bottom w:val="single" w:sz="4" w:space="10" w:color="auto"/>
          <w:right w:val="single" w:sz="4" w:space="10" w:color="auto"/>
        </w:pBdr>
        <w:rPr>
          <w:i/>
          <w:snapToGrid w:val="0"/>
          <w:sz w:val="20"/>
          <w:szCs w:val="20"/>
          <w:lang w:eastAsia="en-AU"/>
        </w:rPr>
      </w:pPr>
    </w:p>
    <w:p w14:paraId="48DF1455" w14:textId="23C0CE6E" w:rsidR="00F16AF8" w:rsidRDefault="00F16AF8" w:rsidP="00F16AF8">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Whether the interest payments made by C Co and E Co would be expected to be adjusted under the imported mismatch rule and, if so, the amount of the adjustment required under the rule.</w:t>
      </w:r>
    </w:p>
    <w:p w14:paraId="311BDFE4" w14:textId="77777777" w:rsidR="00F16AF8" w:rsidRDefault="00F16AF8" w:rsidP="00F16AF8">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1568ED98" w14:textId="6D7DDC89" w:rsidR="00F16AF8" w:rsidRDefault="00F16AF8" w:rsidP="00F16AF8">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Whether the interest payments made by D Co are subject to adjustment under the imported mismatch rule in section FH 11 and, if so, the amount of the adjustment required under the rule.</w:t>
      </w:r>
    </w:p>
    <w:p w14:paraId="756FA9CC" w14:textId="77777777" w:rsidR="00F82ED6" w:rsidRDefault="00F82ED6" w:rsidP="00F16AF8">
      <w:pPr>
        <w:pBdr>
          <w:top w:val="single" w:sz="4" w:space="10" w:color="auto"/>
          <w:left w:val="single" w:sz="4" w:space="10" w:color="auto"/>
          <w:bottom w:val="single" w:sz="4" w:space="10" w:color="auto"/>
          <w:right w:val="single" w:sz="4" w:space="10" w:color="auto"/>
        </w:pBdr>
        <w:rPr>
          <w:i/>
          <w:snapToGrid w:val="0"/>
          <w:sz w:val="20"/>
          <w:szCs w:val="20"/>
          <w:lang w:eastAsia="en-AU"/>
        </w:rPr>
      </w:pPr>
    </w:p>
    <w:p w14:paraId="57D1DF2F" w14:textId="77777777" w:rsidR="00F16AF8" w:rsidRDefault="00F16AF8" w:rsidP="00F16AF8">
      <w:pPr>
        <w:pBdr>
          <w:top w:val="single" w:sz="4" w:space="10" w:color="auto"/>
          <w:left w:val="single" w:sz="4" w:space="10" w:color="auto"/>
          <w:bottom w:val="single" w:sz="4" w:space="10" w:color="auto"/>
          <w:right w:val="single" w:sz="4" w:space="10" w:color="auto"/>
        </w:pBdr>
        <w:rPr>
          <w:i/>
          <w:snapToGrid w:val="0"/>
          <w:sz w:val="20"/>
          <w:szCs w:val="20"/>
          <w:lang w:eastAsia="en-AU"/>
        </w:rPr>
      </w:pPr>
      <w:r>
        <w:rPr>
          <w:i/>
          <w:snapToGrid w:val="0"/>
          <w:sz w:val="20"/>
          <w:szCs w:val="20"/>
          <w:lang w:eastAsia="en-AU"/>
        </w:rPr>
        <w:t>Answer</w:t>
      </w:r>
      <w:r w:rsidR="00C52047">
        <w:rPr>
          <w:i/>
          <w:snapToGrid w:val="0"/>
          <w:sz w:val="20"/>
          <w:szCs w:val="20"/>
          <w:lang w:eastAsia="en-AU"/>
        </w:rPr>
        <w:t>s</w:t>
      </w:r>
    </w:p>
    <w:p w14:paraId="296BF374" w14:textId="77777777" w:rsidR="00F16AF8" w:rsidRPr="00F16AF8" w:rsidRDefault="00F16AF8" w:rsidP="00F16AF8">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2D6779C4" w14:textId="6EA888E8" w:rsidR="00F16AF8" w:rsidRDefault="007F3304" w:rsidP="00F16AF8">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The structured imported rule should apply in Country C to deny the full amount of C Co’s interest deduction (80).</w:t>
      </w:r>
    </w:p>
    <w:p w14:paraId="75B718C2" w14:textId="77777777" w:rsidR="00C416F7" w:rsidRDefault="00C416F7" w:rsidP="00F16AF8">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0C3DD266" w14:textId="662E1321" w:rsidR="007F3304" w:rsidRDefault="007F3304" w:rsidP="00F16AF8">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The interest payment by E Co is made to a payee that is subject to the hybrid mismatch rules</w:t>
      </w:r>
      <w:r w:rsidR="002D5667">
        <w:rPr>
          <w:snapToGrid w:val="0"/>
          <w:sz w:val="20"/>
          <w:szCs w:val="20"/>
          <w:lang w:eastAsia="en-AU"/>
        </w:rPr>
        <w:t xml:space="preserve">. </w:t>
      </w:r>
      <w:r>
        <w:rPr>
          <w:snapToGrid w:val="0"/>
          <w:sz w:val="20"/>
          <w:szCs w:val="20"/>
          <w:lang w:eastAsia="en-AU"/>
        </w:rPr>
        <w:t>The payment should therefore not be an imported mismatch payment.</w:t>
      </w:r>
    </w:p>
    <w:p w14:paraId="3ABD59B6" w14:textId="77777777" w:rsidR="007F3304" w:rsidRDefault="007F3304" w:rsidP="00F16AF8">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0D277FF9" w14:textId="01609087" w:rsidR="00F16AF8" w:rsidRPr="00F16AF8" w:rsidRDefault="007F3304" w:rsidP="00F16AF8">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The interest payment made by D Co should not be treated as made under a structured arrangement unless the D Co loan and the other group financing arrangements were entered into as part of the same overall scheme, plan or understanding (in which cas</w:t>
      </w:r>
      <w:r w:rsidR="00F469E8">
        <w:rPr>
          <w:snapToGrid w:val="0"/>
          <w:sz w:val="20"/>
          <w:szCs w:val="20"/>
          <w:lang w:eastAsia="en-AU"/>
        </w:rPr>
        <w:t>e a structured arrangement would</w:t>
      </w:r>
      <w:r>
        <w:rPr>
          <w:snapToGrid w:val="0"/>
          <w:sz w:val="20"/>
          <w:szCs w:val="20"/>
          <w:lang w:eastAsia="en-AU"/>
        </w:rPr>
        <w:t xml:space="preserve"> arise)</w:t>
      </w:r>
      <w:r w:rsidR="002D5667">
        <w:rPr>
          <w:snapToGrid w:val="0"/>
          <w:sz w:val="20"/>
          <w:szCs w:val="20"/>
          <w:lang w:eastAsia="en-AU"/>
        </w:rPr>
        <w:t xml:space="preserve">. </w:t>
      </w:r>
      <w:r w:rsidR="00F914AD">
        <w:rPr>
          <w:snapToGrid w:val="0"/>
          <w:sz w:val="20"/>
          <w:szCs w:val="20"/>
          <w:lang w:eastAsia="en-AU"/>
        </w:rPr>
        <w:t xml:space="preserve">New Zealand </w:t>
      </w:r>
      <w:r>
        <w:rPr>
          <w:snapToGrid w:val="0"/>
          <w:sz w:val="20"/>
          <w:szCs w:val="20"/>
          <w:lang w:eastAsia="en-AU"/>
        </w:rPr>
        <w:t xml:space="preserve">should, however, apply the direct imported mismatch rule to deny half of the interest payment paid </w:t>
      </w:r>
      <w:r w:rsidR="00F469E8">
        <w:rPr>
          <w:snapToGrid w:val="0"/>
          <w:sz w:val="20"/>
          <w:szCs w:val="20"/>
          <w:lang w:eastAsia="en-AU"/>
        </w:rPr>
        <w:t xml:space="preserve">by D Co </w:t>
      </w:r>
      <w:r>
        <w:rPr>
          <w:snapToGrid w:val="0"/>
          <w:sz w:val="20"/>
          <w:szCs w:val="20"/>
          <w:lang w:eastAsia="en-AU"/>
        </w:rPr>
        <w:t>to B Co (40)</w:t>
      </w:r>
      <w:r w:rsidR="00C416F7">
        <w:rPr>
          <w:snapToGrid w:val="0"/>
          <w:sz w:val="20"/>
          <w:szCs w:val="20"/>
          <w:lang w:eastAsia="en-AU"/>
        </w:rPr>
        <w:t xml:space="preserve"> under subsections FH 11(4) and (5)</w:t>
      </w:r>
      <w:r>
        <w:rPr>
          <w:snapToGrid w:val="0"/>
          <w:sz w:val="20"/>
          <w:szCs w:val="20"/>
          <w:lang w:eastAsia="en-AU"/>
        </w:rPr>
        <w:t>.</w:t>
      </w:r>
    </w:p>
    <w:p w14:paraId="3F6539AA" w14:textId="77777777" w:rsidR="00461882" w:rsidRDefault="00461882" w:rsidP="00925A3A">
      <w:pPr>
        <w:jc w:val="left"/>
        <w:rPr>
          <w:szCs w:val="20"/>
          <w:lang w:eastAsia="en-AU"/>
        </w:rPr>
      </w:pPr>
    </w:p>
    <w:p w14:paraId="2962102B" w14:textId="77777777" w:rsidR="00461882" w:rsidRPr="00F469E8" w:rsidRDefault="00F469E8" w:rsidP="00925A3A">
      <w:pPr>
        <w:jc w:val="left"/>
        <w:rPr>
          <w:i/>
          <w:szCs w:val="20"/>
          <w:lang w:eastAsia="en-AU"/>
        </w:rPr>
      </w:pPr>
      <w:r w:rsidRPr="00F469E8">
        <w:rPr>
          <w:i/>
          <w:szCs w:val="20"/>
          <w:lang w:eastAsia="en-AU"/>
        </w:rPr>
        <w:t>Indirect imported mismatches</w:t>
      </w:r>
    </w:p>
    <w:p w14:paraId="3212FA31" w14:textId="77777777" w:rsidR="00461882" w:rsidRDefault="00461882" w:rsidP="00925A3A">
      <w:pPr>
        <w:jc w:val="left"/>
        <w:rPr>
          <w:szCs w:val="20"/>
          <w:lang w:eastAsia="en-AU"/>
        </w:rPr>
      </w:pPr>
    </w:p>
    <w:p w14:paraId="1D1508F6" w14:textId="26058317" w:rsidR="00F82ED6" w:rsidRDefault="007775B3" w:rsidP="00896B00">
      <w:pPr>
        <w:rPr>
          <w:szCs w:val="20"/>
          <w:lang w:eastAsia="en-AU"/>
        </w:rPr>
      </w:pPr>
      <w:r>
        <w:rPr>
          <w:szCs w:val="20"/>
          <w:lang w:eastAsia="en-AU"/>
        </w:rPr>
        <w:t xml:space="preserve">If the overseas hybrid mismatch has not been fully neutralised by one or more </w:t>
      </w:r>
      <w:r w:rsidR="000428DE">
        <w:rPr>
          <w:szCs w:val="20"/>
          <w:lang w:eastAsia="en-AU"/>
        </w:rPr>
        <w:t xml:space="preserve">countries </w:t>
      </w:r>
      <w:r>
        <w:rPr>
          <w:szCs w:val="20"/>
          <w:lang w:eastAsia="en-AU"/>
        </w:rPr>
        <w:t xml:space="preserve">applying the structured imported mismatch rule and direct imported mismatch rule, the </w:t>
      </w:r>
      <w:r w:rsidR="00A41EBC">
        <w:rPr>
          <w:szCs w:val="20"/>
          <w:lang w:eastAsia="en-AU"/>
        </w:rPr>
        <w:t>second unstructured</w:t>
      </w:r>
      <w:r>
        <w:rPr>
          <w:szCs w:val="20"/>
          <w:lang w:eastAsia="en-AU"/>
        </w:rPr>
        <w:t xml:space="preserve"> rule is the indirect imported </w:t>
      </w:r>
      <w:r w:rsidR="00F82ED6">
        <w:rPr>
          <w:szCs w:val="20"/>
          <w:lang w:eastAsia="en-AU"/>
        </w:rPr>
        <w:t xml:space="preserve">mismatch </w:t>
      </w:r>
      <w:r>
        <w:rPr>
          <w:szCs w:val="20"/>
          <w:lang w:eastAsia="en-AU"/>
        </w:rPr>
        <w:t>rule</w:t>
      </w:r>
      <w:r w:rsidR="002D5667">
        <w:rPr>
          <w:szCs w:val="20"/>
          <w:lang w:eastAsia="en-AU"/>
        </w:rPr>
        <w:t xml:space="preserve">. </w:t>
      </w:r>
      <w:r>
        <w:rPr>
          <w:szCs w:val="20"/>
          <w:lang w:eastAsia="en-AU"/>
        </w:rPr>
        <w:t xml:space="preserve">This rule applies a tracing methodology </w:t>
      </w:r>
      <w:r w:rsidR="003C6A1B">
        <w:rPr>
          <w:szCs w:val="20"/>
          <w:lang w:eastAsia="en-AU"/>
        </w:rPr>
        <w:t>to determine the extent to which the hybrid deduction from an overseas hybrid mismatch has been indirectly funded by imported mismatch payments from other group members.</w:t>
      </w:r>
    </w:p>
    <w:p w14:paraId="4B059311" w14:textId="77777777" w:rsidR="00F82ED6" w:rsidRDefault="00F82ED6" w:rsidP="00896B00">
      <w:pPr>
        <w:rPr>
          <w:szCs w:val="20"/>
          <w:lang w:eastAsia="en-AU"/>
        </w:rPr>
      </w:pPr>
    </w:p>
    <w:p w14:paraId="2FE7DAE1" w14:textId="0133AACB" w:rsidR="00F82ED6" w:rsidRDefault="00F82ED6" w:rsidP="00896B00">
      <w:pPr>
        <w:rPr>
          <w:szCs w:val="20"/>
          <w:lang w:eastAsia="en-AU"/>
        </w:rPr>
      </w:pPr>
      <w:r>
        <w:rPr>
          <w:szCs w:val="20"/>
          <w:lang w:eastAsia="en-AU"/>
        </w:rPr>
        <w:t xml:space="preserve">Like the direct imported mismatch rule, the indirect imported mismatch rule applies an apportionment approach to help determine the extent to which </w:t>
      </w:r>
      <w:r w:rsidR="000428DE">
        <w:rPr>
          <w:szCs w:val="20"/>
          <w:lang w:eastAsia="en-AU"/>
        </w:rPr>
        <w:t xml:space="preserve">countries </w:t>
      </w:r>
      <w:r>
        <w:rPr>
          <w:szCs w:val="20"/>
          <w:lang w:eastAsia="en-AU"/>
        </w:rPr>
        <w:t xml:space="preserve">should counter the overseas hybrid mismatch </w:t>
      </w:r>
      <w:r w:rsidR="00A12894">
        <w:rPr>
          <w:szCs w:val="20"/>
          <w:lang w:eastAsia="en-AU"/>
        </w:rPr>
        <w:t>which are</w:t>
      </w:r>
      <w:r>
        <w:rPr>
          <w:szCs w:val="20"/>
          <w:lang w:eastAsia="en-AU"/>
        </w:rPr>
        <w:t xml:space="preserve"> direct imported mismatches</w:t>
      </w:r>
      <w:r w:rsidR="00A12894">
        <w:rPr>
          <w:szCs w:val="20"/>
          <w:lang w:eastAsia="en-AU"/>
        </w:rPr>
        <w:t xml:space="preserve"> for other countries</w:t>
      </w:r>
      <w:r w:rsidR="002D5667">
        <w:rPr>
          <w:szCs w:val="20"/>
          <w:lang w:eastAsia="en-AU"/>
        </w:rPr>
        <w:t xml:space="preserve">. </w:t>
      </w:r>
      <w:r>
        <w:rPr>
          <w:szCs w:val="20"/>
          <w:lang w:eastAsia="en-AU"/>
        </w:rPr>
        <w:t xml:space="preserve">The intent of this approach is again to help prevent more than one </w:t>
      </w:r>
      <w:r w:rsidR="00A12894">
        <w:rPr>
          <w:szCs w:val="20"/>
          <w:lang w:eastAsia="en-AU"/>
        </w:rPr>
        <w:t>country</w:t>
      </w:r>
      <w:r>
        <w:rPr>
          <w:szCs w:val="20"/>
          <w:lang w:eastAsia="en-AU"/>
        </w:rPr>
        <w:t xml:space="preserve"> counteracting the same overseas hybrid mismatch such that it would result in double taxation.</w:t>
      </w:r>
    </w:p>
    <w:p w14:paraId="6CC4AC33" w14:textId="6E7329A3" w:rsidR="0096751D" w:rsidRDefault="0096751D" w:rsidP="00925A3A">
      <w:pPr>
        <w:jc w:val="left"/>
        <w:rPr>
          <w:szCs w:val="20"/>
          <w:lang w:eastAsia="en-AU"/>
        </w:rPr>
      </w:pPr>
    </w:p>
    <w:p w14:paraId="53114335" w14:textId="77777777" w:rsidR="00D1380C" w:rsidRDefault="00D1380C" w:rsidP="00925A3A">
      <w:pPr>
        <w:jc w:val="left"/>
        <w:rPr>
          <w:szCs w:val="20"/>
          <w:lang w:eastAsia="en-AU"/>
        </w:rPr>
      </w:pPr>
    </w:p>
    <w:p w14:paraId="500EFEC9" w14:textId="22320DF7" w:rsidR="009F31B9" w:rsidRDefault="009F31B9" w:rsidP="009F31B9">
      <w:pPr>
        <w:pBdr>
          <w:top w:val="single" w:sz="4" w:space="10" w:color="auto"/>
          <w:left w:val="single" w:sz="4" w:space="10" w:color="auto"/>
          <w:bottom w:val="single" w:sz="4" w:space="10" w:color="auto"/>
          <w:right w:val="single" w:sz="4" w:space="10" w:color="auto"/>
        </w:pBdr>
        <w:rPr>
          <w:b/>
          <w:snapToGrid w:val="0"/>
          <w:sz w:val="20"/>
          <w:szCs w:val="20"/>
          <w:lang w:eastAsia="en-AU"/>
        </w:rPr>
      </w:pPr>
      <w:r w:rsidRPr="00925A3A">
        <w:rPr>
          <w:b/>
          <w:snapToGrid w:val="0"/>
          <w:sz w:val="20"/>
          <w:szCs w:val="20"/>
          <w:lang w:eastAsia="en-AU"/>
        </w:rPr>
        <w:t>Example</w:t>
      </w:r>
      <w:r w:rsidR="00F32C8B">
        <w:rPr>
          <w:b/>
          <w:snapToGrid w:val="0"/>
          <w:sz w:val="20"/>
          <w:szCs w:val="20"/>
          <w:lang w:eastAsia="en-AU"/>
        </w:rPr>
        <w:t xml:space="preserve"> </w:t>
      </w:r>
      <w:r w:rsidR="00824EF8">
        <w:rPr>
          <w:b/>
          <w:sz w:val="20"/>
          <w:szCs w:val="20"/>
          <w:lang w:eastAsia="en-AU"/>
        </w:rPr>
        <w:t>29: D</w:t>
      </w:r>
      <w:r>
        <w:rPr>
          <w:b/>
          <w:snapToGrid w:val="0"/>
          <w:sz w:val="20"/>
          <w:szCs w:val="20"/>
          <w:lang w:eastAsia="en-AU"/>
        </w:rPr>
        <w:t xml:space="preserve">irect </w:t>
      </w:r>
      <w:r w:rsidR="00A41EBC">
        <w:rPr>
          <w:b/>
          <w:snapToGrid w:val="0"/>
          <w:sz w:val="20"/>
          <w:szCs w:val="20"/>
          <w:lang w:eastAsia="en-AU"/>
        </w:rPr>
        <w:t xml:space="preserve">and indirect </w:t>
      </w:r>
      <w:r w:rsidR="00896B00">
        <w:rPr>
          <w:b/>
          <w:snapToGrid w:val="0"/>
          <w:sz w:val="20"/>
          <w:szCs w:val="20"/>
          <w:lang w:eastAsia="en-AU"/>
        </w:rPr>
        <w:t>imported mismatch rule</w:t>
      </w:r>
    </w:p>
    <w:p w14:paraId="6A515256" w14:textId="77777777" w:rsidR="009F31B9" w:rsidRDefault="009F31B9" w:rsidP="009F31B9">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4CD0ADF8" w14:textId="455F64E9" w:rsidR="007775B3" w:rsidRDefault="009F31B9" w:rsidP="009F31B9">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The figure below</w:t>
      </w:r>
      <w:r w:rsidR="00D34B66">
        <w:rPr>
          <w:snapToGrid w:val="0"/>
          <w:sz w:val="20"/>
          <w:szCs w:val="20"/>
          <w:lang w:eastAsia="en-AU"/>
        </w:rPr>
        <w:t xml:space="preserve"> sets out the financing arrangements for companies that are members of the same group</w:t>
      </w:r>
      <w:r w:rsidR="002D5667">
        <w:rPr>
          <w:snapToGrid w:val="0"/>
          <w:sz w:val="20"/>
          <w:szCs w:val="20"/>
          <w:lang w:eastAsia="en-AU"/>
        </w:rPr>
        <w:t xml:space="preserve">. </w:t>
      </w:r>
      <w:r w:rsidR="00D34B66">
        <w:rPr>
          <w:snapToGrid w:val="0"/>
          <w:sz w:val="20"/>
          <w:szCs w:val="20"/>
          <w:lang w:eastAsia="en-AU"/>
        </w:rPr>
        <w:t>In this case A Co has lent money to C Co</w:t>
      </w:r>
      <w:r w:rsidR="002D5667">
        <w:rPr>
          <w:snapToGrid w:val="0"/>
          <w:sz w:val="20"/>
          <w:szCs w:val="20"/>
          <w:lang w:eastAsia="en-AU"/>
        </w:rPr>
        <w:t xml:space="preserve">. </w:t>
      </w:r>
      <w:r w:rsidR="00D34B66">
        <w:rPr>
          <w:snapToGrid w:val="0"/>
          <w:sz w:val="20"/>
          <w:szCs w:val="20"/>
          <w:lang w:eastAsia="en-AU"/>
        </w:rPr>
        <w:t>C Co has lent money to B Co and D Co and B Co and D Co have lent money to their subsidiaries</w:t>
      </w:r>
      <w:r w:rsidR="002D5667">
        <w:rPr>
          <w:snapToGrid w:val="0"/>
          <w:sz w:val="20"/>
          <w:szCs w:val="20"/>
          <w:lang w:eastAsia="en-AU"/>
        </w:rPr>
        <w:t xml:space="preserve">. </w:t>
      </w:r>
      <w:r w:rsidR="00D34B66">
        <w:rPr>
          <w:snapToGrid w:val="0"/>
          <w:sz w:val="20"/>
          <w:szCs w:val="20"/>
          <w:lang w:eastAsia="en-AU"/>
        </w:rPr>
        <w:t xml:space="preserve">Each company is tax resident in different </w:t>
      </w:r>
      <w:r w:rsidR="00A12894">
        <w:rPr>
          <w:snapToGrid w:val="0"/>
          <w:sz w:val="20"/>
          <w:szCs w:val="20"/>
          <w:lang w:eastAsia="en-AU"/>
        </w:rPr>
        <w:t>countries</w:t>
      </w:r>
      <w:r w:rsidR="00D34B66">
        <w:rPr>
          <w:snapToGrid w:val="0"/>
          <w:sz w:val="20"/>
          <w:szCs w:val="20"/>
          <w:lang w:eastAsia="en-AU"/>
        </w:rPr>
        <w:t>.</w:t>
      </w:r>
    </w:p>
    <w:p w14:paraId="7CAEDF2D" w14:textId="77777777" w:rsidR="007775B3" w:rsidRDefault="007775B3" w:rsidP="009F31B9">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5BB4CA9D" w14:textId="5FBBA5F7" w:rsidR="00C416F7" w:rsidRPr="008750FF" w:rsidRDefault="00C416F7" w:rsidP="00DD36D5">
      <w:pPr>
        <w:pBdr>
          <w:top w:val="single" w:sz="4" w:space="10" w:color="auto"/>
          <w:left w:val="single" w:sz="4" w:space="10" w:color="auto"/>
          <w:bottom w:val="single" w:sz="4" w:space="10" w:color="auto"/>
          <w:right w:val="single" w:sz="4" w:space="10" w:color="auto"/>
        </w:pBdr>
        <w:jc w:val="center"/>
        <w:rPr>
          <w:snapToGrid w:val="0"/>
          <w:sz w:val="20"/>
          <w:szCs w:val="20"/>
          <w:lang w:eastAsia="en-AU"/>
        </w:rPr>
      </w:pPr>
      <w:r>
        <w:rPr>
          <w:noProof/>
        </w:rPr>
        <w:drawing>
          <wp:inline distT="0" distB="0" distL="0" distR="0" wp14:anchorId="138A5693" wp14:editId="3D27EFD0">
            <wp:extent cx="4343400" cy="4219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343400" cy="4219575"/>
                    </a:xfrm>
                    <a:prstGeom prst="rect">
                      <a:avLst/>
                    </a:prstGeom>
                  </pic:spPr>
                </pic:pic>
              </a:graphicData>
            </a:graphic>
          </wp:inline>
        </w:drawing>
      </w:r>
    </w:p>
    <w:p w14:paraId="41CDE03F" w14:textId="68B6E880" w:rsidR="00E14BC2" w:rsidRDefault="00E14BC2" w:rsidP="009F31B9">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As illustrated in the diagram, the loan between A Co and C Co is a hybrid financial instrument</w:t>
      </w:r>
      <w:r w:rsidR="002D5667">
        <w:rPr>
          <w:snapToGrid w:val="0"/>
          <w:sz w:val="20"/>
          <w:szCs w:val="20"/>
          <w:lang w:eastAsia="en-AU"/>
        </w:rPr>
        <w:t xml:space="preserve">. </w:t>
      </w:r>
      <w:r>
        <w:rPr>
          <w:snapToGrid w:val="0"/>
          <w:sz w:val="20"/>
          <w:szCs w:val="20"/>
          <w:lang w:eastAsia="en-AU"/>
        </w:rPr>
        <w:t>The hybrid financial instrument is not, however, entered into as part of a structured arrangement</w:t>
      </w:r>
      <w:r w:rsidR="002D5667">
        <w:rPr>
          <w:snapToGrid w:val="0"/>
          <w:sz w:val="20"/>
          <w:szCs w:val="20"/>
          <w:lang w:eastAsia="en-AU"/>
        </w:rPr>
        <w:t xml:space="preserve">. </w:t>
      </w:r>
      <w:r>
        <w:rPr>
          <w:snapToGrid w:val="0"/>
          <w:sz w:val="20"/>
          <w:szCs w:val="20"/>
          <w:lang w:eastAsia="en-AU"/>
        </w:rPr>
        <w:t>The hybrid deduction arising under the hybrid financial instrument is 200</w:t>
      </w:r>
      <w:r w:rsidR="002D5667">
        <w:rPr>
          <w:snapToGrid w:val="0"/>
          <w:sz w:val="20"/>
          <w:szCs w:val="20"/>
          <w:lang w:eastAsia="en-AU"/>
        </w:rPr>
        <w:t xml:space="preserve">. </w:t>
      </w:r>
      <w:r>
        <w:rPr>
          <w:snapToGrid w:val="0"/>
          <w:sz w:val="20"/>
          <w:szCs w:val="20"/>
          <w:lang w:eastAsia="en-AU"/>
        </w:rPr>
        <w:t>E Co and F Co each make a deductible intra-group interest payment to B Co of 100 and D Co makes a deductible intra-group interest payment to C Co of 200</w:t>
      </w:r>
      <w:r w:rsidR="002D5667">
        <w:rPr>
          <w:snapToGrid w:val="0"/>
          <w:sz w:val="20"/>
          <w:szCs w:val="20"/>
          <w:lang w:eastAsia="en-AU"/>
        </w:rPr>
        <w:t xml:space="preserve">. </w:t>
      </w:r>
      <w:r>
        <w:rPr>
          <w:snapToGrid w:val="0"/>
          <w:sz w:val="20"/>
          <w:szCs w:val="20"/>
          <w:lang w:eastAsia="en-AU"/>
        </w:rPr>
        <w:t>D Co, E Co and F Co are the only entities in the group that are resident in a country that has implemented the OECD hybrid and branch recommendations.</w:t>
      </w:r>
    </w:p>
    <w:p w14:paraId="1220AA5B" w14:textId="77777777" w:rsidR="00AA4E8C" w:rsidRDefault="00AA4E8C" w:rsidP="009F31B9">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0A3413E4" w14:textId="0B643FCF" w:rsidR="00AA4E8C" w:rsidRPr="00E14BC2" w:rsidRDefault="00A41EBC" w:rsidP="009F31B9">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A</w:t>
      </w:r>
      <w:r w:rsidR="00AA4E8C">
        <w:rPr>
          <w:snapToGrid w:val="0"/>
          <w:sz w:val="20"/>
          <w:szCs w:val="20"/>
          <w:lang w:eastAsia="en-AU"/>
        </w:rPr>
        <w:t>ssume that E Co is resident in New Zealand.</w:t>
      </w:r>
    </w:p>
    <w:p w14:paraId="0AEBD977" w14:textId="77777777" w:rsidR="00E14BC2" w:rsidRDefault="00E14BC2" w:rsidP="009F31B9">
      <w:pPr>
        <w:pBdr>
          <w:top w:val="single" w:sz="4" w:space="10" w:color="auto"/>
          <w:left w:val="single" w:sz="4" w:space="10" w:color="auto"/>
          <w:bottom w:val="single" w:sz="4" w:space="10" w:color="auto"/>
          <w:right w:val="single" w:sz="4" w:space="10" w:color="auto"/>
        </w:pBdr>
        <w:rPr>
          <w:i/>
          <w:snapToGrid w:val="0"/>
          <w:sz w:val="20"/>
          <w:szCs w:val="20"/>
          <w:lang w:eastAsia="en-AU"/>
        </w:rPr>
      </w:pPr>
    </w:p>
    <w:p w14:paraId="15025039" w14:textId="1FF09EAD" w:rsidR="009F31B9" w:rsidRDefault="009F31B9" w:rsidP="009F31B9">
      <w:pPr>
        <w:pBdr>
          <w:top w:val="single" w:sz="4" w:space="10" w:color="auto"/>
          <w:left w:val="single" w:sz="4" w:space="10" w:color="auto"/>
          <w:bottom w:val="single" w:sz="4" w:space="10" w:color="auto"/>
          <w:right w:val="single" w:sz="4" w:space="10" w:color="auto"/>
        </w:pBdr>
        <w:rPr>
          <w:i/>
          <w:snapToGrid w:val="0"/>
          <w:sz w:val="20"/>
          <w:szCs w:val="20"/>
          <w:lang w:eastAsia="en-AU"/>
        </w:rPr>
      </w:pPr>
      <w:r>
        <w:rPr>
          <w:i/>
          <w:snapToGrid w:val="0"/>
          <w:sz w:val="20"/>
          <w:szCs w:val="20"/>
          <w:lang w:eastAsia="en-AU"/>
        </w:rPr>
        <w:t>Question</w:t>
      </w:r>
      <w:r w:rsidR="00761631">
        <w:rPr>
          <w:i/>
          <w:snapToGrid w:val="0"/>
          <w:sz w:val="20"/>
          <w:szCs w:val="20"/>
          <w:lang w:eastAsia="en-AU"/>
        </w:rPr>
        <w:t xml:space="preserve"> 1</w:t>
      </w:r>
    </w:p>
    <w:p w14:paraId="14CC51B5" w14:textId="77777777" w:rsidR="00F914AD" w:rsidRDefault="00F914AD" w:rsidP="00F914AD">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7D674CAA" w14:textId="5F02F62A" w:rsidR="00F914AD" w:rsidRDefault="00F914AD" w:rsidP="00F914AD">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Whether the interest payments made by F Co and D Co would be expected to be adjusted under the imported mismatch rule and, if so, the amount of the adjustment required under the rule.</w:t>
      </w:r>
    </w:p>
    <w:p w14:paraId="7EF513A2" w14:textId="77777777" w:rsidR="00F914AD" w:rsidRDefault="00F914AD" w:rsidP="00F914AD">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1AFF340D" w14:textId="443A2285" w:rsidR="00F914AD" w:rsidRDefault="00F914AD" w:rsidP="00F914AD">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Whether the interest payments made by E Co are subject to adjustment under the imported mismatch rule in section FH 11 and, if so, the amount of the adjustment required under the rule.</w:t>
      </w:r>
    </w:p>
    <w:p w14:paraId="4B7C967C" w14:textId="77777777" w:rsidR="00F914AD" w:rsidRDefault="00F914AD" w:rsidP="009F31B9">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05A602FE" w14:textId="0D37EE66" w:rsidR="009F31B9" w:rsidRDefault="009F31B9" w:rsidP="009F31B9">
      <w:pPr>
        <w:pBdr>
          <w:top w:val="single" w:sz="4" w:space="10" w:color="auto"/>
          <w:left w:val="single" w:sz="4" w:space="10" w:color="auto"/>
          <w:bottom w:val="single" w:sz="4" w:space="10" w:color="auto"/>
          <w:right w:val="single" w:sz="4" w:space="10" w:color="auto"/>
        </w:pBdr>
        <w:rPr>
          <w:i/>
          <w:snapToGrid w:val="0"/>
          <w:sz w:val="20"/>
          <w:szCs w:val="20"/>
          <w:lang w:eastAsia="en-AU"/>
        </w:rPr>
      </w:pPr>
      <w:r>
        <w:rPr>
          <w:i/>
          <w:snapToGrid w:val="0"/>
          <w:sz w:val="20"/>
          <w:szCs w:val="20"/>
          <w:lang w:eastAsia="en-AU"/>
        </w:rPr>
        <w:lastRenderedPageBreak/>
        <w:t>Answer</w:t>
      </w:r>
      <w:r w:rsidR="00761631">
        <w:rPr>
          <w:i/>
          <w:snapToGrid w:val="0"/>
          <w:sz w:val="20"/>
          <w:szCs w:val="20"/>
          <w:lang w:eastAsia="en-AU"/>
        </w:rPr>
        <w:t xml:space="preserve"> 1</w:t>
      </w:r>
    </w:p>
    <w:p w14:paraId="4CCD8BFC" w14:textId="77777777" w:rsidR="00F914AD" w:rsidRDefault="00F914AD" w:rsidP="009F31B9">
      <w:pPr>
        <w:pBdr>
          <w:top w:val="single" w:sz="4" w:space="10" w:color="auto"/>
          <w:left w:val="single" w:sz="4" w:space="10" w:color="auto"/>
          <w:bottom w:val="single" w:sz="4" w:space="10" w:color="auto"/>
          <w:right w:val="single" w:sz="4" w:space="10" w:color="auto"/>
        </w:pBdr>
        <w:rPr>
          <w:i/>
          <w:snapToGrid w:val="0"/>
          <w:sz w:val="20"/>
          <w:szCs w:val="20"/>
          <w:lang w:eastAsia="en-AU"/>
        </w:rPr>
      </w:pPr>
    </w:p>
    <w:p w14:paraId="048027DB" w14:textId="1E7CA6DD" w:rsidR="00761631" w:rsidRDefault="00F82ED6" w:rsidP="009F31B9">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The direct imported mismatch rule should apply in Country D to deny D Co a deduction for all of the interest paid to C Co (200)</w:t>
      </w:r>
      <w:r w:rsidR="002D5667">
        <w:rPr>
          <w:snapToGrid w:val="0"/>
          <w:sz w:val="20"/>
          <w:szCs w:val="20"/>
          <w:lang w:eastAsia="en-AU"/>
        </w:rPr>
        <w:t xml:space="preserve">. </w:t>
      </w:r>
      <w:r>
        <w:rPr>
          <w:snapToGrid w:val="0"/>
          <w:sz w:val="20"/>
          <w:szCs w:val="20"/>
          <w:lang w:eastAsia="en-AU"/>
        </w:rPr>
        <w:t>This fully counteracts the hybrid mismatch between C Co and A Co</w:t>
      </w:r>
      <w:r w:rsidR="002D5667">
        <w:rPr>
          <w:snapToGrid w:val="0"/>
          <w:sz w:val="20"/>
          <w:szCs w:val="20"/>
          <w:lang w:eastAsia="en-AU"/>
        </w:rPr>
        <w:t xml:space="preserve">. </w:t>
      </w:r>
      <w:r>
        <w:rPr>
          <w:snapToGrid w:val="0"/>
          <w:sz w:val="20"/>
          <w:szCs w:val="20"/>
          <w:lang w:eastAsia="en-AU"/>
        </w:rPr>
        <w:t>Therefore, E Co and F Co do not need to apply the indirect imported mismatch rule</w:t>
      </w:r>
      <w:r w:rsidR="00761631">
        <w:rPr>
          <w:snapToGrid w:val="0"/>
          <w:sz w:val="20"/>
          <w:szCs w:val="20"/>
          <w:lang w:eastAsia="en-AU"/>
        </w:rPr>
        <w:t xml:space="preserve"> (</w:t>
      </w:r>
      <w:r w:rsidR="0047243A">
        <w:rPr>
          <w:snapToGrid w:val="0"/>
          <w:sz w:val="20"/>
          <w:szCs w:val="20"/>
          <w:lang w:eastAsia="en-AU"/>
        </w:rPr>
        <w:t xml:space="preserve">that is, </w:t>
      </w:r>
      <w:r w:rsidR="00761631">
        <w:rPr>
          <w:snapToGrid w:val="0"/>
          <w:sz w:val="20"/>
          <w:szCs w:val="20"/>
          <w:lang w:eastAsia="en-AU"/>
        </w:rPr>
        <w:t>there is no counteraction required in New Zealand)</w:t>
      </w:r>
      <w:r>
        <w:rPr>
          <w:snapToGrid w:val="0"/>
          <w:sz w:val="20"/>
          <w:szCs w:val="20"/>
          <w:lang w:eastAsia="en-AU"/>
        </w:rPr>
        <w:t>.</w:t>
      </w:r>
    </w:p>
    <w:p w14:paraId="43859FDA" w14:textId="77777777" w:rsidR="00761631" w:rsidRDefault="00761631" w:rsidP="009F31B9">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785236DF" w14:textId="162243F7" w:rsidR="00761631" w:rsidRDefault="00896B00" w:rsidP="009F31B9">
      <w:pPr>
        <w:pBdr>
          <w:top w:val="single" w:sz="4" w:space="10" w:color="auto"/>
          <w:left w:val="single" w:sz="4" w:space="10" w:color="auto"/>
          <w:bottom w:val="single" w:sz="4" w:space="10" w:color="auto"/>
          <w:right w:val="single" w:sz="4" w:space="10" w:color="auto"/>
        </w:pBdr>
        <w:rPr>
          <w:i/>
          <w:snapToGrid w:val="0"/>
          <w:sz w:val="20"/>
          <w:szCs w:val="20"/>
          <w:lang w:eastAsia="en-AU"/>
        </w:rPr>
      </w:pPr>
      <w:r>
        <w:rPr>
          <w:i/>
          <w:snapToGrid w:val="0"/>
          <w:sz w:val="20"/>
          <w:szCs w:val="20"/>
          <w:lang w:eastAsia="en-AU"/>
        </w:rPr>
        <w:t>Question 2</w:t>
      </w:r>
    </w:p>
    <w:p w14:paraId="05101090" w14:textId="77777777" w:rsidR="00761631" w:rsidRDefault="00761631" w:rsidP="009F31B9">
      <w:pPr>
        <w:pBdr>
          <w:top w:val="single" w:sz="4" w:space="10" w:color="auto"/>
          <w:left w:val="single" w:sz="4" w:space="10" w:color="auto"/>
          <w:bottom w:val="single" w:sz="4" w:space="10" w:color="auto"/>
          <w:right w:val="single" w:sz="4" w:space="10" w:color="auto"/>
        </w:pBdr>
        <w:rPr>
          <w:i/>
          <w:snapToGrid w:val="0"/>
          <w:sz w:val="20"/>
          <w:szCs w:val="20"/>
          <w:lang w:eastAsia="en-AU"/>
        </w:rPr>
      </w:pPr>
    </w:p>
    <w:p w14:paraId="5458080D" w14:textId="7FD26F23" w:rsidR="00F82ED6" w:rsidRDefault="00761631" w:rsidP="009F31B9">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Whether the above changes if the hybrid deduction arising under the hybrid financial instrument is 300 instead of 200.</w:t>
      </w:r>
    </w:p>
    <w:p w14:paraId="5039CD36" w14:textId="77777777" w:rsidR="00F82ED6" w:rsidRDefault="00F82ED6" w:rsidP="009F31B9">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54827F6F" w14:textId="77777777" w:rsidR="00761631" w:rsidRDefault="00761631" w:rsidP="009F31B9">
      <w:pPr>
        <w:pBdr>
          <w:top w:val="single" w:sz="4" w:space="10" w:color="auto"/>
          <w:left w:val="single" w:sz="4" w:space="10" w:color="auto"/>
          <w:bottom w:val="single" w:sz="4" w:space="10" w:color="auto"/>
          <w:right w:val="single" w:sz="4" w:space="10" w:color="auto"/>
        </w:pBdr>
        <w:rPr>
          <w:snapToGrid w:val="0"/>
          <w:sz w:val="20"/>
          <w:szCs w:val="20"/>
          <w:lang w:eastAsia="en-AU"/>
        </w:rPr>
      </w:pPr>
      <w:r>
        <w:rPr>
          <w:i/>
          <w:snapToGrid w:val="0"/>
          <w:sz w:val="20"/>
          <w:szCs w:val="20"/>
          <w:lang w:eastAsia="en-AU"/>
        </w:rPr>
        <w:t>Answer 2</w:t>
      </w:r>
    </w:p>
    <w:p w14:paraId="2D5FB7F7" w14:textId="77777777" w:rsidR="00761631" w:rsidRDefault="00761631" w:rsidP="009F31B9">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4C21551F" w14:textId="0C8D6D84" w:rsidR="00761631" w:rsidRDefault="00761631" w:rsidP="009F31B9">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The direct imported mismatch rule should still apply in Country D to deny D Co a deduction for all of the interest paid to C Co (200)</w:t>
      </w:r>
      <w:r w:rsidR="002D5667">
        <w:rPr>
          <w:snapToGrid w:val="0"/>
          <w:sz w:val="20"/>
          <w:szCs w:val="20"/>
          <w:lang w:eastAsia="en-AU"/>
        </w:rPr>
        <w:t xml:space="preserve">. </w:t>
      </w:r>
      <w:r>
        <w:rPr>
          <w:snapToGrid w:val="0"/>
          <w:sz w:val="20"/>
          <w:szCs w:val="20"/>
          <w:lang w:eastAsia="en-AU"/>
        </w:rPr>
        <w:t>This leaves 100 of the hybrid mismatch between C Co and A Co to counteract by E Co and F Co.</w:t>
      </w:r>
    </w:p>
    <w:p w14:paraId="35CB70A9" w14:textId="77777777" w:rsidR="00761631" w:rsidRDefault="00761631" w:rsidP="009F31B9">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58ADDA89" w14:textId="629AF002" w:rsidR="00F914AD" w:rsidRPr="00F914AD" w:rsidRDefault="00761631" w:rsidP="009F31B9">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E Co and F Co apply an apportionment methodology to each deny half of their interest deduction (50)</w:t>
      </w:r>
      <w:r w:rsidR="002D5667">
        <w:rPr>
          <w:snapToGrid w:val="0"/>
          <w:sz w:val="20"/>
          <w:szCs w:val="20"/>
          <w:lang w:eastAsia="en-AU"/>
        </w:rPr>
        <w:t xml:space="preserve">. </w:t>
      </w:r>
      <w:r>
        <w:rPr>
          <w:snapToGrid w:val="0"/>
          <w:sz w:val="20"/>
          <w:szCs w:val="20"/>
          <w:lang w:eastAsia="en-AU"/>
        </w:rPr>
        <w:t>This leaves the other half of their interest deduction (50) as deductible.</w:t>
      </w:r>
    </w:p>
    <w:p w14:paraId="0C89A8EC" w14:textId="77777777" w:rsidR="00832339" w:rsidRPr="00DD36D5" w:rsidRDefault="00832339" w:rsidP="00DD36D5"/>
    <w:p w14:paraId="1822267A" w14:textId="77777777" w:rsidR="00761631" w:rsidRPr="00DD36D5" w:rsidRDefault="00761631" w:rsidP="00DD36D5">
      <w:bookmarkStart w:id="13" w:name="_Toc500319043"/>
      <w:r w:rsidRPr="00DD36D5">
        <w:br w:type="page"/>
      </w:r>
    </w:p>
    <w:p w14:paraId="712AC765" w14:textId="77777777" w:rsidR="00925A3A" w:rsidRPr="00925A3A" w:rsidRDefault="00925A3A" w:rsidP="00925A3A">
      <w:pPr>
        <w:keepNext/>
        <w:pBdr>
          <w:bottom w:val="single" w:sz="4" w:space="6" w:color="auto"/>
        </w:pBdr>
        <w:jc w:val="left"/>
        <w:outlineLvl w:val="0"/>
        <w:rPr>
          <w:b/>
          <w:caps/>
          <w:sz w:val="26"/>
          <w:szCs w:val="20"/>
          <w:lang w:eastAsia="en-AU"/>
        </w:rPr>
      </w:pPr>
      <w:r w:rsidRPr="00925A3A">
        <w:rPr>
          <w:b/>
          <w:caps/>
          <w:sz w:val="26"/>
          <w:szCs w:val="20"/>
          <w:lang w:eastAsia="en-AU"/>
        </w:rPr>
        <w:lastRenderedPageBreak/>
        <w:t>Surplus assessable income</w:t>
      </w:r>
      <w:bookmarkEnd w:id="13"/>
    </w:p>
    <w:p w14:paraId="11306CEC" w14:textId="77777777" w:rsidR="00925A3A" w:rsidRPr="00925A3A" w:rsidRDefault="00925A3A" w:rsidP="00925A3A">
      <w:pPr>
        <w:rPr>
          <w:szCs w:val="20"/>
          <w:lang w:eastAsia="en-AU"/>
        </w:rPr>
      </w:pPr>
    </w:p>
    <w:p w14:paraId="09CF5DB3" w14:textId="77777777" w:rsidR="00925A3A" w:rsidRPr="00925A3A" w:rsidRDefault="00C97891" w:rsidP="00925A3A">
      <w:pPr>
        <w:rPr>
          <w:b/>
          <w:i/>
          <w:szCs w:val="20"/>
          <w:lang w:eastAsia="en-AU"/>
        </w:rPr>
      </w:pPr>
      <w:r>
        <w:rPr>
          <w:b/>
          <w:i/>
          <w:szCs w:val="20"/>
          <w:lang w:eastAsia="en-AU"/>
        </w:rPr>
        <w:t>Section FH 12</w:t>
      </w:r>
    </w:p>
    <w:p w14:paraId="734A45D6" w14:textId="77777777" w:rsidR="00925A3A" w:rsidRPr="00925A3A" w:rsidRDefault="00925A3A" w:rsidP="00925A3A">
      <w:pPr>
        <w:rPr>
          <w:szCs w:val="20"/>
          <w:lang w:eastAsia="en-AU"/>
        </w:rPr>
      </w:pPr>
    </w:p>
    <w:p w14:paraId="03660A39" w14:textId="77777777" w:rsidR="00C97891" w:rsidRPr="00925A3A" w:rsidRDefault="00C97891" w:rsidP="00C97891">
      <w:pPr>
        <w:rPr>
          <w:szCs w:val="20"/>
          <w:lang w:eastAsia="en-AU"/>
        </w:rPr>
      </w:pPr>
    </w:p>
    <w:p w14:paraId="7CA2DA56" w14:textId="77777777" w:rsidR="00C97891" w:rsidRPr="00925A3A" w:rsidRDefault="00C97891" w:rsidP="00C97891">
      <w:pPr>
        <w:keepNext/>
        <w:outlineLvl w:val="1"/>
        <w:rPr>
          <w:b/>
          <w:szCs w:val="20"/>
          <w:lang w:eastAsia="en-AU"/>
        </w:rPr>
      </w:pPr>
      <w:r w:rsidRPr="00925A3A">
        <w:rPr>
          <w:b/>
          <w:szCs w:val="20"/>
          <w:lang w:eastAsia="en-AU"/>
        </w:rPr>
        <w:t>Background</w:t>
      </w:r>
    </w:p>
    <w:p w14:paraId="0E9F06D6" w14:textId="77777777" w:rsidR="006F5299" w:rsidRDefault="006F5299" w:rsidP="00C97891">
      <w:pPr>
        <w:rPr>
          <w:snapToGrid w:val="0"/>
          <w:szCs w:val="20"/>
          <w:lang w:eastAsia="en-AU"/>
        </w:rPr>
      </w:pPr>
    </w:p>
    <w:p w14:paraId="05D6014F" w14:textId="41BA0678" w:rsidR="005C3302" w:rsidRDefault="00750DB8" w:rsidP="006F5299">
      <w:pPr>
        <w:rPr>
          <w:snapToGrid w:val="0"/>
          <w:szCs w:val="20"/>
          <w:lang w:eastAsia="en-AU"/>
        </w:rPr>
      </w:pPr>
      <w:r>
        <w:rPr>
          <w:snapToGrid w:val="0"/>
          <w:szCs w:val="20"/>
          <w:lang w:eastAsia="en-AU"/>
        </w:rPr>
        <w:t xml:space="preserve">Section FH 12 introduces the key OECD hybrids concept of ‘dual inclusion income’ which is referred to as </w:t>
      </w:r>
      <w:r w:rsidR="00F9462F">
        <w:rPr>
          <w:snapToGrid w:val="0"/>
          <w:szCs w:val="20"/>
          <w:lang w:eastAsia="en-AU"/>
        </w:rPr>
        <w:t>‘</w:t>
      </w:r>
      <w:r>
        <w:rPr>
          <w:snapToGrid w:val="0"/>
          <w:szCs w:val="20"/>
          <w:lang w:eastAsia="en-AU"/>
        </w:rPr>
        <w:t>surplus assessable income</w:t>
      </w:r>
      <w:r w:rsidR="00F9462F">
        <w:rPr>
          <w:snapToGrid w:val="0"/>
          <w:szCs w:val="20"/>
          <w:lang w:eastAsia="en-AU"/>
        </w:rPr>
        <w:t>’</w:t>
      </w:r>
      <w:r>
        <w:rPr>
          <w:snapToGrid w:val="0"/>
          <w:szCs w:val="20"/>
          <w:lang w:eastAsia="en-AU"/>
        </w:rPr>
        <w:t xml:space="preserve"> in the Act</w:t>
      </w:r>
      <w:r w:rsidR="002D5667">
        <w:rPr>
          <w:snapToGrid w:val="0"/>
          <w:szCs w:val="20"/>
          <w:lang w:eastAsia="en-AU"/>
        </w:rPr>
        <w:t xml:space="preserve">. </w:t>
      </w:r>
      <w:r w:rsidR="006F5299">
        <w:rPr>
          <w:snapToGrid w:val="0"/>
          <w:szCs w:val="20"/>
          <w:lang w:eastAsia="en-AU"/>
        </w:rPr>
        <w:t>It is important as deductible/not includible (D/NI) payments and double deduction (DD) payments do not result in double non-taxation</w:t>
      </w:r>
      <w:r w:rsidR="00AE1A70">
        <w:rPr>
          <w:snapToGrid w:val="0"/>
          <w:szCs w:val="20"/>
          <w:lang w:eastAsia="en-AU"/>
        </w:rPr>
        <w:t xml:space="preserve"> if they are deducted against dual inclusion income</w:t>
      </w:r>
      <w:r w:rsidR="006F5299">
        <w:rPr>
          <w:snapToGrid w:val="0"/>
          <w:szCs w:val="20"/>
          <w:lang w:eastAsia="en-AU"/>
        </w:rPr>
        <w:t>.</w:t>
      </w:r>
    </w:p>
    <w:p w14:paraId="7DFCE4B3" w14:textId="77777777" w:rsidR="005C3302" w:rsidRDefault="005C3302" w:rsidP="006F5299">
      <w:pPr>
        <w:rPr>
          <w:snapToGrid w:val="0"/>
          <w:szCs w:val="20"/>
          <w:lang w:eastAsia="en-AU"/>
        </w:rPr>
      </w:pPr>
    </w:p>
    <w:p w14:paraId="69DE9F49" w14:textId="0A78B3E3" w:rsidR="00F9462F" w:rsidRDefault="005C3302" w:rsidP="00C97891">
      <w:pPr>
        <w:rPr>
          <w:snapToGrid w:val="0"/>
          <w:szCs w:val="20"/>
          <w:lang w:eastAsia="en-AU"/>
        </w:rPr>
      </w:pPr>
      <w:r>
        <w:rPr>
          <w:snapToGrid w:val="0"/>
          <w:szCs w:val="20"/>
          <w:lang w:eastAsia="en-AU"/>
        </w:rPr>
        <w:t xml:space="preserve">For instance, consider a deductible hybrid payment under section FH 8 where a New Zealand company is the sole investor in a hybrid entity in a foreign </w:t>
      </w:r>
      <w:r w:rsidR="00A12894">
        <w:rPr>
          <w:snapToGrid w:val="0"/>
          <w:szCs w:val="20"/>
          <w:lang w:eastAsia="en-AU"/>
        </w:rPr>
        <w:t>country</w:t>
      </w:r>
      <w:r w:rsidR="002D5667">
        <w:rPr>
          <w:snapToGrid w:val="0"/>
          <w:szCs w:val="20"/>
          <w:lang w:eastAsia="en-AU"/>
        </w:rPr>
        <w:t xml:space="preserve">. </w:t>
      </w:r>
      <w:r>
        <w:rPr>
          <w:snapToGrid w:val="0"/>
          <w:szCs w:val="20"/>
          <w:lang w:eastAsia="en-AU"/>
        </w:rPr>
        <w:t xml:space="preserve">The hybrid entity makes payments that result in deductible expenditure in both New Zealand and the foreign </w:t>
      </w:r>
      <w:r w:rsidR="00A12894">
        <w:rPr>
          <w:snapToGrid w:val="0"/>
          <w:szCs w:val="20"/>
          <w:lang w:eastAsia="en-AU"/>
        </w:rPr>
        <w:t>country</w:t>
      </w:r>
      <w:r>
        <w:rPr>
          <w:snapToGrid w:val="0"/>
          <w:szCs w:val="20"/>
          <w:lang w:eastAsia="en-AU"/>
        </w:rPr>
        <w:t xml:space="preserve"> which results in denied deductions and a mismatch amount under subsection</w:t>
      </w:r>
      <w:r w:rsidR="00823F48">
        <w:rPr>
          <w:snapToGrid w:val="0"/>
          <w:szCs w:val="20"/>
          <w:lang w:eastAsia="en-AU"/>
        </w:rPr>
        <w:t>s</w:t>
      </w:r>
      <w:r>
        <w:rPr>
          <w:snapToGrid w:val="0"/>
          <w:szCs w:val="20"/>
          <w:lang w:eastAsia="en-AU"/>
        </w:rPr>
        <w:t xml:space="preserve"> FH 8(2) and (3)</w:t>
      </w:r>
      <w:r w:rsidR="002D5667">
        <w:rPr>
          <w:snapToGrid w:val="0"/>
          <w:szCs w:val="20"/>
          <w:lang w:eastAsia="en-AU"/>
        </w:rPr>
        <w:t xml:space="preserve">. </w:t>
      </w:r>
      <w:r>
        <w:rPr>
          <w:snapToGrid w:val="0"/>
          <w:szCs w:val="20"/>
          <w:lang w:eastAsia="en-AU"/>
        </w:rPr>
        <w:t xml:space="preserve">However, the hybrid entity derives significant income that is taxable in both </w:t>
      </w:r>
      <w:r w:rsidR="00A948EF">
        <w:rPr>
          <w:snapToGrid w:val="0"/>
          <w:szCs w:val="20"/>
          <w:lang w:eastAsia="en-AU"/>
        </w:rPr>
        <w:t>New Zealand</w:t>
      </w:r>
      <w:r>
        <w:rPr>
          <w:snapToGrid w:val="0"/>
          <w:szCs w:val="20"/>
          <w:lang w:eastAsia="en-AU"/>
        </w:rPr>
        <w:t xml:space="preserve"> </w:t>
      </w:r>
      <w:r w:rsidR="00A41EBC">
        <w:rPr>
          <w:snapToGrid w:val="0"/>
          <w:szCs w:val="20"/>
          <w:lang w:eastAsia="en-AU"/>
        </w:rPr>
        <w:t xml:space="preserve">(to the owner of the entity) </w:t>
      </w:r>
      <w:r>
        <w:rPr>
          <w:snapToGrid w:val="0"/>
          <w:szCs w:val="20"/>
          <w:lang w:eastAsia="en-AU"/>
        </w:rPr>
        <w:t xml:space="preserve">and the foreign </w:t>
      </w:r>
      <w:r w:rsidR="00A12894">
        <w:rPr>
          <w:snapToGrid w:val="0"/>
          <w:szCs w:val="20"/>
          <w:lang w:eastAsia="en-AU"/>
        </w:rPr>
        <w:t>country</w:t>
      </w:r>
      <w:r w:rsidR="002D5667">
        <w:rPr>
          <w:snapToGrid w:val="0"/>
          <w:szCs w:val="20"/>
          <w:lang w:eastAsia="en-AU"/>
        </w:rPr>
        <w:t xml:space="preserve">. </w:t>
      </w:r>
      <w:r>
        <w:rPr>
          <w:snapToGrid w:val="0"/>
          <w:szCs w:val="20"/>
          <w:lang w:eastAsia="en-AU"/>
        </w:rPr>
        <w:t>This means that the</w:t>
      </w:r>
      <w:r w:rsidR="00A41EBC">
        <w:rPr>
          <w:snapToGrid w:val="0"/>
          <w:szCs w:val="20"/>
          <w:lang w:eastAsia="en-AU"/>
        </w:rPr>
        <w:t xml:space="preserve">re </w:t>
      </w:r>
      <w:proofErr w:type="gramStart"/>
      <w:r w:rsidR="00A41EBC">
        <w:rPr>
          <w:snapToGrid w:val="0"/>
          <w:szCs w:val="20"/>
          <w:lang w:eastAsia="en-AU"/>
        </w:rPr>
        <w:t>is</w:t>
      </w:r>
      <w:proofErr w:type="gramEnd"/>
      <w:r>
        <w:rPr>
          <w:snapToGrid w:val="0"/>
          <w:szCs w:val="20"/>
          <w:lang w:eastAsia="en-AU"/>
        </w:rPr>
        <w:t xml:space="preserve"> </w:t>
      </w:r>
      <w:r w:rsidR="00823F48">
        <w:rPr>
          <w:snapToGrid w:val="0"/>
          <w:szCs w:val="20"/>
          <w:lang w:eastAsia="en-AU"/>
        </w:rPr>
        <w:t xml:space="preserve">net taxable profits in both </w:t>
      </w:r>
      <w:r w:rsidR="00A12894">
        <w:rPr>
          <w:snapToGrid w:val="0"/>
          <w:szCs w:val="20"/>
          <w:lang w:eastAsia="en-AU"/>
        </w:rPr>
        <w:t>countries</w:t>
      </w:r>
      <w:r w:rsidR="00851AAC">
        <w:rPr>
          <w:snapToGrid w:val="0"/>
          <w:szCs w:val="20"/>
          <w:lang w:eastAsia="en-AU"/>
        </w:rPr>
        <w:t xml:space="preserve">, and there is no potential for the double deductions to be utilised against income that is only subject to tax in one </w:t>
      </w:r>
      <w:r w:rsidR="00A12894">
        <w:rPr>
          <w:snapToGrid w:val="0"/>
          <w:szCs w:val="20"/>
          <w:lang w:eastAsia="en-AU"/>
        </w:rPr>
        <w:t>country</w:t>
      </w:r>
      <w:r w:rsidR="00851AAC">
        <w:rPr>
          <w:snapToGrid w:val="0"/>
          <w:szCs w:val="20"/>
          <w:lang w:eastAsia="en-AU"/>
        </w:rPr>
        <w:t>, so there is no tax mischief</w:t>
      </w:r>
      <w:r w:rsidR="00823F48">
        <w:rPr>
          <w:snapToGrid w:val="0"/>
          <w:szCs w:val="20"/>
          <w:lang w:eastAsia="en-AU"/>
        </w:rPr>
        <w:t>.</w:t>
      </w:r>
    </w:p>
    <w:p w14:paraId="1C91A1E4" w14:textId="77777777" w:rsidR="006F5299" w:rsidRDefault="006F5299" w:rsidP="00C97891">
      <w:pPr>
        <w:rPr>
          <w:snapToGrid w:val="0"/>
          <w:szCs w:val="20"/>
          <w:lang w:eastAsia="en-AU"/>
        </w:rPr>
      </w:pPr>
    </w:p>
    <w:p w14:paraId="19FC70A9" w14:textId="77777777" w:rsidR="006F5299" w:rsidRPr="00925A3A" w:rsidRDefault="006F5299" w:rsidP="006F5299">
      <w:pPr>
        <w:rPr>
          <w:snapToGrid w:val="0"/>
          <w:szCs w:val="20"/>
          <w:lang w:eastAsia="en-AU"/>
        </w:rPr>
      </w:pPr>
      <w:r w:rsidRPr="00925A3A">
        <w:rPr>
          <w:snapToGrid w:val="0"/>
          <w:szCs w:val="20"/>
          <w:lang w:eastAsia="en-AU"/>
        </w:rPr>
        <w:t>The purpose of section FH 12 is to reverse the denial of deductions (or inclusion of income, in the case of section FH 6) that arises und</w:t>
      </w:r>
      <w:r>
        <w:rPr>
          <w:snapToGrid w:val="0"/>
          <w:szCs w:val="20"/>
          <w:lang w:eastAsia="en-AU"/>
        </w:rPr>
        <w:t xml:space="preserve">er sections FH 5, FH 6 and FH 8 to </w:t>
      </w:r>
      <w:r w:rsidRPr="00925A3A">
        <w:rPr>
          <w:snapToGrid w:val="0"/>
          <w:szCs w:val="20"/>
          <w:lang w:eastAsia="en-AU"/>
        </w:rPr>
        <w:t xml:space="preserve">FH 10 where there is </w:t>
      </w:r>
      <w:r>
        <w:rPr>
          <w:snapToGrid w:val="0"/>
          <w:szCs w:val="20"/>
          <w:lang w:eastAsia="en-AU"/>
        </w:rPr>
        <w:t>surplus assessable income</w:t>
      </w:r>
      <w:r w:rsidRPr="00925A3A">
        <w:rPr>
          <w:snapToGrid w:val="0"/>
          <w:szCs w:val="20"/>
          <w:lang w:eastAsia="en-AU"/>
        </w:rPr>
        <w:t>.</w:t>
      </w:r>
    </w:p>
    <w:p w14:paraId="047ACC27" w14:textId="77777777" w:rsidR="00C97891" w:rsidRDefault="00C97891" w:rsidP="00925A3A">
      <w:pPr>
        <w:rPr>
          <w:snapToGrid w:val="0"/>
          <w:szCs w:val="20"/>
          <w:lang w:eastAsia="en-AU"/>
        </w:rPr>
      </w:pPr>
    </w:p>
    <w:p w14:paraId="75F6B5F4" w14:textId="77777777" w:rsidR="00851AAC" w:rsidRPr="00925A3A" w:rsidRDefault="00851AAC" w:rsidP="00925A3A">
      <w:pPr>
        <w:rPr>
          <w:szCs w:val="20"/>
          <w:lang w:eastAsia="en-AU"/>
        </w:rPr>
      </w:pPr>
    </w:p>
    <w:p w14:paraId="14AF3DEA" w14:textId="77777777" w:rsidR="00925A3A" w:rsidRPr="00925A3A" w:rsidRDefault="00C97891" w:rsidP="00925A3A">
      <w:pPr>
        <w:keepNext/>
        <w:outlineLvl w:val="1"/>
        <w:rPr>
          <w:b/>
          <w:szCs w:val="20"/>
          <w:lang w:eastAsia="en-AU"/>
        </w:rPr>
      </w:pPr>
      <w:r>
        <w:rPr>
          <w:b/>
          <w:szCs w:val="20"/>
          <w:lang w:eastAsia="en-AU"/>
        </w:rPr>
        <w:t>Summary</w:t>
      </w:r>
      <w:r w:rsidR="00851AAC">
        <w:rPr>
          <w:b/>
          <w:szCs w:val="20"/>
          <w:lang w:eastAsia="en-AU"/>
        </w:rPr>
        <w:t xml:space="preserve"> of legislative response</w:t>
      </w:r>
    </w:p>
    <w:p w14:paraId="21E6FF9E" w14:textId="77777777" w:rsidR="00925A3A" w:rsidRPr="00925A3A" w:rsidRDefault="00925A3A" w:rsidP="00925A3A">
      <w:pPr>
        <w:rPr>
          <w:szCs w:val="20"/>
          <w:lang w:eastAsia="en-AU"/>
        </w:rPr>
      </w:pPr>
    </w:p>
    <w:p w14:paraId="35E9206C" w14:textId="4E2A7F1B" w:rsidR="00925A3A" w:rsidRDefault="00925A3A" w:rsidP="00925A3A">
      <w:pPr>
        <w:rPr>
          <w:snapToGrid w:val="0"/>
          <w:szCs w:val="20"/>
          <w:lang w:eastAsia="en-AU"/>
        </w:rPr>
      </w:pPr>
      <w:r w:rsidRPr="00925A3A">
        <w:rPr>
          <w:snapToGrid w:val="0"/>
          <w:szCs w:val="20"/>
          <w:lang w:eastAsia="en-AU"/>
        </w:rPr>
        <w:t>Section FH 12 allows a deduction for hybrid mismatch amounts to the extent that the person paying or deriving the amounts has income which is taxable in New Zealand and can be expected to also be taxed in the other country giving rise to the hybrid mismatch</w:t>
      </w:r>
      <w:r w:rsidR="002D5667">
        <w:rPr>
          <w:snapToGrid w:val="0"/>
          <w:szCs w:val="20"/>
          <w:lang w:eastAsia="en-AU"/>
        </w:rPr>
        <w:t xml:space="preserve">. </w:t>
      </w:r>
      <w:r w:rsidRPr="00925A3A">
        <w:rPr>
          <w:snapToGrid w:val="0"/>
          <w:szCs w:val="20"/>
          <w:lang w:eastAsia="en-AU"/>
        </w:rPr>
        <w:t>This income can arise in a different income year from the year the hybrid mismatch amount is disallowed.</w:t>
      </w:r>
    </w:p>
    <w:p w14:paraId="4B8DA8C6" w14:textId="77777777" w:rsidR="00C97891" w:rsidRDefault="00C97891" w:rsidP="00925A3A">
      <w:pPr>
        <w:rPr>
          <w:snapToGrid w:val="0"/>
          <w:szCs w:val="20"/>
          <w:lang w:eastAsia="en-AU"/>
        </w:rPr>
      </w:pPr>
    </w:p>
    <w:p w14:paraId="14909018" w14:textId="75F6D0FA" w:rsidR="00C97891" w:rsidRDefault="00C97891" w:rsidP="00C97891">
      <w:pPr>
        <w:rPr>
          <w:szCs w:val="20"/>
          <w:lang w:eastAsia="en-AU"/>
        </w:rPr>
      </w:pPr>
      <w:r w:rsidRPr="00925A3A">
        <w:rPr>
          <w:szCs w:val="20"/>
          <w:lang w:eastAsia="en-AU"/>
        </w:rPr>
        <w:t>Section FH 12 applies separately to each mismatch situation to which a person is party, but it applies to all mismatch amounts with respect to that situation</w:t>
      </w:r>
      <w:r w:rsidR="002D5667">
        <w:rPr>
          <w:szCs w:val="20"/>
          <w:lang w:eastAsia="en-AU"/>
        </w:rPr>
        <w:t xml:space="preserve">. </w:t>
      </w:r>
      <w:r w:rsidR="00851AAC">
        <w:rPr>
          <w:szCs w:val="20"/>
          <w:lang w:eastAsia="en-AU"/>
        </w:rPr>
        <w:t>Both mismatch amount and mismatch situation are discussed separately above</w:t>
      </w:r>
      <w:r w:rsidR="00AE1A70">
        <w:rPr>
          <w:szCs w:val="20"/>
          <w:lang w:eastAsia="en-AU"/>
        </w:rPr>
        <w:t xml:space="preserve"> in the definitions part of this special report</w:t>
      </w:r>
      <w:r w:rsidR="00851AAC">
        <w:rPr>
          <w:szCs w:val="20"/>
          <w:lang w:eastAsia="en-AU"/>
        </w:rPr>
        <w:t>.</w:t>
      </w:r>
    </w:p>
    <w:p w14:paraId="08F4AC3C" w14:textId="77777777" w:rsidR="00851AAC" w:rsidRDefault="00851AAC" w:rsidP="00C97891">
      <w:pPr>
        <w:rPr>
          <w:szCs w:val="20"/>
          <w:lang w:eastAsia="en-AU"/>
        </w:rPr>
      </w:pPr>
    </w:p>
    <w:p w14:paraId="2D802029" w14:textId="5C71B807" w:rsidR="00C97891" w:rsidRPr="00925A3A" w:rsidRDefault="00D83FBC" w:rsidP="00C97891">
      <w:pPr>
        <w:rPr>
          <w:szCs w:val="20"/>
          <w:lang w:eastAsia="en-AU"/>
        </w:rPr>
      </w:pPr>
      <w:r>
        <w:rPr>
          <w:szCs w:val="20"/>
          <w:lang w:eastAsia="en-AU"/>
        </w:rPr>
        <w:t xml:space="preserve">Section FH 12 </w:t>
      </w:r>
      <w:r w:rsidR="00AE1A70">
        <w:rPr>
          <w:szCs w:val="20"/>
          <w:lang w:eastAsia="en-AU"/>
        </w:rPr>
        <w:t>defines</w:t>
      </w:r>
      <w:r w:rsidR="00C97891" w:rsidRPr="00925A3A">
        <w:rPr>
          <w:szCs w:val="20"/>
          <w:lang w:eastAsia="en-AU"/>
        </w:rPr>
        <w:t xml:space="preserve"> surplus assessable income</w:t>
      </w:r>
      <w:r>
        <w:rPr>
          <w:szCs w:val="20"/>
          <w:lang w:eastAsia="en-AU"/>
        </w:rPr>
        <w:t xml:space="preserve"> through a formula</w:t>
      </w:r>
      <w:r w:rsidR="002D5667">
        <w:rPr>
          <w:szCs w:val="20"/>
          <w:lang w:eastAsia="en-AU"/>
        </w:rPr>
        <w:t xml:space="preserve">. </w:t>
      </w:r>
      <w:r>
        <w:rPr>
          <w:szCs w:val="20"/>
          <w:lang w:eastAsia="en-AU"/>
        </w:rPr>
        <w:t>Generally, it</w:t>
      </w:r>
      <w:r w:rsidR="00C97891" w:rsidRPr="00925A3A">
        <w:rPr>
          <w:szCs w:val="20"/>
          <w:lang w:eastAsia="en-AU"/>
        </w:rPr>
        <w:t xml:space="preserve"> is surplus assessable income from earlier years which has not been offset by deductions for mismatch amounts, plus assessable income arising during the year from the structure which can be expected to be taxed in the other country also</w:t>
      </w:r>
      <w:r w:rsidR="002D5667">
        <w:rPr>
          <w:szCs w:val="20"/>
          <w:lang w:eastAsia="en-AU"/>
        </w:rPr>
        <w:t xml:space="preserve">. </w:t>
      </w:r>
      <w:r w:rsidR="00851AAC">
        <w:rPr>
          <w:szCs w:val="20"/>
          <w:lang w:eastAsia="en-AU"/>
        </w:rPr>
        <w:t>There are adjustments for other items as well, including e</w:t>
      </w:r>
      <w:r w:rsidR="00C97891" w:rsidRPr="00925A3A">
        <w:rPr>
          <w:szCs w:val="20"/>
          <w:lang w:eastAsia="en-AU"/>
        </w:rPr>
        <w:t>xempt di</w:t>
      </w:r>
      <w:r>
        <w:rPr>
          <w:szCs w:val="20"/>
          <w:lang w:eastAsia="en-AU"/>
        </w:rPr>
        <w:t xml:space="preserve">vidends which can be included as surplus assessable income in </w:t>
      </w:r>
      <w:r w:rsidR="00C97891" w:rsidRPr="00925A3A">
        <w:rPr>
          <w:szCs w:val="20"/>
          <w:lang w:eastAsia="en-AU"/>
        </w:rPr>
        <w:t>some cases.</w:t>
      </w:r>
    </w:p>
    <w:p w14:paraId="275E9EBC" w14:textId="77777777" w:rsidR="00C97891" w:rsidRPr="00925A3A" w:rsidRDefault="00C97891" w:rsidP="00C97891">
      <w:pPr>
        <w:rPr>
          <w:szCs w:val="20"/>
          <w:lang w:eastAsia="en-AU"/>
        </w:rPr>
      </w:pPr>
    </w:p>
    <w:p w14:paraId="73FC63F7" w14:textId="5E6A09E6" w:rsidR="00C97891" w:rsidRPr="00925A3A" w:rsidRDefault="00C97891" w:rsidP="00C97891">
      <w:pPr>
        <w:rPr>
          <w:szCs w:val="20"/>
          <w:lang w:eastAsia="en-AU"/>
        </w:rPr>
      </w:pPr>
      <w:r w:rsidRPr="00925A3A">
        <w:rPr>
          <w:szCs w:val="20"/>
          <w:lang w:eastAsia="en-AU"/>
        </w:rPr>
        <w:t xml:space="preserve">The carry forward of surplus assessable income and hybrid mismatch amounts is subject to the usual </w:t>
      </w:r>
      <w:r w:rsidR="00E63EFC" w:rsidRPr="00094CD1">
        <w:rPr>
          <w:szCs w:val="20"/>
          <w:lang w:eastAsia="en-AU"/>
        </w:rPr>
        <w:t>f</w:t>
      </w:r>
      <w:r w:rsidR="00A415BC" w:rsidRPr="00094CD1">
        <w:rPr>
          <w:szCs w:val="20"/>
          <w:lang w:eastAsia="en-AU"/>
        </w:rPr>
        <w:t>o</w:t>
      </w:r>
      <w:r w:rsidR="00E63EFC" w:rsidRPr="00094CD1">
        <w:rPr>
          <w:szCs w:val="20"/>
          <w:lang w:eastAsia="en-AU"/>
        </w:rPr>
        <w:t>rty</w:t>
      </w:r>
      <w:r w:rsidR="00E63EFC">
        <w:rPr>
          <w:szCs w:val="20"/>
          <w:lang w:eastAsia="en-AU"/>
        </w:rPr>
        <w:t xml:space="preserve"> nine</w:t>
      </w:r>
      <w:r w:rsidRPr="00925A3A">
        <w:rPr>
          <w:szCs w:val="20"/>
          <w:lang w:eastAsia="en-AU"/>
        </w:rPr>
        <w:t xml:space="preserve"> percent ownership continuity test that applies to tax losses.</w:t>
      </w:r>
    </w:p>
    <w:p w14:paraId="3493FA7C" w14:textId="77777777" w:rsidR="00C97891" w:rsidRPr="00925A3A" w:rsidRDefault="00C97891" w:rsidP="00925A3A">
      <w:pPr>
        <w:rPr>
          <w:snapToGrid w:val="0"/>
          <w:szCs w:val="20"/>
          <w:lang w:eastAsia="en-AU"/>
        </w:rPr>
      </w:pPr>
    </w:p>
    <w:p w14:paraId="2BFD3559" w14:textId="77777777" w:rsidR="00925A3A" w:rsidRPr="00925A3A" w:rsidRDefault="00925A3A" w:rsidP="00925A3A">
      <w:pPr>
        <w:rPr>
          <w:szCs w:val="20"/>
          <w:lang w:eastAsia="en-AU"/>
        </w:rPr>
      </w:pPr>
    </w:p>
    <w:p w14:paraId="2BF46A0E" w14:textId="77777777" w:rsidR="00925A3A" w:rsidRPr="00925A3A" w:rsidRDefault="00925A3A" w:rsidP="00925A3A">
      <w:pPr>
        <w:keepNext/>
        <w:outlineLvl w:val="1"/>
        <w:rPr>
          <w:b/>
          <w:szCs w:val="20"/>
          <w:lang w:eastAsia="en-AU"/>
        </w:rPr>
      </w:pPr>
      <w:r w:rsidRPr="00925A3A">
        <w:rPr>
          <w:b/>
          <w:szCs w:val="20"/>
          <w:lang w:eastAsia="en-AU"/>
        </w:rPr>
        <w:t>Application date</w:t>
      </w:r>
    </w:p>
    <w:p w14:paraId="5A9562F1" w14:textId="77777777" w:rsidR="00925A3A" w:rsidRPr="00925A3A" w:rsidRDefault="00925A3A" w:rsidP="00925A3A">
      <w:pPr>
        <w:rPr>
          <w:szCs w:val="20"/>
          <w:lang w:eastAsia="en-AU"/>
        </w:rPr>
      </w:pPr>
    </w:p>
    <w:p w14:paraId="300198CF" w14:textId="77777777" w:rsidR="00925A3A" w:rsidRPr="00925A3A" w:rsidRDefault="00925A3A" w:rsidP="00925A3A">
      <w:pPr>
        <w:rPr>
          <w:szCs w:val="20"/>
          <w:lang w:eastAsia="en-AU"/>
        </w:rPr>
      </w:pPr>
      <w:r w:rsidRPr="00925A3A">
        <w:rPr>
          <w:szCs w:val="20"/>
          <w:lang w:eastAsia="en-AU"/>
        </w:rPr>
        <w:t>Section FH 12 applies to income years beginning on or after 1 July 2018.</w:t>
      </w:r>
    </w:p>
    <w:p w14:paraId="48500E32" w14:textId="77777777" w:rsidR="00925A3A" w:rsidRPr="00925A3A" w:rsidRDefault="00925A3A" w:rsidP="00925A3A">
      <w:pPr>
        <w:rPr>
          <w:szCs w:val="20"/>
          <w:lang w:eastAsia="en-AU"/>
        </w:rPr>
      </w:pPr>
    </w:p>
    <w:p w14:paraId="423D7B91" w14:textId="77777777" w:rsidR="00925A3A" w:rsidRPr="00925A3A" w:rsidRDefault="00925A3A" w:rsidP="00925A3A">
      <w:pPr>
        <w:rPr>
          <w:szCs w:val="20"/>
          <w:lang w:eastAsia="en-AU"/>
        </w:rPr>
      </w:pPr>
    </w:p>
    <w:p w14:paraId="4BBA36A0" w14:textId="77777777" w:rsidR="00925A3A" w:rsidRPr="00925A3A" w:rsidRDefault="00925A3A" w:rsidP="00925A3A">
      <w:pPr>
        <w:keepNext/>
        <w:outlineLvl w:val="1"/>
        <w:rPr>
          <w:b/>
          <w:szCs w:val="20"/>
          <w:lang w:eastAsia="en-AU"/>
        </w:rPr>
      </w:pPr>
      <w:r w:rsidRPr="00925A3A">
        <w:rPr>
          <w:b/>
          <w:szCs w:val="20"/>
          <w:lang w:eastAsia="en-AU"/>
        </w:rPr>
        <w:t>Detailed analysis</w:t>
      </w:r>
    </w:p>
    <w:p w14:paraId="41CE86DF" w14:textId="77777777" w:rsidR="00925A3A" w:rsidRDefault="00925A3A" w:rsidP="00925A3A">
      <w:pPr>
        <w:rPr>
          <w:szCs w:val="20"/>
          <w:lang w:eastAsia="en-AU"/>
        </w:rPr>
      </w:pPr>
    </w:p>
    <w:p w14:paraId="2B18DE52" w14:textId="77777777" w:rsidR="00851AAC" w:rsidRPr="00D83FBC" w:rsidRDefault="00D83FBC" w:rsidP="005156E4">
      <w:pPr>
        <w:pStyle w:val="Heading3"/>
        <w:rPr>
          <w:snapToGrid w:val="0"/>
          <w:lang w:eastAsia="en-AU"/>
        </w:rPr>
      </w:pPr>
      <w:r>
        <w:rPr>
          <w:snapToGrid w:val="0"/>
          <w:lang w:eastAsia="en-AU"/>
        </w:rPr>
        <w:t>The importance of surplus assessable income</w:t>
      </w:r>
    </w:p>
    <w:p w14:paraId="7415CA4D" w14:textId="77777777" w:rsidR="00851AAC" w:rsidRDefault="00851AAC" w:rsidP="00851AAC">
      <w:pPr>
        <w:rPr>
          <w:snapToGrid w:val="0"/>
          <w:szCs w:val="20"/>
          <w:lang w:eastAsia="en-AU"/>
        </w:rPr>
      </w:pPr>
    </w:p>
    <w:p w14:paraId="02FED600" w14:textId="717E1DC0" w:rsidR="00851AAC" w:rsidRPr="00925A3A" w:rsidRDefault="00851AAC" w:rsidP="00851AAC">
      <w:pPr>
        <w:rPr>
          <w:snapToGrid w:val="0"/>
          <w:szCs w:val="20"/>
          <w:lang w:eastAsia="en-AU"/>
        </w:rPr>
      </w:pPr>
      <w:r>
        <w:rPr>
          <w:snapToGrid w:val="0"/>
          <w:szCs w:val="20"/>
          <w:lang w:eastAsia="en-AU"/>
        </w:rPr>
        <w:t xml:space="preserve">Deductible/not includible (D/NI) payments result in double non-taxation </w:t>
      </w:r>
      <w:r w:rsidRPr="00925A3A">
        <w:rPr>
          <w:snapToGrid w:val="0"/>
          <w:szCs w:val="20"/>
          <w:lang w:eastAsia="en-AU"/>
        </w:rPr>
        <w:t>where the deduction is used against income which is taxed only in the payer country</w:t>
      </w:r>
      <w:r w:rsidR="002D5667">
        <w:rPr>
          <w:snapToGrid w:val="0"/>
          <w:szCs w:val="20"/>
          <w:lang w:eastAsia="en-AU"/>
        </w:rPr>
        <w:t xml:space="preserve">. </w:t>
      </w:r>
      <w:r w:rsidRPr="00925A3A">
        <w:rPr>
          <w:snapToGrid w:val="0"/>
          <w:szCs w:val="20"/>
          <w:lang w:eastAsia="en-AU"/>
        </w:rPr>
        <w:t>In that case the effect of the D/NI payment is to reduce payer country tax without increasing payee country tax</w:t>
      </w:r>
      <w:r w:rsidR="002D5667">
        <w:rPr>
          <w:snapToGrid w:val="0"/>
          <w:szCs w:val="20"/>
          <w:lang w:eastAsia="en-AU"/>
        </w:rPr>
        <w:t xml:space="preserve">. </w:t>
      </w:r>
      <w:r w:rsidRPr="00925A3A">
        <w:rPr>
          <w:snapToGrid w:val="0"/>
          <w:szCs w:val="20"/>
          <w:lang w:eastAsia="en-AU"/>
        </w:rPr>
        <w:t>To the extent that the entity or branch earns income which is taxable in both co</w:t>
      </w:r>
      <w:r>
        <w:rPr>
          <w:snapToGrid w:val="0"/>
          <w:szCs w:val="20"/>
          <w:lang w:eastAsia="en-AU"/>
        </w:rPr>
        <w:t>untries (</w:t>
      </w:r>
      <w:r w:rsidRPr="00925A3A">
        <w:rPr>
          <w:snapToGrid w:val="0"/>
          <w:szCs w:val="20"/>
          <w:lang w:eastAsia="en-AU"/>
        </w:rPr>
        <w:t>surplus assessable income), the D/NI payment will still reduce payer country tax, but it will increase payee country tax</w:t>
      </w:r>
      <w:r w:rsidR="002D5667">
        <w:rPr>
          <w:snapToGrid w:val="0"/>
          <w:szCs w:val="20"/>
          <w:lang w:eastAsia="en-AU"/>
        </w:rPr>
        <w:t xml:space="preserve">. </w:t>
      </w:r>
      <w:r w:rsidRPr="00925A3A">
        <w:rPr>
          <w:snapToGrid w:val="0"/>
          <w:szCs w:val="20"/>
          <w:lang w:eastAsia="en-AU"/>
        </w:rPr>
        <w:t>That is because the payee country income calculation will not give a deduction for the D/NI payment</w:t>
      </w:r>
      <w:r w:rsidR="002D5667">
        <w:rPr>
          <w:snapToGrid w:val="0"/>
          <w:szCs w:val="20"/>
          <w:lang w:eastAsia="en-AU"/>
        </w:rPr>
        <w:t xml:space="preserve">. </w:t>
      </w:r>
      <w:r w:rsidRPr="00925A3A">
        <w:rPr>
          <w:snapToGrid w:val="0"/>
          <w:szCs w:val="20"/>
          <w:lang w:eastAsia="en-AU"/>
        </w:rPr>
        <w:t xml:space="preserve">So, any tax reduction as a result of that payment in the payer country will simply reduce the amount of </w:t>
      </w:r>
      <w:r w:rsidR="00A41EBC">
        <w:rPr>
          <w:snapToGrid w:val="0"/>
          <w:szCs w:val="20"/>
          <w:lang w:eastAsia="en-AU"/>
        </w:rPr>
        <w:t xml:space="preserve">payer country </w:t>
      </w:r>
      <w:r w:rsidRPr="00925A3A">
        <w:rPr>
          <w:snapToGrid w:val="0"/>
          <w:szCs w:val="20"/>
          <w:lang w:eastAsia="en-AU"/>
        </w:rPr>
        <w:t xml:space="preserve">tax for which a credit can </w:t>
      </w:r>
      <w:r>
        <w:rPr>
          <w:snapToGrid w:val="0"/>
          <w:szCs w:val="20"/>
          <w:lang w:eastAsia="en-AU"/>
        </w:rPr>
        <w:t>be claimed in the payee country, and there is no tax mischief.</w:t>
      </w:r>
    </w:p>
    <w:p w14:paraId="05647261" w14:textId="77777777" w:rsidR="00851AAC" w:rsidRPr="00925A3A" w:rsidRDefault="00851AAC" w:rsidP="00851AAC">
      <w:pPr>
        <w:rPr>
          <w:snapToGrid w:val="0"/>
          <w:szCs w:val="20"/>
          <w:lang w:eastAsia="en-AU"/>
        </w:rPr>
      </w:pPr>
    </w:p>
    <w:p w14:paraId="7984A570" w14:textId="46C0995F" w:rsidR="00851AAC" w:rsidRPr="00925A3A" w:rsidRDefault="00851AAC" w:rsidP="00851AAC">
      <w:pPr>
        <w:rPr>
          <w:snapToGrid w:val="0"/>
          <w:szCs w:val="20"/>
          <w:lang w:eastAsia="en-AU"/>
        </w:rPr>
      </w:pPr>
      <w:r w:rsidRPr="00925A3A">
        <w:rPr>
          <w:snapToGrid w:val="0"/>
          <w:szCs w:val="20"/>
          <w:lang w:eastAsia="en-AU"/>
        </w:rPr>
        <w:t>The same re</w:t>
      </w:r>
      <w:r>
        <w:rPr>
          <w:snapToGrid w:val="0"/>
          <w:szCs w:val="20"/>
          <w:lang w:eastAsia="en-AU"/>
        </w:rPr>
        <w:t>sult holds for double deduction (DD)</w:t>
      </w:r>
      <w:r w:rsidRPr="00925A3A">
        <w:rPr>
          <w:snapToGrid w:val="0"/>
          <w:szCs w:val="20"/>
          <w:lang w:eastAsia="en-AU"/>
        </w:rPr>
        <w:t xml:space="preserve"> p</w:t>
      </w:r>
      <w:r>
        <w:rPr>
          <w:snapToGrid w:val="0"/>
          <w:szCs w:val="20"/>
          <w:lang w:eastAsia="en-AU"/>
        </w:rPr>
        <w:t>ayments</w:t>
      </w:r>
      <w:r w:rsidR="002D5667">
        <w:rPr>
          <w:snapToGrid w:val="0"/>
          <w:szCs w:val="20"/>
          <w:lang w:eastAsia="en-AU"/>
        </w:rPr>
        <w:t xml:space="preserve">. </w:t>
      </w:r>
      <w:r>
        <w:rPr>
          <w:snapToGrid w:val="0"/>
          <w:szCs w:val="20"/>
          <w:lang w:eastAsia="en-AU"/>
        </w:rPr>
        <w:t>If a DD</w:t>
      </w:r>
      <w:r w:rsidRPr="00925A3A">
        <w:rPr>
          <w:snapToGrid w:val="0"/>
          <w:szCs w:val="20"/>
          <w:lang w:eastAsia="en-AU"/>
        </w:rPr>
        <w:t xml:space="preserve"> payment by a hybrid payer is used a</w:t>
      </w:r>
      <w:r>
        <w:rPr>
          <w:snapToGrid w:val="0"/>
          <w:szCs w:val="20"/>
          <w:lang w:eastAsia="en-AU"/>
        </w:rPr>
        <w:t>gainst non-surplus assessable income, that can result in</w:t>
      </w:r>
      <w:r w:rsidRPr="00925A3A">
        <w:rPr>
          <w:snapToGrid w:val="0"/>
          <w:szCs w:val="20"/>
          <w:lang w:eastAsia="en-AU"/>
        </w:rPr>
        <w:t xml:space="preserve"> double non-taxation</w:t>
      </w:r>
      <w:r w:rsidR="002D5667">
        <w:rPr>
          <w:snapToGrid w:val="0"/>
          <w:szCs w:val="20"/>
          <w:lang w:eastAsia="en-AU"/>
        </w:rPr>
        <w:t xml:space="preserve">. </w:t>
      </w:r>
      <w:r w:rsidRPr="00925A3A">
        <w:rPr>
          <w:snapToGrid w:val="0"/>
          <w:szCs w:val="20"/>
          <w:lang w:eastAsia="en-AU"/>
        </w:rPr>
        <w:t>However, if the hybrid is profitable in both the hybrid and owner countries, all of the double deduction expenditure</w:t>
      </w:r>
      <w:r w:rsidR="00D83FBC">
        <w:rPr>
          <w:snapToGrid w:val="0"/>
          <w:szCs w:val="20"/>
          <w:lang w:eastAsia="en-AU"/>
        </w:rPr>
        <w:t xml:space="preserve"> (DD)</w:t>
      </w:r>
      <w:r w:rsidRPr="00925A3A">
        <w:rPr>
          <w:snapToGrid w:val="0"/>
          <w:szCs w:val="20"/>
          <w:lang w:eastAsia="en-AU"/>
        </w:rPr>
        <w:t xml:space="preserve"> will, broadly speaking, be deducted against </w:t>
      </w:r>
      <w:r>
        <w:rPr>
          <w:snapToGrid w:val="0"/>
          <w:szCs w:val="20"/>
          <w:lang w:eastAsia="en-AU"/>
        </w:rPr>
        <w:t>surplus assessable income</w:t>
      </w:r>
      <w:r w:rsidRPr="00925A3A">
        <w:rPr>
          <w:snapToGrid w:val="0"/>
          <w:szCs w:val="20"/>
          <w:lang w:eastAsia="en-AU"/>
        </w:rPr>
        <w:t xml:space="preserve">, and there is no </w:t>
      </w:r>
      <w:r>
        <w:rPr>
          <w:snapToGrid w:val="0"/>
          <w:szCs w:val="20"/>
          <w:lang w:eastAsia="en-AU"/>
        </w:rPr>
        <w:t xml:space="preserve">tax </w:t>
      </w:r>
      <w:r w:rsidRPr="00925A3A">
        <w:rPr>
          <w:snapToGrid w:val="0"/>
          <w:szCs w:val="20"/>
          <w:lang w:eastAsia="en-AU"/>
        </w:rPr>
        <w:t>mischief.</w:t>
      </w:r>
    </w:p>
    <w:p w14:paraId="70CBC558" w14:textId="77777777" w:rsidR="00851AAC" w:rsidRDefault="00851AAC" w:rsidP="00925A3A">
      <w:pPr>
        <w:rPr>
          <w:szCs w:val="20"/>
          <w:lang w:eastAsia="en-AU"/>
        </w:rPr>
      </w:pPr>
    </w:p>
    <w:p w14:paraId="545EA1DA" w14:textId="67BA9E5A" w:rsidR="00D83FBC" w:rsidRDefault="00D83FBC" w:rsidP="00D83FBC">
      <w:pPr>
        <w:rPr>
          <w:snapToGrid w:val="0"/>
          <w:szCs w:val="20"/>
          <w:lang w:eastAsia="en-AU"/>
        </w:rPr>
      </w:pPr>
      <w:r w:rsidRPr="00925A3A">
        <w:rPr>
          <w:snapToGrid w:val="0"/>
          <w:szCs w:val="20"/>
          <w:lang w:eastAsia="en-AU"/>
        </w:rPr>
        <w:t>The purpose of section FH 12 is to reverse the denial of deductions (or inclusion of income, in the case of section FH 6) that arises und</w:t>
      </w:r>
      <w:r>
        <w:rPr>
          <w:snapToGrid w:val="0"/>
          <w:szCs w:val="20"/>
          <w:lang w:eastAsia="en-AU"/>
        </w:rPr>
        <w:t xml:space="preserve">er sections FH 5, FH 6 and FH 8 to </w:t>
      </w:r>
      <w:r w:rsidRPr="00925A3A">
        <w:rPr>
          <w:snapToGrid w:val="0"/>
          <w:szCs w:val="20"/>
          <w:lang w:eastAsia="en-AU"/>
        </w:rPr>
        <w:t xml:space="preserve">FH 10 where there is </w:t>
      </w:r>
      <w:r>
        <w:rPr>
          <w:snapToGrid w:val="0"/>
          <w:szCs w:val="20"/>
          <w:lang w:eastAsia="en-AU"/>
        </w:rPr>
        <w:t xml:space="preserve">surplus assessable income so that taxpayers are not </w:t>
      </w:r>
      <w:r w:rsidR="00A41EBC">
        <w:rPr>
          <w:snapToGrid w:val="0"/>
          <w:szCs w:val="20"/>
          <w:lang w:eastAsia="en-AU"/>
        </w:rPr>
        <w:t>inappropriately</w:t>
      </w:r>
      <w:r>
        <w:rPr>
          <w:snapToGrid w:val="0"/>
          <w:szCs w:val="20"/>
          <w:lang w:eastAsia="en-AU"/>
        </w:rPr>
        <w:t xml:space="preserve"> </w:t>
      </w:r>
      <w:r w:rsidR="00AE1A70">
        <w:rPr>
          <w:snapToGrid w:val="0"/>
          <w:szCs w:val="20"/>
          <w:lang w:eastAsia="en-AU"/>
        </w:rPr>
        <w:t xml:space="preserve">affected </w:t>
      </w:r>
      <w:r>
        <w:rPr>
          <w:snapToGrid w:val="0"/>
          <w:szCs w:val="20"/>
          <w:lang w:eastAsia="en-AU"/>
        </w:rPr>
        <w:t>by the denied deductions (or inclusion of income) under the hybrid mismatch rules.</w:t>
      </w:r>
    </w:p>
    <w:p w14:paraId="5E334983" w14:textId="1D71212C" w:rsidR="009E2441" w:rsidRDefault="009E2441" w:rsidP="00D83FBC">
      <w:pPr>
        <w:rPr>
          <w:snapToGrid w:val="0"/>
          <w:szCs w:val="20"/>
          <w:lang w:eastAsia="en-AU"/>
        </w:rPr>
      </w:pPr>
    </w:p>
    <w:p w14:paraId="18124744" w14:textId="13A30006" w:rsidR="009E2441" w:rsidRPr="00925A3A" w:rsidRDefault="009E2441" w:rsidP="00D83FBC">
      <w:pPr>
        <w:rPr>
          <w:snapToGrid w:val="0"/>
          <w:szCs w:val="20"/>
          <w:lang w:eastAsia="en-AU"/>
        </w:rPr>
      </w:pPr>
      <w:r>
        <w:rPr>
          <w:snapToGrid w:val="0"/>
          <w:szCs w:val="20"/>
          <w:lang w:eastAsia="en-AU"/>
        </w:rPr>
        <w:t>Unlike the OECD’s dual inclusion income, surplus assessable income does not depend on the actual assessable amounts in each country. This is for reasons of pragmatism rather than principle</w:t>
      </w:r>
      <w:r w:rsidR="002D5667">
        <w:rPr>
          <w:snapToGrid w:val="0"/>
          <w:szCs w:val="20"/>
          <w:lang w:eastAsia="en-AU"/>
        </w:rPr>
        <w:t xml:space="preserve">. </w:t>
      </w:r>
      <w:r>
        <w:rPr>
          <w:snapToGrid w:val="0"/>
          <w:szCs w:val="20"/>
          <w:lang w:eastAsia="en-AU"/>
        </w:rPr>
        <w:t>The approach is to focus on the New Zealand income as a starting point</w:t>
      </w:r>
      <w:r w:rsidR="002D5667">
        <w:rPr>
          <w:snapToGrid w:val="0"/>
          <w:szCs w:val="20"/>
          <w:lang w:eastAsia="en-AU"/>
        </w:rPr>
        <w:t xml:space="preserve">. </w:t>
      </w:r>
      <w:r>
        <w:rPr>
          <w:snapToGrid w:val="0"/>
          <w:szCs w:val="20"/>
          <w:lang w:eastAsia="en-AU"/>
        </w:rPr>
        <w:t>For instance, if a $100 amount of assessable income derived through a mismatch situation in New Zealand corresponds to a $50 amount of taxable income offshore (because of a foreign exchange fluctuation, or because the income is recorded in a different way to New Zealand), the entire $100 can be applied to the surplus assessable income formula</w:t>
      </w:r>
      <w:r w:rsidR="002D5667">
        <w:rPr>
          <w:snapToGrid w:val="0"/>
          <w:szCs w:val="20"/>
          <w:lang w:eastAsia="en-AU"/>
        </w:rPr>
        <w:t xml:space="preserve">. </w:t>
      </w:r>
      <w:r>
        <w:rPr>
          <w:snapToGrid w:val="0"/>
          <w:szCs w:val="20"/>
          <w:lang w:eastAsia="en-AU"/>
        </w:rPr>
        <w:t>However, where income which is taxable in New Zealand will not be taxable in the other country because of more fundamental factors, like the structure through which that income is earned (</w:t>
      </w:r>
      <w:r w:rsidR="00E63EFC">
        <w:rPr>
          <w:snapToGrid w:val="0"/>
          <w:szCs w:val="20"/>
          <w:lang w:eastAsia="en-AU"/>
        </w:rPr>
        <w:t>for example,</w:t>
      </w:r>
      <w:r>
        <w:rPr>
          <w:snapToGrid w:val="0"/>
          <w:szCs w:val="20"/>
          <w:lang w:eastAsia="en-AU"/>
        </w:rPr>
        <w:t xml:space="preserve"> it is earned in a foreign branch, and the other country has an active foreign branch exemption, or its earned through a reverse hybrid entity) the income is not treated as surplus assessable income.</w:t>
      </w:r>
    </w:p>
    <w:p w14:paraId="4D73FCCA" w14:textId="77777777" w:rsidR="00851AAC" w:rsidRDefault="00851AAC" w:rsidP="00925A3A">
      <w:pPr>
        <w:rPr>
          <w:szCs w:val="20"/>
          <w:lang w:eastAsia="en-AU"/>
        </w:rPr>
      </w:pPr>
    </w:p>
    <w:p w14:paraId="75B5ADFE" w14:textId="77777777" w:rsidR="00851AAC" w:rsidRPr="00D83FBC" w:rsidRDefault="00D83FBC" w:rsidP="005156E4">
      <w:pPr>
        <w:pStyle w:val="Heading3"/>
        <w:rPr>
          <w:lang w:eastAsia="en-AU"/>
        </w:rPr>
      </w:pPr>
      <w:r>
        <w:rPr>
          <w:lang w:eastAsia="en-AU"/>
        </w:rPr>
        <w:t xml:space="preserve">Section FH 12 </w:t>
      </w:r>
    </w:p>
    <w:p w14:paraId="55E0D698" w14:textId="77777777" w:rsidR="00D83FBC" w:rsidRPr="00925A3A" w:rsidRDefault="00D83FBC" w:rsidP="00925A3A">
      <w:pPr>
        <w:rPr>
          <w:szCs w:val="20"/>
          <w:lang w:eastAsia="en-AU"/>
        </w:rPr>
      </w:pPr>
    </w:p>
    <w:p w14:paraId="2D955FA9" w14:textId="61DB47FF" w:rsidR="00925A3A" w:rsidRPr="00925A3A" w:rsidRDefault="00925A3A" w:rsidP="00925A3A">
      <w:pPr>
        <w:rPr>
          <w:snapToGrid w:val="0"/>
          <w:szCs w:val="20"/>
          <w:lang w:eastAsia="en-AU"/>
        </w:rPr>
      </w:pPr>
      <w:r w:rsidRPr="00925A3A">
        <w:rPr>
          <w:snapToGrid w:val="0"/>
          <w:szCs w:val="20"/>
          <w:lang w:eastAsia="en-AU"/>
        </w:rPr>
        <w:t>Section FH 12(1) applies when a person has a hybrid mismatch amount for a mismatch situation</w:t>
      </w:r>
      <w:r w:rsidR="002D5667">
        <w:rPr>
          <w:snapToGrid w:val="0"/>
          <w:szCs w:val="20"/>
          <w:lang w:eastAsia="en-AU"/>
        </w:rPr>
        <w:t xml:space="preserve">. </w:t>
      </w:r>
      <w:r w:rsidRPr="00925A3A">
        <w:rPr>
          <w:snapToGrid w:val="0"/>
          <w:szCs w:val="20"/>
          <w:lang w:eastAsia="en-AU"/>
        </w:rPr>
        <w:t>A person can have more than one mismatch situation.</w:t>
      </w:r>
    </w:p>
    <w:p w14:paraId="56839316" w14:textId="77777777" w:rsidR="00925A3A" w:rsidRPr="00925A3A" w:rsidRDefault="00925A3A" w:rsidP="00925A3A">
      <w:pPr>
        <w:rPr>
          <w:snapToGrid w:val="0"/>
          <w:szCs w:val="20"/>
          <w:lang w:eastAsia="en-AU"/>
        </w:rPr>
      </w:pPr>
    </w:p>
    <w:p w14:paraId="10AE91C8" w14:textId="6E8F82FB" w:rsidR="00925A3A" w:rsidRPr="00925A3A" w:rsidRDefault="00925A3A" w:rsidP="00000EA1">
      <w:pPr>
        <w:keepNext/>
        <w:pBdr>
          <w:top w:val="single" w:sz="4" w:space="10" w:color="auto"/>
          <w:left w:val="single" w:sz="4" w:space="10" w:color="auto"/>
          <w:bottom w:val="single" w:sz="4" w:space="10" w:color="auto"/>
          <w:right w:val="single" w:sz="4" w:space="10" w:color="auto"/>
        </w:pBdr>
        <w:rPr>
          <w:b/>
          <w:snapToGrid w:val="0"/>
          <w:sz w:val="20"/>
          <w:szCs w:val="20"/>
          <w:lang w:eastAsia="en-AU"/>
        </w:rPr>
      </w:pPr>
      <w:r w:rsidRPr="00925A3A">
        <w:rPr>
          <w:b/>
          <w:snapToGrid w:val="0"/>
          <w:sz w:val="20"/>
          <w:szCs w:val="20"/>
          <w:lang w:eastAsia="en-AU"/>
        </w:rPr>
        <w:lastRenderedPageBreak/>
        <w:t xml:space="preserve">Example </w:t>
      </w:r>
      <w:r w:rsidR="00824EF8">
        <w:rPr>
          <w:b/>
          <w:snapToGrid w:val="0"/>
          <w:sz w:val="20"/>
          <w:szCs w:val="20"/>
          <w:lang w:eastAsia="en-AU"/>
        </w:rPr>
        <w:t xml:space="preserve">30: </w:t>
      </w:r>
      <w:r w:rsidR="00F32C8B">
        <w:rPr>
          <w:b/>
          <w:sz w:val="20"/>
          <w:szCs w:val="20"/>
          <w:lang w:eastAsia="en-AU"/>
        </w:rPr>
        <w:fldChar w:fldCharType="begin"/>
      </w:r>
      <w:r w:rsidR="00F32C8B" w:rsidRPr="00D25F30">
        <w:rPr>
          <w:b/>
          <w:sz w:val="20"/>
          <w:szCs w:val="20"/>
          <w:lang w:eastAsia="en-AU"/>
        </w:rPr>
        <w:instrText>seq NumList</w:instrText>
      </w:r>
      <w:r w:rsidR="00F32C8B">
        <w:rPr>
          <w:b/>
          <w:sz w:val="20"/>
          <w:szCs w:val="20"/>
          <w:lang w:eastAsia="en-AU"/>
        </w:rPr>
        <w:fldChar w:fldCharType="end"/>
      </w:r>
      <w:r w:rsidR="00824EF8">
        <w:rPr>
          <w:b/>
          <w:sz w:val="20"/>
          <w:szCs w:val="20"/>
          <w:lang w:eastAsia="en-AU"/>
        </w:rPr>
        <w:t>T</w:t>
      </w:r>
      <w:r w:rsidR="00000EA1">
        <w:rPr>
          <w:b/>
          <w:sz w:val="20"/>
          <w:szCs w:val="20"/>
          <w:lang w:eastAsia="en-AU"/>
        </w:rPr>
        <w:t>wo mismatch situations</w:t>
      </w:r>
    </w:p>
    <w:p w14:paraId="141B5085" w14:textId="77777777" w:rsidR="00925A3A" w:rsidRPr="00925A3A" w:rsidRDefault="00925A3A" w:rsidP="00000EA1">
      <w:pPr>
        <w:keepNext/>
        <w:pBdr>
          <w:top w:val="single" w:sz="4" w:space="10" w:color="auto"/>
          <w:left w:val="single" w:sz="4" w:space="10" w:color="auto"/>
          <w:bottom w:val="single" w:sz="4" w:space="10" w:color="auto"/>
          <w:right w:val="single" w:sz="4" w:space="10" w:color="auto"/>
        </w:pBdr>
        <w:rPr>
          <w:snapToGrid w:val="0"/>
          <w:sz w:val="20"/>
          <w:szCs w:val="20"/>
          <w:lang w:eastAsia="en-AU"/>
        </w:rPr>
      </w:pPr>
    </w:p>
    <w:p w14:paraId="2644A567" w14:textId="67E3148B" w:rsidR="00000EA1" w:rsidRDefault="00000EA1" w:rsidP="00000EA1">
      <w:pPr>
        <w:keepNext/>
        <w:pBdr>
          <w:top w:val="single" w:sz="4" w:space="10" w:color="auto"/>
          <w:left w:val="single" w:sz="4" w:space="10" w:color="auto"/>
          <w:bottom w:val="single" w:sz="4" w:space="10" w:color="auto"/>
          <w:right w:val="single" w:sz="4" w:space="10" w:color="auto"/>
        </w:pBdr>
        <w:rPr>
          <w:snapToGrid w:val="0"/>
          <w:sz w:val="20"/>
          <w:szCs w:val="20"/>
          <w:lang w:eastAsia="en-AU"/>
        </w:rPr>
      </w:pPr>
      <w:r>
        <w:object w:dxaOrig="7036" w:dyaOrig="6466" w14:anchorId="4E888F02">
          <v:shape id="_x0000_i1034" type="#_x0000_t75" style="width:351.75pt;height:322.5pt" o:ole="">
            <v:imagedata r:id="rId35" o:title=""/>
          </v:shape>
          <o:OLEObject Type="Embed" ProgID="Visio.Drawing.15" ShapeID="_x0000_i1034" DrawAspect="Content" ObjectID="_1618044699" r:id="rId36"/>
        </w:object>
      </w:r>
    </w:p>
    <w:p w14:paraId="7D48B3B1" w14:textId="77777777" w:rsidR="00000EA1" w:rsidRDefault="00000EA1"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76ECADE5" w14:textId="10B8B48A"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r w:rsidRPr="00925A3A">
        <w:rPr>
          <w:snapToGrid w:val="0"/>
          <w:sz w:val="20"/>
          <w:szCs w:val="20"/>
          <w:lang w:eastAsia="en-AU"/>
        </w:rPr>
        <w:t xml:space="preserve">Burr Ltd, a New Zealand resident company, owns 99.9 percent of </w:t>
      </w:r>
      <w:r w:rsidR="00F679FA">
        <w:rPr>
          <w:snapToGrid w:val="0"/>
          <w:sz w:val="20"/>
          <w:szCs w:val="20"/>
          <w:lang w:eastAsia="en-AU"/>
        </w:rPr>
        <w:t>Theodosia</w:t>
      </w:r>
      <w:r w:rsidR="00F679FA" w:rsidRPr="00925A3A">
        <w:rPr>
          <w:snapToGrid w:val="0"/>
          <w:sz w:val="20"/>
          <w:szCs w:val="20"/>
          <w:lang w:eastAsia="en-AU"/>
        </w:rPr>
        <w:t xml:space="preserve"> </w:t>
      </w:r>
      <w:r w:rsidRPr="00925A3A">
        <w:rPr>
          <w:snapToGrid w:val="0"/>
          <w:sz w:val="20"/>
          <w:szCs w:val="20"/>
          <w:lang w:eastAsia="en-AU"/>
        </w:rPr>
        <w:t xml:space="preserve">LP, a limited </w:t>
      </w:r>
      <w:r w:rsidR="000A6F06" w:rsidRPr="00925A3A">
        <w:rPr>
          <w:snapToGrid w:val="0"/>
          <w:sz w:val="20"/>
          <w:szCs w:val="20"/>
          <w:lang w:eastAsia="en-AU"/>
        </w:rPr>
        <w:t>partnership formed</w:t>
      </w:r>
      <w:r w:rsidRPr="00925A3A">
        <w:rPr>
          <w:snapToGrid w:val="0"/>
          <w:sz w:val="20"/>
          <w:szCs w:val="20"/>
          <w:lang w:eastAsia="en-AU"/>
        </w:rPr>
        <w:t xml:space="preserve"> under the laws of, and operating in, Country A (the remaining 0.1 percent is held by another group company)</w:t>
      </w:r>
      <w:r w:rsidR="002D5667">
        <w:rPr>
          <w:snapToGrid w:val="0"/>
          <w:sz w:val="20"/>
          <w:szCs w:val="20"/>
          <w:lang w:eastAsia="en-AU"/>
        </w:rPr>
        <w:t xml:space="preserve">. </w:t>
      </w:r>
      <w:r w:rsidR="00F679FA">
        <w:rPr>
          <w:snapToGrid w:val="0"/>
          <w:sz w:val="20"/>
          <w:szCs w:val="20"/>
          <w:lang w:eastAsia="en-AU"/>
        </w:rPr>
        <w:t>Theodosia</w:t>
      </w:r>
      <w:r w:rsidR="00F679FA" w:rsidRPr="00925A3A">
        <w:rPr>
          <w:snapToGrid w:val="0"/>
          <w:sz w:val="20"/>
          <w:szCs w:val="20"/>
          <w:lang w:eastAsia="en-AU"/>
        </w:rPr>
        <w:t xml:space="preserve"> </w:t>
      </w:r>
      <w:r w:rsidRPr="00925A3A">
        <w:rPr>
          <w:snapToGrid w:val="0"/>
          <w:sz w:val="20"/>
          <w:szCs w:val="20"/>
          <w:lang w:eastAsia="en-AU"/>
        </w:rPr>
        <w:t>LP is a hybrid entity, because it is taxed as a company in Country A and a partnership in New Zealand</w:t>
      </w:r>
      <w:r w:rsidR="002D5667">
        <w:rPr>
          <w:snapToGrid w:val="0"/>
          <w:sz w:val="20"/>
          <w:szCs w:val="20"/>
          <w:lang w:eastAsia="en-AU"/>
        </w:rPr>
        <w:t xml:space="preserve">. </w:t>
      </w:r>
      <w:r w:rsidRPr="00925A3A">
        <w:rPr>
          <w:snapToGrid w:val="0"/>
          <w:sz w:val="20"/>
          <w:szCs w:val="20"/>
          <w:lang w:eastAsia="en-AU"/>
        </w:rPr>
        <w:t>It has a branch in Country B</w:t>
      </w:r>
      <w:r w:rsidR="002D5667">
        <w:rPr>
          <w:snapToGrid w:val="0"/>
          <w:sz w:val="20"/>
          <w:szCs w:val="20"/>
          <w:lang w:eastAsia="en-AU"/>
        </w:rPr>
        <w:t xml:space="preserve">. </w:t>
      </w:r>
      <w:r w:rsidRPr="00925A3A">
        <w:rPr>
          <w:snapToGrid w:val="0"/>
          <w:sz w:val="20"/>
          <w:szCs w:val="20"/>
          <w:lang w:eastAsia="en-AU"/>
        </w:rPr>
        <w:t>Income and expenditure of the branch is not taxed in Country A because of an exemption for active branch income</w:t>
      </w:r>
      <w:r w:rsidR="002D5667">
        <w:rPr>
          <w:snapToGrid w:val="0"/>
          <w:sz w:val="20"/>
          <w:szCs w:val="20"/>
          <w:lang w:eastAsia="en-AU"/>
        </w:rPr>
        <w:t xml:space="preserve">. </w:t>
      </w:r>
      <w:r w:rsidR="0001110F">
        <w:rPr>
          <w:snapToGrid w:val="0"/>
          <w:sz w:val="20"/>
          <w:szCs w:val="20"/>
          <w:lang w:eastAsia="en-AU"/>
        </w:rPr>
        <w:t xml:space="preserve">Burr Ltd also owns one hundred </w:t>
      </w:r>
      <w:r w:rsidRPr="00925A3A">
        <w:rPr>
          <w:snapToGrid w:val="0"/>
          <w:sz w:val="20"/>
          <w:szCs w:val="20"/>
          <w:lang w:eastAsia="en-AU"/>
        </w:rPr>
        <w:t>percent of Mercer Ltd, a company incorporated and tax resident in Country A, which is in a tax consolidate</w:t>
      </w:r>
      <w:r w:rsidR="00D83FBC">
        <w:rPr>
          <w:snapToGrid w:val="0"/>
          <w:sz w:val="20"/>
          <w:szCs w:val="20"/>
          <w:lang w:eastAsia="en-AU"/>
        </w:rPr>
        <w:t xml:space="preserve">d group with </w:t>
      </w:r>
      <w:r w:rsidR="00F679FA">
        <w:rPr>
          <w:snapToGrid w:val="0"/>
          <w:sz w:val="20"/>
          <w:szCs w:val="20"/>
          <w:lang w:eastAsia="en-AU"/>
        </w:rPr>
        <w:t>Theodosia</w:t>
      </w:r>
      <w:r w:rsidR="00F679FA" w:rsidRPr="00925A3A">
        <w:rPr>
          <w:snapToGrid w:val="0"/>
          <w:sz w:val="20"/>
          <w:szCs w:val="20"/>
          <w:lang w:eastAsia="en-AU"/>
        </w:rPr>
        <w:t xml:space="preserve"> </w:t>
      </w:r>
      <w:r w:rsidR="00D83FBC">
        <w:rPr>
          <w:snapToGrid w:val="0"/>
          <w:sz w:val="20"/>
          <w:szCs w:val="20"/>
          <w:lang w:eastAsia="en-AU"/>
        </w:rPr>
        <w:t>LP</w:t>
      </w:r>
      <w:r w:rsidRPr="00925A3A">
        <w:rPr>
          <w:snapToGrid w:val="0"/>
          <w:sz w:val="20"/>
          <w:szCs w:val="20"/>
          <w:lang w:eastAsia="en-AU"/>
        </w:rPr>
        <w:t xml:space="preserve"> for Country A tax purposes.</w:t>
      </w:r>
    </w:p>
    <w:p w14:paraId="70D81124"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2C168219"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r w:rsidRPr="00925A3A">
        <w:rPr>
          <w:snapToGrid w:val="0"/>
          <w:sz w:val="20"/>
          <w:szCs w:val="20"/>
          <w:lang w:eastAsia="en-AU"/>
        </w:rPr>
        <w:t xml:space="preserve">Payments by </w:t>
      </w:r>
      <w:r w:rsidR="00F679FA">
        <w:rPr>
          <w:snapToGrid w:val="0"/>
          <w:sz w:val="20"/>
          <w:szCs w:val="20"/>
          <w:lang w:eastAsia="en-AU"/>
        </w:rPr>
        <w:t>Theodosia</w:t>
      </w:r>
      <w:r w:rsidR="00F679FA" w:rsidRPr="00925A3A">
        <w:rPr>
          <w:snapToGrid w:val="0"/>
          <w:sz w:val="20"/>
          <w:szCs w:val="20"/>
          <w:lang w:eastAsia="en-AU"/>
        </w:rPr>
        <w:t xml:space="preserve"> </w:t>
      </w:r>
      <w:r w:rsidRPr="00925A3A">
        <w:rPr>
          <w:snapToGrid w:val="0"/>
          <w:sz w:val="20"/>
          <w:szCs w:val="20"/>
          <w:lang w:eastAsia="en-AU"/>
        </w:rPr>
        <w:t xml:space="preserve">LP that relate to its Country A activities are deductible in New Zealand (to Burr Ltd) and Country A (to </w:t>
      </w:r>
      <w:r w:rsidR="00F679FA">
        <w:rPr>
          <w:snapToGrid w:val="0"/>
          <w:sz w:val="20"/>
          <w:szCs w:val="20"/>
          <w:lang w:eastAsia="en-AU"/>
        </w:rPr>
        <w:t>Theodosia</w:t>
      </w:r>
      <w:r w:rsidR="00F679FA" w:rsidRPr="00925A3A">
        <w:rPr>
          <w:snapToGrid w:val="0"/>
          <w:sz w:val="20"/>
          <w:szCs w:val="20"/>
          <w:lang w:eastAsia="en-AU"/>
        </w:rPr>
        <w:t xml:space="preserve"> </w:t>
      </w:r>
      <w:r w:rsidRPr="00925A3A">
        <w:rPr>
          <w:snapToGrid w:val="0"/>
          <w:sz w:val="20"/>
          <w:szCs w:val="20"/>
          <w:lang w:eastAsia="en-AU"/>
        </w:rPr>
        <w:t>LP).</w:t>
      </w:r>
    </w:p>
    <w:p w14:paraId="7689C1D6"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1DDE16E5"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r w:rsidRPr="00925A3A">
        <w:rPr>
          <w:snapToGrid w:val="0"/>
          <w:sz w:val="20"/>
          <w:szCs w:val="20"/>
          <w:lang w:eastAsia="en-AU"/>
        </w:rPr>
        <w:t xml:space="preserve">Payments by </w:t>
      </w:r>
      <w:r w:rsidR="00F679FA">
        <w:rPr>
          <w:snapToGrid w:val="0"/>
          <w:sz w:val="20"/>
          <w:szCs w:val="20"/>
          <w:lang w:eastAsia="en-AU"/>
        </w:rPr>
        <w:t>Theodosia</w:t>
      </w:r>
      <w:r w:rsidR="00F679FA" w:rsidRPr="00925A3A">
        <w:rPr>
          <w:snapToGrid w:val="0"/>
          <w:sz w:val="20"/>
          <w:szCs w:val="20"/>
          <w:lang w:eastAsia="en-AU"/>
        </w:rPr>
        <w:t xml:space="preserve"> </w:t>
      </w:r>
      <w:r w:rsidRPr="00925A3A">
        <w:rPr>
          <w:snapToGrid w:val="0"/>
          <w:sz w:val="20"/>
          <w:szCs w:val="20"/>
          <w:lang w:eastAsia="en-AU"/>
        </w:rPr>
        <w:t>LP that relate to its Country B activities are not deductible in Country A but are dedu</w:t>
      </w:r>
      <w:r w:rsidR="00D83FBC">
        <w:rPr>
          <w:snapToGrid w:val="0"/>
          <w:sz w:val="20"/>
          <w:szCs w:val="20"/>
          <w:lang w:eastAsia="en-AU"/>
        </w:rPr>
        <w:t>ctible in New Zealand and Country B</w:t>
      </w:r>
      <w:r w:rsidRPr="00925A3A">
        <w:rPr>
          <w:snapToGrid w:val="0"/>
          <w:sz w:val="20"/>
          <w:szCs w:val="20"/>
          <w:lang w:eastAsia="en-AU"/>
        </w:rPr>
        <w:t>.</w:t>
      </w:r>
    </w:p>
    <w:p w14:paraId="6C21153F" w14:textId="77777777"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4C390BB8" w14:textId="45D7DE0F" w:rsidR="00925A3A" w:rsidRPr="00925A3A" w:rsidRDefault="00925A3A" w:rsidP="00925A3A">
      <w:pPr>
        <w:pBdr>
          <w:top w:val="single" w:sz="4" w:space="10" w:color="auto"/>
          <w:left w:val="single" w:sz="4" w:space="10" w:color="auto"/>
          <w:bottom w:val="single" w:sz="4" w:space="10" w:color="auto"/>
          <w:right w:val="single" w:sz="4" w:space="10" w:color="auto"/>
        </w:pBdr>
        <w:rPr>
          <w:snapToGrid w:val="0"/>
          <w:szCs w:val="20"/>
          <w:lang w:eastAsia="en-AU"/>
        </w:rPr>
      </w:pPr>
      <w:r w:rsidRPr="00925A3A">
        <w:rPr>
          <w:snapToGrid w:val="0"/>
          <w:sz w:val="20"/>
          <w:szCs w:val="20"/>
          <w:lang w:eastAsia="en-AU"/>
        </w:rPr>
        <w:t xml:space="preserve">In this case, Burr Ltd is party to two mismatch situations, one with respect to its interest in </w:t>
      </w:r>
      <w:r w:rsidR="00F679FA">
        <w:rPr>
          <w:snapToGrid w:val="0"/>
          <w:sz w:val="20"/>
          <w:szCs w:val="20"/>
          <w:lang w:eastAsia="en-AU"/>
        </w:rPr>
        <w:t>Theodosia</w:t>
      </w:r>
      <w:r w:rsidR="00F679FA" w:rsidRPr="00925A3A">
        <w:rPr>
          <w:snapToGrid w:val="0"/>
          <w:sz w:val="20"/>
          <w:szCs w:val="20"/>
          <w:lang w:eastAsia="en-AU"/>
        </w:rPr>
        <w:t xml:space="preserve"> </w:t>
      </w:r>
      <w:r w:rsidRPr="00925A3A">
        <w:rPr>
          <w:snapToGrid w:val="0"/>
          <w:sz w:val="20"/>
          <w:szCs w:val="20"/>
          <w:lang w:eastAsia="en-AU"/>
        </w:rPr>
        <w:t xml:space="preserve">LP and one with respect to its interest in </w:t>
      </w:r>
      <w:r w:rsidR="00F679FA">
        <w:rPr>
          <w:snapToGrid w:val="0"/>
          <w:sz w:val="20"/>
          <w:szCs w:val="20"/>
          <w:lang w:eastAsia="en-AU"/>
        </w:rPr>
        <w:t>Theodosia</w:t>
      </w:r>
      <w:r w:rsidR="00F679FA" w:rsidRPr="00925A3A">
        <w:rPr>
          <w:snapToGrid w:val="0"/>
          <w:sz w:val="20"/>
          <w:szCs w:val="20"/>
          <w:lang w:eastAsia="en-AU"/>
        </w:rPr>
        <w:t xml:space="preserve"> </w:t>
      </w:r>
      <w:r w:rsidRPr="00925A3A">
        <w:rPr>
          <w:snapToGrid w:val="0"/>
          <w:sz w:val="20"/>
          <w:szCs w:val="20"/>
          <w:lang w:eastAsia="en-AU"/>
        </w:rPr>
        <w:t>LP’s Country B branch</w:t>
      </w:r>
      <w:r w:rsidR="002D5667">
        <w:rPr>
          <w:snapToGrid w:val="0"/>
          <w:sz w:val="20"/>
          <w:szCs w:val="20"/>
          <w:lang w:eastAsia="en-AU"/>
        </w:rPr>
        <w:t xml:space="preserve">. </w:t>
      </w:r>
      <w:r w:rsidRPr="00925A3A">
        <w:rPr>
          <w:snapToGrid w:val="0"/>
          <w:sz w:val="20"/>
          <w:szCs w:val="20"/>
          <w:lang w:eastAsia="en-AU"/>
        </w:rPr>
        <w:t>It will have a different mismatch amount for each one.</w:t>
      </w:r>
    </w:p>
    <w:p w14:paraId="4383792C" w14:textId="77777777" w:rsidR="00925A3A" w:rsidRPr="00925A3A" w:rsidRDefault="00925A3A" w:rsidP="00925A3A">
      <w:pPr>
        <w:rPr>
          <w:snapToGrid w:val="0"/>
          <w:szCs w:val="20"/>
          <w:lang w:eastAsia="en-AU"/>
        </w:rPr>
      </w:pPr>
    </w:p>
    <w:p w14:paraId="25CC52F8" w14:textId="065C7829" w:rsidR="00D83FBC" w:rsidRDefault="00925A3A" w:rsidP="00925A3A">
      <w:pPr>
        <w:rPr>
          <w:snapToGrid w:val="0"/>
          <w:szCs w:val="20"/>
          <w:lang w:eastAsia="en-AU"/>
        </w:rPr>
      </w:pPr>
      <w:r w:rsidRPr="00925A3A">
        <w:rPr>
          <w:snapToGrid w:val="0"/>
          <w:szCs w:val="20"/>
          <w:lang w:eastAsia="en-AU"/>
        </w:rPr>
        <w:t>Subsection (2) requires a person’s mismatch amounts</w:t>
      </w:r>
      <w:r w:rsidR="00DF40A7">
        <w:rPr>
          <w:snapToGrid w:val="0"/>
          <w:szCs w:val="20"/>
          <w:lang w:eastAsia="en-AU"/>
        </w:rPr>
        <w:t xml:space="preserve"> (which can arise under different sections in subpart FH)</w:t>
      </w:r>
      <w:r w:rsidRPr="00925A3A">
        <w:rPr>
          <w:snapToGrid w:val="0"/>
          <w:szCs w:val="20"/>
          <w:lang w:eastAsia="en-AU"/>
        </w:rPr>
        <w:t xml:space="preserve"> from a mismatch situation to be set off against the person’s surplus assessable income from the situation</w:t>
      </w:r>
      <w:r w:rsidR="002D5667">
        <w:rPr>
          <w:snapToGrid w:val="0"/>
          <w:szCs w:val="20"/>
          <w:lang w:eastAsia="en-AU"/>
        </w:rPr>
        <w:t xml:space="preserve">. </w:t>
      </w:r>
      <w:r w:rsidR="00D83FBC">
        <w:rPr>
          <w:snapToGrid w:val="0"/>
          <w:szCs w:val="20"/>
          <w:lang w:eastAsia="en-AU"/>
        </w:rPr>
        <w:t xml:space="preserve">This effectively reverses the impact of denied deductions </w:t>
      </w:r>
      <w:r w:rsidR="003D3E22">
        <w:rPr>
          <w:snapToGrid w:val="0"/>
          <w:szCs w:val="20"/>
          <w:lang w:eastAsia="en-AU"/>
        </w:rPr>
        <w:t xml:space="preserve">(or inclusion of income) </w:t>
      </w:r>
      <w:r w:rsidR="00D83FBC">
        <w:rPr>
          <w:snapToGrid w:val="0"/>
          <w:szCs w:val="20"/>
          <w:lang w:eastAsia="en-AU"/>
        </w:rPr>
        <w:t>under the hyb</w:t>
      </w:r>
      <w:r w:rsidR="003D3E22">
        <w:rPr>
          <w:snapToGrid w:val="0"/>
          <w:szCs w:val="20"/>
          <w:lang w:eastAsia="en-AU"/>
        </w:rPr>
        <w:t>rid rules once the potential tax mischief is no longer present.</w:t>
      </w:r>
    </w:p>
    <w:p w14:paraId="2A97C099" w14:textId="77777777" w:rsidR="00D83FBC" w:rsidRDefault="00D83FBC" w:rsidP="00925A3A">
      <w:pPr>
        <w:rPr>
          <w:snapToGrid w:val="0"/>
          <w:szCs w:val="20"/>
          <w:lang w:eastAsia="en-AU"/>
        </w:rPr>
      </w:pPr>
    </w:p>
    <w:p w14:paraId="1AC47285" w14:textId="174B792C" w:rsidR="00C04267" w:rsidRDefault="00DF40A7" w:rsidP="00925A3A">
      <w:pPr>
        <w:rPr>
          <w:snapToGrid w:val="0"/>
          <w:szCs w:val="20"/>
          <w:lang w:eastAsia="en-AU"/>
        </w:rPr>
      </w:pPr>
      <w:r w:rsidRPr="00DF40A7">
        <w:rPr>
          <w:snapToGrid w:val="0"/>
          <w:szCs w:val="20"/>
          <w:lang w:eastAsia="en-AU"/>
        </w:rPr>
        <w:t>The formula for surplus assessable income</w:t>
      </w:r>
      <w:r>
        <w:rPr>
          <w:snapToGrid w:val="0"/>
          <w:szCs w:val="20"/>
          <w:lang w:eastAsia="en-AU"/>
        </w:rPr>
        <w:t xml:space="preserve"> in subsection (3)</w:t>
      </w:r>
      <w:r w:rsidRPr="00DF40A7">
        <w:rPr>
          <w:snapToGrid w:val="0"/>
          <w:szCs w:val="20"/>
          <w:lang w:eastAsia="en-AU"/>
        </w:rPr>
        <w:t xml:space="preserve"> </w:t>
      </w:r>
      <w:r w:rsidR="00687A2E">
        <w:rPr>
          <w:snapToGrid w:val="0"/>
          <w:szCs w:val="20"/>
          <w:lang w:eastAsia="en-AU"/>
        </w:rPr>
        <w:t>comprises</w:t>
      </w:r>
      <w:r w:rsidRPr="00DF40A7">
        <w:rPr>
          <w:snapToGrid w:val="0"/>
          <w:szCs w:val="20"/>
          <w:lang w:eastAsia="en-AU"/>
        </w:rPr>
        <w:t xml:space="preserve"> a series of defined amounts; earlier plus assessable plus exempt less unrecognised less protected less deductions plus status. An explanation of the</w:t>
      </w:r>
      <w:r w:rsidR="00896B00">
        <w:rPr>
          <w:snapToGrid w:val="0"/>
          <w:szCs w:val="20"/>
          <w:lang w:eastAsia="en-AU"/>
        </w:rPr>
        <w:t>se formula components is below:</w:t>
      </w:r>
    </w:p>
    <w:p w14:paraId="7D6A0FFC" w14:textId="77777777" w:rsidR="00925A3A" w:rsidRPr="00925A3A" w:rsidRDefault="00925A3A" w:rsidP="00925A3A">
      <w:pPr>
        <w:rPr>
          <w:snapToGrid w:val="0"/>
          <w:szCs w:val="20"/>
          <w:lang w:eastAsia="en-AU"/>
        </w:rPr>
      </w:pPr>
    </w:p>
    <w:p w14:paraId="68F4352C" w14:textId="77777777" w:rsidR="003D3E22" w:rsidRPr="004B5A7F" w:rsidRDefault="00306FBB" w:rsidP="003D3E22">
      <w:pPr>
        <w:numPr>
          <w:ilvl w:val="0"/>
          <w:numId w:val="1"/>
        </w:numPr>
        <w:spacing w:after="140"/>
        <w:rPr>
          <w:b/>
          <w:szCs w:val="20"/>
          <w:lang w:eastAsia="en-AU"/>
        </w:rPr>
      </w:pPr>
      <w:r>
        <w:rPr>
          <w:b/>
          <w:szCs w:val="20"/>
          <w:lang w:eastAsia="en-AU"/>
        </w:rPr>
        <w:lastRenderedPageBreak/>
        <w:t>E</w:t>
      </w:r>
      <w:r w:rsidR="004B5A7F">
        <w:rPr>
          <w:b/>
          <w:szCs w:val="20"/>
          <w:lang w:eastAsia="en-AU"/>
        </w:rPr>
        <w:t>arlier</w:t>
      </w:r>
      <w:r>
        <w:rPr>
          <w:b/>
          <w:szCs w:val="20"/>
          <w:lang w:eastAsia="en-AU"/>
        </w:rPr>
        <w:t>:</w:t>
      </w:r>
      <w:r w:rsidR="004B5A7F">
        <w:rPr>
          <w:b/>
          <w:szCs w:val="20"/>
          <w:lang w:eastAsia="en-AU"/>
        </w:rPr>
        <w:t xml:space="preserve"> </w:t>
      </w:r>
      <w:r w:rsidR="007C5498">
        <w:rPr>
          <w:b/>
          <w:szCs w:val="20"/>
          <w:lang w:eastAsia="en-AU"/>
        </w:rPr>
        <w:t>S</w:t>
      </w:r>
      <w:r w:rsidR="00925A3A" w:rsidRPr="003D3E22">
        <w:rPr>
          <w:szCs w:val="20"/>
          <w:lang w:eastAsia="en-AU"/>
        </w:rPr>
        <w:t>urplus assessable income not offset by mismatch amounts in previous years (subject to a reduction also for foreign tax credits in the other country, discussed below)</w:t>
      </w:r>
      <w:r w:rsidR="007C5498">
        <w:rPr>
          <w:szCs w:val="20"/>
          <w:lang w:eastAsia="en-AU"/>
        </w:rPr>
        <w:t>.</w:t>
      </w:r>
    </w:p>
    <w:p w14:paraId="7BA8D849" w14:textId="77777777" w:rsidR="003D3E22" w:rsidRPr="003D3E22" w:rsidRDefault="00306FBB" w:rsidP="003D3E22">
      <w:pPr>
        <w:numPr>
          <w:ilvl w:val="0"/>
          <w:numId w:val="1"/>
        </w:numPr>
        <w:spacing w:after="140"/>
        <w:rPr>
          <w:szCs w:val="20"/>
          <w:lang w:eastAsia="en-AU"/>
        </w:rPr>
      </w:pPr>
      <w:r>
        <w:rPr>
          <w:b/>
          <w:szCs w:val="20"/>
          <w:lang w:eastAsia="en-AU"/>
        </w:rPr>
        <w:t>A</w:t>
      </w:r>
      <w:r w:rsidR="004B5A7F">
        <w:rPr>
          <w:b/>
          <w:szCs w:val="20"/>
          <w:lang w:eastAsia="en-AU"/>
        </w:rPr>
        <w:t>ssessable</w:t>
      </w:r>
      <w:r>
        <w:rPr>
          <w:b/>
          <w:szCs w:val="20"/>
          <w:lang w:eastAsia="en-AU"/>
        </w:rPr>
        <w:t>:</w:t>
      </w:r>
      <w:r w:rsidR="004B5A7F">
        <w:rPr>
          <w:b/>
          <w:szCs w:val="20"/>
          <w:lang w:eastAsia="en-AU"/>
        </w:rPr>
        <w:t xml:space="preserve"> </w:t>
      </w:r>
      <w:r w:rsidR="007C5498">
        <w:rPr>
          <w:szCs w:val="20"/>
          <w:lang w:eastAsia="en-AU"/>
        </w:rPr>
        <w:t>A</w:t>
      </w:r>
      <w:r w:rsidR="00925A3A" w:rsidRPr="003D3E22">
        <w:rPr>
          <w:szCs w:val="20"/>
          <w:lang w:eastAsia="en-AU"/>
        </w:rPr>
        <w:t xml:space="preserve">ssessable income </w:t>
      </w:r>
      <w:r w:rsidR="00DF40A7">
        <w:rPr>
          <w:szCs w:val="20"/>
          <w:lang w:eastAsia="en-AU"/>
        </w:rPr>
        <w:t xml:space="preserve">that the person </w:t>
      </w:r>
      <w:r w:rsidR="007C5498">
        <w:rPr>
          <w:szCs w:val="20"/>
          <w:lang w:eastAsia="en-AU"/>
        </w:rPr>
        <w:t>derives</w:t>
      </w:r>
      <w:r w:rsidR="00DF40A7" w:rsidRPr="003D3E22">
        <w:rPr>
          <w:szCs w:val="20"/>
          <w:lang w:eastAsia="en-AU"/>
        </w:rPr>
        <w:t xml:space="preserve"> </w:t>
      </w:r>
      <w:r w:rsidR="00925A3A" w:rsidRPr="003D3E22">
        <w:rPr>
          <w:szCs w:val="20"/>
          <w:lang w:eastAsia="en-AU"/>
        </w:rPr>
        <w:t xml:space="preserve">from the </w:t>
      </w:r>
      <w:r w:rsidR="003D3E22">
        <w:rPr>
          <w:szCs w:val="20"/>
          <w:lang w:eastAsia="en-AU"/>
        </w:rPr>
        <w:t xml:space="preserve">mismatch </w:t>
      </w:r>
      <w:r w:rsidR="00925A3A" w:rsidRPr="003D3E22">
        <w:rPr>
          <w:szCs w:val="20"/>
          <w:lang w:eastAsia="en-AU"/>
        </w:rPr>
        <w:t>situation during the year</w:t>
      </w:r>
      <w:r w:rsidR="00312E17">
        <w:rPr>
          <w:szCs w:val="20"/>
          <w:lang w:eastAsia="en-AU"/>
        </w:rPr>
        <w:t>.</w:t>
      </w:r>
    </w:p>
    <w:p w14:paraId="177E59AA" w14:textId="77777777" w:rsidR="003D3E22" w:rsidRPr="00EC7152" w:rsidRDefault="00306FBB" w:rsidP="003D3E22">
      <w:pPr>
        <w:numPr>
          <w:ilvl w:val="0"/>
          <w:numId w:val="1"/>
        </w:numPr>
        <w:spacing w:after="140"/>
        <w:rPr>
          <w:szCs w:val="20"/>
          <w:lang w:eastAsia="en-AU"/>
        </w:rPr>
      </w:pPr>
      <w:r w:rsidRPr="00EC7152">
        <w:rPr>
          <w:b/>
          <w:szCs w:val="20"/>
          <w:lang w:eastAsia="en-AU"/>
        </w:rPr>
        <w:t>E</w:t>
      </w:r>
      <w:r w:rsidR="004B5A7F" w:rsidRPr="00EC7152">
        <w:rPr>
          <w:b/>
          <w:szCs w:val="20"/>
          <w:lang w:eastAsia="en-AU"/>
        </w:rPr>
        <w:t>xempt</w:t>
      </w:r>
      <w:r w:rsidRPr="00EC7152">
        <w:rPr>
          <w:b/>
          <w:szCs w:val="20"/>
          <w:lang w:eastAsia="en-AU"/>
        </w:rPr>
        <w:t>:</w:t>
      </w:r>
      <w:r w:rsidR="004B5A7F" w:rsidRPr="00EC7152">
        <w:rPr>
          <w:b/>
          <w:szCs w:val="20"/>
          <w:lang w:eastAsia="en-AU"/>
        </w:rPr>
        <w:t xml:space="preserve"> </w:t>
      </w:r>
      <w:r w:rsidR="00EB32B5" w:rsidRPr="00EC7152">
        <w:rPr>
          <w:szCs w:val="20"/>
          <w:lang w:eastAsia="en-AU"/>
        </w:rPr>
        <w:t>If the</w:t>
      </w:r>
      <w:r w:rsidR="00925A3A" w:rsidRPr="00EC7152">
        <w:rPr>
          <w:szCs w:val="20"/>
          <w:lang w:eastAsia="en-AU"/>
        </w:rPr>
        <w:t xml:space="preserve"> person is a New Zealand resident hybrid entity</w:t>
      </w:r>
      <w:r w:rsidR="009266AB" w:rsidRPr="00EC7152">
        <w:rPr>
          <w:szCs w:val="20"/>
          <w:lang w:eastAsia="en-AU"/>
        </w:rPr>
        <w:t xml:space="preserve"> owned by a non-resident</w:t>
      </w:r>
      <w:r w:rsidR="00925A3A" w:rsidRPr="00EC7152">
        <w:rPr>
          <w:szCs w:val="20"/>
          <w:lang w:eastAsia="en-AU"/>
        </w:rPr>
        <w:t xml:space="preserve">, </w:t>
      </w:r>
      <w:r w:rsidR="00EB32B5" w:rsidRPr="00EC7152">
        <w:rPr>
          <w:szCs w:val="20"/>
          <w:lang w:eastAsia="en-AU"/>
        </w:rPr>
        <w:t>exempt consists of</w:t>
      </w:r>
      <w:r w:rsidR="00BA3BE2" w:rsidRPr="00EC7152">
        <w:rPr>
          <w:szCs w:val="20"/>
          <w:lang w:eastAsia="en-AU"/>
        </w:rPr>
        <w:t xml:space="preserve"> the </w:t>
      </w:r>
      <w:r w:rsidR="00925A3A" w:rsidRPr="00EC7152">
        <w:rPr>
          <w:szCs w:val="20"/>
          <w:lang w:eastAsia="en-AU"/>
        </w:rPr>
        <w:t>New Ze</w:t>
      </w:r>
      <w:r w:rsidR="00BA3BE2" w:rsidRPr="00EC7152">
        <w:rPr>
          <w:szCs w:val="20"/>
          <w:lang w:eastAsia="en-AU"/>
        </w:rPr>
        <w:t xml:space="preserve">aland source dividends derived </w:t>
      </w:r>
      <w:r w:rsidR="00925A3A" w:rsidRPr="00EC7152">
        <w:rPr>
          <w:szCs w:val="20"/>
          <w:lang w:eastAsia="en-AU"/>
        </w:rPr>
        <w:t>during the year if these are taxable to the foreign owner with no tax credit other than for withholding tax</w:t>
      </w:r>
      <w:r w:rsidR="00312E17" w:rsidRPr="00EC7152">
        <w:rPr>
          <w:szCs w:val="20"/>
          <w:lang w:eastAsia="en-AU"/>
        </w:rPr>
        <w:t xml:space="preserve">. This item </w:t>
      </w:r>
      <w:r w:rsidR="00EB32B5" w:rsidRPr="00EC7152">
        <w:rPr>
          <w:szCs w:val="20"/>
          <w:lang w:eastAsia="en-AU"/>
        </w:rPr>
        <w:t>recognises</w:t>
      </w:r>
      <w:r w:rsidR="00312E17" w:rsidRPr="00EC7152">
        <w:rPr>
          <w:szCs w:val="20"/>
          <w:lang w:eastAsia="en-AU"/>
        </w:rPr>
        <w:t xml:space="preserve"> that the hybrid treatment of the New Zealand entity can cause a payment to be taxable in a foreign country with no deduction in New Zealand.</w:t>
      </w:r>
    </w:p>
    <w:p w14:paraId="65428D05" w14:textId="45744794" w:rsidR="003D3E22" w:rsidRPr="003D3E22" w:rsidRDefault="00306FBB" w:rsidP="003D3E22">
      <w:pPr>
        <w:numPr>
          <w:ilvl w:val="0"/>
          <w:numId w:val="1"/>
        </w:numPr>
        <w:spacing w:after="140"/>
        <w:rPr>
          <w:szCs w:val="20"/>
          <w:lang w:eastAsia="en-AU"/>
        </w:rPr>
      </w:pPr>
      <w:r>
        <w:rPr>
          <w:b/>
          <w:szCs w:val="20"/>
          <w:lang w:eastAsia="en-AU"/>
        </w:rPr>
        <w:t>U</w:t>
      </w:r>
      <w:r w:rsidR="00925A3A" w:rsidRPr="009266AB">
        <w:rPr>
          <w:b/>
          <w:szCs w:val="20"/>
          <w:lang w:eastAsia="en-AU"/>
        </w:rPr>
        <w:t>nrecognised</w:t>
      </w:r>
      <w:r>
        <w:rPr>
          <w:b/>
          <w:szCs w:val="20"/>
          <w:lang w:eastAsia="en-AU"/>
        </w:rPr>
        <w:t>:</w:t>
      </w:r>
      <w:r w:rsidR="00925A3A" w:rsidRPr="003D3E22">
        <w:rPr>
          <w:szCs w:val="20"/>
          <w:lang w:eastAsia="en-AU"/>
        </w:rPr>
        <w:t xml:space="preserve"> </w:t>
      </w:r>
      <w:r w:rsidR="00EB32B5">
        <w:rPr>
          <w:szCs w:val="20"/>
          <w:lang w:eastAsia="en-AU"/>
        </w:rPr>
        <w:t>A</w:t>
      </w:r>
      <w:r w:rsidR="00925A3A" w:rsidRPr="003D3E22">
        <w:rPr>
          <w:szCs w:val="20"/>
          <w:lang w:eastAsia="en-AU"/>
        </w:rPr>
        <w:t xml:space="preserve">ssessable income </w:t>
      </w:r>
      <w:r w:rsidR="00E57D29">
        <w:rPr>
          <w:szCs w:val="20"/>
          <w:lang w:eastAsia="en-AU"/>
        </w:rPr>
        <w:t xml:space="preserve">from the mismatch situation </w:t>
      </w:r>
      <w:r w:rsidR="00925A3A" w:rsidRPr="003D3E22">
        <w:rPr>
          <w:szCs w:val="20"/>
          <w:lang w:eastAsia="en-AU"/>
        </w:rPr>
        <w:t>which is not sub</w:t>
      </w:r>
      <w:r w:rsidR="00E57D29">
        <w:rPr>
          <w:szCs w:val="20"/>
          <w:lang w:eastAsia="en-AU"/>
        </w:rPr>
        <w:t xml:space="preserve">ject to tax in the foreign </w:t>
      </w:r>
      <w:r w:rsidR="00A12894">
        <w:rPr>
          <w:szCs w:val="20"/>
          <w:lang w:eastAsia="en-AU"/>
        </w:rPr>
        <w:t>country</w:t>
      </w:r>
      <w:r w:rsidR="00E57D29">
        <w:rPr>
          <w:szCs w:val="20"/>
          <w:lang w:eastAsia="en-AU"/>
        </w:rPr>
        <w:t xml:space="preserve"> because of the residence of another person (who is not another owner)</w:t>
      </w:r>
      <w:r w:rsidR="00925A3A" w:rsidRPr="003D3E22">
        <w:rPr>
          <w:szCs w:val="20"/>
          <w:lang w:eastAsia="en-AU"/>
        </w:rPr>
        <w:t xml:space="preserve">, or </w:t>
      </w:r>
      <w:r w:rsidR="00E57D29">
        <w:rPr>
          <w:szCs w:val="20"/>
          <w:lang w:eastAsia="en-AU"/>
        </w:rPr>
        <w:t xml:space="preserve">because of </w:t>
      </w:r>
      <w:r w:rsidR="00925A3A" w:rsidRPr="003D3E22">
        <w:rPr>
          <w:szCs w:val="20"/>
          <w:lang w:eastAsia="en-AU"/>
        </w:rPr>
        <w:t>the source of the income</w:t>
      </w:r>
      <w:r w:rsidR="00312E17">
        <w:rPr>
          <w:szCs w:val="20"/>
          <w:lang w:eastAsia="en-AU"/>
        </w:rPr>
        <w:t>.</w:t>
      </w:r>
      <w:r w:rsidR="00E97768">
        <w:rPr>
          <w:szCs w:val="20"/>
          <w:lang w:eastAsia="en-AU"/>
        </w:rPr>
        <w:t xml:space="preserve"> This item recognises that a taxpayer’s mismatch situation may genera</w:t>
      </w:r>
      <w:r w:rsidR="006205D3">
        <w:rPr>
          <w:szCs w:val="20"/>
          <w:lang w:eastAsia="en-AU"/>
        </w:rPr>
        <w:t>te assessable income that is not taxable in the relevant other jurisdiction. This income should not count towards surplus assessable income.</w:t>
      </w:r>
    </w:p>
    <w:p w14:paraId="4528F6D9" w14:textId="77777777" w:rsidR="003D3E22" w:rsidRPr="003D3E22" w:rsidRDefault="00306FBB" w:rsidP="003D3E22">
      <w:pPr>
        <w:numPr>
          <w:ilvl w:val="0"/>
          <w:numId w:val="1"/>
        </w:numPr>
        <w:spacing w:after="140"/>
        <w:rPr>
          <w:szCs w:val="20"/>
          <w:lang w:eastAsia="en-AU"/>
        </w:rPr>
      </w:pPr>
      <w:r>
        <w:rPr>
          <w:b/>
          <w:szCs w:val="20"/>
          <w:lang w:eastAsia="en-AU"/>
        </w:rPr>
        <w:t>P</w:t>
      </w:r>
      <w:r w:rsidR="00E57D29">
        <w:rPr>
          <w:b/>
          <w:szCs w:val="20"/>
          <w:lang w:eastAsia="en-AU"/>
        </w:rPr>
        <w:t>rotected</w:t>
      </w:r>
      <w:r>
        <w:rPr>
          <w:b/>
          <w:szCs w:val="20"/>
          <w:lang w:eastAsia="en-AU"/>
        </w:rPr>
        <w:t>:</w:t>
      </w:r>
      <w:r w:rsidR="00E57D29">
        <w:rPr>
          <w:szCs w:val="20"/>
          <w:lang w:eastAsia="en-AU"/>
        </w:rPr>
        <w:t xml:space="preserve"> </w:t>
      </w:r>
      <w:r w:rsidR="00EB32B5">
        <w:rPr>
          <w:szCs w:val="20"/>
          <w:lang w:eastAsia="en-AU"/>
        </w:rPr>
        <w:t>T</w:t>
      </w:r>
      <w:r w:rsidR="00E57D29">
        <w:rPr>
          <w:szCs w:val="20"/>
          <w:lang w:eastAsia="en-AU"/>
        </w:rPr>
        <w:t xml:space="preserve">he amount of assessable income </w:t>
      </w:r>
      <w:r w:rsidR="00925A3A" w:rsidRPr="003D3E22">
        <w:rPr>
          <w:szCs w:val="20"/>
          <w:lang w:eastAsia="en-AU"/>
        </w:rPr>
        <w:t>earned by the entity</w:t>
      </w:r>
      <w:r w:rsidR="00EC7152">
        <w:rPr>
          <w:szCs w:val="20"/>
          <w:lang w:eastAsia="en-AU"/>
        </w:rPr>
        <w:t xml:space="preserve"> through its mismatch situation</w:t>
      </w:r>
      <w:r w:rsidR="00925A3A" w:rsidRPr="003D3E22">
        <w:rPr>
          <w:szCs w:val="20"/>
          <w:lang w:eastAsia="en-AU"/>
        </w:rPr>
        <w:t xml:space="preserve"> which is protected from New Zealand tax by a foreign tax credit</w:t>
      </w:r>
      <w:r w:rsidR="00312E17">
        <w:rPr>
          <w:szCs w:val="20"/>
          <w:lang w:eastAsia="en-AU"/>
        </w:rPr>
        <w:t>.</w:t>
      </w:r>
      <w:r w:rsidR="00EB32B5">
        <w:rPr>
          <w:szCs w:val="20"/>
          <w:lang w:eastAsia="en-AU"/>
        </w:rPr>
        <w:t xml:space="preserve"> </w:t>
      </w:r>
      <w:r w:rsidR="00C622CF">
        <w:rPr>
          <w:szCs w:val="20"/>
          <w:lang w:eastAsia="en-AU"/>
        </w:rPr>
        <w:t>For a given year, t</w:t>
      </w:r>
      <w:r w:rsidR="00EF31E8">
        <w:rPr>
          <w:szCs w:val="20"/>
          <w:lang w:eastAsia="en-AU"/>
        </w:rPr>
        <w:t xml:space="preserve">his </w:t>
      </w:r>
      <w:r w:rsidR="00A60166">
        <w:rPr>
          <w:szCs w:val="20"/>
          <w:lang w:eastAsia="en-AU"/>
        </w:rPr>
        <w:t xml:space="preserve">amount should be calculated under subpart LJ before </w:t>
      </w:r>
      <w:r w:rsidR="003A4BC8">
        <w:rPr>
          <w:szCs w:val="20"/>
          <w:lang w:eastAsia="en-AU"/>
        </w:rPr>
        <w:t xml:space="preserve">a hybrid mismatch rule counteraction is made under </w:t>
      </w:r>
      <w:r w:rsidR="0056739B">
        <w:rPr>
          <w:szCs w:val="20"/>
          <w:lang w:eastAsia="en-AU"/>
        </w:rPr>
        <w:t>subpart FH</w:t>
      </w:r>
      <w:r w:rsidR="00A60166">
        <w:rPr>
          <w:szCs w:val="20"/>
          <w:lang w:eastAsia="en-AU"/>
        </w:rPr>
        <w:t>.</w:t>
      </w:r>
    </w:p>
    <w:p w14:paraId="4F92AA3D" w14:textId="77777777" w:rsidR="00925A3A" w:rsidRPr="00AF1C40" w:rsidRDefault="00306FBB" w:rsidP="003D3E22">
      <w:pPr>
        <w:numPr>
          <w:ilvl w:val="0"/>
          <w:numId w:val="1"/>
        </w:numPr>
        <w:spacing w:after="140"/>
        <w:rPr>
          <w:szCs w:val="20"/>
          <w:lang w:eastAsia="en-AU"/>
        </w:rPr>
      </w:pPr>
      <w:r>
        <w:rPr>
          <w:b/>
          <w:szCs w:val="20"/>
          <w:lang w:eastAsia="en-AU"/>
        </w:rPr>
        <w:t>D</w:t>
      </w:r>
      <w:r w:rsidR="00925A3A" w:rsidRPr="00E57D29">
        <w:rPr>
          <w:b/>
          <w:szCs w:val="20"/>
          <w:lang w:eastAsia="en-AU"/>
        </w:rPr>
        <w:t>eductions</w:t>
      </w:r>
      <w:r>
        <w:rPr>
          <w:b/>
          <w:szCs w:val="20"/>
          <w:lang w:eastAsia="en-AU"/>
        </w:rPr>
        <w:t>:</w:t>
      </w:r>
      <w:r w:rsidR="00E57D29">
        <w:rPr>
          <w:szCs w:val="20"/>
          <w:lang w:eastAsia="en-AU"/>
        </w:rPr>
        <w:t xml:space="preserve"> </w:t>
      </w:r>
      <w:r w:rsidR="00AE1A70">
        <w:rPr>
          <w:szCs w:val="20"/>
          <w:lang w:eastAsia="en-AU"/>
        </w:rPr>
        <w:t xml:space="preserve">deductions for expenses </w:t>
      </w:r>
      <w:r w:rsidR="00925A3A" w:rsidRPr="003D3E22">
        <w:rPr>
          <w:szCs w:val="20"/>
          <w:lang w:eastAsia="en-AU"/>
        </w:rPr>
        <w:t>incurred in earning assessable income which do not give rise to mismatch</w:t>
      </w:r>
      <w:r w:rsidR="00B834D8">
        <w:rPr>
          <w:szCs w:val="20"/>
          <w:lang w:eastAsia="en-AU"/>
        </w:rPr>
        <w:t xml:space="preserve"> amounts</w:t>
      </w:r>
      <w:r w:rsidR="00312E17">
        <w:rPr>
          <w:szCs w:val="20"/>
          <w:lang w:eastAsia="en-AU"/>
        </w:rPr>
        <w:t>.</w:t>
      </w:r>
    </w:p>
    <w:p w14:paraId="4899C3F8" w14:textId="077DC677" w:rsidR="00AF1C40" w:rsidRPr="003D3E22" w:rsidRDefault="00306FBB" w:rsidP="003D3E22">
      <w:pPr>
        <w:numPr>
          <w:ilvl w:val="0"/>
          <w:numId w:val="1"/>
        </w:numPr>
        <w:spacing w:after="140"/>
        <w:rPr>
          <w:szCs w:val="20"/>
          <w:lang w:eastAsia="en-AU"/>
        </w:rPr>
      </w:pPr>
      <w:r>
        <w:rPr>
          <w:b/>
          <w:szCs w:val="20"/>
          <w:lang w:eastAsia="en-AU"/>
        </w:rPr>
        <w:t>S</w:t>
      </w:r>
      <w:r w:rsidR="005B19C8">
        <w:rPr>
          <w:b/>
          <w:szCs w:val="20"/>
          <w:lang w:eastAsia="en-AU"/>
        </w:rPr>
        <w:t>tatus</w:t>
      </w:r>
      <w:r>
        <w:rPr>
          <w:b/>
          <w:szCs w:val="20"/>
          <w:lang w:eastAsia="en-AU"/>
        </w:rPr>
        <w:t>:</w:t>
      </w:r>
      <w:r w:rsidR="005B19C8">
        <w:rPr>
          <w:szCs w:val="20"/>
          <w:lang w:eastAsia="en-AU"/>
        </w:rPr>
        <w:t xml:space="preserve"> </w:t>
      </w:r>
      <w:r w:rsidR="000A452B">
        <w:rPr>
          <w:szCs w:val="20"/>
          <w:lang w:eastAsia="en-AU"/>
        </w:rPr>
        <w:t xml:space="preserve">the amount of expenditure on a payment by the person to a payee in New Zealand that is a mismatch amount and not deductible in a foreign </w:t>
      </w:r>
      <w:r w:rsidR="00A12894">
        <w:rPr>
          <w:szCs w:val="20"/>
          <w:lang w:eastAsia="en-AU"/>
        </w:rPr>
        <w:t>country</w:t>
      </w:r>
      <w:r w:rsidR="000A452B">
        <w:rPr>
          <w:szCs w:val="20"/>
          <w:lang w:eastAsia="en-AU"/>
        </w:rPr>
        <w:t xml:space="preserve"> because of the tax status of the person and the payee</w:t>
      </w:r>
      <w:r w:rsidR="002D5667">
        <w:rPr>
          <w:szCs w:val="20"/>
          <w:lang w:eastAsia="en-AU"/>
        </w:rPr>
        <w:t xml:space="preserve">. </w:t>
      </w:r>
      <w:r w:rsidR="00066326">
        <w:rPr>
          <w:szCs w:val="20"/>
          <w:lang w:eastAsia="en-AU"/>
        </w:rPr>
        <w:t xml:space="preserve">For instance, a payment made by a New Zealand hybrid entity that is denied a deduction under section FH 9 may have an amount of Status if </w:t>
      </w:r>
      <w:r w:rsidR="00E47C26">
        <w:rPr>
          <w:szCs w:val="20"/>
          <w:lang w:eastAsia="en-AU"/>
        </w:rPr>
        <w:t>that payment was made to a another New Zealand hybrid entity if the tax status of those entities results in the payment being disregarded in the relevant foreign country.</w:t>
      </w:r>
    </w:p>
    <w:p w14:paraId="4DFFEAD1" w14:textId="77777777" w:rsidR="00925A3A" w:rsidRPr="00925A3A" w:rsidRDefault="00925A3A" w:rsidP="00925A3A">
      <w:pPr>
        <w:ind w:left="567" w:hanging="567"/>
        <w:rPr>
          <w:snapToGrid w:val="0"/>
          <w:szCs w:val="20"/>
          <w:lang w:eastAsia="en-AU"/>
        </w:rPr>
      </w:pPr>
    </w:p>
    <w:p w14:paraId="6DE03914" w14:textId="77777777" w:rsidR="00925A3A" w:rsidRPr="00925A3A" w:rsidRDefault="00925A3A" w:rsidP="00925A3A">
      <w:pPr>
        <w:rPr>
          <w:snapToGrid w:val="0"/>
          <w:szCs w:val="20"/>
          <w:lang w:eastAsia="en-AU"/>
        </w:rPr>
      </w:pPr>
    </w:p>
    <w:p w14:paraId="685B5442" w14:textId="0CB6C581" w:rsidR="009E2441" w:rsidRP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r w:rsidRPr="009E2441">
        <w:rPr>
          <w:b/>
          <w:sz w:val="20"/>
          <w:szCs w:val="20"/>
          <w:lang w:eastAsia="en-AU"/>
        </w:rPr>
        <w:t xml:space="preserve">Example </w:t>
      </w:r>
      <w:r w:rsidR="00824EF8">
        <w:rPr>
          <w:b/>
          <w:sz w:val="20"/>
          <w:szCs w:val="20"/>
          <w:lang w:eastAsia="en-AU"/>
        </w:rPr>
        <w:t>3</w:t>
      </w:r>
      <w:r w:rsidR="007A382F">
        <w:rPr>
          <w:b/>
          <w:sz w:val="20"/>
          <w:szCs w:val="20"/>
          <w:lang w:eastAsia="en-AU"/>
        </w:rPr>
        <w:t>1</w:t>
      </w:r>
      <w:r w:rsidR="00824EF8">
        <w:rPr>
          <w:b/>
          <w:sz w:val="20"/>
          <w:szCs w:val="20"/>
          <w:lang w:eastAsia="en-AU"/>
        </w:rPr>
        <w:t xml:space="preserve">: </w:t>
      </w:r>
      <w:r w:rsidR="00BE51B7">
        <w:rPr>
          <w:b/>
          <w:sz w:val="20"/>
          <w:szCs w:val="20"/>
          <w:lang w:eastAsia="en-AU"/>
        </w:rPr>
        <w:t xml:space="preserve">Surplus </w:t>
      </w:r>
      <w:r w:rsidR="00000EA1">
        <w:rPr>
          <w:b/>
          <w:sz w:val="20"/>
          <w:szCs w:val="20"/>
          <w:lang w:eastAsia="en-AU"/>
        </w:rPr>
        <w:t>assessable income</w:t>
      </w:r>
    </w:p>
    <w:p w14:paraId="12BC5C0B" w14:textId="77777777" w:rsidR="009E2441" w:rsidRP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5F23D355" w14:textId="424D97F8" w:rsidR="009E2441" w:rsidRPr="009E2441" w:rsidRDefault="00BE51B7"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Taking the facts of example 30</w:t>
      </w:r>
      <w:r w:rsidR="009E2441" w:rsidRPr="009E2441">
        <w:rPr>
          <w:snapToGrid w:val="0"/>
          <w:sz w:val="20"/>
          <w:szCs w:val="20"/>
          <w:lang w:eastAsia="en-AU"/>
        </w:rPr>
        <w:t>, suppose the following amounts of income and expenditure during the year</w:t>
      </w:r>
      <w:r w:rsidR="002D5667">
        <w:rPr>
          <w:snapToGrid w:val="0"/>
          <w:sz w:val="20"/>
          <w:szCs w:val="20"/>
          <w:lang w:eastAsia="en-AU"/>
        </w:rPr>
        <w:t xml:space="preserve">. </w:t>
      </w:r>
      <w:r w:rsidR="009E2441" w:rsidRPr="009E2441">
        <w:rPr>
          <w:snapToGrid w:val="0"/>
          <w:sz w:val="20"/>
          <w:szCs w:val="20"/>
          <w:lang w:eastAsia="en-AU"/>
        </w:rPr>
        <w:t>The tax rate in all three countries is 25%.</w:t>
      </w:r>
    </w:p>
    <w:p w14:paraId="7C6F4CB3" w14:textId="77777777" w:rsidR="009E2441" w:rsidRP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54DE73A6" w14:textId="77777777" w:rsidR="009E2441" w:rsidRPr="009E2441" w:rsidRDefault="009E2441" w:rsidP="009E2441">
      <w:pPr>
        <w:pBdr>
          <w:top w:val="single" w:sz="4" w:space="10" w:color="auto"/>
          <w:left w:val="single" w:sz="4" w:space="10" w:color="auto"/>
          <w:bottom w:val="single" w:sz="4" w:space="10" w:color="auto"/>
          <w:right w:val="single" w:sz="4" w:space="10" w:color="auto"/>
        </w:pBdr>
        <w:rPr>
          <w:i/>
          <w:snapToGrid w:val="0"/>
          <w:sz w:val="20"/>
          <w:szCs w:val="20"/>
          <w:lang w:eastAsia="en-AU"/>
        </w:rPr>
      </w:pPr>
      <w:r w:rsidRPr="009E2441">
        <w:rPr>
          <w:i/>
          <w:snapToGrid w:val="0"/>
          <w:sz w:val="20"/>
          <w:szCs w:val="20"/>
          <w:lang w:eastAsia="en-AU"/>
        </w:rPr>
        <w:t>Burr Ltd, before applying subpart FH:</w:t>
      </w:r>
    </w:p>
    <w:p w14:paraId="7507949F" w14:textId="77777777" w:rsidR="009E2441" w:rsidRPr="009E2441" w:rsidRDefault="009E2441" w:rsidP="009E2441">
      <w:pPr>
        <w:pBdr>
          <w:top w:val="single" w:sz="4" w:space="10" w:color="auto"/>
          <w:left w:val="single" w:sz="4" w:space="10" w:color="auto"/>
          <w:bottom w:val="single" w:sz="4" w:space="10" w:color="auto"/>
          <w:right w:val="single" w:sz="4" w:space="10" w:color="auto"/>
        </w:pBdr>
        <w:tabs>
          <w:tab w:val="left" w:pos="2835"/>
          <w:tab w:val="left" w:pos="4536"/>
          <w:tab w:val="left" w:pos="6237"/>
          <w:tab w:val="left" w:pos="7938"/>
        </w:tabs>
        <w:rPr>
          <w:snapToGrid w:val="0"/>
          <w:sz w:val="20"/>
          <w:szCs w:val="20"/>
          <w:u w:val="single"/>
          <w:lang w:eastAsia="en-AU"/>
        </w:rPr>
      </w:pPr>
      <w:r w:rsidRPr="009E2441">
        <w:rPr>
          <w:snapToGrid w:val="0"/>
          <w:sz w:val="20"/>
          <w:szCs w:val="20"/>
          <w:lang w:eastAsia="en-AU"/>
        </w:rPr>
        <w:tab/>
      </w:r>
      <w:r w:rsidRPr="009E2441">
        <w:rPr>
          <w:snapToGrid w:val="0"/>
          <w:sz w:val="20"/>
          <w:szCs w:val="20"/>
          <w:u w:val="single"/>
          <w:lang w:eastAsia="en-AU"/>
        </w:rPr>
        <w:t>New Zealand only</w:t>
      </w:r>
      <w:r w:rsidRPr="009E2441">
        <w:rPr>
          <w:snapToGrid w:val="0"/>
          <w:sz w:val="20"/>
          <w:szCs w:val="20"/>
          <w:u w:val="single"/>
          <w:lang w:eastAsia="en-AU"/>
        </w:rPr>
        <w:tab/>
        <w:t>Country A only</w:t>
      </w:r>
      <w:r w:rsidRPr="009E2441">
        <w:rPr>
          <w:snapToGrid w:val="0"/>
          <w:sz w:val="20"/>
          <w:szCs w:val="20"/>
          <w:u w:val="single"/>
          <w:lang w:eastAsia="en-AU"/>
        </w:rPr>
        <w:tab/>
        <w:t>Country B only</w:t>
      </w:r>
      <w:r w:rsidRPr="009E2441">
        <w:rPr>
          <w:snapToGrid w:val="0"/>
          <w:sz w:val="20"/>
          <w:szCs w:val="20"/>
          <w:u w:val="single"/>
          <w:lang w:eastAsia="en-AU"/>
        </w:rPr>
        <w:tab/>
        <w:t>Total</w:t>
      </w:r>
    </w:p>
    <w:p w14:paraId="3EDD987D" w14:textId="77777777" w:rsidR="009E2441" w:rsidRPr="009E2441" w:rsidRDefault="009E2441" w:rsidP="009E2441">
      <w:pPr>
        <w:pBdr>
          <w:top w:val="single" w:sz="4" w:space="10" w:color="auto"/>
          <w:left w:val="single" w:sz="4" w:space="10" w:color="auto"/>
          <w:bottom w:val="single" w:sz="4" w:space="10" w:color="auto"/>
          <w:right w:val="single" w:sz="4" w:space="10" w:color="auto"/>
        </w:pBdr>
        <w:tabs>
          <w:tab w:val="left" w:pos="2835"/>
          <w:tab w:val="left" w:pos="4536"/>
          <w:tab w:val="left" w:pos="6237"/>
          <w:tab w:val="left" w:pos="7938"/>
        </w:tabs>
        <w:rPr>
          <w:snapToGrid w:val="0"/>
          <w:sz w:val="20"/>
          <w:szCs w:val="20"/>
          <w:lang w:eastAsia="en-AU"/>
        </w:rPr>
      </w:pPr>
      <w:r w:rsidRPr="009E2441">
        <w:rPr>
          <w:snapToGrid w:val="0"/>
          <w:sz w:val="20"/>
          <w:szCs w:val="20"/>
          <w:lang w:eastAsia="en-AU"/>
        </w:rPr>
        <w:t>Assessable income</w:t>
      </w:r>
      <w:r w:rsidRPr="009E2441">
        <w:rPr>
          <w:snapToGrid w:val="0"/>
          <w:sz w:val="20"/>
          <w:szCs w:val="20"/>
          <w:lang w:eastAsia="en-AU"/>
        </w:rPr>
        <w:tab/>
        <w:t>300</w:t>
      </w:r>
      <w:r w:rsidRPr="009E2441">
        <w:rPr>
          <w:snapToGrid w:val="0"/>
          <w:sz w:val="20"/>
          <w:szCs w:val="20"/>
          <w:lang w:eastAsia="en-AU"/>
        </w:rPr>
        <w:tab/>
        <w:t>200</w:t>
      </w:r>
      <w:r w:rsidRPr="009E2441">
        <w:rPr>
          <w:snapToGrid w:val="0"/>
          <w:sz w:val="20"/>
          <w:szCs w:val="20"/>
          <w:lang w:eastAsia="en-AU"/>
        </w:rPr>
        <w:tab/>
        <w:t>100</w:t>
      </w:r>
      <w:r w:rsidRPr="009E2441">
        <w:rPr>
          <w:snapToGrid w:val="0"/>
          <w:sz w:val="20"/>
          <w:szCs w:val="20"/>
          <w:lang w:eastAsia="en-AU"/>
        </w:rPr>
        <w:tab/>
        <w:t>600</w:t>
      </w:r>
    </w:p>
    <w:p w14:paraId="562FCFA5" w14:textId="77777777" w:rsidR="009E2441" w:rsidRPr="009E2441" w:rsidRDefault="009E2441" w:rsidP="009E2441">
      <w:pPr>
        <w:pBdr>
          <w:top w:val="single" w:sz="4" w:space="10" w:color="auto"/>
          <w:left w:val="single" w:sz="4" w:space="10" w:color="auto"/>
          <w:bottom w:val="single" w:sz="4" w:space="10" w:color="auto"/>
          <w:right w:val="single" w:sz="4" w:space="10" w:color="auto"/>
        </w:pBdr>
        <w:tabs>
          <w:tab w:val="left" w:pos="2835"/>
          <w:tab w:val="left" w:pos="4536"/>
          <w:tab w:val="left" w:pos="6237"/>
          <w:tab w:val="left" w:pos="7938"/>
        </w:tabs>
        <w:rPr>
          <w:snapToGrid w:val="0"/>
          <w:sz w:val="20"/>
          <w:szCs w:val="20"/>
          <w:lang w:eastAsia="en-AU"/>
        </w:rPr>
      </w:pPr>
      <w:r w:rsidRPr="009E2441">
        <w:rPr>
          <w:snapToGrid w:val="0"/>
          <w:sz w:val="20"/>
          <w:szCs w:val="20"/>
          <w:lang w:eastAsia="en-AU"/>
        </w:rPr>
        <w:t>Expenses</w:t>
      </w:r>
      <w:r w:rsidRPr="009E2441">
        <w:rPr>
          <w:snapToGrid w:val="0"/>
          <w:sz w:val="20"/>
          <w:szCs w:val="20"/>
          <w:lang w:eastAsia="en-AU"/>
        </w:rPr>
        <w:tab/>
        <w:t>150</w:t>
      </w:r>
      <w:r w:rsidRPr="009E2441">
        <w:rPr>
          <w:snapToGrid w:val="0"/>
          <w:sz w:val="20"/>
          <w:szCs w:val="20"/>
          <w:lang w:eastAsia="en-AU"/>
        </w:rPr>
        <w:tab/>
        <w:t>210</w:t>
      </w:r>
      <w:r w:rsidRPr="009E2441">
        <w:rPr>
          <w:snapToGrid w:val="0"/>
          <w:sz w:val="20"/>
          <w:szCs w:val="20"/>
          <w:lang w:eastAsia="en-AU"/>
        </w:rPr>
        <w:tab/>
        <w:t>40</w:t>
      </w:r>
      <w:r w:rsidRPr="009E2441">
        <w:rPr>
          <w:snapToGrid w:val="0"/>
          <w:sz w:val="20"/>
          <w:szCs w:val="20"/>
          <w:lang w:eastAsia="en-AU"/>
        </w:rPr>
        <w:tab/>
        <w:t>400</w:t>
      </w:r>
    </w:p>
    <w:p w14:paraId="033DDDCA" w14:textId="77777777" w:rsidR="009E2441" w:rsidRPr="009E2441" w:rsidRDefault="009E2441" w:rsidP="009E2441">
      <w:pPr>
        <w:pBdr>
          <w:top w:val="single" w:sz="4" w:space="10" w:color="auto"/>
          <w:left w:val="single" w:sz="4" w:space="10" w:color="auto"/>
          <w:bottom w:val="single" w:sz="4" w:space="10" w:color="auto"/>
          <w:right w:val="single" w:sz="4" w:space="10" w:color="auto"/>
        </w:pBdr>
        <w:tabs>
          <w:tab w:val="left" w:pos="2835"/>
          <w:tab w:val="left" w:pos="4536"/>
          <w:tab w:val="left" w:pos="6237"/>
          <w:tab w:val="left" w:pos="7938"/>
        </w:tabs>
        <w:rPr>
          <w:snapToGrid w:val="0"/>
          <w:sz w:val="20"/>
          <w:szCs w:val="20"/>
          <w:lang w:eastAsia="en-AU"/>
        </w:rPr>
      </w:pPr>
      <w:r w:rsidRPr="009E2441">
        <w:rPr>
          <w:snapToGrid w:val="0"/>
          <w:sz w:val="20"/>
          <w:szCs w:val="20"/>
          <w:lang w:eastAsia="en-AU"/>
        </w:rPr>
        <w:t>New Zealand taxable income</w:t>
      </w:r>
      <w:r w:rsidRPr="009E2441">
        <w:rPr>
          <w:snapToGrid w:val="0"/>
          <w:sz w:val="20"/>
          <w:szCs w:val="20"/>
          <w:lang w:eastAsia="en-AU"/>
        </w:rPr>
        <w:tab/>
        <w:t>150</w:t>
      </w:r>
      <w:r w:rsidRPr="009E2441">
        <w:rPr>
          <w:snapToGrid w:val="0"/>
          <w:sz w:val="20"/>
          <w:szCs w:val="20"/>
          <w:lang w:eastAsia="en-AU"/>
        </w:rPr>
        <w:tab/>
        <w:t>(10)</w:t>
      </w:r>
      <w:r w:rsidRPr="009E2441">
        <w:rPr>
          <w:snapToGrid w:val="0"/>
          <w:sz w:val="20"/>
          <w:szCs w:val="20"/>
          <w:lang w:eastAsia="en-AU"/>
        </w:rPr>
        <w:tab/>
        <w:t>60</w:t>
      </w:r>
      <w:r w:rsidRPr="009E2441">
        <w:rPr>
          <w:snapToGrid w:val="0"/>
          <w:sz w:val="20"/>
          <w:szCs w:val="20"/>
          <w:lang w:eastAsia="en-AU"/>
        </w:rPr>
        <w:tab/>
        <w:t>200</w:t>
      </w:r>
    </w:p>
    <w:p w14:paraId="7772309F" w14:textId="77777777" w:rsidR="009E2441" w:rsidRP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72C04457" w14:textId="77777777" w:rsidR="009E2441" w:rsidRP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r w:rsidRPr="009E2441">
        <w:rPr>
          <w:snapToGrid w:val="0"/>
          <w:sz w:val="20"/>
          <w:szCs w:val="20"/>
          <w:lang w:eastAsia="en-AU"/>
        </w:rPr>
        <w:t>For the Country A mismatch situation, Burr Ltd has a double deduction amount of $210 and surplus assessable income of $200, being:</w:t>
      </w:r>
    </w:p>
    <w:p w14:paraId="550AA2D5" w14:textId="77777777" w:rsidR="009E2441" w:rsidRPr="009E2441" w:rsidRDefault="009E2441" w:rsidP="009E2441">
      <w:pPr>
        <w:numPr>
          <w:ilvl w:val="0"/>
          <w:numId w:val="57"/>
        </w:numPr>
        <w:pBdr>
          <w:top w:val="single" w:sz="4" w:space="10" w:color="auto"/>
          <w:left w:val="single" w:sz="4" w:space="10" w:color="auto"/>
          <w:bottom w:val="single" w:sz="4" w:space="10" w:color="auto"/>
          <w:right w:val="single" w:sz="4" w:space="10" w:color="auto"/>
        </w:pBdr>
        <w:ind w:left="567" w:hanging="567"/>
        <w:rPr>
          <w:snapToGrid w:val="0"/>
          <w:sz w:val="20"/>
          <w:szCs w:val="20"/>
          <w:lang w:eastAsia="en-AU"/>
        </w:rPr>
      </w:pPr>
      <w:r w:rsidRPr="009E2441">
        <w:rPr>
          <w:snapToGrid w:val="0"/>
          <w:sz w:val="20"/>
          <w:szCs w:val="20"/>
          <w:lang w:eastAsia="en-AU"/>
        </w:rPr>
        <w:t>Assessable: $300 (the amount of assessable income earned through Theodosia LP including through the Country B branch); less</w:t>
      </w:r>
    </w:p>
    <w:p w14:paraId="1415AE82" w14:textId="77777777" w:rsidR="009E2441" w:rsidRPr="009E2441" w:rsidRDefault="009E2441" w:rsidP="009E2441">
      <w:pPr>
        <w:numPr>
          <w:ilvl w:val="0"/>
          <w:numId w:val="57"/>
        </w:numPr>
        <w:pBdr>
          <w:top w:val="single" w:sz="4" w:space="10" w:color="auto"/>
          <w:left w:val="single" w:sz="4" w:space="10" w:color="auto"/>
          <w:bottom w:val="single" w:sz="4" w:space="10" w:color="auto"/>
          <w:right w:val="single" w:sz="4" w:space="10" w:color="auto"/>
        </w:pBdr>
        <w:ind w:left="567" w:hanging="567"/>
        <w:rPr>
          <w:snapToGrid w:val="0"/>
          <w:sz w:val="20"/>
          <w:szCs w:val="20"/>
          <w:lang w:eastAsia="en-AU"/>
        </w:rPr>
      </w:pPr>
      <w:r w:rsidRPr="009E2441">
        <w:rPr>
          <w:snapToGrid w:val="0"/>
          <w:sz w:val="20"/>
          <w:szCs w:val="20"/>
          <w:lang w:eastAsia="en-AU"/>
        </w:rPr>
        <w:t xml:space="preserve">Unrecognised $100 (the amount not recognised in Country A because it is from an active business in Country </w:t>
      </w:r>
      <w:proofErr w:type="gramStart"/>
      <w:r w:rsidRPr="009E2441">
        <w:rPr>
          <w:snapToGrid w:val="0"/>
          <w:sz w:val="20"/>
          <w:szCs w:val="20"/>
          <w:lang w:eastAsia="en-AU"/>
        </w:rPr>
        <w:t>B )</w:t>
      </w:r>
      <w:proofErr w:type="gramEnd"/>
      <w:r w:rsidRPr="009E2441">
        <w:rPr>
          <w:snapToGrid w:val="0"/>
          <w:sz w:val="20"/>
          <w:szCs w:val="20"/>
          <w:lang w:eastAsia="en-AU"/>
        </w:rPr>
        <w:t>.</w:t>
      </w:r>
    </w:p>
    <w:p w14:paraId="1ED45EA3" w14:textId="77777777" w:rsidR="009E2441" w:rsidRP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r w:rsidRPr="009E2441">
        <w:rPr>
          <w:snapToGrid w:val="0"/>
          <w:sz w:val="20"/>
          <w:szCs w:val="20"/>
          <w:lang w:eastAsia="en-AU"/>
        </w:rPr>
        <w:t>(There is no Earlier amount as this is a one-year example. There is no Exempt amount on the facts. There is no Protected amount assuming no tax is paid in Country A. There is no Deductions or Status amounts as there are no deductions incurred in deriving assessable income from the mismatch situation other than hybrid deductions.)</w:t>
      </w:r>
    </w:p>
    <w:p w14:paraId="543F4989" w14:textId="77777777" w:rsidR="009E2441" w:rsidRP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1AF50110" w14:textId="77777777" w:rsidR="009E2441" w:rsidRP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r w:rsidRPr="009E2441">
        <w:rPr>
          <w:snapToGrid w:val="0"/>
          <w:sz w:val="20"/>
          <w:szCs w:val="20"/>
          <w:lang w:eastAsia="en-AU"/>
        </w:rPr>
        <w:lastRenderedPageBreak/>
        <w:t>Accordingly, of the $210 deduction denied to Burr Ltd under section FH 8, $200 is allowed as a deduction under section FH 12, and Burr Ltd has $10 of denied deduction to carry forward to the next year.</w:t>
      </w:r>
    </w:p>
    <w:p w14:paraId="443672B1" w14:textId="77777777" w:rsidR="009E2441" w:rsidRP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77DACCC2" w14:textId="3CC1564E" w:rsidR="009E2441" w:rsidRP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r w:rsidRPr="009E2441">
        <w:rPr>
          <w:snapToGrid w:val="0"/>
          <w:sz w:val="20"/>
          <w:szCs w:val="20"/>
          <w:lang w:eastAsia="en-AU"/>
        </w:rPr>
        <w:t>For the Country B mismatch situation, Burr Ltd has a double deduction amount of $40 and surplus assessable income of $100, being the $100 assessable income earned through the Country B branch.</w:t>
      </w:r>
      <w:r w:rsidR="00B52067">
        <w:rPr>
          <w:snapToGrid w:val="0"/>
          <w:sz w:val="20"/>
          <w:szCs w:val="20"/>
          <w:lang w:eastAsia="en-AU"/>
        </w:rPr>
        <w:t xml:space="preserve"> </w:t>
      </w:r>
      <w:r w:rsidRPr="009E2441">
        <w:rPr>
          <w:snapToGrid w:val="0"/>
          <w:sz w:val="20"/>
          <w:szCs w:val="20"/>
          <w:lang w:eastAsia="en-AU"/>
        </w:rPr>
        <w:t>The other amounts in the calculation of surplus assessable income are zero.</w:t>
      </w:r>
    </w:p>
    <w:p w14:paraId="1FEE343A" w14:textId="77777777" w:rsidR="009E2441" w:rsidRP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10565164" w14:textId="3183E503" w:rsidR="009E2441" w:rsidRPr="009E2441" w:rsidRDefault="009E2441" w:rsidP="009E2441">
      <w:pPr>
        <w:pBdr>
          <w:top w:val="single" w:sz="4" w:space="10" w:color="auto"/>
          <w:left w:val="single" w:sz="4" w:space="10" w:color="auto"/>
          <w:bottom w:val="single" w:sz="4" w:space="10" w:color="auto"/>
          <w:right w:val="single" w:sz="4" w:space="10" w:color="auto"/>
        </w:pBdr>
        <w:rPr>
          <w:snapToGrid w:val="0"/>
          <w:sz w:val="20"/>
          <w:szCs w:val="20"/>
          <w:lang w:eastAsia="en-AU"/>
        </w:rPr>
      </w:pPr>
      <w:r w:rsidRPr="009E2441">
        <w:rPr>
          <w:snapToGrid w:val="0"/>
          <w:sz w:val="20"/>
          <w:szCs w:val="20"/>
          <w:lang w:eastAsia="en-AU"/>
        </w:rPr>
        <w:t>So all of the $40 deduction denied under section FH 8 for the Country B mismatch situation is allowed under section FH 12</w:t>
      </w:r>
      <w:r w:rsidR="002D5667">
        <w:rPr>
          <w:snapToGrid w:val="0"/>
          <w:sz w:val="20"/>
          <w:szCs w:val="20"/>
          <w:lang w:eastAsia="en-AU"/>
        </w:rPr>
        <w:t xml:space="preserve">. </w:t>
      </w:r>
      <w:r w:rsidRPr="009E2441">
        <w:rPr>
          <w:snapToGrid w:val="0"/>
          <w:sz w:val="20"/>
          <w:szCs w:val="20"/>
          <w:lang w:eastAsia="en-AU"/>
        </w:rPr>
        <w:t>For the Country B situation, Burr Ltd also has $60 surplus assessable income which it can carry forward to the next year under subsection (6)</w:t>
      </w:r>
      <w:r w:rsidR="002D5667">
        <w:rPr>
          <w:snapToGrid w:val="0"/>
          <w:sz w:val="20"/>
          <w:szCs w:val="20"/>
          <w:lang w:eastAsia="en-AU"/>
        </w:rPr>
        <w:t xml:space="preserve">. </w:t>
      </w:r>
      <w:r w:rsidRPr="009E2441">
        <w:rPr>
          <w:snapToGrid w:val="0"/>
          <w:sz w:val="20"/>
          <w:szCs w:val="20"/>
          <w:lang w:eastAsia="en-AU"/>
        </w:rPr>
        <w:t>This surplus assessable income cannot be used to claim a deduction for the $10 of denied deduction for Theodosia LP’s Country A double deductions because that deduction arises under a different mismatch situation.</w:t>
      </w:r>
    </w:p>
    <w:p w14:paraId="4DFA9659" w14:textId="6348879D" w:rsidR="00925A3A" w:rsidRPr="00925A3A" w:rsidRDefault="00925A3A" w:rsidP="00925A3A">
      <w:pPr>
        <w:rPr>
          <w:snapToGrid w:val="0"/>
          <w:szCs w:val="20"/>
          <w:lang w:eastAsia="en-AU"/>
        </w:rPr>
      </w:pPr>
    </w:p>
    <w:p w14:paraId="2166A555" w14:textId="77777777" w:rsidR="00724087" w:rsidRDefault="002D108D" w:rsidP="005156E4">
      <w:pPr>
        <w:pStyle w:val="Heading4"/>
        <w:rPr>
          <w:snapToGrid w:val="0"/>
          <w:lang w:eastAsia="en-AU"/>
        </w:rPr>
      </w:pPr>
      <w:r>
        <w:rPr>
          <w:snapToGrid w:val="0"/>
          <w:lang w:eastAsia="en-AU"/>
        </w:rPr>
        <w:t>Carry forward</w:t>
      </w:r>
    </w:p>
    <w:p w14:paraId="79E16EEA" w14:textId="77777777" w:rsidR="002D108D" w:rsidRDefault="002D108D" w:rsidP="00925A3A">
      <w:pPr>
        <w:rPr>
          <w:snapToGrid w:val="0"/>
          <w:szCs w:val="20"/>
          <w:lang w:eastAsia="en-AU"/>
        </w:rPr>
      </w:pPr>
    </w:p>
    <w:p w14:paraId="5868FA52" w14:textId="2B55709E" w:rsidR="00925A3A" w:rsidRDefault="004576BF" w:rsidP="00925A3A">
      <w:pPr>
        <w:rPr>
          <w:snapToGrid w:val="0"/>
          <w:szCs w:val="20"/>
          <w:lang w:eastAsia="en-AU"/>
        </w:rPr>
      </w:pPr>
      <w:r>
        <w:rPr>
          <w:snapToGrid w:val="0"/>
          <w:szCs w:val="20"/>
          <w:lang w:eastAsia="en-AU"/>
        </w:rPr>
        <w:t>M</w:t>
      </w:r>
      <w:r w:rsidR="00925A3A" w:rsidRPr="00925A3A">
        <w:rPr>
          <w:snapToGrid w:val="0"/>
          <w:szCs w:val="20"/>
          <w:lang w:eastAsia="en-AU"/>
        </w:rPr>
        <w:t>ismatch amount</w:t>
      </w:r>
      <w:r>
        <w:rPr>
          <w:snapToGrid w:val="0"/>
          <w:szCs w:val="20"/>
          <w:lang w:eastAsia="en-AU"/>
        </w:rPr>
        <w:t>s</w:t>
      </w:r>
      <w:r w:rsidR="00925A3A" w:rsidRPr="00925A3A">
        <w:rPr>
          <w:snapToGrid w:val="0"/>
          <w:szCs w:val="20"/>
          <w:lang w:eastAsia="en-AU"/>
        </w:rPr>
        <w:t xml:space="preserve"> not offset</w:t>
      </w:r>
      <w:r w:rsidR="00DC6C43">
        <w:rPr>
          <w:snapToGrid w:val="0"/>
          <w:szCs w:val="20"/>
          <w:lang w:eastAsia="en-AU"/>
        </w:rPr>
        <w:t xml:space="preserve"> against surplus assessable income</w:t>
      </w:r>
      <w:r w:rsidR="00925A3A" w:rsidRPr="00925A3A">
        <w:rPr>
          <w:snapToGrid w:val="0"/>
          <w:szCs w:val="20"/>
          <w:lang w:eastAsia="en-AU"/>
        </w:rPr>
        <w:t xml:space="preserve"> in a year </w:t>
      </w:r>
      <w:r>
        <w:rPr>
          <w:snapToGrid w:val="0"/>
          <w:szCs w:val="20"/>
          <w:lang w:eastAsia="en-AU"/>
        </w:rPr>
        <w:t>can be carried forward to the next tax year under subsection</w:t>
      </w:r>
      <w:r w:rsidR="00925A3A" w:rsidRPr="00925A3A">
        <w:rPr>
          <w:snapToGrid w:val="0"/>
          <w:szCs w:val="20"/>
          <w:lang w:eastAsia="en-AU"/>
        </w:rPr>
        <w:t xml:space="preserve"> (6)</w:t>
      </w:r>
      <w:r>
        <w:rPr>
          <w:snapToGrid w:val="0"/>
          <w:szCs w:val="20"/>
          <w:lang w:eastAsia="en-AU"/>
        </w:rPr>
        <w:t xml:space="preserve"> provided that they meet the </w:t>
      </w:r>
      <w:r w:rsidR="00925A3A" w:rsidRPr="00925A3A">
        <w:rPr>
          <w:snapToGrid w:val="0"/>
          <w:szCs w:val="20"/>
          <w:lang w:eastAsia="en-AU"/>
        </w:rPr>
        <w:t xml:space="preserve">same </w:t>
      </w:r>
      <w:r w:rsidR="0001110F">
        <w:rPr>
          <w:snapToGrid w:val="0"/>
          <w:szCs w:val="20"/>
          <w:lang w:eastAsia="en-AU"/>
        </w:rPr>
        <w:t>forty nine</w:t>
      </w:r>
      <w:r w:rsidR="00925A3A" w:rsidRPr="00925A3A">
        <w:rPr>
          <w:snapToGrid w:val="0"/>
          <w:szCs w:val="20"/>
          <w:lang w:eastAsia="en-AU"/>
        </w:rPr>
        <w:t xml:space="preserve"> percent continuity of ownership test as applies to tax losses</w:t>
      </w:r>
      <w:r>
        <w:rPr>
          <w:snapToGrid w:val="0"/>
          <w:szCs w:val="20"/>
          <w:lang w:eastAsia="en-AU"/>
        </w:rPr>
        <w:t xml:space="preserve"> (this is set out in subsection (8))</w:t>
      </w:r>
      <w:r w:rsidR="00925A3A" w:rsidRPr="00925A3A">
        <w:rPr>
          <w:snapToGrid w:val="0"/>
          <w:szCs w:val="20"/>
          <w:lang w:eastAsia="en-AU"/>
        </w:rPr>
        <w:t>.</w:t>
      </w:r>
    </w:p>
    <w:p w14:paraId="4E580A9C" w14:textId="77777777" w:rsidR="004576BF" w:rsidRDefault="004576BF" w:rsidP="00925A3A">
      <w:pPr>
        <w:rPr>
          <w:snapToGrid w:val="0"/>
          <w:szCs w:val="20"/>
          <w:lang w:eastAsia="en-AU"/>
        </w:rPr>
      </w:pPr>
    </w:p>
    <w:p w14:paraId="229BCEF3" w14:textId="6D4CDE14" w:rsidR="003A2D67" w:rsidRDefault="004576BF" w:rsidP="00925A3A">
      <w:pPr>
        <w:rPr>
          <w:snapToGrid w:val="0"/>
          <w:szCs w:val="20"/>
          <w:lang w:eastAsia="en-AU"/>
        </w:rPr>
      </w:pPr>
      <w:r>
        <w:rPr>
          <w:snapToGrid w:val="0"/>
          <w:szCs w:val="20"/>
          <w:lang w:eastAsia="en-AU"/>
        </w:rPr>
        <w:t>Surplus assessable income that is not offset against mismatch amounts in a year can also be carried forward to the next tax year</w:t>
      </w:r>
      <w:r w:rsidR="00307DF2">
        <w:rPr>
          <w:snapToGrid w:val="0"/>
          <w:szCs w:val="20"/>
          <w:lang w:eastAsia="en-AU"/>
        </w:rPr>
        <w:t xml:space="preserve"> in the same way. However,</w:t>
      </w:r>
      <w:r w:rsidR="004F71D2">
        <w:rPr>
          <w:snapToGrid w:val="0"/>
          <w:szCs w:val="20"/>
          <w:lang w:eastAsia="en-AU"/>
        </w:rPr>
        <w:t xml:space="preserve"> before continuity is considered</w:t>
      </w:r>
      <w:r w:rsidR="00937828">
        <w:rPr>
          <w:snapToGrid w:val="0"/>
          <w:szCs w:val="20"/>
          <w:lang w:eastAsia="en-AU"/>
        </w:rPr>
        <w:t>,</w:t>
      </w:r>
      <w:r w:rsidR="00307DF2">
        <w:rPr>
          <w:snapToGrid w:val="0"/>
          <w:szCs w:val="20"/>
          <w:lang w:eastAsia="en-AU"/>
        </w:rPr>
        <w:t xml:space="preserve"> subsection (7)(a)</w:t>
      </w:r>
      <w:r w:rsidR="004F71D2">
        <w:rPr>
          <w:snapToGrid w:val="0"/>
          <w:szCs w:val="20"/>
          <w:lang w:eastAsia="en-AU"/>
        </w:rPr>
        <w:t xml:space="preserve"> reduces the amount of surplus assessable in</w:t>
      </w:r>
      <w:r w:rsidR="00937828">
        <w:rPr>
          <w:snapToGrid w:val="0"/>
          <w:szCs w:val="20"/>
          <w:lang w:eastAsia="en-AU"/>
        </w:rPr>
        <w:t>come by the amount</w:t>
      </w:r>
      <w:r w:rsidR="004F71D2">
        <w:rPr>
          <w:snapToGrid w:val="0"/>
          <w:szCs w:val="20"/>
          <w:lang w:eastAsia="en-AU"/>
        </w:rPr>
        <w:t xml:space="preserve"> that is</w:t>
      </w:r>
      <w:r w:rsidR="00937828">
        <w:rPr>
          <w:snapToGrid w:val="0"/>
          <w:szCs w:val="20"/>
          <w:lang w:eastAsia="en-AU"/>
        </w:rPr>
        <w:t xml:space="preserve"> </w:t>
      </w:r>
      <w:r w:rsidR="003A2D67">
        <w:rPr>
          <w:snapToGrid w:val="0"/>
          <w:szCs w:val="20"/>
          <w:lang w:eastAsia="en-AU"/>
        </w:rPr>
        <w:t>subject to the foreign tax credit regime of a foreign country equivalent to New Zealand’s subpart LJ. This is to ensure that net New Zealand income from a mismatch situation cannot be offset against future mismatch amounts if double tax has been relieved by a foreign country through foreign tax credits in relation to that net New Zealand income.</w:t>
      </w:r>
    </w:p>
    <w:p w14:paraId="38F095E2" w14:textId="77777777" w:rsidR="00BE51B7" w:rsidRDefault="00BE51B7" w:rsidP="00925A3A">
      <w:pPr>
        <w:rPr>
          <w:snapToGrid w:val="0"/>
          <w:szCs w:val="20"/>
          <w:lang w:eastAsia="en-AU"/>
        </w:rPr>
      </w:pPr>
    </w:p>
    <w:p w14:paraId="4E5F16AB" w14:textId="77777777" w:rsidR="00925A3A" w:rsidRPr="00925A3A" w:rsidRDefault="00925A3A" w:rsidP="00925A3A">
      <w:pPr>
        <w:rPr>
          <w:snapToGrid w:val="0"/>
          <w:szCs w:val="20"/>
          <w:lang w:eastAsia="en-AU"/>
        </w:rPr>
      </w:pPr>
    </w:p>
    <w:p w14:paraId="627A6202" w14:textId="2D752DF0" w:rsidR="00BE51B7" w:rsidRDefault="00925A3A" w:rsidP="00BE51B7">
      <w:pPr>
        <w:keepNext/>
        <w:pBdr>
          <w:top w:val="single" w:sz="4" w:space="10" w:color="auto"/>
          <w:left w:val="single" w:sz="4" w:space="10" w:color="auto"/>
          <w:bottom w:val="single" w:sz="4" w:space="10" w:color="auto"/>
          <w:right w:val="single" w:sz="4" w:space="10" w:color="auto"/>
        </w:pBdr>
        <w:rPr>
          <w:b/>
          <w:snapToGrid w:val="0"/>
          <w:sz w:val="20"/>
          <w:szCs w:val="20"/>
          <w:lang w:eastAsia="en-AU"/>
        </w:rPr>
      </w:pPr>
      <w:r w:rsidRPr="00925A3A">
        <w:rPr>
          <w:b/>
          <w:snapToGrid w:val="0"/>
          <w:sz w:val="20"/>
          <w:szCs w:val="20"/>
          <w:lang w:eastAsia="en-AU"/>
        </w:rPr>
        <w:t xml:space="preserve">Example </w:t>
      </w:r>
      <w:r w:rsidR="007A382F">
        <w:rPr>
          <w:b/>
          <w:sz w:val="20"/>
          <w:szCs w:val="20"/>
          <w:lang w:eastAsia="en-AU"/>
        </w:rPr>
        <w:t>32: D</w:t>
      </w:r>
      <w:r w:rsidR="0004751E">
        <w:rPr>
          <w:b/>
          <w:sz w:val="20"/>
          <w:szCs w:val="20"/>
          <w:lang w:eastAsia="en-AU"/>
        </w:rPr>
        <w:t>isallowed carry forward of mismatch amount</w:t>
      </w:r>
    </w:p>
    <w:p w14:paraId="2738721D" w14:textId="77777777" w:rsidR="00BE51B7" w:rsidRDefault="00BE51B7" w:rsidP="00BE51B7">
      <w:pPr>
        <w:keepNext/>
        <w:pBdr>
          <w:top w:val="single" w:sz="4" w:space="10" w:color="auto"/>
          <w:left w:val="single" w:sz="4" w:space="10" w:color="auto"/>
          <w:bottom w:val="single" w:sz="4" w:space="10" w:color="auto"/>
          <w:right w:val="single" w:sz="4" w:space="10" w:color="auto"/>
        </w:pBdr>
        <w:rPr>
          <w:snapToGrid w:val="0"/>
          <w:sz w:val="20"/>
          <w:szCs w:val="20"/>
          <w:lang w:eastAsia="en-AU"/>
        </w:rPr>
      </w:pPr>
    </w:p>
    <w:p w14:paraId="0173C4DD" w14:textId="70A9992F" w:rsidR="00925A3A" w:rsidRPr="00BE51B7" w:rsidRDefault="004C7594" w:rsidP="00BE51B7">
      <w:pPr>
        <w:keepNext/>
        <w:pBdr>
          <w:top w:val="single" w:sz="4" w:space="10" w:color="auto"/>
          <w:left w:val="single" w:sz="4" w:space="10" w:color="auto"/>
          <w:bottom w:val="single" w:sz="4" w:space="10" w:color="auto"/>
          <w:right w:val="single" w:sz="4" w:space="10" w:color="auto"/>
        </w:pBdr>
        <w:rPr>
          <w:b/>
          <w:snapToGrid w:val="0"/>
          <w:sz w:val="20"/>
          <w:szCs w:val="20"/>
          <w:lang w:eastAsia="en-AU"/>
        </w:rPr>
      </w:pPr>
      <w:r>
        <w:rPr>
          <w:snapToGrid w:val="0"/>
          <w:sz w:val="20"/>
          <w:szCs w:val="20"/>
          <w:lang w:eastAsia="en-AU"/>
        </w:rPr>
        <w:t xml:space="preserve">Further to </w:t>
      </w:r>
      <w:r w:rsidR="00BE51B7">
        <w:rPr>
          <w:snapToGrid w:val="0"/>
          <w:sz w:val="20"/>
          <w:szCs w:val="20"/>
          <w:lang w:eastAsia="en-AU"/>
        </w:rPr>
        <w:t>examples 30 and 31</w:t>
      </w:r>
      <w:r>
        <w:rPr>
          <w:snapToGrid w:val="0"/>
          <w:sz w:val="20"/>
          <w:szCs w:val="20"/>
          <w:lang w:eastAsia="en-AU"/>
        </w:rPr>
        <w:t>, Theodosia</w:t>
      </w:r>
      <w:r w:rsidRPr="00925A3A">
        <w:rPr>
          <w:snapToGrid w:val="0"/>
          <w:sz w:val="20"/>
          <w:szCs w:val="20"/>
          <w:lang w:eastAsia="en-AU"/>
        </w:rPr>
        <w:t xml:space="preserve"> </w:t>
      </w:r>
      <w:r w:rsidR="00925A3A" w:rsidRPr="00925A3A">
        <w:rPr>
          <w:snapToGrid w:val="0"/>
          <w:sz w:val="20"/>
          <w:szCs w:val="20"/>
          <w:lang w:eastAsia="en-AU"/>
        </w:rPr>
        <w:t>LP (excluding</w:t>
      </w:r>
      <w:r w:rsidR="00AE1A70">
        <w:rPr>
          <w:snapToGrid w:val="0"/>
          <w:sz w:val="20"/>
          <w:szCs w:val="20"/>
          <w:lang w:eastAsia="en-AU"/>
        </w:rPr>
        <w:t xml:space="preserve"> its branch in</w:t>
      </w:r>
      <w:r w:rsidR="00925A3A" w:rsidRPr="00925A3A">
        <w:rPr>
          <w:snapToGrid w:val="0"/>
          <w:sz w:val="20"/>
          <w:szCs w:val="20"/>
          <w:lang w:eastAsia="en-AU"/>
        </w:rPr>
        <w:t xml:space="preserve"> Country B) has $30 of double deductions and $50 of surplus assessable income</w:t>
      </w:r>
      <w:r>
        <w:rPr>
          <w:snapToGrid w:val="0"/>
          <w:sz w:val="20"/>
          <w:szCs w:val="20"/>
          <w:lang w:eastAsia="en-AU"/>
        </w:rPr>
        <w:t xml:space="preserve"> in </w:t>
      </w:r>
      <w:r w:rsidR="0001110F">
        <w:rPr>
          <w:snapToGrid w:val="0"/>
          <w:sz w:val="20"/>
          <w:szCs w:val="20"/>
          <w:lang w:eastAsia="en-AU"/>
        </w:rPr>
        <w:t>y</w:t>
      </w:r>
      <w:r>
        <w:rPr>
          <w:snapToGrid w:val="0"/>
          <w:sz w:val="20"/>
          <w:szCs w:val="20"/>
          <w:lang w:eastAsia="en-AU"/>
        </w:rPr>
        <w:t xml:space="preserve">ear </w:t>
      </w:r>
      <w:r w:rsidR="0001110F">
        <w:rPr>
          <w:snapToGrid w:val="0"/>
          <w:sz w:val="20"/>
          <w:szCs w:val="20"/>
          <w:lang w:eastAsia="en-AU"/>
        </w:rPr>
        <w:t>two</w:t>
      </w:r>
      <w:r w:rsidR="002D5667">
        <w:rPr>
          <w:snapToGrid w:val="0"/>
          <w:sz w:val="20"/>
          <w:szCs w:val="20"/>
          <w:lang w:eastAsia="en-AU"/>
        </w:rPr>
        <w:t xml:space="preserve">. </w:t>
      </w:r>
      <w:r w:rsidR="00925A3A" w:rsidRPr="00925A3A">
        <w:rPr>
          <w:snapToGrid w:val="0"/>
          <w:sz w:val="20"/>
          <w:szCs w:val="20"/>
          <w:lang w:eastAsia="en-AU"/>
        </w:rPr>
        <w:t xml:space="preserve">The $10 mismatch amount for which a deduction was not allowed in year </w:t>
      </w:r>
      <w:r w:rsidR="0001110F">
        <w:rPr>
          <w:snapToGrid w:val="0"/>
          <w:sz w:val="20"/>
          <w:szCs w:val="20"/>
          <w:lang w:eastAsia="en-AU"/>
        </w:rPr>
        <w:t>one</w:t>
      </w:r>
      <w:r w:rsidR="00925A3A" w:rsidRPr="00925A3A">
        <w:rPr>
          <w:snapToGrid w:val="0"/>
          <w:sz w:val="20"/>
          <w:szCs w:val="20"/>
          <w:lang w:eastAsia="en-AU"/>
        </w:rPr>
        <w:t xml:space="preserve"> can prima facie be deducted against the $20 of surplus assessable income</w:t>
      </w:r>
      <w:r w:rsidR="002D5667">
        <w:rPr>
          <w:snapToGrid w:val="0"/>
          <w:sz w:val="20"/>
          <w:szCs w:val="20"/>
          <w:lang w:eastAsia="en-AU"/>
        </w:rPr>
        <w:t xml:space="preserve">. </w:t>
      </w:r>
      <w:r w:rsidR="00925A3A" w:rsidRPr="00925A3A">
        <w:rPr>
          <w:snapToGrid w:val="0"/>
          <w:sz w:val="20"/>
          <w:szCs w:val="20"/>
          <w:lang w:eastAsia="en-AU"/>
        </w:rPr>
        <w:t xml:space="preserve">However, the group that includes Burr Ltd, </w:t>
      </w:r>
      <w:r>
        <w:rPr>
          <w:snapToGrid w:val="0"/>
          <w:sz w:val="20"/>
          <w:szCs w:val="20"/>
          <w:lang w:eastAsia="en-AU"/>
        </w:rPr>
        <w:t>Theodosia</w:t>
      </w:r>
      <w:r w:rsidRPr="00925A3A">
        <w:rPr>
          <w:snapToGrid w:val="0"/>
          <w:sz w:val="20"/>
          <w:szCs w:val="20"/>
          <w:lang w:eastAsia="en-AU"/>
        </w:rPr>
        <w:t xml:space="preserve"> </w:t>
      </w:r>
      <w:r w:rsidR="00925A3A" w:rsidRPr="00925A3A">
        <w:rPr>
          <w:snapToGrid w:val="0"/>
          <w:sz w:val="20"/>
          <w:szCs w:val="20"/>
          <w:lang w:eastAsia="en-AU"/>
        </w:rPr>
        <w:t xml:space="preserve">LP and Mercer Pty Ltd is sold to a new owner at the beginning of year </w:t>
      </w:r>
      <w:r w:rsidR="0001110F">
        <w:rPr>
          <w:snapToGrid w:val="0"/>
          <w:sz w:val="20"/>
          <w:szCs w:val="20"/>
          <w:lang w:eastAsia="en-AU"/>
        </w:rPr>
        <w:t>two</w:t>
      </w:r>
      <w:r w:rsidR="002D5667">
        <w:rPr>
          <w:snapToGrid w:val="0"/>
          <w:sz w:val="20"/>
          <w:szCs w:val="20"/>
          <w:lang w:eastAsia="en-AU"/>
        </w:rPr>
        <w:t xml:space="preserve">. </w:t>
      </w:r>
      <w:r w:rsidR="00925A3A" w:rsidRPr="00925A3A">
        <w:rPr>
          <w:snapToGrid w:val="0"/>
          <w:sz w:val="20"/>
          <w:szCs w:val="20"/>
          <w:lang w:eastAsia="en-AU"/>
        </w:rPr>
        <w:t>This sale will terminate the carry forward of the $10 denied deduction with respect to the Country A mismatch situation</w:t>
      </w:r>
      <w:r w:rsidR="002D5667">
        <w:rPr>
          <w:snapToGrid w:val="0"/>
          <w:sz w:val="20"/>
          <w:szCs w:val="20"/>
          <w:lang w:eastAsia="en-AU"/>
        </w:rPr>
        <w:t xml:space="preserve">. </w:t>
      </w:r>
      <w:r w:rsidR="00925A3A" w:rsidRPr="00925A3A">
        <w:rPr>
          <w:snapToGrid w:val="0"/>
          <w:sz w:val="20"/>
          <w:szCs w:val="20"/>
          <w:lang w:eastAsia="en-AU"/>
        </w:rPr>
        <w:t xml:space="preserve">So that amount cannot be deducted in year </w:t>
      </w:r>
      <w:r w:rsidR="00E63EFC">
        <w:rPr>
          <w:snapToGrid w:val="0"/>
          <w:sz w:val="20"/>
          <w:szCs w:val="20"/>
          <w:lang w:eastAsia="en-AU"/>
        </w:rPr>
        <w:t>two</w:t>
      </w:r>
      <w:r w:rsidR="00925A3A" w:rsidRPr="00925A3A">
        <w:rPr>
          <w:snapToGrid w:val="0"/>
          <w:sz w:val="20"/>
          <w:szCs w:val="20"/>
          <w:lang w:eastAsia="en-AU"/>
        </w:rPr>
        <w:t>.</w:t>
      </w:r>
    </w:p>
    <w:p w14:paraId="51540037" w14:textId="77777777" w:rsidR="00925A3A" w:rsidRDefault="00925A3A" w:rsidP="00925A3A">
      <w:pPr>
        <w:rPr>
          <w:snapToGrid w:val="0"/>
          <w:szCs w:val="20"/>
          <w:lang w:eastAsia="en-AU"/>
        </w:rPr>
      </w:pPr>
    </w:p>
    <w:p w14:paraId="1E992516" w14:textId="77777777" w:rsidR="00724087" w:rsidRPr="00724087" w:rsidRDefault="00724087" w:rsidP="005156E4">
      <w:pPr>
        <w:pStyle w:val="Heading4"/>
        <w:rPr>
          <w:snapToGrid w:val="0"/>
          <w:lang w:eastAsia="en-AU"/>
        </w:rPr>
      </w:pPr>
      <w:r>
        <w:rPr>
          <w:snapToGrid w:val="0"/>
          <w:lang w:eastAsia="en-AU"/>
        </w:rPr>
        <w:t>Stranded losses</w:t>
      </w:r>
    </w:p>
    <w:p w14:paraId="74307988" w14:textId="77777777" w:rsidR="00925A3A" w:rsidRPr="00925A3A" w:rsidRDefault="00925A3A" w:rsidP="00925A3A">
      <w:pPr>
        <w:rPr>
          <w:snapToGrid w:val="0"/>
          <w:szCs w:val="20"/>
          <w:lang w:eastAsia="en-AU"/>
        </w:rPr>
      </w:pPr>
    </w:p>
    <w:p w14:paraId="02B34D9F" w14:textId="56D762E7" w:rsidR="00925A3A" w:rsidRPr="00925A3A" w:rsidRDefault="00925A3A" w:rsidP="00925A3A">
      <w:pPr>
        <w:rPr>
          <w:snapToGrid w:val="0"/>
          <w:szCs w:val="20"/>
          <w:lang w:eastAsia="en-AU"/>
        </w:rPr>
      </w:pPr>
      <w:r w:rsidRPr="00925A3A">
        <w:rPr>
          <w:snapToGrid w:val="0"/>
          <w:szCs w:val="20"/>
          <w:lang w:eastAsia="en-AU"/>
        </w:rPr>
        <w:t>Subsection (</w:t>
      </w:r>
      <w:r w:rsidR="00DC6C43">
        <w:rPr>
          <w:snapToGrid w:val="0"/>
          <w:szCs w:val="20"/>
          <w:lang w:eastAsia="en-AU"/>
        </w:rPr>
        <w:t>9</w:t>
      </w:r>
      <w:r w:rsidRPr="00925A3A">
        <w:rPr>
          <w:snapToGrid w:val="0"/>
          <w:szCs w:val="20"/>
          <w:lang w:eastAsia="en-AU"/>
        </w:rPr>
        <w:t>) provides for a situation where an amount for which a deduction is denied under section FH 8 (a double deduction amount) ceases to be a mismatch amount because the person treated as having the loss in the other country ceases to exist before the loss is used in the other country</w:t>
      </w:r>
      <w:r w:rsidR="002D5667">
        <w:rPr>
          <w:snapToGrid w:val="0"/>
          <w:szCs w:val="20"/>
          <w:lang w:eastAsia="en-AU"/>
        </w:rPr>
        <w:t xml:space="preserve">. </w:t>
      </w:r>
      <w:r w:rsidRPr="00925A3A">
        <w:rPr>
          <w:snapToGrid w:val="0"/>
          <w:szCs w:val="20"/>
          <w:lang w:eastAsia="en-AU"/>
        </w:rPr>
        <w:t>This means the loss is no longer able to be used in that other country</w:t>
      </w:r>
      <w:r w:rsidR="002D5667">
        <w:rPr>
          <w:snapToGrid w:val="0"/>
          <w:szCs w:val="20"/>
          <w:lang w:eastAsia="en-AU"/>
        </w:rPr>
        <w:t xml:space="preserve">. </w:t>
      </w:r>
      <w:r w:rsidRPr="00925A3A">
        <w:rPr>
          <w:snapToGrid w:val="0"/>
          <w:szCs w:val="20"/>
          <w:lang w:eastAsia="en-AU"/>
        </w:rPr>
        <w:t xml:space="preserve">This is referred to in the hybrid </w:t>
      </w:r>
      <w:r w:rsidR="00573131">
        <w:rPr>
          <w:snapToGrid w:val="0"/>
          <w:szCs w:val="20"/>
          <w:lang w:eastAsia="en-AU"/>
        </w:rPr>
        <w:t xml:space="preserve">mismatch </w:t>
      </w:r>
      <w:r w:rsidRPr="00925A3A">
        <w:rPr>
          <w:snapToGrid w:val="0"/>
          <w:szCs w:val="20"/>
          <w:lang w:eastAsia="en-AU"/>
        </w:rPr>
        <w:t>report as a “stranded loss”.</w:t>
      </w:r>
    </w:p>
    <w:p w14:paraId="33B57FF0" w14:textId="77777777" w:rsidR="00925A3A" w:rsidRPr="00925A3A" w:rsidRDefault="00925A3A" w:rsidP="00925A3A">
      <w:pPr>
        <w:rPr>
          <w:snapToGrid w:val="0"/>
          <w:szCs w:val="20"/>
          <w:lang w:eastAsia="en-AU"/>
        </w:rPr>
      </w:pPr>
    </w:p>
    <w:p w14:paraId="54F9F65A" w14:textId="77777777" w:rsidR="00925A3A" w:rsidRPr="00925A3A" w:rsidRDefault="00925A3A" w:rsidP="00925A3A">
      <w:pPr>
        <w:rPr>
          <w:snapToGrid w:val="0"/>
          <w:szCs w:val="20"/>
          <w:lang w:eastAsia="en-AU"/>
        </w:rPr>
      </w:pPr>
      <w:r w:rsidRPr="00925A3A">
        <w:rPr>
          <w:snapToGrid w:val="0"/>
          <w:szCs w:val="20"/>
          <w:lang w:eastAsia="en-AU"/>
        </w:rPr>
        <w:t xml:space="preserve">The </w:t>
      </w:r>
      <w:r w:rsidR="000E0D5D">
        <w:rPr>
          <w:snapToGrid w:val="0"/>
          <w:szCs w:val="20"/>
          <w:lang w:eastAsia="en-AU"/>
        </w:rPr>
        <w:t>sub</w:t>
      </w:r>
      <w:r w:rsidRPr="00925A3A">
        <w:rPr>
          <w:snapToGrid w:val="0"/>
          <w:szCs w:val="20"/>
          <w:lang w:eastAsia="en-AU"/>
        </w:rPr>
        <w:t>section applies where:</w:t>
      </w:r>
    </w:p>
    <w:p w14:paraId="146CB536" w14:textId="77777777" w:rsidR="00925A3A" w:rsidRPr="004D0BD5" w:rsidRDefault="00925A3A" w:rsidP="005156E4">
      <w:pPr>
        <w:pStyle w:val="ListParagraph"/>
        <w:numPr>
          <w:ilvl w:val="0"/>
          <w:numId w:val="55"/>
        </w:numPr>
        <w:spacing w:after="140"/>
        <w:ind w:left="567" w:hanging="567"/>
        <w:rPr>
          <w:snapToGrid w:val="0"/>
          <w:szCs w:val="20"/>
          <w:lang w:eastAsia="en-AU"/>
        </w:rPr>
      </w:pPr>
      <w:r w:rsidRPr="004D0BD5">
        <w:rPr>
          <w:snapToGrid w:val="0"/>
          <w:szCs w:val="20"/>
          <w:lang w:eastAsia="en-AU"/>
        </w:rPr>
        <w:t>a New Zealand person has a mismatch amount arising under section FH 8 available to be carried forward at the end of a year;</w:t>
      </w:r>
    </w:p>
    <w:p w14:paraId="29709C47" w14:textId="77777777" w:rsidR="00925A3A" w:rsidRPr="00DA4416" w:rsidRDefault="00925A3A" w:rsidP="005156E4">
      <w:pPr>
        <w:pStyle w:val="ListParagraph"/>
        <w:numPr>
          <w:ilvl w:val="0"/>
          <w:numId w:val="55"/>
        </w:numPr>
        <w:spacing w:after="140"/>
        <w:ind w:left="567" w:hanging="567"/>
        <w:rPr>
          <w:snapToGrid w:val="0"/>
          <w:szCs w:val="20"/>
          <w:lang w:eastAsia="en-AU"/>
        </w:rPr>
      </w:pPr>
      <w:r w:rsidRPr="004D0BD5">
        <w:rPr>
          <w:snapToGrid w:val="0"/>
          <w:szCs w:val="20"/>
          <w:lang w:eastAsia="en-AU"/>
        </w:rPr>
        <w:t>the person who incurred the loss under the other country’s rules (which may be the New Zealand person or a hybrid entity) ceases to exist; and</w:t>
      </w:r>
    </w:p>
    <w:p w14:paraId="60282A74" w14:textId="77777777" w:rsidR="00925A3A" w:rsidRPr="006C24F9" w:rsidRDefault="00925A3A" w:rsidP="005156E4">
      <w:pPr>
        <w:pStyle w:val="ListParagraph"/>
        <w:numPr>
          <w:ilvl w:val="0"/>
          <w:numId w:val="55"/>
        </w:numPr>
        <w:ind w:left="567" w:hanging="567"/>
        <w:rPr>
          <w:snapToGrid w:val="0"/>
          <w:szCs w:val="20"/>
          <w:lang w:eastAsia="en-AU"/>
        </w:rPr>
      </w:pPr>
      <w:r w:rsidRPr="006C24F9">
        <w:rPr>
          <w:snapToGrid w:val="0"/>
          <w:szCs w:val="20"/>
          <w:lang w:eastAsia="en-AU"/>
        </w:rPr>
        <w:t>under the law of the other country, in the year in which the mismatch arose or any later year, the person has not offset a loss against income which is not assessable in New Zealand.</w:t>
      </w:r>
    </w:p>
    <w:p w14:paraId="7FF19C19" w14:textId="77777777" w:rsidR="00925A3A" w:rsidRPr="00925A3A" w:rsidRDefault="00925A3A" w:rsidP="004D0BD5">
      <w:pPr>
        <w:ind w:left="567" w:hanging="567"/>
        <w:rPr>
          <w:snapToGrid w:val="0"/>
          <w:szCs w:val="20"/>
          <w:lang w:eastAsia="en-AU"/>
        </w:rPr>
      </w:pPr>
    </w:p>
    <w:p w14:paraId="72FE63DD" w14:textId="77777777" w:rsidR="00925A3A" w:rsidRPr="00925A3A" w:rsidRDefault="00925A3A" w:rsidP="004D0BD5">
      <w:pPr>
        <w:rPr>
          <w:snapToGrid w:val="0"/>
          <w:szCs w:val="20"/>
          <w:lang w:eastAsia="en-AU"/>
        </w:rPr>
      </w:pPr>
      <w:r w:rsidRPr="004D0BD5">
        <w:rPr>
          <w:snapToGrid w:val="0"/>
          <w:szCs w:val="20"/>
          <w:lang w:eastAsia="en-AU"/>
        </w:rPr>
        <w:t>If these requirements are met, the mismatch amount will be:</w:t>
      </w:r>
    </w:p>
    <w:p w14:paraId="244A0DFF" w14:textId="77777777" w:rsidR="00925A3A" w:rsidRPr="004D0BD5" w:rsidRDefault="00925A3A" w:rsidP="005156E4">
      <w:pPr>
        <w:pStyle w:val="ListParagraph"/>
        <w:numPr>
          <w:ilvl w:val="0"/>
          <w:numId w:val="55"/>
        </w:numPr>
        <w:spacing w:after="140"/>
        <w:ind w:left="567" w:hanging="567"/>
        <w:rPr>
          <w:snapToGrid w:val="0"/>
          <w:szCs w:val="20"/>
          <w:lang w:eastAsia="en-AU"/>
        </w:rPr>
      </w:pPr>
      <w:r w:rsidRPr="004D0BD5">
        <w:rPr>
          <w:snapToGrid w:val="0"/>
          <w:szCs w:val="20"/>
          <w:lang w:eastAsia="en-AU"/>
        </w:rPr>
        <w:t>in the case of a loss incurred by a foreign branch of a New Zealand person, treated as a tax loss component in the year the entity with the branch ceases to exist, in which case it can be offset against another group company’s income in that year; or</w:t>
      </w:r>
    </w:p>
    <w:p w14:paraId="4807BB17" w14:textId="77777777" w:rsidR="00925A3A" w:rsidRPr="006C24F9" w:rsidRDefault="00925A3A" w:rsidP="005156E4">
      <w:pPr>
        <w:pStyle w:val="ListParagraph"/>
        <w:numPr>
          <w:ilvl w:val="0"/>
          <w:numId w:val="55"/>
        </w:numPr>
        <w:ind w:left="567" w:hanging="567"/>
        <w:rPr>
          <w:snapToGrid w:val="0"/>
          <w:szCs w:val="20"/>
          <w:lang w:eastAsia="en-AU"/>
        </w:rPr>
      </w:pPr>
      <w:r w:rsidRPr="00DA4416">
        <w:rPr>
          <w:snapToGrid w:val="0"/>
          <w:szCs w:val="20"/>
          <w:lang w:eastAsia="en-AU"/>
        </w:rPr>
        <w:t>in the case of a loss incurred by a hybrid e</w:t>
      </w:r>
      <w:r w:rsidRPr="006C24F9">
        <w:rPr>
          <w:snapToGrid w:val="0"/>
          <w:szCs w:val="20"/>
          <w:lang w:eastAsia="en-AU"/>
        </w:rPr>
        <w:t>ntity</w:t>
      </w:r>
      <w:r w:rsidR="00340243">
        <w:rPr>
          <w:snapToGrid w:val="0"/>
          <w:szCs w:val="20"/>
          <w:lang w:eastAsia="en-AU"/>
        </w:rPr>
        <w:t xml:space="preserve"> which ceases to exist</w:t>
      </w:r>
      <w:r w:rsidRPr="006C24F9">
        <w:rPr>
          <w:snapToGrid w:val="0"/>
          <w:szCs w:val="20"/>
          <w:lang w:eastAsia="en-AU"/>
        </w:rPr>
        <w:t>, treated as an ordinary tax loss of the owner.</w:t>
      </w:r>
    </w:p>
    <w:p w14:paraId="6BA137D2" w14:textId="77777777" w:rsidR="00925A3A" w:rsidRDefault="00925A3A" w:rsidP="00925A3A">
      <w:pPr>
        <w:rPr>
          <w:szCs w:val="20"/>
          <w:lang w:eastAsia="en-AU"/>
        </w:rPr>
      </w:pPr>
    </w:p>
    <w:p w14:paraId="22E764A8" w14:textId="77777777" w:rsidR="00724087" w:rsidRPr="00724087" w:rsidRDefault="00724087" w:rsidP="005156E4">
      <w:pPr>
        <w:pStyle w:val="Heading4"/>
        <w:rPr>
          <w:lang w:eastAsia="en-AU"/>
        </w:rPr>
      </w:pPr>
      <w:r>
        <w:rPr>
          <w:lang w:eastAsia="en-AU"/>
        </w:rPr>
        <w:t>Grouping</w:t>
      </w:r>
    </w:p>
    <w:p w14:paraId="220D5421" w14:textId="77777777" w:rsidR="00724087" w:rsidRDefault="00724087" w:rsidP="00925A3A">
      <w:pPr>
        <w:rPr>
          <w:szCs w:val="20"/>
          <w:lang w:eastAsia="en-AU"/>
        </w:rPr>
      </w:pPr>
    </w:p>
    <w:p w14:paraId="74613A52" w14:textId="77777777" w:rsidR="000E0D5D" w:rsidRDefault="000E0D5D" w:rsidP="00925A3A">
      <w:pPr>
        <w:rPr>
          <w:szCs w:val="20"/>
          <w:lang w:eastAsia="en-AU"/>
        </w:rPr>
      </w:pPr>
      <w:r>
        <w:rPr>
          <w:szCs w:val="20"/>
          <w:lang w:eastAsia="en-AU"/>
        </w:rPr>
        <w:t>Subsection (10) is a grouping provision that allows a company to set off a mismatch amount from a mismatch situation against another company’s surplus assessable income (from a different mismatch situation) if those companies are in the same group.</w:t>
      </w:r>
    </w:p>
    <w:p w14:paraId="51074ECE" w14:textId="77777777" w:rsidR="000E0D5D" w:rsidRDefault="000E0D5D" w:rsidP="00925A3A">
      <w:pPr>
        <w:rPr>
          <w:szCs w:val="20"/>
          <w:lang w:eastAsia="en-AU"/>
        </w:rPr>
      </w:pPr>
    </w:p>
    <w:p w14:paraId="206707C9" w14:textId="77777777" w:rsidR="000E0D5D" w:rsidRDefault="00724087" w:rsidP="00925A3A">
      <w:pPr>
        <w:rPr>
          <w:szCs w:val="20"/>
          <w:lang w:eastAsia="en-AU"/>
        </w:rPr>
      </w:pPr>
      <w:r>
        <w:rPr>
          <w:szCs w:val="20"/>
          <w:lang w:eastAsia="en-AU"/>
        </w:rPr>
        <w:t xml:space="preserve">The subsection is available </w:t>
      </w:r>
      <w:r w:rsidR="00C36C65">
        <w:rPr>
          <w:szCs w:val="20"/>
          <w:lang w:eastAsia="en-AU"/>
        </w:rPr>
        <w:t>if</w:t>
      </w:r>
      <w:r>
        <w:rPr>
          <w:szCs w:val="20"/>
          <w:lang w:eastAsia="en-AU"/>
        </w:rPr>
        <w:t>:</w:t>
      </w:r>
    </w:p>
    <w:p w14:paraId="2BA2606B" w14:textId="77777777" w:rsidR="00724087" w:rsidRPr="004D0BD5" w:rsidRDefault="00724087" w:rsidP="00C36C65">
      <w:pPr>
        <w:pStyle w:val="ListParagraph"/>
        <w:numPr>
          <w:ilvl w:val="0"/>
          <w:numId w:val="55"/>
        </w:numPr>
        <w:ind w:left="567" w:hanging="567"/>
        <w:rPr>
          <w:snapToGrid w:val="0"/>
          <w:szCs w:val="20"/>
          <w:lang w:eastAsia="en-AU"/>
        </w:rPr>
      </w:pPr>
      <w:r>
        <w:rPr>
          <w:snapToGrid w:val="0"/>
          <w:szCs w:val="20"/>
          <w:lang w:eastAsia="en-AU"/>
        </w:rPr>
        <w:t>two companies are in the same wholly-owned group when the mismatch amount and surplus assessable income amount arise</w:t>
      </w:r>
      <w:r w:rsidRPr="004D0BD5">
        <w:rPr>
          <w:snapToGrid w:val="0"/>
          <w:szCs w:val="20"/>
          <w:lang w:eastAsia="en-AU"/>
        </w:rPr>
        <w:t>;</w:t>
      </w:r>
    </w:p>
    <w:p w14:paraId="0F59BDC5" w14:textId="77777777" w:rsidR="00724087" w:rsidRDefault="00724087" w:rsidP="00C36C65">
      <w:pPr>
        <w:pStyle w:val="ListParagraph"/>
        <w:numPr>
          <w:ilvl w:val="0"/>
          <w:numId w:val="55"/>
        </w:numPr>
        <w:ind w:left="567" w:hanging="567"/>
        <w:rPr>
          <w:snapToGrid w:val="0"/>
          <w:szCs w:val="20"/>
          <w:lang w:eastAsia="en-AU"/>
        </w:rPr>
      </w:pPr>
      <w:r>
        <w:rPr>
          <w:snapToGrid w:val="0"/>
          <w:szCs w:val="20"/>
          <w:lang w:eastAsia="en-AU"/>
        </w:rPr>
        <w:t>the two companies have each applied FH 12 to offset their mismatch amounts and surplus assessable income mismatch amounts themselves, and the surplus assessable income amount are excess</w:t>
      </w:r>
      <w:r w:rsidRPr="004D0BD5">
        <w:rPr>
          <w:snapToGrid w:val="0"/>
          <w:szCs w:val="20"/>
          <w:lang w:eastAsia="en-AU"/>
        </w:rPr>
        <w:t>; and</w:t>
      </w:r>
    </w:p>
    <w:p w14:paraId="00D1DA54" w14:textId="77777777" w:rsidR="007A7151" w:rsidRPr="00DA4416" w:rsidRDefault="00C36C65" w:rsidP="00C36C65">
      <w:pPr>
        <w:pStyle w:val="ListParagraph"/>
        <w:numPr>
          <w:ilvl w:val="0"/>
          <w:numId w:val="55"/>
        </w:numPr>
        <w:ind w:left="567" w:hanging="567"/>
        <w:rPr>
          <w:snapToGrid w:val="0"/>
          <w:szCs w:val="20"/>
          <w:lang w:eastAsia="en-AU"/>
        </w:rPr>
      </w:pPr>
      <w:r>
        <w:rPr>
          <w:snapToGrid w:val="0"/>
          <w:szCs w:val="20"/>
          <w:lang w:eastAsia="en-AU"/>
        </w:rPr>
        <w:t xml:space="preserve">the offset </w:t>
      </w:r>
      <w:r w:rsidR="00340243">
        <w:rPr>
          <w:snapToGrid w:val="0"/>
          <w:szCs w:val="20"/>
          <w:lang w:eastAsia="en-AU"/>
        </w:rPr>
        <w:t>could</w:t>
      </w:r>
      <w:r>
        <w:rPr>
          <w:snapToGrid w:val="0"/>
          <w:szCs w:val="20"/>
          <w:lang w:eastAsia="en-AU"/>
        </w:rPr>
        <w:t xml:space="preserve"> be made if the offset company and the group company were the same company</w:t>
      </w:r>
      <w:r w:rsidR="007A7151">
        <w:rPr>
          <w:snapToGrid w:val="0"/>
          <w:szCs w:val="20"/>
          <w:lang w:eastAsia="en-AU"/>
        </w:rPr>
        <w:t>.</w:t>
      </w:r>
      <w:r>
        <w:rPr>
          <w:snapToGrid w:val="0"/>
          <w:szCs w:val="20"/>
          <w:lang w:eastAsia="en-AU"/>
        </w:rPr>
        <w:t xml:space="preserve"> There does not need to be a nexus between the income and the expenditure for the two items to be grouped under this grouping rule.</w:t>
      </w:r>
    </w:p>
    <w:p w14:paraId="0DB17EFE" w14:textId="77777777" w:rsidR="00724087" w:rsidRDefault="00724087" w:rsidP="00925A3A">
      <w:pPr>
        <w:rPr>
          <w:szCs w:val="20"/>
          <w:lang w:eastAsia="en-AU"/>
        </w:rPr>
      </w:pPr>
    </w:p>
    <w:p w14:paraId="6382DBEE" w14:textId="68444DD9" w:rsidR="00925A3A" w:rsidRPr="0004751E" w:rsidRDefault="00724087" w:rsidP="0004751E">
      <w:pPr>
        <w:rPr>
          <w:szCs w:val="20"/>
          <w:lang w:eastAsia="en-AU"/>
        </w:rPr>
      </w:pPr>
      <w:r>
        <w:rPr>
          <w:szCs w:val="20"/>
          <w:lang w:eastAsia="en-AU"/>
        </w:rPr>
        <w:t>A company cannot carry forward a mismatch amount or surplus assessable income amount that it has used for a grouping offset under subsection (10).</w:t>
      </w:r>
      <w:r w:rsidR="00925A3A" w:rsidRPr="00925A3A">
        <w:rPr>
          <w:szCs w:val="20"/>
          <w:lang w:eastAsia="en-AU"/>
        </w:rPr>
        <w:br w:type="page"/>
      </w:r>
    </w:p>
    <w:p w14:paraId="2E3C2FD9" w14:textId="77777777" w:rsidR="00925A3A" w:rsidRPr="00925A3A" w:rsidRDefault="00925A3A" w:rsidP="00925A3A">
      <w:pPr>
        <w:keepNext/>
        <w:pBdr>
          <w:bottom w:val="single" w:sz="4" w:space="6" w:color="auto"/>
        </w:pBdr>
        <w:jc w:val="left"/>
        <w:outlineLvl w:val="0"/>
        <w:rPr>
          <w:b/>
          <w:caps/>
          <w:sz w:val="26"/>
          <w:szCs w:val="20"/>
          <w:lang w:eastAsia="en-AU"/>
        </w:rPr>
      </w:pPr>
      <w:bookmarkStart w:id="14" w:name="_Toc500319044"/>
      <w:r w:rsidRPr="00925A3A">
        <w:rPr>
          <w:b/>
          <w:caps/>
          <w:sz w:val="26"/>
          <w:szCs w:val="20"/>
          <w:lang w:eastAsia="en-AU"/>
        </w:rPr>
        <w:lastRenderedPageBreak/>
        <w:t>Dividend</w:t>
      </w:r>
      <w:r w:rsidR="000A44F7">
        <w:rPr>
          <w:b/>
          <w:caps/>
          <w:sz w:val="26"/>
          <w:szCs w:val="20"/>
          <w:lang w:eastAsia="en-AU"/>
        </w:rPr>
        <w:t>/</w:t>
      </w:r>
      <w:r w:rsidR="00D17D2E">
        <w:rPr>
          <w:b/>
          <w:caps/>
          <w:sz w:val="26"/>
          <w:szCs w:val="20"/>
          <w:lang w:eastAsia="en-AU"/>
        </w:rPr>
        <w:t>share</w:t>
      </w:r>
      <w:r w:rsidRPr="00925A3A">
        <w:rPr>
          <w:b/>
          <w:caps/>
          <w:sz w:val="26"/>
          <w:szCs w:val="20"/>
          <w:lang w:eastAsia="en-AU"/>
        </w:rPr>
        <w:t xml:space="preserve"> election</w:t>
      </w:r>
      <w:bookmarkEnd w:id="14"/>
    </w:p>
    <w:p w14:paraId="5604715F" w14:textId="77777777" w:rsidR="00925A3A" w:rsidRPr="00925A3A" w:rsidRDefault="00925A3A" w:rsidP="00925A3A">
      <w:pPr>
        <w:rPr>
          <w:szCs w:val="20"/>
          <w:lang w:eastAsia="en-AU"/>
        </w:rPr>
      </w:pPr>
    </w:p>
    <w:p w14:paraId="037E25AD" w14:textId="77777777" w:rsidR="00925A3A" w:rsidRPr="00925A3A" w:rsidRDefault="0011537A" w:rsidP="00925A3A">
      <w:pPr>
        <w:rPr>
          <w:b/>
          <w:i/>
          <w:szCs w:val="20"/>
          <w:lang w:eastAsia="en-AU"/>
        </w:rPr>
      </w:pPr>
      <w:r>
        <w:rPr>
          <w:b/>
          <w:i/>
          <w:szCs w:val="20"/>
          <w:lang w:eastAsia="en-AU"/>
        </w:rPr>
        <w:t>Section FH 13</w:t>
      </w:r>
    </w:p>
    <w:p w14:paraId="1978215C" w14:textId="77777777" w:rsidR="00925A3A" w:rsidRPr="00925A3A" w:rsidRDefault="00925A3A" w:rsidP="00925A3A">
      <w:pPr>
        <w:rPr>
          <w:szCs w:val="20"/>
          <w:lang w:eastAsia="en-AU"/>
        </w:rPr>
      </w:pPr>
    </w:p>
    <w:p w14:paraId="30A49326" w14:textId="77777777" w:rsidR="00925A3A" w:rsidRPr="00925A3A" w:rsidRDefault="00925A3A" w:rsidP="00925A3A">
      <w:pPr>
        <w:rPr>
          <w:szCs w:val="20"/>
          <w:lang w:eastAsia="en-AU"/>
        </w:rPr>
      </w:pPr>
    </w:p>
    <w:p w14:paraId="34ADF2A5" w14:textId="77777777" w:rsidR="001A609C" w:rsidRPr="00925A3A" w:rsidRDefault="001A609C" w:rsidP="001A609C">
      <w:pPr>
        <w:keepNext/>
        <w:outlineLvl w:val="1"/>
        <w:rPr>
          <w:b/>
          <w:szCs w:val="20"/>
          <w:lang w:eastAsia="en-AU"/>
        </w:rPr>
      </w:pPr>
      <w:r w:rsidRPr="00925A3A">
        <w:rPr>
          <w:b/>
          <w:szCs w:val="20"/>
          <w:lang w:eastAsia="en-AU"/>
        </w:rPr>
        <w:t>Background</w:t>
      </w:r>
    </w:p>
    <w:p w14:paraId="1042759E" w14:textId="77777777" w:rsidR="001A609C" w:rsidRPr="00925A3A" w:rsidRDefault="001A609C" w:rsidP="001A609C">
      <w:pPr>
        <w:rPr>
          <w:szCs w:val="20"/>
          <w:lang w:eastAsia="en-AU"/>
        </w:rPr>
      </w:pPr>
    </w:p>
    <w:p w14:paraId="60A6E16C" w14:textId="08028C32" w:rsidR="00596F26" w:rsidRDefault="001A609C" w:rsidP="001A609C">
      <w:pPr>
        <w:rPr>
          <w:szCs w:val="20"/>
          <w:lang w:eastAsia="en-AU"/>
        </w:rPr>
      </w:pPr>
      <w:r w:rsidRPr="00925A3A">
        <w:rPr>
          <w:szCs w:val="20"/>
          <w:lang w:eastAsia="en-AU"/>
        </w:rPr>
        <w:t xml:space="preserve">If a deduction is denied for an interest payment </w:t>
      </w:r>
      <w:r>
        <w:rPr>
          <w:szCs w:val="20"/>
          <w:lang w:eastAsia="en-AU"/>
        </w:rPr>
        <w:t xml:space="preserve">on a hybrid financial instrument </w:t>
      </w:r>
      <w:r w:rsidRPr="00925A3A">
        <w:rPr>
          <w:szCs w:val="20"/>
          <w:lang w:eastAsia="en-AU"/>
        </w:rPr>
        <w:t xml:space="preserve">under section FH 3 and the payment is also subject to NRWT </w:t>
      </w:r>
      <w:r>
        <w:rPr>
          <w:szCs w:val="20"/>
          <w:lang w:eastAsia="en-AU"/>
        </w:rPr>
        <w:t xml:space="preserve">(generally </w:t>
      </w:r>
      <w:r w:rsidRPr="00925A3A">
        <w:rPr>
          <w:szCs w:val="20"/>
          <w:lang w:eastAsia="en-AU"/>
        </w:rPr>
        <w:t>at 10% or 15%</w:t>
      </w:r>
      <w:r>
        <w:rPr>
          <w:szCs w:val="20"/>
          <w:lang w:eastAsia="en-AU"/>
        </w:rPr>
        <w:t>)</w:t>
      </w:r>
      <w:r w:rsidRPr="00925A3A">
        <w:rPr>
          <w:szCs w:val="20"/>
          <w:lang w:eastAsia="en-AU"/>
        </w:rPr>
        <w:t>, there is an element of double taxatio</w:t>
      </w:r>
      <w:r w:rsidR="009439C6">
        <w:rPr>
          <w:szCs w:val="20"/>
          <w:lang w:eastAsia="en-AU"/>
        </w:rPr>
        <w:t>n</w:t>
      </w:r>
      <w:r w:rsidR="002D5667">
        <w:rPr>
          <w:szCs w:val="20"/>
          <w:lang w:eastAsia="en-AU"/>
        </w:rPr>
        <w:t xml:space="preserve">. </w:t>
      </w:r>
      <w:r>
        <w:rPr>
          <w:szCs w:val="20"/>
          <w:lang w:eastAsia="en-AU"/>
        </w:rPr>
        <w:t>Taxpayers</w:t>
      </w:r>
      <w:r w:rsidRPr="00925A3A">
        <w:rPr>
          <w:szCs w:val="20"/>
          <w:lang w:eastAsia="en-AU"/>
        </w:rPr>
        <w:t xml:space="preserve"> can generally avoid this </w:t>
      </w:r>
      <w:r>
        <w:rPr>
          <w:szCs w:val="20"/>
          <w:lang w:eastAsia="en-AU"/>
        </w:rPr>
        <w:t xml:space="preserve">result </w:t>
      </w:r>
      <w:r w:rsidRPr="00925A3A">
        <w:rPr>
          <w:szCs w:val="20"/>
          <w:lang w:eastAsia="en-AU"/>
        </w:rPr>
        <w:t>by</w:t>
      </w:r>
      <w:r w:rsidR="009439C6">
        <w:rPr>
          <w:szCs w:val="20"/>
          <w:lang w:eastAsia="en-AU"/>
        </w:rPr>
        <w:t xml:space="preserve"> entering into non-hybrid arrangements</w:t>
      </w:r>
      <w:r w:rsidR="002D5667">
        <w:rPr>
          <w:szCs w:val="20"/>
          <w:lang w:eastAsia="en-AU"/>
        </w:rPr>
        <w:t xml:space="preserve">. </w:t>
      </w:r>
      <w:r w:rsidR="00596F26">
        <w:rPr>
          <w:szCs w:val="20"/>
          <w:lang w:eastAsia="en-AU"/>
        </w:rPr>
        <w:t xml:space="preserve">For instance, if a </w:t>
      </w:r>
      <w:r w:rsidR="00900F9A">
        <w:rPr>
          <w:szCs w:val="20"/>
          <w:lang w:eastAsia="en-AU"/>
        </w:rPr>
        <w:t>company</w:t>
      </w:r>
      <w:r w:rsidR="00596F26">
        <w:rPr>
          <w:szCs w:val="20"/>
          <w:lang w:eastAsia="en-AU"/>
        </w:rPr>
        <w:t xml:space="preserve"> raised funds by borrowing under a vanilla debt arrangement, the interest would be deductible (and not denied under section FH 3), and NRWT would be deducted at the appropriate rate (generally at 10% or 15%)</w:t>
      </w:r>
      <w:r w:rsidR="002D5667">
        <w:rPr>
          <w:szCs w:val="20"/>
          <w:lang w:eastAsia="en-AU"/>
        </w:rPr>
        <w:t xml:space="preserve">. </w:t>
      </w:r>
      <w:r w:rsidR="00596F26">
        <w:rPr>
          <w:szCs w:val="20"/>
          <w:lang w:eastAsia="en-AU"/>
        </w:rPr>
        <w:t xml:space="preserve">Conversely, if a </w:t>
      </w:r>
      <w:r w:rsidR="00900F9A">
        <w:rPr>
          <w:szCs w:val="20"/>
          <w:lang w:eastAsia="en-AU"/>
        </w:rPr>
        <w:t>company</w:t>
      </w:r>
      <w:r w:rsidR="00596F26">
        <w:rPr>
          <w:szCs w:val="20"/>
          <w:lang w:eastAsia="en-AU"/>
        </w:rPr>
        <w:t xml:space="preserve"> raised funds by using equity, any dividends paid would not be deductible (such that section FH 3 would have no application), and NRWT would not apply where the dividends are either fully imputed, or where the taxpayer is entitled to NRWT at 0</w:t>
      </w:r>
      <w:r w:rsidR="0001110F">
        <w:rPr>
          <w:szCs w:val="20"/>
          <w:lang w:eastAsia="en-AU"/>
        </w:rPr>
        <w:t>%</w:t>
      </w:r>
      <w:r w:rsidR="000A44F7">
        <w:rPr>
          <w:szCs w:val="20"/>
          <w:lang w:eastAsia="en-AU"/>
        </w:rPr>
        <w:t xml:space="preserve"> under an applicable </w:t>
      </w:r>
      <w:r w:rsidR="00596F26">
        <w:rPr>
          <w:szCs w:val="20"/>
          <w:lang w:eastAsia="en-AU"/>
        </w:rPr>
        <w:t>tax treaty.</w:t>
      </w:r>
    </w:p>
    <w:p w14:paraId="7D22E0D2" w14:textId="77777777" w:rsidR="00596F26" w:rsidRDefault="00596F26" w:rsidP="001A609C">
      <w:pPr>
        <w:rPr>
          <w:szCs w:val="20"/>
          <w:lang w:eastAsia="en-AU"/>
        </w:rPr>
      </w:pPr>
    </w:p>
    <w:p w14:paraId="3E17CA68" w14:textId="11CF2ABA" w:rsidR="000A44F7" w:rsidRPr="001A609C" w:rsidRDefault="00596F26" w:rsidP="000A44F7">
      <w:pPr>
        <w:rPr>
          <w:szCs w:val="20"/>
          <w:lang w:eastAsia="en-AU"/>
        </w:rPr>
      </w:pPr>
      <w:r>
        <w:rPr>
          <w:szCs w:val="20"/>
          <w:lang w:eastAsia="en-AU"/>
        </w:rPr>
        <w:t xml:space="preserve">The </w:t>
      </w:r>
      <w:r w:rsidR="000A44F7">
        <w:rPr>
          <w:szCs w:val="20"/>
          <w:lang w:eastAsia="en-AU"/>
        </w:rPr>
        <w:t xml:space="preserve">dividend/share </w:t>
      </w:r>
      <w:r>
        <w:rPr>
          <w:szCs w:val="20"/>
          <w:lang w:eastAsia="en-AU"/>
        </w:rPr>
        <w:t xml:space="preserve">election option in section FH 13 </w:t>
      </w:r>
      <w:r w:rsidR="004D0BD5">
        <w:rPr>
          <w:szCs w:val="20"/>
          <w:lang w:eastAsia="en-AU"/>
        </w:rPr>
        <w:t xml:space="preserve">allows a New Zealand resident who makes a payment under a hybrid loan to </w:t>
      </w:r>
      <w:r w:rsidR="000A44F7" w:rsidRPr="00925A3A">
        <w:rPr>
          <w:szCs w:val="20"/>
          <w:lang w:eastAsia="en-AU"/>
        </w:rPr>
        <w:t xml:space="preserve">treat the </w:t>
      </w:r>
      <w:r w:rsidR="004D0BD5">
        <w:rPr>
          <w:szCs w:val="20"/>
          <w:lang w:eastAsia="en-AU"/>
        </w:rPr>
        <w:t>loan</w:t>
      </w:r>
      <w:r w:rsidR="000A44F7" w:rsidRPr="00925A3A">
        <w:rPr>
          <w:szCs w:val="20"/>
          <w:lang w:eastAsia="en-AU"/>
        </w:rPr>
        <w:t xml:space="preserve"> as a share for all circumstances in order to avoid any inconsistencies arising as a result of its being treated differently for different </w:t>
      </w:r>
      <w:r w:rsidR="000A44F7">
        <w:rPr>
          <w:szCs w:val="20"/>
          <w:lang w:eastAsia="en-AU"/>
        </w:rPr>
        <w:t xml:space="preserve">tax </w:t>
      </w:r>
      <w:r w:rsidR="000A44F7" w:rsidRPr="00925A3A">
        <w:rPr>
          <w:szCs w:val="20"/>
          <w:lang w:eastAsia="en-AU"/>
        </w:rPr>
        <w:t>purposes</w:t>
      </w:r>
      <w:r w:rsidR="002D5667">
        <w:rPr>
          <w:szCs w:val="20"/>
          <w:lang w:eastAsia="en-AU"/>
        </w:rPr>
        <w:t xml:space="preserve">. </w:t>
      </w:r>
      <w:r w:rsidR="000A44F7">
        <w:rPr>
          <w:szCs w:val="20"/>
          <w:lang w:eastAsia="en-AU"/>
        </w:rPr>
        <w:t>This means that any interest paid on the instrument will be treated as dividends for tax purposes</w:t>
      </w:r>
      <w:r w:rsidR="002D5667">
        <w:rPr>
          <w:szCs w:val="20"/>
          <w:lang w:eastAsia="en-AU"/>
        </w:rPr>
        <w:t xml:space="preserve">. </w:t>
      </w:r>
      <w:r w:rsidR="000A44F7">
        <w:rPr>
          <w:szCs w:val="20"/>
          <w:lang w:eastAsia="en-AU"/>
        </w:rPr>
        <w:t>Distributions under the instrument may then be made without deducting NRWT if the payer attaches imputation credits to the deemed dividend, or where the taxpayer is entitled to NRWT at 0</w:t>
      </w:r>
      <w:r w:rsidR="0001110F">
        <w:rPr>
          <w:szCs w:val="20"/>
          <w:lang w:eastAsia="en-AU"/>
        </w:rPr>
        <w:t>%</w:t>
      </w:r>
      <w:r w:rsidR="000A44F7">
        <w:rPr>
          <w:szCs w:val="20"/>
          <w:lang w:eastAsia="en-AU"/>
        </w:rPr>
        <w:t xml:space="preserve"> under an applicable tax treaty.</w:t>
      </w:r>
    </w:p>
    <w:p w14:paraId="31BCC3D6" w14:textId="77777777" w:rsidR="001A609C" w:rsidRDefault="001A609C" w:rsidP="000A44F7">
      <w:pPr>
        <w:rPr>
          <w:b/>
          <w:szCs w:val="20"/>
          <w:lang w:eastAsia="en-AU"/>
        </w:rPr>
      </w:pPr>
    </w:p>
    <w:p w14:paraId="31B1AA3B" w14:textId="77777777" w:rsidR="000A44F7" w:rsidRPr="000A44F7" w:rsidRDefault="000A44F7" w:rsidP="000A44F7">
      <w:pPr>
        <w:rPr>
          <w:szCs w:val="20"/>
          <w:lang w:eastAsia="en-AU"/>
        </w:rPr>
      </w:pPr>
    </w:p>
    <w:p w14:paraId="07DC69D6" w14:textId="77777777" w:rsidR="00925A3A" w:rsidRPr="00925A3A" w:rsidRDefault="00817779" w:rsidP="00925A3A">
      <w:pPr>
        <w:keepNext/>
        <w:outlineLvl w:val="1"/>
        <w:rPr>
          <w:b/>
          <w:szCs w:val="20"/>
          <w:lang w:eastAsia="en-AU"/>
        </w:rPr>
      </w:pPr>
      <w:r>
        <w:rPr>
          <w:b/>
          <w:szCs w:val="20"/>
          <w:lang w:eastAsia="en-AU"/>
        </w:rPr>
        <w:t>Summary</w:t>
      </w:r>
      <w:r w:rsidR="00BC732B">
        <w:rPr>
          <w:b/>
          <w:szCs w:val="20"/>
          <w:lang w:eastAsia="en-AU"/>
        </w:rPr>
        <w:t xml:space="preserve"> of legislative response</w:t>
      </w:r>
    </w:p>
    <w:p w14:paraId="2DD4E666" w14:textId="77777777" w:rsidR="00925A3A" w:rsidRPr="00925A3A" w:rsidRDefault="00925A3A" w:rsidP="00925A3A">
      <w:pPr>
        <w:rPr>
          <w:szCs w:val="20"/>
          <w:lang w:eastAsia="en-AU"/>
        </w:rPr>
      </w:pPr>
    </w:p>
    <w:p w14:paraId="5B979E9C" w14:textId="7D8C8DD6" w:rsidR="00925A3A" w:rsidRDefault="00925A3A" w:rsidP="00925A3A">
      <w:pPr>
        <w:rPr>
          <w:szCs w:val="20"/>
          <w:lang w:eastAsia="en-AU"/>
        </w:rPr>
      </w:pPr>
      <w:r w:rsidRPr="00925A3A">
        <w:rPr>
          <w:szCs w:val="20"/>
          <w:lang w:eastAsia="en-AU"/>
        </w:rPr>
        <w:t xml:space="preserve">Section FH 13 allows a person who pays interest which is non-deductible by reason of section FH 3 to choose to treat the hybrid financial instrument on </w:t>
      </w:r>
      <w:r w:rsidR="00CE7FA1">
        <w:rPr>
          <w:szCs w:val="20"/>
          <w:lang w:eastAsia="en-AU"/>
        </w:rPr>
        <w:t xml:space="preserve">which the interest is paid as a </w:t>
      </w:r>
      <w:r w:rsidRPr="00925A3A">
        <w:rPr>
          <w:szCs w:val="20"/>
          <w:lang w:eastAsia="en-AU"/>
        </w:rPr>
        <w:t>share, and the payment as a dividend, for all tax purposes.</w:t>
      </w:r>
    </w:p>
    <w:p w14:paraId="62ACB26B" w14:textId="77777777" w:rsidR="00817779" w:rsidRDefault="00817779" w:rsidP="00925A3A">
      <w:pPr>
        <w:rPr>
          <w:szCs w:val="20"/>
          <w:lang w:eastAsia="en-AU"/>
        </w:rPr>
      </w:pPr>
    </w:p>
    <w:p w14:paraId="1645945B" w14:textId="3459455F" w:rsidR="00817779" w:rsidRPr="00925A3A" w:rsidRDefault="00817779" w:rsidP="00925A3A">
      <w:pPr>
        <w:rPr>
          <w:szCs w:val="20"/>
          <w:lang w:eastAsia="en-AU"/>
        </w:rPr>
      </w:pPr>
      <w:r>
        <w:rPr>
          <w:szCs w:val="20"/>
          <w:lang w:eastAsia="en-AU"/>
        </w:rPr>
        <w:t xml:space="preserve">Taxpayers that wish to make this election should send their election notices to </w:t>
      </w:r>
      <w:hyperlink r:id="rId37" w:history="1">
        <w:r w:rsidRPr="00823509">
          <w:rPr>
            <w:rStyle w:val="Hyperlink"/>
            <w:szCs w:val="20"/>
            <w:lang w:eastAsia="en-AU"/>
          </w:rPr>
          <w:t>hybridelections@ird.govt.nz</w:t>
        </w:r>
      </w:hyperlink>
      <w:r w:rsidR="00900F9A">
        <w:rPr>
          <w:szCs w:val="20"/>
          <w:lang w:eastAsia="en-AU"/>
        </w:rPr>
        <w:t>, where they will be monitored by Inland Revenue</w:t>
      </w:r>
      <w:r w:rsidR="00896B00">
        <w:rPr>
          <w:szCs w:val="20"/>
          <w:lang w:eastAsia="en-AU"/>
        </w:rPr>
        <w:t>.</w:t>
      </w:r>
    </w:p>
    <w:p w14:paraId="0659269A" w14:textId="77777777" w:rsidR="00925A3A" w:rsidRPr="00925A3A" w:rsidRDefault="00925A3A" w:rsidP="00925A3A">
      <w:pPr>
        <w:rPr>
          <w:szCs w:val="20"/>
          <w:lang w:eastAsia="en-AU"/>
        </w:rPr>
      </w:pPr>
    </w:p>
    <w:p w14:paraId="252A969F" w14:textId="77777777" w:rsidR="00925A3A" w:rsidRPr="00925A3A" w:rsidRDefault="00925A3A" w:rsidP="00925A3A">
      <w:pPr>
        <w:rPr>
          <w:szCs w:val="20"/>
          <w:lang w:eastAsia="en-AU"/>
        </w:rPr>
      </w:pPr>
    </w:p>
    <w:p w14:paraId="6DE11FD6" w14:textId="77777777" w:rsidR="00925A3A" w:rsidRPr="00925A3A" w:rsidRDefault="00925A3A" w:rsidP="00925A3A">
      <w:pPr>
        <w:keepNext/>
        <w:outlineLvl w:val="1"/>
        <w:rPr>
          <w:b/>
          <w:szCs w:val="20"/>
          <w:lang w:eastAsia="en-AU"/>
        </w:rPr>
      </w:pPr>
      <w:r w:rsidRPr="00925A3A">
        <w:rPr>
          <w:b/>
          <w:szCs w:val="20"/>
          <w:lang w:eastAsia="en-AU"/>
        </w:rPr>
        <w:t>Application date</w:t>
      </w:r>
    </w:p>
    <w:p w14:paraId="708F38EB" w14:textId="77777777" w:rsidR="00925A3A" w:rsidRPr="00925A3A" w:rsidRDefault="00925A3A" w:rsidP="00925A3A">
      <w:pPr>
        <w:rPr>
          <w:szCs w:val="20"/>
          <w:lang w:eastAsia="en-AU"/>
        </w:rPr>
      </w:pPr>
    </w:p>
    <w:p w14:paraId="41878A07" w14:textId="77777777" w:rsidR="00925A3A" w:rsidRPr="00925A3A" w:rsidRDefault="00C775CE" w:rsidP="00925A3A">
      <w:pPr>
        <w:rPr>
          <w:szCs w:val="20"/>
          <w:lang w:eastAsia="en-AU"/>
        </w:rPr>
      </w:pPr>
      <w:r>
        <w:rPr>
          <w:szCs w:val="20"/>
          <w:lang w:eastAsia="en-AU"/>
        </w:rPr>
        <w:t>The</w:t>
      </w:r>
      <w:r w:rsidR="000A44F7">
        <w:rPr>
          <w:szCs w:val="20"/>
          <w:lang w:eastAsia="en-AU"/>
        </w:rPr>
        <w:t xml:space="preserve"> election is available for</w:t>
      </w:r>
      <w:r w:rsidR="00925A3A" w:rsidRPr="00925A3A">
        <w:rPr>
          <w:szCs w:val="20"/>
          <w:lang w:eastAsia="en-AU"/>
        </w:rPr>
        <w:t xml:space="preserve"> income years beginning on or after 1 July 2018.</w:t>
      </w:r>
    </w:p>
    <w:p w14:paraId="07C715B9" w14:textId="77777777" w:rsidR="00925A3A" w:rsidRPr="00925A3A" w:rsidRDefault="00925A3A" w:rsidP="00925A3A">
      <w:pPr>
        <w:rPr>
          <w:szCs w:val="20"/>
          <w:lang w:eastAsia="en-AU"/>
        </w:rPr>
      </w:pPr>
    </w:p>
    <w:p w14:paraId="7B991240" w14:textId="77777777" w:rsidR="00925A3A" w:rsidRPr="00925A3A" w:rsidRDefault="00925A3A" w:rsidP="00925A3A">
      <w:pPr>
        <w:rPr>
          <w:szCs w:val="20"/>
          <w:lang w:eastAsia="en-AU"/>
        </w:rPr>
      </w:pPr>
    </w:p>
    <w:p w14:paraId="3A5E1C5C" w14:textId="77777777" w:rsidR="00925A3A" w:rsidRPr="00925A3A" w:rsidRDefault="00925A3A" w:rsidP="00925A3A">
      <w:pPr>
        <w:keepNext/>
        <w:outlineLvl w:val="1"/>
        <w:rPr>
          <w:b/>
          <w:szCs w:val="20"/>
          <w:lang w:eastAsia="en-AU"/>
        </w:rPr>
      </w:pPr>
      <w:r w:rsidRPr="00925A3A">
        <w:rPr>
          <w:b/>
          <w:szCs w:val="20"/>
          <w:lang w:eastAsia="en-AU"/>
        </w:rPr>
        <w:t>Key features</w:t>
      </w:r>
    </w:p>
    <w:p w14:paraId="4772B9AE" w14:textId="77777777" w:rsidR="00925A3A" w:rsidRPr="00925A3A" w:rsidRDefault="00925A3A" w:rsidP="00925A3A">
      <w:pPr>
        <w:rPr>
          <w:szCs w:val="20"/>
          <w:lang w:eastAsia="en-AU"/>
        </w:rPr>
      </w:pPr>
    </w:p>
    <w:p w14:paraId="174A3443" w14:textId="66F5FF5B" w:rsidR="00CA4F5C" w:rsidRPr="00925A3A" w:rsidRDefault="00CA4F5C" w:rsidP="00CA4F5C">
      <w:pPr>
        <w:rPr>
          <w:szCs w:val="20"/>
          <w:lang w:eastAsia="en-AU"/>
        </w:rPr>
      </w:pPr>
      <w:r w:rsidRPr="00925A3A">
        <w:rPr>
          <w:szCs w:val="20"/>
          <w:lang w:eastAsia="en-AU"/>
        </w:rPr>
        <w:t xml:space="preserve">Section FH 13 allows a person who pays interest which is non-deductible by reason of section FH 3 to choose to treat the hybrid financial instrument on </w:t>
      </w:r>
      <w:r w:rsidR="00CE7FA1">
        <w:rPr>
          <w:szCs w:val="20"/>
          <w:lang w:eastAsia="en-AU"/>
        </w:rPr>
        <w:t xml:space="preserve">which the interest is paid as a </w:t>
      </w:r>
      <w:r w:rsidRPr="00925A3A">
        <w:rPr>
          <w:szCs w:val="20"/>
          <w:lang w:eastAsia="en-AU"/>
        </w:rPr>
        <w:t>share, and the payment as a dividend, for all tax purposes.</w:t>
      </w:r>
    </w:p>
    <w:p w14:paraId="14C39EF9" w14:textId="77777777" w:rsidR="00CA4F5C" w:rsidRDefault="00CA4F5C" w:rsidP="00925A3A">
      <w:pPr>
        <w:rPr>
          <w:szCs w:val="20"/>
          <w:lang w:eastAsia="en-AU"/>
        </w:rPr>
      </w:pPr>
    </w:p>
    <w:p w14:paraId="2FB66583" w14:textId="53875A9E" w:rsidR="00925A3A" w:rsidRPr="00925A3A" w:rsidRDefault="000A44F7" w:rsidP="00925A3A">
      <w:pPr>
        <w:rPr>
          <w:szCs w:val="20"/>
          <w:lang w:eastAsia="en-AU"/>
        </w:rPr>
      </w:pPr>
      <w:r>
        <w:rPr>
          <w:szCs w:val="20"/>
          <w:lang w:eastAsia="en-AU"/>
        </w:rPr>
        <w:t>The</w:t>
      </w:r>
      <w:r w:rsidR="00925A3A" w:rsidRPr="00925A3A">
        <w:rPr>
          <w:szCs w:val="20"/>
          <w:lang w:eastAsia="en-AU"/>
        </w:rPr>
        <w:t xml:space="preserve"> election must be notified to the Commissioner before it takes effect, specifying the date on which it takes effect</w:t>
      </w:r>
      <w:r w:rsidR="002D5667">
        <w:rPr>
          <w:szCs w:val="20"/>
          <w:lang w:eastAsia="en-AU"/>
        </w:rPr>
        <w:t xml:space="preserve">. </w:t>
      </w:r>
      <w:r w:rsidR="00925A3A" w:rsidRPr="00925A3A">
        <w:rPr>
          <w:szCs w:val="20"/>
          <w:lang w:eastAsia="en-AU"/>
        </w:rPr>
        <w:t>On the effective date, the amount owing under the loan is treated as fully repaid by the person (which may trigger an NRWT obligation)</w:t>
      </w:r>
      <w:r w:rsidR="00CE7FA1">
        <w:rPr>
          <w:szCs w:val="20"/>
          <w:lang w:eastAsia="en-AU"/>
        </w:rPr>
        <w:t xml:space="preserve"> and subscribed for an issue of </w:t>
      </w:r>
      <w:r w:rsidR="00925A3A" w:rsidRPr="00925A3A">
        <w:rPr>
          <w:szCs w:val="20"/>
          <w:lang w:eastAsia="en-AU"/>
        </w:rPr>
        <w:t>shares having the same terms as the loan.</w:t>
      </w:r>
    </w:p>
    <w:p w14:paraId="03612F21" w14:textId="77777777" w:rsidR="00925A3A" w:rsidRPr="00925A3A" w:rsidRDefault="00925A3A" w:rsidP="00925A3A">
      <w:pPr>
        <w:rPr>
          <w:szCs w:val="20"/>
          <w:lang w:eastAsia="en-AU"/>
        </w:rPr>
      </w:pPr>
    </w:p>
    <w:p w14:paraId="4259C4FA" w14:textId="0FA3423A" w:rsidR="00925A3A" w:rsidRPr="00925A3A" w:rsidRDefault="00925A3A" w:rsidP="00925A3A">
      <w:pPr>
        <w:rPr>
          <w:szCs w:val="20"/>
          <w:lang w:eastAsia="en-AU"/>
        </w:rPr>
      </w:pPr>
      <w:r w:rsidRPr="00925A3A">
        <w:rPr>
          <w:szCs w:val="20"/>
          <w:lang w:eastAsia="en-AU"/>
        </w:rPr>
        <w:t>An election ceases to have effect if the interest payments are no longer subject to deduction denial under section FH 3</w:t>
      </w:r>
      <w:r w:rsidR="002D5667">
        <w:rPr>
          <w:szCs w:val="20"/>
          <w:lang w:eastAsia="en-AU"/>
        </w:rPr>
        <w:t xml:space="preserve">. </w:t>
      </w:r>
      <w:r w:rsidRPr="00925A3A">
        <w:rPr>
          <w:szCs w:val="20"/>
          <w:lang w:eastAsia="en-AU"/>
        </w:rPr>
        <w:t>At that time the deemed shares are treated as cancelled for an amount equal to the amount payable under the loan, and that amount is treated as re-subscribed for the loan.</w:t>
      </w:r>
    </w:p>
    <w:p w14:paraId="08E6894F" w14:textId="77777777" w:rsidR="00925A3A" w:rsidRPr="00925A3A" w:rsidRDefault="00925A3A" w:rsidP="00925A3A">
      <w:pPr>
        <w:rPr>
          <w:szCs w:val="20"/>
          <w:lang w:eastAsia="en-AU"/>
        </w:rPr>
      </w:pPr>
    </w:p>
    <w:p w14:paraId="0F2E510D" w14:textId="77777777" w:rsidR="00925A3A" w:rsidRPr="00925A3A" w:rsidRDefault="00925A3A" w:rsidP="00925A3A">
      <w:pPr>
        <w:rPr>
          <w:szCs w:val="20"/>
          <w:lang w:eastAsia="en-AU"/>
        </w:rPr>
      </w:pPr>
    </w:p>
    <w:p w14:paraId="7EE81FC8" w14:textId="77777777" w:rsidR="00925A3A" w:rsidRPr="00925A3A" w:rsidRDefault="00925A3A" w:rsidP="00695352">
      <w:pPr>
        <w:pStyle w:val="Heading2"/>
        <w:rPr>
          <w:lang w:eastAsia="en-AU"/>
        </w:rPr>
      </w:pPr>
      <w:r w:rsidRPr="00925A3A">
        <w:rPr>
          <w:lang w:eastAsia="en-AU"/>
        </w:rPr>
        <w:t>Detailed analysis</w:t>
      </w:r>
    </w:p>
    <w:p w14:paraId="2A184779" w14:textId="77777777" w:rsidR="00925A3A" w:rsidRPr="00925A3A" w:rsidRDefault="00925A3A" w:rsidP="00925A3A">
      <w:pPr>
        <w:rPr>
          <w:szCs w:val="20"/>
          <w:lang w:eastAsia="en-AU"/>
        </w:rPr>
      </w:pPr>
    </w:p>
    <w:p w14:paraId="007AC4B4" w14:textId="77777777" w:rsidR="00925A3A" w:rsidRPr="00925A3A" w:rsidRDefault="00925A3A" w:rsidP="00925A3A">
      <w:pPr>
        <w:rPr>
          <w:szCs w:val="20"/>
          <w:lang w:eastAsia="en-AU"/>
        </w:rPr>
      </w:pPr>
      <w:r w:rsidRPr="00925A3A">
        <w:rPr>
          <w:szCs w:val="20"/>
          <w:lang w:eastAsia="en-AU"/>
        </w:rPr>
        <w:t>Subsection (1) states who can make the election – a borrower who would be denied a deduction of interest under section FH 3</w:t>
      </w:r>
      <w:r w:rsidR="00CA4F5C">
        <w:rPr>
          <w:szCs w:val="20"/>
          <w:lang w:eastAsia="en-AU"/>
        </w:rPr>
        <w:t xml:space="preserve"> (the primary version of the hybrid financial instrument rule)</w:t>
      </w:r>
      <w:r w:rsidRPr="00925A3A">
        <w:rPr>
          <w:szCs w:val="20"/>
          <w:lang w:eastAsia="en-AU"/>
        </w:rPr>
        <w:t>.</w:t>
      </w:r>
    </w:p>
    <w:p w14:paraId="00D8D568" w14:textId="77777777" w:rsidR="00925A3A" w:rsidRPr="00925A3A" w:rsidRDefault="00925A3A" w:rsidP="00925A3A">
      <w:pPr>
        <w:rPr>
          <w:szCs w:val="20"/>
          <w:lang w:eastAsia="en-AU"/>
        </w:rPr>
      </w:pPr>
    </w:p>
    <w:p w14:paraId="197FAA1C" w14:textId="6AB9CF19" w:rsidR="003B5061" w:rsidRDefault="00925A3A" w:rsidP="00925A3A">
      <w:pPr>
        <w:rPr>
          <w:szCs w:val="20"/>
          <w:lang w:eastAsia="en-AU"/>
        </w:rPr>
      </w:pPr>
      <w:r w:rsidRPr="00925A3A">
        <w:rPr>
          <w:szCs w:val="20"/>
          <w:lang w:eastAsia="en-AU"/>
        </w:rPr>
        <w:t>Subsection (2) states the broad r</w:t>
      </w:r>
      <w:r w:rsidR="002C3503">
        <w:rPr>
          <w:szCs w:val="20"/>
          <w:lang w:eastAsia="en-AU"/>
        </w:rPr>
        <w:t>esult of the election, which is</w:t>
      </w:r>
      <w:r w:rsidRPr="00925A3A">
        <w:rPr>
          <w:szCs w:val="20"/>
          <w:lang w:eastAsia="en-AU"/>
        </w:rPr>
        <w:t xml:space="preserve"> that while the person is eligible to make it, the financial arrangement giving rise to the payment is treated as a </w:t>
      </w:r>
      <w:r w:rsidR="002C3503">
        <w:rPr>
          <w:szCs w:val="20"/>
          <w:lang w:eastAsia="en-AU"/>
        </w:rPr>
        <w:t>non-partici</w:t>
      </w:r>
      <w:r w:rsidR="003B5061">
        <w:rPr>
          <w:szCs w:val="20"/>
          <w:lang w:eastAsia="en-AU"/>
        </w:rPr>
        <w:t>p</w:t>
      </w:r>
      <w:r w:rsidR="002C3503">
        <w:rPr>
          <w:szCs w:val="20"/>
          <w:lang w:eastAsia="en-AU"/>
        </w:rPr>
        <w:t xml:space="preserve">ating redeemable </w:t>
      </w:r>
      <w:r w:rsidRPr="00925A3A">
        <w:rPr>
          <w:szCs w:val="20"/>
          <w:lang w:eastAsia="en-AU"/>
        </w:rPr>
        <w:t>shar</w:t>
      </w:r>
      <w:r w:rsidR="002C3503">
        <w:rPr>
          <w:szCs w:val="20"/>
          <w:lang w:eastAsia="en-AU"/>
        </w:rPr>
        <w:t>e for all purposes of the Act</w:t>
      </w:r>
      <w:r w:rsidR="002D5667">
        <w:rPr>
          <w:szCs w:val="20"/>
          <w:lang w:eastAsia="en-AU"/>
        </w:rPr>
        <w:t xml:space="preserve">. </w:t>
      </w:r>
      <w:r w:rsidR="003B5061">
        <w:rPr>
          <w:szCs w:val="20"/>
          <w:lang w:eastAsia="en-AU"/>
        </w:rPr>
        <w:t>This means that distributions on the financial arrangement will be treated as dividends for tax purposes</w:t>
      </w:r>
      <w:r w:rsidR="002D5667">
        <w:rPr>
          <w:szCs w:val="20"/>
          <w:lang w:eastAsia="en-AU"/>
        </w:rPr>
        <w:t xml:space="preserve">. </w:t>
      </w:r>
      <w:r w:rsidR="003B5061">
        <w:rPr>
          <w:szCs w:val="20"/>
          <w:lang w:eastAsia="en-AU"/>
        </w:rPr>
        <w:t>These dividends will be subject to the benchmark dividend rule in section OB 61.</w:t>
      </w:r>
    </w:p>
    <w:p w14:paraId="51ADC368" w14:textId="77777777" w:rsidR="00CE7FA1" w:rsidRDefault="00CE7FA1" w:rsidP="00925A3A">
      <w:pPr>
        <w:rPr>
          <w:szCs w:val="20"/>
          <w:lang w:eastAsia="en-AU"/>
        </w:rPr>
      </w:pPr>
    </w:p>
    <w:p w14:paraId="122E4610" w14:textId="1A2A4CBE" w:rsidR="00900F9A" w:rsidRPr="00925A3A" w:rsidRDefault="00925A3A" w:rsidP="00900F9A">
      <w:pPr>
        <w:rPr>
          <w:szCs w:val="20"/>
          <w:lang w:eastAsia="en-AU"/>
        </w:rPr>
      </w:pPr>
      <w:r w:rsidRPr="00925A3A">
        <w:rPr>
          <w:szCs w:val="20"/>
          <w:lang w:eastAsia="en-AU"/>
        </w:rPr>
        <w:t>Subsection (3) requires the election to be notified to the Commissioner specifying an elective date which must be on or after the date of the notice</w:t>
      </w:r>
      <w:r w:rsidR="002D5667">
        <w:rPr>
          <w:szCs w:val="20"/>
          <w:lang w:eastAsia="en-AU"/>
        </w:rPr>
        <w:t xml:space="preserve">. </w:t>
      </w:r>
      <w:r w:rsidR="00900F9A">
        <w:rPr>
          <w:szCs w:val="20"/>
          <w:lang w:eastAsia="en-AU"/>
        </w:rPr>
        <w:t xml:space="preserve">Taxpayers that wish to make this election should send their election notices to </w:t>
      </w:r>
      <w:hyperlink r:id="rId38" w:history="1">
        <w:r w:rsidR="00900F9A" w:rsidRPr="00823509">
          <w:rPr>
            <w:rStyle w:val="Hyperlink"/>
            <w:szCs w:val="20"/>
            <w:lang w:eastAsia="en-AU"/>
          </w:rPr>
          <w:t>hybridelections@ird.govt.nz</w:t>
        </w:r>
      </w:hyperlink>
      <w:r w:rsidR="00900F9A">
        <w:rPr>
          <w:szCs w:val="20"/>
          <w:lang w:eastAsia="en-AU"/>
        </w:rPr>
        <w:t>, where they will be monitored by Inland Revenue</w:t>
      </w:r>
      <w:r w:rsidR="002D5667">
        <w:rPr>
          <w:szCs w:val="20"/>
          <w:lang w:eastAsia="en-AU"/>
        </w:rPr>
        <w:t xml:space="preserve">. </w:t>
      </w:r>
      <w:r w:rsidR="00516DC8">
        <w:rPr>
          <w:szCs w:val="20"/>
          <w:lang w:eastAsia="en-AU"/>
        </w:rPr>
        <w:t>There is no prescribed form for the notice</w:t>
      </w:r>
      <w:r w:rsidR="00AB22E3">
        <w:rPr>
          <w:szCs w:val="20"/>
          <w:lang w:eastAsia="en-AU"/>
        </w:rPr>
        <w:t>; however, it should include the taxpayer’s name and IRD number, the financial arrangement to which the election applies, and the date on which the election is to be effective.</w:t>
      </w:r>
    </w:p>
    <w:p w14:paraId="1442845E" w14:textId="77777777" w:rsidR="00925A3A" w:rsidRPr="00925A3A" w:rsidRDefault="00925A3A" w:rsidP="00925A3A">
      <w:pPr>
        <w:rPr>
          <w:szCs w:val="20"/>
          <w:lang w:eastAsia="en-AU"/>
        </w:rPr>
      </w:pPr>
    </w:p>
    <w:p w14:paraId="56DCD899" w14:textId="77777777" w:rsidR="00925A3A" w:rsidRPr="00925A3A" w:rsidRDefault="00925A3A" w:rsidP="00925A3A">
      <w:pPr>
        <w:rPr>
          <w:szCs w:val="20"/>
          <w:lang w:eastAsia="en-AU"/>
        </w:rPr>
      </w:pPr>
      <w:r w:rsidRPr="00925A3A">
        <w:rPr>
          <w:szCs w:val="20"/>
          <w:lang w:eastAsia="en-AU"/>
        </w:rPr>
        <w:t>S</w:t>
      </w:r>
      <w:r w:rsidR="003B5061">
        <w:rPr>
          <w:szCs w:val="20"/>
          <w:lang w:eastAsia="en-AU"/>
        </w:rPr>
        <w:t>ubsections (4) and (5) outline</w:t>
      </w:r>
      <w:r w:rsidRPr="00925A3A">
        <w:rPr>
          <w:szCs w:val="20"/>
          <w:lang w:eastAsia="en-AU"/>
        </w:rPr>
        <w:t xml:space="preserve"> in more detail the effect of an existing financial arrangement being subject to an election (the election can also be made for a financial arrangement yet to be entered into), and also the effect of it ceasing to be subject to the election.</w:t>
      </w:r>
    </w:p>
    <w:p w14:paraId="716E463D" w14:textId="77777777" w:rsidR="00925A3A" w:rsidRPr="00925A3A" w:rsidRDefault="00925A3A" w:rsidP="00925A3A">
      <w:pPr>
        <w:rPr>
          <w:szCs w:val="20"/>
          <w:lang w:eastAsia="en-AU"/>
        </w:rPr>
      </w:pPr>
    </w:p>
    <w:p w14:paraId="2E897824" w14:textId="382B0F77" w:rsidR="00925A3A" w:rsidRPr="00925A3A" w:rsidRDefault="00925A3A" w:rsidP="00925A3A">
      <w:pPr>
        <w:rPr>
          <w:szCs w:val="20"/>
          <w:lang w:eastAsia="en-AU"/>
        </w:rPr>
      </w:pPr>
      <w:r w:rsidRPr="00925A3A">
        <w:rPr>
          <w:szCs w:val="20"/>
          <w:lang w:eastAsia="en-AU"/>
        </w:rPr>
        <w:t>On the effective date for the election the borrower is treated as paying all amounts owing under the financial arrangement</w:t>
      </w:r>
      <w:r w:rsidR="002D5667">
        <w:rPr>
          <w:szCs w:val="20"/>
          <w:lang w:eastAsia="en-AU"/>
        </w:rPr>
        <w:t xml:space="preserve">. </w:t>
      </w:r>
      <w:r w:rsidRPr="00925A3A">
        <w:rPr>
          <w:szCs w:val="20"/>
          <w:lang w:eastAsia="en-AU"/>
        </w:rPr>
        <w:t>If this includes unpaid interest, this interest will give rise to an NRWT or AIL obligation as appropriate</w:t>
      </w:r>
      <w:r w:rsidR="002D5667">
        <w:rPr>
          <w:szCs w:val="20"/>
          <w:lang w:eastAsia="en-AU"/>
        </w:rPr>
        <w:t xml:space="preserve">. </w:t>
      </w:r>
      <w:r w:rsidRPr="00925A3A">
        <w:rPr>
          <w:szCs w:val="20"/>
          <w:lang w:eastAsia="en-AU"/>
        </w:rPr>
        <w:t>The amount so repaid, less any NRWT, is th</w:t>
      </w:r>
      <w:r w:rsidR="003B5061">
        <w:rPr>
          <w:szCs w:val="20"/>
          <w:lang w:eastAsia="en-AU"/>
        </w:rPr>
        <w:t>en treated as subscribed for a non-participating redeemable</w:t>
      </w:r>
      <w:r w:rsidRPr="00925A3A">
        <w:rPr>
          <w:szCs w:val="20"/>
          <w:lang w:eastAsia="en-AU"/>
        </w:rPr>
        <w:t xml:space="preserve"> share.</w:t>
      </w:r>
    </w:p>
    <w:p w14:paraId="6AD2B8CB" w14:textId="77777777" w:rsidR="00925A3A" w:rsidRPr="00925A3A" w:rsidRDefault="00925A3A" w:rsidP="00925A3A">
      <w:pPr>
        <w:rPr>
          <w:szCs w:val="20"/>
          <w:lang w:eastAsia="en-AU"/>
        </w:rPr>
      </w:pPr>
    </w:p>
    <w:p w14:paraId="31083B08" w14:textId="1786E46C" w:rsidR="00AB22E3" w:rsidRDefault="0089364D" w:rsidP="00925A3A">
      <w:pPr>
        <w:rPr>
          <w:szCs w:val="20"/>
          <w:lang w:eastAsia="en-AU"/>
        </w:rPr>
      </w:pPr>
      <w:r>
        <w:rPr>
          <w:szCs w:val="20"/>
          <w:lang w:eastAsia="en-AU"/>
        </w:rPr>
        <w:t>There is no provision for an election to be revoked. However, o</w:t>
      </w:r>
      <w:r w:rsidR="00925A3A" w:rsidRPr="00925A3A">
        <w:rPr>
          <w:szCs w:val="20"/>
          <w:lang w:eastAsia="en-AU"/>
        </w:rPr>
        <w:t>nce the interest payments on the instrument are no longer subject to section FH 3</w:t>
      </w:r>
      <w:r>
        <w:rPr>
          <w:szCs w:val="20"/>
          <w:lang w:eastAsia="en-AU"/>
        </w:rPr>
        <w:t xml:space="preserve"> (for example, because the payee country implements recommendation 2 of the OECD hybrids report)</w:t>
      </w:r>
      <w:r w:rsidR="00925A3A" w:rsidRPr="00925A3A">
        <w:rPr>
          <w:szCs w:val="20"/>
          <w:lang w:eastAsia="en-AU"/>
        </w:rPr>
        <w:t>, the election becomes ineffective</w:t>
      </w:r>
      <w:r w:rsidR="002D5667">
        <w:rPr>
          <w:szCs w:val="20"/>
          <w:lang w:eastAsia="en-AU"/>
        </w:rPr>
        <w:t xml:space="preserve">. </w:t>
      </w:r>
      <w:r w:rsidR="00925A3A" w:rsidRPr="00925A3A">
        <w:rPr>
          <w:szCs w:val="20"/>
          <w:lang w:eastAsia="en-AU"/>
        </w:rPr>
        <w:t>The deemed shares are then treated as redeemed for the amount owing (which will include any accrued “div</w:t>
      </w:r>
      <w:r w:rsidR="00D65C80">
        <w:rPr>
          <w:szCs w:val="20"/>
          <w:lang w:eastAsia="en-AU"/>
        </w:rPr>
        <w:t>idend”) and that amount, again</w:t>
      </w:r>
      <w:r w:rsidR="00925A3A" w:rsidRPr="00925A3A">
        <w:rPr>
          <w:szCs w:val="20"/>
          <w:lang w:eastAsia="en-AU"/>
        </w:rPr>
        <w:t xml:space="preserve"> less any NRWT, is treated as re-subscribed for the shares.</w:t>
      </w:r>
    </w:p>
    <w:p w14:paraId="23CD8257" w14:textId="77777777" w:rsidR="00D65C80" w:rsidRDefault="00D65C80" w:rsidP="00925A3A">
      <w:pPr>
        <w:rPr>
          <w:szCs w:val="20"/>
          <w:lang w:eastAsia="en-AU"/>
        </w:rPr>
      </w:pPr>
    </w:p>
    <w:p w14:paraId="1E0E14AE" w14:textId="77777777" w:rsidR="00695352" w:rsidRDefault="00695352">
      <w:pPr>
        <w:jc w:val="left"/>
        <w:rPr>
          <w:b/>
          <w:caps/>
          <w:sz w:val="26"/>
          <w:szCs w:val="20"/>
          <w:lang w:eastAsia="en-AU"/>
        </w:rPr>
      </w:pPr>
      <w:bookmarkStart w:id="15" w:name="_Toc500319045"/>
      <w:r>
        <w:rPr>
          <w:b/>
          <w:caps/>
          <w:sz w:val="26"/>
          <w:szCs w:val="20"/>
          <w:lang w:eastAsia="en-AU"/>
        </w:rPr>
        <w:br w:type="page"/>
      </w:r>
    </w:p>
    <w:p w14:paraId="1D3C1F38" w14:textId="77777777" w:rsidR="00925A3A" w:rsidRPr="00925A3A" w:rsidRDefault="00925A3A" w:rsidP="00925A3A">
      <w:pPr>
        <w:keepNext/>
        <w:pBdr>
          <w:bottom w:val="single" w:sz="4" w:space="6" w:color="auto"/>
        </w:pBdr>
        <w:jc w:val="left"/>
        <w:outlineLvl w:val="0"/>
        <w:rPr>
          <w:b/>
          <w:caps/>
          <w:sz w:val="26"/>
          <w:szCs w:val="20"/>
          <w:lang w:eastAsia="en-AU"/>
        </w:rPr>
      </w:pPr>
      <w:r w:rsidRPr="00925A3A">
        <w:rPr>
          <w:b/>
          <w:caps/>
          <w:sz w:val="26"/>
          <w:szCs w:val="20"/>
          <w:lang w:eastAsia="en-AU"/>
        </w:rPr>
        <w:lastRenderedPageBreak/>
        <w:t>Opaque election</w:t>
      </w:r>
      <w:bookmarkEnd w:id="15"/>
    </w:p>
    <w:p w14:paraId="2686702D" w14:textId="77777777" w:rsidR="00925A3A" w:rsidRPr="00925A3A" w:rsidRDefault="00925A3A" w:rsidP="00925A3A">
      <w:pPr>
        <w:rPr>
          <w:szCs w:val="20"/>
          <w:lang w:eastAsia="en-AU"/>
        </w:rPr>
      </w:pPr>
    </w:p>
    <w:p w14:paraId="0E8A371B" w14:textId="77777777" w:rsidR="00925A3A" w:rsidRPr="00925A3A" w:rsidRDefault="00817779" w:rsidP="00925A3A">
      <w:pPr>
        <w:rPr>
          <w:b/>
          <w:i/>
          <w:szCs w:val="20"/>
          <w:lang w:eastAsia="en-AU"/>
        </w:rPr>
      </w:pPr>
      <w:r>
        <w:rPr>
          <w:b/>
          <w:i/>
          <w:szCs w:val="20"/>
          <w:lang w:eastAsia="en-AU"/>
        </w:rPr>
        <w:t>Section FH 14</w:t>
      </w:r>
    </w:p>
    <w:p w14:paraId="6770C898" w14:textId="77777777" w:rsidR="00925A3A" w:rsidRPr="00925A3A" w:rsidRDefault="00925A3A" w:rsidP="00925A3A">
      <w:pPr>
        <w:rPr>
          <w:szCs w:val="20"/>
          <w:lang w:eastAsia="en-AU"/>
        </w:rPr>
      </w:pPr>
    </w:p>
    <w:p w14:paraId="6CCC5B7D" w14:textId="77777777" w:rsidR="00925A3A" w:rsidRPr="00925A3A" w:rsidRDefault="00925A3A" w:rsidP="00925A3A">
      <w:pPr>
        <w:rPr>
          <w:szCs w:val="20"/>
          <w:lang w:eastAsia="en-AU"/>
        </w:rPr>
      </w:pPr>
    </w:p>
    <w:p w14:paraId="76DEB64E" w14:textId="77777777" w:rsidR="00817779" w:rsidRPr="00925A3A" w:rsidRDefault="00817779" w:rsidP="00817779">
      <w:pPr>
        <w:keepNext/>
        <w:outlineLvl w:val="1"/>
        <w:rPr>
          <w:b/>
          <w:szCs w:val="20"/>
          <w:lang w:eastAsia="en-AU"/>
        </w:rPr>
      </w:pPr>
      <w:r w:rsidRPr="00925A3A">
        <w:rPr>
          <w:b/>
          <w:szCs w:val="20"/>
          <w:lang w:eastAsia="en-AU"/>
        </w:rPr>
        <w:t>Background</w:t>
      </w:r>
    </w:p>
    <w:p w14:paraId="5904BDC1" w14:textId="77777777" w:rsidR="00817779" w:rsidRPr="00925A3A" w:rsidRDefault="00817779" w:rsidP="00817779">
      <w:pPr>
        <w:rPr>
          <w:szCs w:val="20"/>
          <w:lang w:eastAsia="en-AU"/>
        </w:rPr>
      </w:pPr>
    </w:p>
    <w:p w14:paraId="25F072DA" w14:textId="3C239614" w:rsidR="00D60A84" w:rsidRDefault="00817779" w:rsidP="00817779">
      <w:pPr>
        <w:rPr>
          <w:szCs w:val="20"/>
          <w:lang w:eastAsia="en-AU"/>
        </w:rPr>
      </w:pPr>
      <w:r w:rsidRPr="00925A3A">
        <w:rPr>
          <w:szCs w:val="20"/>
          <w:lang w:eastAsia="en-AU"/>
        </w:rPr>
        <w:t xml:space="preserve">The hybrid rules impose a compliance burden on a person who is subject to New Zealand tax and has an interest in a foreign </w:t>
      </w:r>
      <w:r w:rsidR="001442E2">
        <w:rPr>
          <w:szCs w:val="20"/>
          <w:lang w:eastAsia="en-AU"/>
        </w:rPr>
        <w:t>hybrid entity (</w:t>
      </w:r>
      <w:r w:rsidR="00E63EFC">
        <w:rPr>
          <w:szCs w:val="20"/>
          <w:lang w:eastAsia="en-AU"/>
        </w:rPr>
        <w:t>that is,</w:t>
      </w:r>
      <w:r w:rsidR="001442E2">
        <w:rPr>
          <w:szCs w:val="20"/>
          <w:lang w:eastAsia="en-AU"/>
        </w:rPr>
        <w:t xml:space="preserve"> an </w:t>
      </w:r>
      <w:r w:rsidRPr="00925A3A">
        <w:rPr>
          <w:szCs w:val="20"/>
          <w:lang w:eastAsia="en-AU"/>
        </w:rPr>
        <w:t xml:space="preserve">entity which is fiscally opaque </w:t>
      </w:r>
      <w:r w:rsidR="00A12894">
        <w:rPr>
          <w:szCs w:val="20"/>
          <w:lang w:eastAsia="en-AU"/>
        </w:rPr>
        <w:t>under the tax law of a foreign country</w:t>
      </w:r>
      <w:r w:rsidR="001442E2">
        <w:rPr>
          <w:szCs w:val="20"/>
          <w:lang w:eastAsia="en-AU"/>
        </w:rPr>
        <w:t>,</w:t>
      </w:r>
      <w:r w:rsidRPr="00925A3A">
        <w:rPr>
          <w:szCs w:val="20"/>
          <w:lang w:eastAsia="en-AU"/>
        </w:rPr>
        <w:t xml:space="preserve"> but transparent for New Zealand tax purposes</w:t>
      </w:r>
      <w:r w:rsidR="002D5667">
        <w:rPr>
          <w:szCs w:val="20"/>
          <w:lang w:eastAsia="en-AU"/>
        </w:rPr>
        <w:t xml:space="preserve">. </w:t>
      </w:r>
      <w:r w:rsidRPr="00925A3A">
        <w:rPr>
          <w:szCs w:val="20"/>
          <w:lang w:eastAsia="en-AU"/>
        </w:rPr>
        <w:t>The person has to determine whether there are any deductions claimed by the entity in the other country for payments whi</w:t>
      </w:r>
      <w:r w:rsidR="00D60A84">
        <w:rPr>
          <w:szCs w:val="20"/>
          <w:lang w:eastAsia="en-AU"/>
        </w:rPr>
        <w:t xml:space="preserve">ch are deductible in New Zealand as well </w:t>
      </w:r>
      <w:r w:rsidR="0047243A">
        <w:rPr>
          <w:szCs w:val="20"/>
          <w:lang w:eastAsia="en-AU"/>
        </w:rPr>
        <w:t>(that is,</w:t>
      </w:r>
      <w:r w:rsidR="00D60A84">
        <w:rPr>
          <w:szCs w:val="20"/>
          <w:lang w:eastAsia="en-AU"/>
        </w:rPr>
        <w:t xml:space="preserve"> DD</w:t>
      </w:r>
      <w:r w:rsidR="001442E2">
        <w:rPr>
          <w:szCs w:val="20"/>
          <w:lang w:eastAsia="en-AU"/>
        </w:rPr>
        <w:t xml:space="preserve"> mismatch</w:t>
      </w:r>
      <w:r w:rsidR="00D60A84">
        <w:rPr>
          <w:szCs w:val="20"/>
          <w:lang w:eastAsia="en-AU"/>
        </w:rPr>
        <w:t xml:space="preserve"> under section FH 9)</w:t>
      </w:r>
      <w:r w:rsidR="002D5667">
        <w:rPr>
          <w:szCs w:val="20"/>
          <w:lang w:eastAsia="en-AU"/>
        </w:rPr>
        <w:t xml:space="preserve">. </w:t>
      </w:r>
      <w:r w:rsidR="00D60A84">
        <w:rPr>
          <w:szCs w:val="20"/>
          <w:lang w:eastAsia="en-AU"/>
        </w:rPr>
        <w:t xml:space="preserve">If section FH 9 applies, </w:t>
      </w:r>
      <w:r w:rsidRPr="00925A3A">
        <w:rPr>
          <w:szCs w:val="20"/>
          <w:lang w:eastAsia="en-AU"/>
        </w:rPr>
        <w:t>the person will also have to determine the expenditure att</w:t>
      </w:r>
      <w:r w:rsidR="0083111E">
        <w:rPr>
          <w:szCs w:val="20"/>
          <w:lang w:eastAsia="en-AU"/>
        </w:rPr>
        <w:t xml:space="preserve">ributable to the foreign entity </w:t>
      </w:r>
      <w:r w:rsidRPr="00925A3A">
        <w:rPr>
          <w:szCs w:val="20"/>
          <w:lang w:eastAsia="en-AU"/>
        </w:rPr>
        <w:t>and treat it as ring-fenced expenditure, only abl</w:t>
      </w:r>
      <w:r w:rsidR="00925238">
        <w:rPr>
          <w:szCs w:val="20"/>
          <w:lang w:eastAsia="en-AU"/>
        </w:rPr>
        <w:t>e to be deducted against surplus assessable income</w:t>
      </w:r>
      <w:r w:rsidRPr="00925A3A">
        <w:rPr>
          <w:szCs w:val="20"/>
          <w:lang w:eastAsia="en-AU"/>
        </w:rPr>
        <w:t>.</w:t>
      </w:r>
    </w:p>
    <w:p w14:paraId="1472D197" w14:textId="77777777" w:rsidR="00A726CB" w:rsidRDefault="00A726CB" w:rsidP="00D60A84">
      <w:pPr>
        <w:rPr>
          <w:szCs w:val="20"/>
          <w:lang w:eastAsia="en-AU"/>
        </w:rPr>
      </w:pPr>
    </w:p>
    <w:p w14:paraId="13DF50C5" w14:textId="42471A93" w:rsidR="00D60A84" w:rsidRDefault="00925238" w:rsidP="00D60A84">
      <w:pPr>
        <w:rPr>
          <w:szCs w:val="20"/>
          <w:lang w:eastAsia="en-AU"/>
        </w:rPr>
      </w:pPr>
      <w:r>
        <w:rPr>
          <w:szCs w:val="20"/>
          <w:lang w:eastAsia="en-AU"/>
        </w:rPr>
        <w:t>Section FH 9</w:t>
      </w:r>
      <w:r w:rsidR="00D60A84">
        <w:rPr>
          <w:szCs w:val="20"/>
          <w:lang w:eastAsia="en-AU"/>
        </w:rPr>
        <w:t xml:space="preserve"> </w:t>
      </w:r>
      <w:r>
        <w:rPr>
          <w:szCs w:val="20"/>
          <w:lang w:eastAsia="en-AU"/>
        </w:rPr>
        <w:t xml:space="preserve">is part of hybrid rules that </w:t>
      </w:r>
      <w:r w:rsidR="00D60A84">
        <w:rPr>
          <w:szCs w:val="20"/>
          <w:lang w:eastAsia="en-AU"/>
        </w:rPr>
        <w:t xml:space="preserve">target </w:t>
      </w:r>
      <w:r w:rsidR="00D60A84" w:rsidRPr="00925A3A">
        <w:rPr>
          <w:szCs w:val="20"/>
          <w:lang w:eastAsia="en-AU"/>
        </w:rPr>
        <w:t>double non-taxation due to different rules relating to the tax classification of entities</w:t>
      </w:r>
      <w:r w:rsidR="002D5667">
        <w:rPr>
          <w:szCs w:val="20"/>
          <w:lang w:eastAsia="en-AU"/>
        </w:rPr>
        <w:t xml:space="preserve">. </w:t>
      </w:r>
      <w:r w:rsidR="004A0462">
        <w:rPr>
          <w:szCs w:val="20"/>
          <w:lang w:eastAsia="en-AU"/>
        </w:rPr>
        <w:t xml:space="preserve">Double non-taxation can also be addressed </w:t>
      </w:r>
      <w:r w:rsidR="00D60A84" w:rsidRPr="00925A3A">
        <w:rPr>
          <w:szCs w:val="20"/>
          <w:lang w:eastAsia="en-AU"/>
        </w:rPr>
        <w:t>by New Zealand classif</w:t>
      </w:r>
      <w:r w:rsidR="004A0462">
        <w:rPr>
          <w:szCs w:val="20"/>
          <w:lang w:eastAsia="en-AU"/>
        </w:rPr>
        <w:t>ying</w:t>
      </w:r>
      <w:r w:rsidR="00D60A84" w:rsidRPr="00925A3A">
        <w:rPr>
          <w:szCs w:val="20"/>
          <w:lang w:eastAsia="en-AU"/>
        </w:rPr>
        <w:t xml:space="preserve"> the relevant entity in the same way as the other country</w:t>
      </w:r>
      <w:r w:rsidR="000A6F06">
        <w:rPr>
          <w:szCs w:val="20"/>
          <w:lang w:eastAsia="en-AU"/>
        </w:rPr>
        <w:t xml:space="preserve">. </w:t>
      </w:r>
      <w:r w:rsidR="004A0462">
        <w:rPr>
          <w:szCs w:val="20"/>
          <w:lang w:eastAsia="en-AU"/>
        </w:rPr>
        <w:t>S</w:t>
      </w:r>
      <w:r w:rsidR="00A726CB">
        <w:rPr>
          <w:szCs w:val="20"/>
          <w:lang w:eastAsia="en-AU"/>
        </w:rPr>
        <w:t>ect</w:t>
      </w:r>
      <w:r w:rsidR="00B624E6">
        <w:rPr>
          <w:szCs w:val="20"/>
          <w:lang w:eastAsia="en-AU"/>
        </w:rPr>
        <w:t xml:space="preserve">ion FH 14 </w:t>
      </w:r>
      <w:r w:rsidR="004A0462">
        <w:rPr>
          <w:szCs w:val="20"/>
          <w:lang w:eastAsia="en-AU"/>
        </w:rPr>
        <w:t>allows a New Zealand owner of a foreign hybrid entity to take this approach in limited circumstances.</w:t>
      </w:r>
    </w:p>
    <w:p w14:paraId="792A50E8" w14:textId="77777777" w:rsidR="00D60A84" w:rsidRDefault="00D60A84" w:rsidP="00817779">
      <w:pPr>
        <w:rPr>
          <w:szCs w:val="20"/>
          <w:lang w:eastAsia="en-AU"/>
        </w:rPr>
      </w:pPr>
    </w:p>
    <w:p w14:paraId="676ECF16" w14:textId="77777777" w:rsidR="00817779" w:rsidRDefault="00817779" w:rsidP="00695352">
      <w:pPr>
        <w:rPr>
          <w:lang w:eastAsia="en-AU"/>
        </w:rPr>
      </w:pPr>
    </w:p>
    <w:p w14:paraId="210B741B" w14:textId="77777777" w:rsidR="00925A3A" w:rsidRPr="00925A3A" w:rsidRDefault="00925A3A" w:rsidP="00925A3A">
      <w:pPr>
        <w:keepNext/>
        <w:outlineLvl w:val="1"/>
        <w:rPr>
          <w:b/>
          <w:szCs w:val="20"/>
          <w:lang w:eastAsia="en-AU"/>
        </w:rPr>
      </w:pPr>
      <w:r w:rsidRPr="00925A3A">
        <w:rPr>
          <w:b/>
          <w:szCs w:val="20"/>
          <w:lang w:eastAsia="en-AU"/>
        </w:rPr>
        <w:t>Summar</w:t>
      </w:r>
      <w:r w:rsidR="00817779">
        <w:rPr>
          <w:b/>
          <w:szCs w:val="20"/>
          <w:lang w:eastAsia="en-AU"/>
        </w:rPr>
        <w:t>y</w:t>
      </w:r>
      <w:r w:rsidR="00BC732B">
        <w:rPr>
          <w:b/>
          <w:szCs w:val="20"/>
          <w:lang w:eastAsia="en-AU"/>
        </w:rPr>
        <w:t xml:space="preserve"> of legislative response</w:t>
      </w:r>
    </w:p>
    <w:p w14:paraId="4F7205FA" w14:textId="77777777" w:rsidR="007C24EB" w:rsidRDefault="007C24EB" w:rsidP="00925A3A">
      <w:pPr>
        <w:rPr>
          <w:szCs w:val="20"/>
          <w:lang w:eastAsia="en-AU"/>
        </w:rPr>
      </w:pPr>
    </w:p>
    <w:p w14:paraId="645C1D50" w14:textId="110250A6" w:rsidR="004F2104" w:rsidRDefault="007C24EB" w:rsidP="00925A3A">
      <w:pPr>
        <w:rPr>
          <w:snapToGrid w:val="0"/>
          <w:szCs w:val="20"/>
          <w:lang w:eastAsia="en-US"/>
        </w:rPr>
      </w:pPr>
      <w:r>
        <w:rPr>
          <w:szCs w:val="20"/>
          <w:lang w:eastAsia="en-AU"/>
        </w:rPr>
        <w:t>Section FH 14</w:t>
      </w:r>
      <w:r w:rsidR="00925A3A" w:rsidRPr="00925A3A">
        <w:rPr>
          <w:snapToGrid w:val="0"/>
          <w:szCs w:val="20"/>
          <w:lang w:eastAsia="en-US"/>
        </w:rPr>
        <w:t xml:space="preserve"> allows a New Zealand resident who has a wholly owned foreign hybrid entity when the Bill is introduced to elect to treat it as a company for New Zealand tax purposes</w:t>
      </w:r>
      <w:r w:rsidR="002D5667">
        <w:rPr>
          <w:snapToGrid w:val="0"/>
          <w:szCs w:val="20"/>
          <w:lang w:eastAsia="en-US"/>
        </w:rPr>
        <w:t xml:space="preserve">. </w:t>
      </w:r>
      <w:r w:rsidR="00925A3A" w:rsidRPr="00925A3A">
        <w:rPr>
          <w:snapToGrid w:val="0"/>
          <w:szCs w:val="20"/>
          <w:lang w:eastAsia="en-US"/>
        </w:rPr>
        <w:t>It is intended to simplify compliance for people who set up foreign hybrid vehicles before the hybrid rules were introduced.</w:t>
      </w:r>
    </w:p>
    <w:p w14:paraId="3CDD6991" w14:textId="77777777" w:rsidR="004F2104" w:rsidRDefault="004F2104" w:rsidP="00925A3A">
      <w:pPr>
        <w:rPr>
          <w:snapToGrid w:val="0"/>
          <w:szCs w:val="20"/>
          <w:lang w:eastAsia="en-US"/>
        </w:rPr>
      </w:pPr>
    </w:p>
    <w:p w14:paraId="1527C1E9" w14:textId="532040A0" w:rsidR="00925A3A" w:rsidRPr="00925A3A" w:rsidRDefault="004F2104" w:rsidP="00925A3A">
      <w:pPr>
        <w:rPr>
          <w:snapToGrid w:val="0"/>
          <w:szCs w:val="20"/>
          <w:lang w:eastAsia="en-US"/>
        </w:rPr>
      </w:pPr>
      <w:r>
        <w:rPr>
          <w:szCs w:val="20"/>
          <w:lang w:eastAsia="en-AU"/>
        </w:rPr>
        <w:t xml:space="preserve">Taxpayers that wish to make this election should send their election notices to </w:t>
      </w:r>
      <w:hyperlink r:id="rId39" w:history="1">
        <w:r w:rsidRPr="00823509">
          <w:rPr>
            <w:rStyle w:val="Hyperlink"/>
            <w:szCs w:val="20"/>
            <w:lang w:eastAsia="en-AU"/>
          </w:rPr>
          <w:t>hybridelections@ird.govt.nz</w:t>
        </w:r>
      </w:hyperlink>
      <w:r w:rsidR="00925238">
        <w:rPr>
          <w:szCs w:val="20"/>
          <w:lang w:eastAsia="en-AU"/>
        </w:rPr>
        <w:t>.</w:t>
      </w:r>
    </w:p>
    <w:p w14:paraId="3146C024" w14:textId="77777777" w:rsidR="00925A3A" w:rsidRPr="00925A3A" w:rsidRDefault="00925A3A" w:rsidP="00925A3A">
      <w:pPr>
        <w:rPr>
          <w:szCs w:val="20"/>
          <w:lang w:eastAsia="en-AU"/>
        </w:rPr>
      </w:pPr>
    </w:p>
    <w:p w14:paraId="0245FD46" w14:textId="77777777" w:rsidR="00925A3A" w:rsidRPr="00925A3A" w:rsidRDefault="00925A3A" w:rsidP="00925A3A">
      <w:pPr>
        <w:rPr>
          <w:szCs w:val="20"/>
          <w:lang w:eastAsia="en-AU"/>
        </w:rPr>
      </w:pPr>
    </w:p>
    <w:p w14:paraId="521211E3" w14:textId="77777777" w:rsidR="00925A3A" w:rsidRPr="00925A3A" w:rsidRDefault="00925A3A" w:rsidP="00925A3A">
      <w:pPr>
        <w:keepNext/>
        <w:outlineLvl w:val="1"/>
        <w:rPr>
          <w:b/>
          <w:szCs w:val="20"/>
          <w:lang w:eastAsia="en-AU"/>
        </w:rPr>
      </w:pPr>
      <w:r w:rsidRPr="00925A3A">
        <w:rPr>
          <w:b/>
          <w:szCs w:val="20"/>
          <w:lang w:eastAsia="en-AU"/>
        </w:rPr>
        <w:t>Application date</w:t>
      </w:r>
    </w:p>
    <w:p w14:paraId="1A4518CC" w14:textId="77777777" w:rsidR="00925A3A" w:rsidRPr="00925A3A" w:rsidRDefault="00925A3A" w:rsidP="00925A3A">
      <w:pPr>
        <w:rPr>
          <w:szCs w:val="20"/>
          <w:lang w:eastAsia="en-AU"/>
        </w:rPr>
      </w:pPr>
    </w:p>
    <w:p w14:paraId="67D500BB" w14:textId="4C6FB6B9" w:rsidR="00925A3A" w:rsidRPr="00925A3A" w:rsidRDefault="00925A3A" w:rsidP="00925A3A">
      <w:pPr>
        <w:rPr>
          <w:szCs w:val="20"/>
          <w:lang w:eastAsia="en-AU"/>
        </w:rPr>
      </w:pPr>
      <w:r w:rsidRPr="00925A3A">
        <w:rPr>
          <w:szCs w:val="20"/>
          <w:lang w:eastAsia="en-AU"/>
        </w:rPr>
        <w:t>The election applies for income years beginning on or after 1 July 2018</w:t>
      </w:r>
      <w:r w:rsidR="002D5667">
        <w:rPr>
          <w:szCs w:val="20"/>
          <w:lang w:eastAsia="en-AU"/>
        </w:rPr>
        <w:t xml:space="preserve">. </w:t>
      </w:r>
      <w:r w:rsidRPr="00925A3A">
        <w:rPr>
          <w:szCs w:val="20"/>
          <w:lang w:eastAsia="en-AU"/>
        </w:rPr>
        <w:t>It must be made before the due date for the return of income for the first year in which the hybrid mismatch rules apply to the person.</w:t>
      </w:r>
    </w:p>
    <w:p w14:paraId="7189EFBB" w14:textId="77777777" w:rsidR="00925A3A" w:rsidRPr="00925A3A" w:rsidRDefault="00925A3A" w:rsidP="00925A3A">
      <w:pPr>
        <w:rPr>
          <w:szCs w:val="20"/>
          <w:lang w:eastAsia="en-AU"/>
        </w:rPr>
      </w:pPr>
    </w:p>
    <w:p w14:paraId="53BEC50E" w14:textId="77777777" w:rsidR="004F2104" w:rsidRPr="00925A3A" w:rsidRDefault="004F2104" w:rsidP="00925A3A">
      <w:pPr>
        <w:rPr>
          <w:szCs w:val="20"/>
          <w:lang w:eastAsia="en-AU"/>
        </w:rPr>
      </w:pPr>
    </w:p>
    <w:p w14:paraId="589A881F" w14:textId="77777777" w:rsidR="00925A3A" w:rsidRPr="00925A3A" w:rsidRDefault="00925A3A" w:rsidP="00925A3A">
      <w:pPr>
        <w:keepNext/>
        <w:outlineLvl w:val="1"/>
        <w:rPr>
          <w:b/>
          <w:szCs w:val="20"/>
          <w:lang w:eastAsia="en-AU"/>
        </w:rPr>
      </w:pPr>
      <w:r w:rsidRPr="00925A3A">
        <w:rPr>
          <w:b/>
          <w:szCs w:val="20"/>
          <w:lang w:eastAsia="en-AU"/>
        </w:rPr>
        <w:t>Key features</w:t>
      </w:r>
    </w:p>
    <w:p w14:paraId="3B64E587" w14:textId="77777777" w:rsidR="00925A3A" w:rsidRPr="00925A3A" w:rsidRDefault="00925A3A" w:rsidP="00925A3A">
      <w:pPr>
        <w:rPr>
          <w:szCs w:val="20"/>
          <w:lang w:eastAsia="en-AU"/>
        </w:rPr>
      </w:pPr>
    </w:p>
    <w:p w14:paraId="28C644D6" w14:textId="1999B882" w:rsidR="00925A3A" w:rsidRPr="00925A3A" w:rsidRDefault="00234427" w:rsidP="00925A3A">
      <w:pPr>
        <w:rPr>
          <w:szCs w:val="20"/>
          <w:lang w:eastAsia="en-AU"/>
        </w:rPr>
      </w:pPr>
      <w:r>
        <w:rPr>
          <w:szCs w:val="20"/>
          <w:lang w:eastAsia="en-AU"/>
        </w:rPr>
        <w:t>Section FH 14</w:t>
      </w:r>
      <w:r w:rsidR="00925A3A" w:rsidRPr="00925A3A">
        <w:rPr>
          <w:szCs w:val="20"/>
          <w:lang w:eastAsia="en-AU"/>
        </w:rPr>
        <w:t xml:space="preserve"> applies to a New Zealand resident who has, or is a member of a wholly owned group that has, a wholly owned hybrid entity</w:t>
      </w:r>
      <w:r w:rsidR="002D5667">
        <w:rPr>
          <w:szCs w:val="20"/>
          <w:lang w:eastAsia="en-AU"/>
        </w:rPr>
        <w:t xml:space="preserve">. </w:t>
      </w:r>
      <w:r w:rsidR="00925A3A" w:rsidRPr="00925A3A">
        <w:rPr>
          <w:szCs w:val="20"/>
          <w:lang w:eastAsia="en-AU"/>
        </w:rPr>
        <w:t>By making the election such a person can treat the entity as a company for New Zealan</w:t>
      </w:r>
      <w:r>
        <w:rPr>
          <w:szCs w:val="20"/>
          <w:lang w:eastAsia="en-AU"/>
        </w:rPr>
        <w:t>d tax purposes</w:t>
      </w:r>
      <w:r w:rsidR="002D5667">
        <w:rPr>
          <w:szCs w:val="20"/>
          <w:lang w:eastAsia="en-AU"/>
        </w:rPr>
        <w:t xml:space="preserve">. </w:t>
      </w:r>
      <w:r>
        <w:rPr>
          <w:szCs w:val="20"/>
          <w:lang w:eastAsia="en-AU"/>
        </w:rPr>
        <w:t>This will mean the person does not have</w:t>
      </w:r>
      <w:r w:rsidR="00925A3A" w:rsidRPr="00925A3A">
        <w:rPr>
          <w:szCs w:val="20"/>
          <w:lang w:eastAsia="en-AU"/>
        </w:rPr>
        <w:t xml:space="preserve"> to apply many of the hybrid rules in relation to the entity</w:t>
      </w:r>
      <w:r>
        <w:rPr>
          <w:szCs w:val="20"/>
          <w:lang w:eastAsia="en-AU"/>
        </w:rPr>
        <w:t>, particularly section FH 9</w:t>
      </w:r>
      <w:r w:rsidR="002D5667">
        <w:rPr>
          <w:szCs w:val="20"/>
          <w:lang w:eastAsia="en-AU"/>
        </w:rPr>
        <w:t xml:space="preserve">. </w:t>
      </w:r>
      <w:r w:rsidR="00925A3A" w:rsidRPr="00925A3A">
        <w:rPr>
          <w:szCs w:val="20"/>
          <w:lang w:eastAsia="en-AU"/>
        </w:rPr>
        <w:t>Of course, it will also mean that the entity’s income is separate from the owner’s income, so that, for example, losses from the entity do not reduce the owner’s taxable income.</w:t>
      </w:r>
    </w:p>
    <w:p w14:paraId="594B8295" w14:textId="77777777" w:rsidR="00925A3A" w:rsidRPr="00925A3A" w:rsidRDefault="00925A3A" w:rsidP="00925A3A">
      <w:pPr>
        <w:rPr>
          <w:szCs w:val="20"/>
          <w:lang w:eastAsia="en-AU"/>
        </w:rPr>
      </w:pPr>
    </w:p>
    <w:p w14:paraId="40DD7ADA" w14:textId="77777777" w:rsidR="00925A3A" w:rsidRPr="00925A3A" w:rsidRDefault="00925A3A" w:rsidP="00925A3A">
      <w:pPr>
        <w:rPr>
          <w:szCs w:val="20"/>
          <w:lang w:eastAsia="en-AU"/>
        </w:rPr>
      </w:pPr>
    </w:p>
    <w:p w14:paraId="7B464A14" w14:textId="77777777" w:rsidR="00D1380C" w:rsidRDefault="00D1380C">
      <w:pPr>
        <w:jc w:val="left"/>
        <w:rPr>
          <w:b/>
          <w:szCs w:val="20"/>
          <w:lang w:eastAsia="en-AU"/>
        </w:rPr>
      </w:pPr>
      <w:r>
        <w:rPr>
          <w:b/>
          <w:szCs w:val="20"/>
          <w:lang w:eastAsia="en-AU"/>
        </w:rPr>
        <w:br w:type="page"/>
      </w:r>
    </w:p>
    <w:p w14:paraId="0BBEC62E" w14:textId="584C1ECC" w:rsidR="00925A3A" w:rsidRPr="00925A3A" w:rsidRDefault="00925A3A" w:rsidP="00382B5E">
      <w:pPr>
        <w:jc w:val="left"/>
        <w:rPr>
          <w:b/>
          <w:szCs w:val="20"/>
          <w:lang w:eastAsia="en-AU"/>
        </w:rPr>
      </w:pPr>
      <w:r w:rsidRPr="00925A3A">
        <w:rPr>
          <w:b/>
          <w:szCs w:val="20"/>
          <w:lang w:eastAsia="en-AU"/>
        </w:rPr>
        <w:lastRenderedPageBreak/>
        <w:t>Detailed analysis</w:t>
      </w:r>
    </w:p>
    <w:p w14:paraId="30C5830A" w14:textId="77777777" w:rsidR="00925A3A" w:rsidRPr="00925A3A" w:rsidRDefault="00925A3A" w:rsidP="00925A3A">
      <w:pPr>
        <w:rPr>
          <w:szCs w:val="20"/>
          <w:lang w:eastAsia="en-AU"/>
        </w:rPr>
      </w:pPr>
    </w:p>
    <w:p w14:paraId="2440F68B" w14:textId="56BAAD09" w:rsidR="00925238" w:rsidRDefault="007D7D5A" w:rsidP="00925238">
      <w:pPr>
        <w:rPr>
          <w:snapToGrid w:val="0"/>
          <w:szCs w:val="20"/>
          <w:lang w:eastAsia="en-US"/>
        </w:rPr>
      </w:pPr>
      <w:r>
        <w:rPr>
          <w:szCs w:val="20"/>
          <w:lang w:eastAsia="en-AU"/>
        </w:rPr>
        <w:t xml:space="preserve">Subsection (1) outlines who </w:t>
      </w:r>
      <w:r w:rsidR="00234427">
        <w:rPr>
          <w:szCs w:val="20"/>
          <w:lang w:eastAsia="en-AU"/>
        </w:rPr>
        <w:t>can make the election – a New Zealand resident</w:t>
      </w:r>
      <w:r>
        <w:rPr>
          <w:szCs w:val="20"/>
          <w:lang w:eastAsia="en-AU"/>
        </w:rPr>
        <w:t xml:space="preserve"> who owns, or is a member of a wholly-owned group that owns, all the ownership interest</w:t>
      </w:r>
      <w:r w:rsidR="00234427">
        <w:rPr>
          <w:szCs w:val="20"/>
          <w:lang w:eastAsia="en-AU"/>
        </w:rPr>
        <w:t xml:space="preserve">s in a hybrid entity on the date the </w:t>
      </w:r>
      <w:r>
        <w:rPr>
          <w:szCs w:val="20"/>
          <w:lang w:eastAsia="en-AU"/>
        </w:rPr>
        <w:t>Bill</w:t>
      </w:r>
      <w:r w:rsidR="00234427">
        <w:rPr>
          <w:szCs w:val="20"/>
          <w:lang w:eastAsia="en-AU"/>
        </w:rPr>
        <w:t xml:space="preserve"> was introduced</w:t>
      </w:r>
      <w:r>
        <w:rPr>
          <w:szCs w:val="20"/>
          <w:lang w:eastAsia="en-AU"/>
        </w:rPr>
        <w:t xml:space="preserve"> (6 December 2017)</w:t>
      </w:r>
      <w:r w:rsidR="002D5667">
        <w:rPr>
          <w:szCs w:val="20"/>
          <w:lang w:eastAsia="en-AU"/>
        </w:rPr>
        <w:t xml:space="preserve">. </w:t>
      </w:r>
      <w:r w:rsidR="00234427">
        <w:rPr>
          <w:snapToGrid w:val="0"/>
          <w:szCs w:val="20"/>
          <w:lang w:eastAsia="en-US"/>
        </w:rPr>
        <w:t>This is because the election</w:t>
      </w:r>
      <w:r w:rsidR="00925238" w:rsidRPr="00925A3A">
        <w:rPr>
          <w:snapToGrid w:val="0"/>
          <w:szCs w:val="20"/>
          <w:lang w:eastAsia="en-US"/>
        </w:rPr>
        <w:t xml:space="preserve"> is intended t</w:t>
      </w:r>
      <w:r w:rsidR="00234427">
        <w:rPr>
          <w:snapToGrid w:val="0"/>
          <w:szCs w:val="20"/>
          <w:lang w:eastAsia="en-US"/>
        </w:rPr>
        <w:t>o s</w:t>
      </w:r>
      <w:r w:rsidR="00514C22">
        <w:rPr>
          <w:snapToGrid w:val="0"/>
          <w:szCs w:val="20"/>
          <w:lang w:eastAsia="en-US"/>
        </w:rPr>
        <w:t>implify compliance for people</w:t>
      </w:r>
      <w:r w:rsidR="00925238" w:rsidRPr="00925A3A">
        <w:rPr>
          <w:snapToGrid w:val="0"/>
          <w:szCs w:val="20"/>
          <w:lang w:eastAsia="en-US"/>
        </w:rPr>
        <w:t xml:space="preserve"> who set up foreign hybrid vehicles before t</w:t>
      </w:r>
      <w:r w:rsidR="00234427">
        <w:rPr>
          <w:snapToGrid w:val="0"/>
          <w:szCs w:val="20"/>
          <w:lang w:eastAsia="en-US"/>
        </w:rPr>
        <w:t>he hybrid rules were introduced.</w:t>
      </w:r>
    </w:p>
    <w:p w14:paraId="6B3EF927" w14:textId="77777777" w:rsidR="007D7D5A" w:rsidRDefault="007D7D5A" w:rsidP="00925A3A">
      <w:pPr>
        <w:rPr>
          <w:szCs w:val="20"/>
          <w:lang w:eastAsia="en-AU"/>
        </w:rPr>
      </w:pPr>
    </w:p>
    <w:p w14:paraId="69E93205" w14:textId="09DF062B" w:rsidR="00EB661A" w:rsidRDefault="007D7D5A" w:rsidP="00925A3A">
      <w:pPr>
        <w:rPr>
          <w:szCs w:val="20"/>
          <w:lang w:eastAsia="en-AU"/>
        </w:rPr>
      </w:pPr>
      <w:r>
        <w:rPr>
          <w:szCs w:val="20"/>
          <w:lang w:eastAsia="en-AU"/>
        </w:rPr>
        <w:t xml:space="preserve">Subsection (2) states the broad result of the election, which is that the hybrid entity is treated </w:t>
      </w:r>
      <w:r w:rsidR="004F2104">
        <w:rPr>
          <w:szCs w:val="20"/>
          <w:lang w:eastAsia="en-AU"/>
        </w:rPr>
        <w:t>as a company for all purposes of the Act</w:t>
      </w:r>
      <w:r w:rsidR="00A96BA1">
        <w:rPr>
          <w:szCs w:val="20"/>
          <w:lang w:eastAsia="en-AU"/>
        </w:rPr>
        <w:t>.</w:t>
      </w:r>
    </w:p>
    <w:p w14:paraId="3230D68A" w14:textId="77777777" w:rsidR="00A96BA1" w:rsidRDefault="00A96BA1" w:rsidP="00925A3A">
      <w:pPr>
        <w:rPr>
          <w:szCs w:val="20"/>
          <w:lang w:eastAsia="en-AU"/>
        </w:rPr>
      </w:pPr>
    </w:p>
    <w:p w14:paraId="16A3351E" w14:textId="1335EEFC" w:rsidR="00A96BA1" w:rsidRDefault="00A96BA1" w:rsidP="00A96BA1">
      <w:pPr>
        <w:rPr>
          <w:szCs w:val="20"/>
          <w:lang w:eastAsia="en-AU"/>
        </w:rPr>
      </w:pPr>
      <w:r>
        <w:rPr>
          <w:szCs w:val="20"/>
          <w:lang w:eastAsia="en-AU"/>
        </w:rPr>
        <w:t>Subsections (3) to (7) then outline the specifics regarding the election and how it operates.</w:t>
      </w:r>
    </w:p>
    <w:p w14:paraId="0E39703B" w14:textId="77777777" w:rsidR="00A96BA1" w:rsidRDefault="00A96BA1" w:rsidP="00A96BA1">
      <w:pPr>
        <w:rPr>
          <w:szCs w:val="20"/>
          <w:lang w:eastAsia="en-AU"/>
        </w:rPr>
      </w:pPr>
    </w:p>
    <w:p w14:paraId="4C9340FA" w14:textId="6684C746" w:rsidR="00516DC8" w:rsidRPr="00A96BA1" w:rsidRDefault="00AB22E3" w:rsidP="00A96BA1">
      <w:pPr>
        <w:rPr>
          <w:szCs w:val="20"/>
          <w:lang w:eastAsia="en-AU"/>
        </w:rPr>
      </w:pPr>
      <w:r>
        <w:rPr>
          <w:szCs w:val="20"/>
          <w:lang w:eastAsia="en-AU"/>
        </w:rPr>
        <w:t>T</w:t>
      </w:r>
      <w:r w:rsidR="00925A3A" w:rsidRPr="00A96BA1">
        <w:rPr>
          <w:szCs w:val="20"/>
          <w:lang w:eastAsia="en-AU"/>
        </w:rPr>
        <w:t>he owner mu</w:t>
      </w:r>
      <w:r w:rsidR="00234427">
        <w:rPr>
          <w:szCs w:val="20"/>
          <w:lang w:eastAsia="en-AU"/>
        </w:rPr>
        <w:t xml:space="preserve">st notify </w:t>
      </w:r>
      <w:r w:rsidR="00925A3A" w:rsidRPr="00A96BA1">
        <w:rPr>
          <w:szCs w:val="20"/>
          <w:lang w:eastAsia="en-AU"/>
        </w:rPr>
        <w:t xml:space="preserve">the Commissioner </w:t>
      </w:r>
      <w:r w:rsidR="00234427">
        <w:rPr>
          <w:szCs w:val="20"/>
          <w:lang w:eastAsia="en-AU"/>
        </w:rPr>
        <w:t xml:space="preserve">of the election </w:t>
      </w:r>
      <w:r w:rsidR="00925A3A" w:rsidRPr="00A96BA1">
        <w:rPr>
          <w:szCs w:val="20"/>
          <w:lang w:eastAsia="en-AU"/>
        </w:rPr>
        <w:t>on or before the due date for the person’s tax return for the first income year in which the h</w:t>
      </w:r>
      <w:r w:rsidR="004F2104" w:rsidRPr="00A96BA1">
        <w:rPr>
          <w:szCs w:val="20"/>
          <w:lang w:eastAsia="en-AU"/>
        </w:rPr>
        <w:t>ybrid rules apply to the person</w:t>
      </w:r>
      <w:r w:rsidR="00A96BA1" w:rsidRPr="00A96BA1">
        <w:rPr>
          <w:szCs w:val="20"/>
          <w:lang w:eastAsia="en-AU"/>
        </w:rPr>
        <w:t xml:space="preserve"> (subsection (3))</w:t>
      </w:r>
      <w:r w:rsidR="002D5667">
        <w:rPr>
          <w:szCs w:val="20"/>
          <w:lang w:eastAsia="en-AU"/>
        </w:rPr>
        <w:t xml:space="preserve">. </w:t>
      </w:r>
      <w:r w:rsidR="004F2104" w:rsidRPr="00A96BA1">
        <w:rPr>
          <w:szCs w:val="20"/>
          <w:lang w:eastAsia="en-AU"/>
        </w:rPr>
        <w:t xml:space="preserve">Taxpayers that wish to make this election should send their election notices to </w:t>
      </w:r>
      <w:hyperlink r:id="rId40" w:history="1">
        <w:r w:rsidR="004F2104" w:rsidRPr="00A96BA1">
          <w:rPr>
            <w:rStyle w:val="Hyperlink"/>
            <w:szCs w:val="20"/>
            <w:lang w:eastAsia="en-AU"/>
          </w:rPr>
          <w:t>hybridelections@ird.govt.nz</w:t>
        </w:r>
      </w:hyperlink>
      <w:r w:rsidR="002D5667">
        <w:rPr>
          <w:szCs w:val="20"/>
          <w:lang w:eastAsia="en-AU"/>
        </w:rPr>
        <w:t xml:space="preserve">. </w:t>
      </w:r>
      <w:r>
        <w:rPr>
          <w:szCs w:val="20"/>
          <w:lang w:eastAsia="en-AU"/>
        </w:rPr>
        <w:t>There is no prescribed form for the notice; however, it should include the taxpayer’s name and IRD number, specific the foreign hybrid entity to which the election applies, and the tax year on which t</w:t>
      </w:r>
      <w:r w:rsidR="00896B00">
        <w:rPr>
          <w:szCs w:val="20"/>
          <w:lang w:eastAsia="en-AU"/>
        </w:rPr>
        <w:t>he election is to be effective.</w:t>
      </w:r>
    </w:p>
    <w:p w14:paraId="4830A3D7" w14:textId="77777777" w:rsidR="00A96BA1" w:rsidRDefault="00A96BA1" w:rsidP="00A96BA1">
      <w:pPr>
        <w:pStyle w:val="ListParagraph"/>
        <w:ind w:left="360"/>
        <w:rPr>
          <w:szCs w:val="20"/>
          <w:lang w:eastAsia="en-AU"/>
        </w:rPr>
      </w:pPr>
    </w:p>
    <w:p w14:paraId="0D0A53F6" w14:textId="6819FD90" w:rsidR="00D74D22" w:rsidRDefault="00925A3A" w:rsidP="00A96BA1">
      <w:pPr>
        <w:rPr>
          <w:szCs w:val="20"/>
          <w:lang w:eastAsia="en-AU"/>
        </w:rPr>
      </w:pPr>
      <w:r w:rsidRPr="00A96BA1">
        <w:rPr>
          <w:szCs w:val="20"/>
          <w:lang w:eastAsia="en-AU"/>
        </w:rPr>
        <w:t>The elec</w:t>
      </w:r>
      <w:r w:rsidR="00D74D22">
        <w:rPr>
          <w:szCs w:val="20"/>
          <w:lang w:eastAsia="en-AU"/>
        </w:rPr>
        <w:t>tion will be effective from the first income year in which the hybrid rules apply to an owner and later income years (subsection (4))</w:t>
      </w:r>
      <w:r w:rsidR="002D5667">
        <w:rPr>
          <w:szCs w:val="20"/>
          <w:lang w:eastAsia="en-AU"/>
        </w:rPr>
        <w:t xml:space="preserve">. </w:t>
      </w:r>
      <w:r w:rsidR="00D74D22">
        <w:rPr>
          <w:szCs w:val="20"/>
          <w:lang w:eastAsia="en-AU"/>
        </w:rPr>
        <w:t>This election will determine the New Zealand tax treatment of the entity for the remainder of its existence, regardless of who owns it in the future, as the election is irrevocable (subsection (7)).</w:t>
      </w:r>
    </w:p>
    <w:p w14:paraId="6043CA93" w14:textId="77777777" w:rsidR="00DF4F9C" w:rsidRDefault="00DF4F9C" w:rsidP="00A96BA1">
      <w:pPr>
        <w:rPr>
          <w:szCs w:val="20"/>
          <w:lang w:eastAsia="en-AU"/>
        </w:rPr>
      </w:pPr>
    </w:p>
    <w:p w14:paraId="23BF4AD0" w14:textId="065A6146" w:rsidR="00DF4F9C" w:rsidRDefault="00DF4F9C" w:rsidP="00DF4F9C">
      <w:pPr>
        <w:rPr>
          <w:szCs w:val="20"/>
          <w:lang w:eastAsia="en-AU"/>
        </w:rPr>
      </w:pPr>
      <w:r w:rsidRPr="00925A3A">
        <w:rPr>
          <w:szCs w:val="20"/>
          <w:lang w:eastAsia="en-AU"/>
        </w:rPr>
        <w:t>The effect of the election is tha</w:t>
      </w:r>
      <w:r>
        <w:rPr>
          <w:szCs w:val="20"/>
          <w:lang w:eastAsia="en-AU"/>
        </w:rPr>
        <w:t xml:space="preserve">t the owners of the entity </w:t>
      </w:r>
      <w:r w:rsidRPr="00925A3A">
        <w:rPr>
          <w:szCs w:val="20"/>
          <w:lang w:eastAsia="en-AU"/>
        </w:rPr>
        <w:t>are treated as selling, on the</w:t>
      </w:r>
      <w:r>
        <w:rPr>
          <w:szCs w:val="20"/>
          <w:lang w:eastAsia="en-AU"/>
        </w:rPr>
        <w:t xml:space="preserve"> first day of the income year, </w:t>
      </w:r>
      <w:r w:rsidRPr="00925A3A">
        <w:rPr>
          <w:szCs w:val="20"/>
          <w:lang w:eastAsia="en-AU"/>
        </w:rPr>
        <w:t>the hybrid</w:t>
      </w:r>
      <w:r>
        <w:rPr>
          <w:szCs w:val="20"/>
          <w:lang w:eastAsia="en-AU"/>
        </w:rPr>
        <w:t xml:space="preserve"> entity</w:t>
      </w:r>
      <w:r w:rsidRPr="00925A3A">
        <w:rPr>
          <w:szCs w:val="20"/>
          <w:lang w:eastAsia="en-AU"/>
        </w:rPr>
        <w:t>’s undertaking to a new</w:t>
      </w:r>
      <w:r>
        <w:rPr>
          <w:szCs w:val="20"/>
          <w:lang w:eastAsia="en-AU"/>
        </w:rPr>
        <w:t xml:space="preserve"> company in return for the shares in the company (paragraph (5)(a))</w:t>
      </w:r>
      <w:r w:rsidR="002D5667">
        <w:rPr>
          <w:szCs w:val="20"/>
          <w:lang w:eastAsia="en-AU"/>
        </w:rPr>
        <w:t xml:space="preserve">. </w:t>
      </w:r>
      <w:r w:rsidRPr="00925A3A">
        <w:rPr>
          <w:szCs w:val="20"/>
          <w:lang w:eastAsia="en-AU"/>
        </w:rPr>
        <w:t xml:space="preserve">The sale will in most cases trigger some taxable gain or loss, after which point the hybrid entity’s undertaking will no longer </w:t>
      </w:r>
      <w:r>
        <w:rPr>
          <w:szCs w:val="20"/>
          <w:lang w:eastAsia="en-AU"/>
        </w:rPr>
        <w:t xml:space="preserve">directly </w:t>
      </w:r>
      <w:r w:rsidRPr="00925A3A">
        <w:rPr>
          <w:szCs w:val="20"/>
          <w:lang w:eastAsia="en-AU"/>
        </w:rPr>
        <w:t>be in the New Zealand tax base</w:t>
      </w:r>
      <w:r>
        <w:rPr>
          <w:szCs w:val="20"/>
          <w:lang w:eastAsia="en-AU"/>
        </w:rPr>
        <w:t xml:space="preserve"> (</w:t>
      </w:r>
      <w:r w:rsidR="0047243A">
        <w:rPr>
          <w:szCs w:val="20"/>
          <w:lang w:eastAsia="en-AU"/>
        </w:rPr>
        <w:t>that is,</w:t>
      </w:r>
      <w:r>
        <w:rPr>
          <w:szCs w:val="20"/>
          <w:lang w:eastAsia="en-AU"/>
        </w:rPr>
        <w:t xml:space="preserve"> flow through treatment will not apply to the foreign hybrid entity’s income and expenses immediately after the deemed sale has taken place)</w:t>
      </w:r>
      <w:r w:rsidR="002D5667">
        <w:rPr>
          <w:szCs w:val="20"/>
          <w:lang w:eastAsia="en-AU"/>
        </w:rPr>
        <w:t xml:space="preserve">. </w:t>
      </w:r>
      <w:r>
        <w:rPr>
          <w:szCs w:val="20"/>
          <w:lang w:eastAsia="en-AU"/>
        </w:rPr>
        <w:t>The CFC regime will appl</w:t>
      </w:r>
      <w:r w:rsidR="00BA2277">
        <w:rPr>
          <w:szCs w:val="20"/>
          <w:lang w:eastAsia="en-AU"/>
        </w:rPr>
        <w:t>y</w:t>
      </w:r>
      <w:r w:rsidR="0089364D">
        <w:rPr>
          <w:szCs w:val="20"/>
          <w:lang w:eastAsia="en-AU"/>
        </w:rPr>
        <w:t xml:space="preserve"> in the usual way</w:t>
      </w:r>
      <w:r w:rsidR="00BA2277">
        <w:rPr>
          <w:szCs w:val="20"/>
          <w:lang w:eastAsia="en-AU"/>
        </w:rPr>
        <w:t xml:space="preserve"> to the foreign hybrid entity following the election with distributions from the hybrid entity treated as dividends</w:t>
      </w:r>
      <w:r w:rsidR="0089364D">
        <w:rPr>
          <w:szCs w:val="20"/>
          <w:lang w:eastAsia="en-AU"/>
        </w:rPr>
        <w:t xml:space="preserve"> unless they qualify to be treated as a return of capital or capital gain distribution</w:t>
      </w:r>
      <w:r w:rsidR="00BA2277">
        <w:rPr>
          <w:szCs w:val="20"/>
          <w:lang w:eastAsia="en-AU"/>
        </w:rPr>
        <w:t>.</w:t>
      </w:r>
    </w:p>
    <w:p w14:paraId="7CA5C621" w14:textId="77777777" w:rsidR="00DF4F9C" w:rsidRDefault="00DF4F9C" w:rsidP="00DF4F9C">
      <w:pPr>
        <w:rPr>
          <w:szCs w:val="20"/>
          <w:lang w:eastAsia="en-AU"/>
        </w:rPr>
      </w:pPr>
    </w:p>
    <w:p w14:paraId="7EAEE582" w14:textId="77777777" w:rsidR="00DF4F9C" w:rsidRPr="00925A3A" w:rsidRDefault="00DF4F9C" w:rsidP="00DF4F9C">
      <w:pPr>
        <w:rPr>
          <w:szCs w:val="20"/>
          <w:lang w:eastAsia="en-AU"/>
        </w:rPr>
      </w:pPr>
      <w:r w:rsidRPr="00925A3A">
        <w:rPr>
          <w:szCs w:val="20"/>
          <w:lang w:eastAsia="en-AU"/>
        </w:rPr>
        <w:t>The available subscribed capital of the deemed new company will equal the net value of the undertaking it is deemed to acquire (subsection (6)).</w:t>
      </w:r>
    </w:p>
    <w:p w14:paraId="16A7A071" w14:textId="77777777" w:rsidR="007D7D5A" w:rsidRPr="00925A3A" w:rsidRDefault="007D7D5A" w:rsidP="007D7D5A">
      <w:pPr>
        <w:rPr>
          <w:szCs w:val="20"/>
          <w:lang w:eastAsia="en-AU"/>
        </w:rPr>
      </w:pPr>
    </w:p>
    <w:p w14:paraId="37C2DE67" w14:textId="7CF82236" w:rsidR="00F15347" w:rsidRPr="00925A3A" w:rsidRDefault="00F15347" w:rsidP="00F15347">
      <w:pPr>
        <w:pBdr>
          <w:top w:val="single" w:sz="4" w:space="10" w:color="auto"/>
          <w:left w:val="single" w:sz="4" w:space="10" w:color="auto"/>
          <w:bottom w:val="single" w:sz="4" w:space="10" w:color="auto"/>
          <w:right w:val="single" w:sz="4" w:space="10" w:color="auto"/>
        </w:pBdr>
        <w:rPr>
          <w:b/>
          <w:snapToGrid w:val="0"/>
          <w:sz w:val="20"/>
          <w:szCs w:val="20"/>
          <w:lang w:eastAsia="en-AU"/>
        </w:rPr>
      </w:pPr>
      <w:r w:rsidRPr="00925A3A">
        <w:rPr>
          <w:b/>
          <w:snapToGrid w:val="0"/>
          <w:sz w:val="20"/>
          <w:szCs w:val="20"/>
          <w:lang w:eastAsia="en-AU"/>
        </w:rPr>
        <w:t>Exam</w:t>
      </w:r>
      <w:r>
        <w:rPr>
          <w:b/>
          <w:snapToGrid w:val="0"/>
          <w:sz w:val="20"/>
          <w:szCs w:val="20"/>
          <w:lang w:eastAsia="en-AU"/>
        </w:rPr>
        <w:t>ple</w:t>
      </w:r>
      <w:r w:rsidR="00F32C8B">
        <w:rPr>
          <w:b/>
          <w:snapToGrid w:val="0"/>
          <w:sz w:val="20"/>
          <w:szCs w:val="20"/>
          <w:lang w:eastAsia="en-AU"/>
        </w:rPr>
        <w:t xml:space="preserve"> </w:t>
      </w:r>
      <w:r w:rsidR="007A382F">
        <w:rPr>
          <w:b/>
          <w:sz w:val="20"/>
          <w:szCs w:val="20"/>
          <w:lang w:eastAsia="en-AU"/>
        </w:rPr>
        <w:t xml:space="preserve">33: </w:t>
      </w:r>
      <w:r w:rsidR="0004751E">
        <w:rPr>
          <w:b/>
          <w:sz w:val="20"/>
          <w:szCs w:val="20"/>
          <w:lang w:eastAsia="en-AU"/>
        </w:rPr>
        <w:t>Opaque election</w:t>
      </w:r>
    </w:p>
    <w:p w14:paraId="49DAD69B" w14:textId="77777777" w:rsidR="00F15347" w:rsidRDefault="00F15347" w:rsidP="00F15347">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6B67D332" w14:textId="1302CB04" w:rsidR="00EA4213" w:rsidRDefault="00650CC9" w:rsidP="00F15347">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 xml:space="preserve">NZ Co has </w:t>
      </w:r>
      <w:r w:rsidR="00EA4213">
        <w:rPr>
          <w:snapToGrid w:val="0"/>
          <w:sz w:val="20"/>
          <w:szCs w:val="20"/>
          <w:lang w:eastAsia="en-AU"/>
        </w:rPr>
        <w:t xml:space="preserve">had a </w:t>
      </w:r>
      <w:r>
        <w:rPr>
          <w:snapToGrid w:val="0"/>
          <w:sz w:val="20"/>
          <w:szCs w:val="20"/>
          <w:lang w:eastAsia="en-AU"/>
        </w:rPr>
        <w:t>wholly-owned a foreign hybrid entity in Country F since 1 April 2010</w:t>
      </w:r>
      <w:r w:rsidR="002D5667">
        <w:rPr>
          <w:snapToGrid w:val="0"/>
          <w:sz w:val="20"/>
          <w:szCs w:val="20"/>
          <w:lang w:eastAsia="en-AU"/>
        </w:rPr>
        <w:t xml:space="preserve">. </w:t>
      </w:r>
      <w:r>
        <w:rPr>
          <w:snapToGrid w:val="0"/>
          <w:sz w:val="20"/>
          <w:szCs w:val="20"/>
          <w:lang w:eastAsia="en-AU"/>
        </w:rPr>
        <w:t>The foreign hybrid entity incurs tax losses each year in New Zealand which would effectively be ring-fenced under section FH 9</w:t>
      </w:r>
      <w:r w:rsidR="002D5667">
        <w:rPr>
          <w:snapToGrid w:val="0"/>
          <w:sz w:val="20"/>
          <w:szCs w:val="20"/>
          <w:lang w:eastAsia="en-AU"/>
        </w:rPr>
        <w:t xml:space="preserve">. </w:t>
      </w:r>
      <w:r w:rsidR="00EA4213">
        <w:rPr>
          <w:snapToGrid w:val="0"/>
          <w:sz w:val="20"/>
          <w:szCs w:val="20"/>
          <w:lang w:eastAsia="en-AU"/>
        </w:rPr>
        <w:t>NZ Co understands that it will no longer benefit from potential double deductions from the foreign hybrid entity and wishes to reduce the compliance costs of the hybrid rules by making the opaque election in section FH 14</w:t>
      </w:r>
      <w:r w:rsidR="002D5667">
        <w:rPr>
          <w:snapToGrid w:val="0"/>
          <w:sz w:val="20"/>
          <w:szCs w:val="20"/>
          <w:lang w:eastAsia="en-AU"/>
        </w:rPr>
        <w:t xml:space="preserve">. </w:t>
      </w:r>
      <w:r w:rsidR="004A0462">
        <w:rPr>
          <w:snapToGrid w:val="0"/>
          <w:sz w:val="20"/>
          <w:szCs w:val="20"/>
          <w:lang w:eastAsia="en-AU"/>
        </w:rPr>
        <w:t>NZ Co has a standard balance date of 31 March.</w:t>
      </w:r>
    </w:p>
    <w:p w14:paraId="091E0BAB" w14:textId="77777777" w:rsidR="00EA4213" w:rsidRDefault="00EA4213" w:rsidP="00F15347">
      <w:pPr>
        <w:pBdr>
          <w:top w:val="single" w:sz="4" w:space="10" w:color="auto"/>
          <w:left w:val="single" w:sz="4" w:space="10" w:color="auto"/>
          <w:bottom w:val="single" w:sz="4" w:space="10" w:color="auto"/>
          <w:right w:val="single" w:sz="4" w:space="10" w:color="auto"/>
        </w:pBdr>
        <w:rPr>
          <w:i/>
          <w:snapToGrid w:val="0"/>
          <w:sz w:val="20"/>
          <w:szCs w:val="20"/>
          <w:lang w:eastAsia="en-AU"/>
        </w:rPr>
      </w:pPr>
    </w:p>
    <w:p w14:paraId="60B2652D" w14:textId="77777777" w:rsidR="00650CC9" w:rsidRDefault="00650CC9" w:rsidP="00F15347">
      <w:pPr>
        <w:pBdr>
          <w:top w:val="single" w:sz="4" w:space="10" w:color="auto"/>
          <w:left w:val="single" w:sz="4" w:space="10" w:color="auto"/>
          <w:bottom w:val="single" w:sz="4" w:space="10" w:color="auto"/>
          <w:right w:val="single" w:sz="4" w:space="10" w:color="auto"/>
        </w:pBdr>
        <w:rPr>
          <w:i/>
          <w:snapToGrid w:val="0"/>
          <w:sz w:val="20"/>
          <w:szCs w:val="20"/>
          <w:lang w:eastAsia="en-AU"/>
        </w:rPr>
      </w:pPr>
      <w:r>
        <w:rPr>
          <w:i/>
          <w:snapToGrid w:val="0"/>
          <w:sz w:val="20"/>
          <w:szCs w:val="20"/>
          <w:lang w:eastAsia="en-AU"/>
        </w:rPr>
        <w:t>Question 1</w:t>
      </w:r>
    </w:p>
    <w:p w14:paraId="36E0692F" w14:textId="77777777" w:rsidR="00650CC9" w:rsidRDefault="00650CC9" w:rsidP="00F15347">
      <w:pPr>
        <w:pBdr>
          <w:top w:val="single" w:sz="4" w:space="10" w:color="auto"/>
          <w:left w:val="single" w:sz="4" w:space="10" w:color="auto"/>
          <w:bottom w:val="single" w:sz="4" w:space="10" w:color="auto"/>
          <w:right w:val="single" w:sz="4" w:space="10" w:color="auto"/>
        </w:pBdr>
        <w:rPr>
          <w:i/>
          <w:snapToGrid w:val="0"/>
          <w:sz w:val="20"/>
          <w:szCs w:val="20"/>
          <w:lang w:eastAsia="en-AU"/>
        </w:rPr>
      </w:pPr>
    </w:p>
    <w:p w14:paraId="5A2FF0E3" w14:textId="3D6374D3" w:rsidR="00EA4213" w:rsidRDefault="00EA4213" w:rsidP="00F15347">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When does NZ Co need to make the election in election FH 14 by?</w:t>
      </w:r>
    </w:p>
    <w:p w14:paraId="7C3912DF" w14:textId="77777777" w:rsidR="00EA4213" w:rsidRDefault="00EA4213" w:rsidP="00F15347">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3495F01F" w14:textId="3E029444" w:rsidR="00EA4213" w:rsidRDefault="00896B00" w:rsidP="00F15347">
      <w:pPr>
        <w:pBdr>
          <w:top w:val="single" w:sz="4" w:space="10" w:color="auto"/>
          <w:left w:val="single" w:sz="4" w:space="10" w:color="auto"/>
          <w:bottom w:val="single" w:sz="4" w:space="10" w:color="auto"/>
          <w:right w:val="single" w:sz="4" w:space="10" w:color="auto"/>
        </w:pBdr>
        <w:rPr>
          <w:i/>
          <w:snapToGrid w:val="0"/>
          <w:sz w:val="20"/>
          <w:szCs w:val="20"/>
          <w:lang w:eastAsia="en-AU"/>
        </w:rPr>
      </w:pPr>
      <w:r>
        <w:rPr>
          <w:i/>
          <w:snapToGrid w:val="0"/>
          <w:sz w:val="20"/>
          <w:szCs w:val="20"/>
          <w:lang w:eastAsia="en-AU"/>
        </w:rPr>
        <w:t>Answer 1</w:t>
      </w:r>
    </w:p>
    <w:p w14:paraId="77299985" w14:textId="77777777" w:rsidR="00EA4213" w:rsidRDefault="00EA4213" w:rsidP="00F15347">
      <w:pPr>
        <w:pBdr>
          <w:top w:val="single" w:sz="4" w:space="10" w:color="auto"/>
          <w:left w:val="single" w:sz="4" w:space="10" w:color="auto"/>
          <w:bottom w:val="single" w:sz="4" w:space="10" w:color="auto"/>
          <w:right w:val="single" w:sz="4" w:space="10" w:color="auto"/>
        </w:pBdr>
        <w:rPr>
          <w:i/>
          <w:snapToGrid w:val="0"/>
          <w:sz w:val="20"/>
          <w:szCs w:val="20"/>
          <w:lang w:eastAsia="en-AU"/>
        </w:rPr>
      </w:pPr>
    </w:p>
    <w:p w14:paraId="11F36F5E" w14:textId="1D99FFF3" w:rsidR="00EA4213" w:rsidRDefault="00EA4213" w:rsidP="00F15347">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NZ Co must file the election before the due date for its 201</w:t>
      </w:r>
      <w:r w:rsidR="004A0462">
        <w:rPr>
          <w:snapToGrid w:val="0"/>
          <w:sz w:val="20"/>
          <w:szCs w:val="20"/>
          <w:lang w:eastAsia="en-AU"/>
        </w:rPr>
        <w:t>9</w:t>
      </w:r>
      <w:r w:rsidR="0047243A">
        <w:rPr>
          <w:snapToGrid w:val="0"/>
          <w:sz w:val="20"/>
          <w:szCs w:val="20"/>
          <w:lang w:eastAsia="en-AU"/>
        </w:rPr>
        <w:t>–</w:t>
      </w:r>
      <w:r w:rsidR="004A0462">
        <w:rPr>
          <w:snapToGrid w:val="0"/>
          <w:sz w:val="20"/>
          <w:szCs w:val="20"/>
          <w:lang w:eastAsia="en-AU"/>
        </w:rPr>
        <w:t>20</w:t>
      </w:r>
      <w:r>
        <w:rPr>
          <w:snapToGrid w:val="0"/>
          <w:sz w:val="20"/>
          <w:szCs w:val="20"/>
          <w:lang w:eastAsia="en-AU"/>
        </w:rPr>
        <w:t xml:space="preserve"> tax return</w:t>
      </w:r>
      <w:r w:rsidR="002D5667">
        <w:rPr>
          <w:snapToGrid w:val="0"/>
          <w:sz w:val="20"/>
          <w:szCs w:val="20"/>
          <w:lang w:eastAsia="en-AU"/>
        </w:rPr>
        <w:t xml:space="preserve">. </w:t>
      </w:r>
      <w:r>
        <w:rPr>
          <w:snapToGrid w:val="0"/>
          <w:sz w:val="20"/>
          <w:szCs w:val="20"/>
          <w:lang w:eastAsia="en-AU"/>
        </w:rPr>
        <w:t>If NZ Co has an extension of time for filing its tax return, this will be by 31 March 202</w:t>
      </w:r>
      <w:r w:rsidR="004A0462">
        <w:rPr>
          <w:snapToGrid w:val="0"/>
          <w:sz w:val="20"/>
          <w:szCs w:val="20"/>
          <w:lang w:eastAsia="en-AU"/>
        </w:rPr>
        <w:t>1</w:t>
      </w:r>
      <w:r>
        <w:rPr>
          <w:snapToGrid w:val="0"/>
          <w:sz w:val="20"/>
          <w:szCs w:val="20"/>
          <w:lang w:eastAsia="en-AU"/>
        </w:rPr>
        <w:t>.</w:t>
      </w:r>
    </w:p>
    <w:p w14:paraId="430419ED" w14:textId="77777777" w:rsidR="00EA4213" w:rsidRDefault="00EA4213" w:rsidP="00F15347">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0F637C75" w14:textId="486ED7AF" w:rsidR="00EA4213" w:rsidRDefault="00896B00" w:rsidP="00F15347">
      <w:pPr>
        <w:pBdr>
          <w:top w:val="single" w:sz="4" w:space="10" w:color="auto"/>
          <w:left w:val="single" w:sz="4" w:space="10" w:color="auto"/>
          <w:bottom w:val="single" w:sz="4" w:space="10" w:color="auto"/>
          <w:right w:val="single" w:sz="4" w:space="10" w:color="auto"/>
        </w:pBdr>
        <w:rPr>
          <w:i/>
          <w:snapToGrid w:val="0"/>
          <w:sz w:val="20"/>
          <w:szCs w:val="20"/>
          <w:lang w:eastAsia="en-AU"/>
        </w:rPr>
      </w:pPr>
      <w:r>
        <w:rPr>
          <w:i/>
          <w:snapToGrid w:val="0"/>
          <w:sz w:val="20"/>
          <w:szCs w:val="20"/>
          <w:lang w:eastAsia="en-AU"/>
        </w:rPr>
        <w:t>Question 2</w:t>
      </w:r>
    </w:p>
    <w:p w14:paraId="76AA426F" w14:textId="3A3DB014" w:rsidR="00EA4213" w:rsidRPr="00EA4213" w:rsidRDefault="00EA4213" w:rsidP="00F15347">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7CC3836C" w14:textId="5BF4F5A8" w:rsidR="008339CF" w:rsidRPr="008339CF" w:rsidRDefault="008339CF" w:rsidP="00F15347">
      <w:pPr>
        <w:pBdr>
          <w:top w:val="single" w:sz="4" w:space="10" w:color="auto"/>
          <w:left w:val="single" w:sz="4" w:space="10" w:color="auto"/>
          <w:bottom w:val="single" w:sz="4" w:space="10" w:color="auto"/>
          <w:right w:val="single" w:sz="4" w:space="10" w:color="auto"/>
        </w:pBdr>
        <w:rPr>
          <w:snapToGrid w:val="0"/>
          <w:sz w:val="20"/>
          <w:szCs w:val="20"/>
          <w:lang w:eastAsia="en-AU"/>
        </w:rPr>
      </w:pPr>
      <w:r w:rsidRPr="008339CF">
        <w:rPr>
          <w:snapToGrid w:val="0"/>
          <w:sz w:val="20"/>
          <w:szCs w:val="20"/>
          <w:lang w:eastAsia="en-AU"/>
        </w:rPr>
        <w:t>What will the effect of the election be?</w:t>
      </w:r>
    </w:p>
    <w:p w14:paraId="7395C409" w14:textId="77777777" w:rsidR="008339CF" w:rsidRDefault="008339CF" w:rsidP="00F15347">
      <w:pPr>
        <w:pBdr>
          <w:top w:val="single" w:sz="4" w:space="10" w:color="auto"/>
          <w:left w:val="single" w:sz="4" w:space="10" w:color="auto"/>
          <w:bottom w:val="single" w:sz="4" w:space="10" w:color="auto"/>
          <w:right w:val="single" w:sz="4" w:space="10" w:color="auto"/>
        </w:pBdr>
        <w:rPr>
          <w:i/>
          <w:snapToGrid w:val="0"/>
          <w:sz w:val="20"/>
          <w:szCs w:val="20"/>
          <w:lang w:eastAsia="en-AU"/>
        </w:rPr>
      </w:pPr>
    </w:p>
    <w:p w14:paraId="538E8C92" w14:textId="76E3877A" w:rsidR="001741B4" w:rsidRDefault="00896B00" w:rsidP="00F15347">
      <w:pPr>
        <w:pBdr>
          <w:top w:val="single" w:sz="4" w:space="10" w:color="auto"/>
          <w:left w:val="single" w:sz="4" w:space="10" w:color="auto"/>
          <w:bottom w:val="single" w:sz="4" w:space="10" w:color="auto"/>
          <w:right w:val="single" w:sz="4" w:space="10" w:color="auto"/>
        </w:pBdr>
        <w:rPr>
          <w:i/>
          <w:snapToGrid w:val="0"/>
          <w:sz w:val="20"/>
          <w:szCs w:val="20"/>
          <w:lang w:eastAsia="en-AU"/>
        </w:rPr>
      </w:pPr>
      <w:r>
        <w:rPr>
          <w:i/>
          <w:snapToGrid w:val="0"/>
          <w:sz w:val="20"/>
          <w:szCs w:val="20"/>
          <w:lang w:eastAsia="en-AU"/>
        </w:rPr>
        <w:t>Answer 2</w:t>
      </w:r>
    </w:p>
    <w:p w14:paraId="1EB3AE42" w14:textId="77777777" w:rsidR="001741B4" w:rsidRDefault="001741B4" w:rsidP="00F15347">
      <w:pPr>
        <w:pBdr>
          <w:top w:val="single" w:sz="4" w:space="10" w:color="auto"/>
          <w:left w:val="single" w:sz="4" w:space="10" w:color="auto"/>
          <w:bottom w:val="single" w:sz="4" w:space="10" w:color="auto"/>
          <w:right w:val="single" w:sz="4" w:space="10" w:color="auto"/>
        </w:pBdr>
        <w:rPr>
          <w:i/>
          <w:snapToGrid w:val="0"/>
          <w:sz w:val="20"/>
          <w:szCs w:val="20"/>
          <w:lang w:eastAsia="en-AU"/>
        </w:rPr>
      </w:pPr>
    </w:p>
    <w:p w14:paraId="6E30DF0F" w14:textId="73AAA63E" w:rsidR="006B40FD" w:rsidRDefault="001741B4" w:rsidP="00F15347">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NZ Co will be deemed to sell the undertaking (or business) of the foreign hybrid entity to a new company in exchange for the shares in the company</w:t>
      </w:r>
      <w:r w:rsidR="000A6F06">
        <w:rPr>
          <w:snapToGrid w:val="0"/>
          <w:sz w:val="20"/>
          <w:szCs w:val="20"/>
          <w:lang w:eastAsia="en-AU"/>
        </w:rPr>
        <w:t xml:space="preserve"> </w:t>
      </w:r>
      <w:r w:rsidR="004A0462">
        <w:rPr>
          <w:snapToGrid w:val="0"/>
          <w:sz w:val="20"/>
          <w:szCs w:val="20"/>
          <w:lang w:eastAsia="en-AU"/>
        </w:rPr>
        <w:t>on 1 April 2019</w:t>
      </w:r>
      <w:r w:rsidR="002D5667">
        <w:rPr>
          <w:snapToGrid w:val="0"/>
          <w:sz w:val="20"/>
          <w:szCs w:val="20"/>
          <w:lang w:eastAsia="en-AU"/>
        </w:rPr>
        <w:t xml:space="preserve">. </w:t>
      </w:r>
      <w:r>
        <w:rPr>
          <w:snapToGrid w:val="0"/>
          <w:sz w:val="20"/>
          <w:szCs w:val="20"/>
          <w:lang w:eastAsia="en-AU"/>
        </w:rPr>
        <w:t>If there is any taxable gain or loss from the sale, this will flow through to</w:t>
      </w:r>
      <w:r w:rsidR="006B40FD">
        <w:rPr>
          <w:snapToGrid w:val="0"/>
          <w:sz w:val="20"/>
          <w:szCs w:val="20"/>
          <w:lang w:eastAsia="en-AU"/>
        </w:rPr>
        <w:t xml:space="preserve"> NZ Co</w:t>
      </w:r>
      <w:r w:rsidR="002D5667">
        <w:rPr>
          <w:snapToGrid w:val="0"/>
          <w:sz w:val="20"/>
          <w:szCs w:val="20"/>
          <w:lang w:eastAsia="en-AU"/>
        </w:rPr>
        <w:t xml:space="preserve">. </w:t>
      </w:r>
      <w:r w:rsidR="006B40FD">
        <w:rPr>
          <w:snapToGrid w:val="0"/>
          <w:sz w:val="20"/>
          <w:szCs w:val="20"/>
          <w:lang w:eastAsia="en-AU"/>
        </w:rPr>
        <w:t>From that point onwards, foreign hybrid entity will be treated as a company for all purposes of the Act</w:t>
      </w:r>
      <w:r w:rsidR="002D5667">
        <w:rPr>
          <w:snapToGrid w:val="0"/>
          <w:sz w:val="20"/>
          <w:szCs w:val="20"/>
          <w:lang w:eastAsia="en-AU"/>
        </w:rPr>
        <w:t xml:space="preserve">. </w:t>
      </w:r>
      <w:r w:rsidR="006B40FD">
        <w:rPr>
          <w:snapToGrid w:val="0"/>
          <w:sz w:val="20"/>
          <w:szCs w:val="20"/>
          <w:lang w:eastAsia="en-AU"/>
        </w:rPr>
        <w:t xml:space="preserve">NZ Co will file controlled foreign company disclosures for the foreign hybrid entity and treat </w:t>
      </w:r>
      <w:r w:rsidR="009D3E6A">
        <w:rPr>
          <w:snapToGrid w:val="0"/>
          <w:sz w:val="20"/>
          <w:szCs w:val="20"/>
          <w:lang w:eastAsia="en-AU"/>
        </w:rPr>
        <w:t xml:space="preserve">equity </w:t>
      </w:r>
      <w:r w:rsidR="006B40FD">
        <w:rPr>
          <w:snapToGrid w:val="0"/>
          <w:sz w:val="20"/>
          <w:szCs w:val="20"/>
          <w:lang w:eastAsia="en-AU"/>
        </w:rPr>
        <w:t xml:space="preserve">distributions from the foreign hybrid entity </w:t>
      </w:r>
      <w:r w:rsidR="005F306F">
        <w:rPr>
          <w:snapToGrid w:val="0"/>
          <w:sz w:val="20"/>
          <w:szCs w:val="20"/>
          <w:lang w:eastAsia="en-AU"/>
        </w:rPr>
        <w:t xml:space="preserve">prima facie </w:t>
      </w:r>
      <w:r w:rsidR="006B40FD">
        <w:rPr>
          <w:snapToGrid w:val="0"/>
          <w:sz w:val="20"/>
          <w:szCs w:val="20"/>
          <w:lang w:eastAsia="en-AU"/>
        </w:rPr>
        <w:t>as dividends.</w:t>
      </w:r>
    </w:p>
    <w:p w14:paraId="63EA2E6B" w14:textId="77777777" w:rsidR="006B40FD" w:rsidRDefault="006B40FD" w:rsidP="00F15347">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2A03B556" w14:textId="3961C4D5" w:rsidR="006B40FD" w:rsidRDefault="00896B00" w:rsidP="00F15347">
      <w:pPr>
        <w:pBdr>
          <w:top w:val="single" w:sz="4" w:space="10" w:color="auto"/>
          <w:left w:val="single" w:sz="4" w:space="10" w:color="auto"/>
          <w:bottom w:val="single" w:sz="4" w:space="10" w:color="auto"/>
          <w:right w:val="single" w:sz="4" w:space="10" w:color="auto"/>
        </w:pBdr>
        <w:rPr>
          <w:i/>
          <w:snapToGrid w:val="0"/>
          <w:sz w:val="20"/>
          <w:szCs w:val="20"/>
          <w:lang w:eastAsia="en-AU"/>
        </w:rPr>
      </w:pPr>
      <w:r>
        <w:rPr>
          <w:i/>
          <w:snapToGrid w:val="0"/>
          <w:sz w:val="20"/>
          <w:szCs w:val="20"/>
          <w:lang w:eastAsia="en-AU"/>
        </w:rPr>
        <w:t>Question 3</w:t>
      </w:r>
    </w:p>
    <w:p w14:paraId="6B505E62" w14:textId="77777777" w:rsidR="006B40FD" w:rsidRDefault="006B40FD" w:rsidP="00F15347">
      <w:pPr>
        <w:pBdr>
          <w:top w:val="single" w:sz="4" w:space="10" w:color="auto"/>
          <w:left w:val="single" w:sz="4" w:space="10" w:color="auto"/>
          <w:bottom w:val="single" w:sz="4" w:space="10" w:color="auto"/>
          <w:right w:val="single" w:sz="4" w:space="10" w:color="auto"/>
        </w:pBdr>
        <w:rPr>
          <w:i/>
          <w:snapToGrid w:val="0"/>
          <w:sz w:val="20"/>
          <w:szCs w:val="20"/>
          <w:lang w:eastAsia="en-AU"/>
        </w:rPr>
      </w:pPr>
    </w:p>
    <w:p w14:paraId="0541D402" w14:textId="2957763B" w:rsidR="009D3E6A" w:rsidRDefault="009D3E6A" w:rsidP="00F15347">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NZ Co sells the foreign hybrid entity on 1 April 2020 to Kiwi Co</w:t>
      </w:r>
      <w:r w:rsidR="002D5667">
        <w:rPr>
          <w:snapToGrid w:val="0"/>
          <w:sz w:val="20"/>
          <w:szCs w:val="20"/>
          <w:lang w:eastAsia="en-AU"/>
        </w:rPr>
        <w:t xml:space="preserve">. </w:t>
      </w:r>
      <w:r>
        <w:rPr>
          <w:snapToGrid w:val="0"/>
          <w:sz w:val="20"/>
          <w:szCs w:val="20"/>
          <w:lang w:eastAsia="en-AU"/>
        </w:rPr>
        <w:t>Kiwi Co would prefer to treat the foreign hybrid entity as transparent for New Zealand tax purposes</w:t>
      </w:r>
      <w:r w:rsidR="002D5667">
        <w:rPr>
          <w:snapToGrid w:val="0"/>
          <w:sz w:val="20"/>
          <w:szCs w:val="20"/>
          <w:lang w:eastAsia="en-AU"/>
        </w:rPr>
        <w:t xml:space="preserve">. </w:t>
      </w:r>
      <w:r>
        <w:rPr>
          <w:snapToGrid w:val="0"/>
          <w:sz w:val="20"/>
          <w:szCs w:val="20"/>
          <w:lang w:eastAsia="en-AU"/>
        </w:rPr>
        <w:t>How does NZ Co’s section FH 14 election impact this preference of the new owner?</w:t>
      </w:r>
    </w:p>
    <w:p w14:paraId="496F14B0" w14:textId="77777777" w:rsidR="009D3E6A" w:rsidRDefault="009D3E6A" w:rsidP="00F15347">
      <w:pPr>
        <w:pBdr>
          <w:top w:val="single" w:sz="4" w:space="10" w:color="auto"/>
          <w:left w:val="single" w:sz="4" w:space="10" w:color="auto"/>
          <w:bottom w:val="single" w:sz="4" w:space="10" w:color="auto"/>
          <w:right w:val="single" w:sz="4" w:space="10" w:color="auto"/>
        </w:pBdr>
        <w:rPr>
          <w:snapToGrid w:val="0"/>
          <w:sz w:val="20"/>
          <w:szCs w:val="20"/>
          <w:lang w:eastAsia="en-AU"/>
        </w:rPr>
      </w:pPr>
    </w:p>
    <w:p w14:paraId="4579741C" w14:textId="77777777" w:rsidR="009D3E6A" w:rsidRDefault="009D3E6A" w:rsidP="00F15347">
      <w:pPr>
        <w:pBdr>
          <w:top w:val="single" w:sz="4" w:space="10" w:color="auto"/>
          <w:left w:val="single" w:sz="4" w:space="10" w:color="auto"/>
          <w:bottom w:val="single" w:sz="4" w:space="10" w:color="auto"/>
          <w:right w:val="single" w:sz="4" w:space="10" w:color="auto"/>
        </w:pBdr>
        <w:rPr>
          <w:i/>
          <w:snapToGrid w:val="0"/>
          <w:sz w:val="20"/>
          <w:szCs w:val="20"/>
          <w:lang w:eastAsia="en-AU"/>
        </w:rPr>
      </w:pPr>
      <w:r>
        <w:rPr>
          <w:i/>
          <w:snapToGrid w:val="0"/>
          <w:sz w:val="20"/>
          <w:szCs w:val="20"/>
          <w:lang w:eastAsia="en-AU"/>
        </w:rPr>
        <w:t>Answer 3</w:t>
      </w:r>
    </w:p>
    <w:p w14:paraId="5F683DA5" w14:textId="77777777" w:rsidR="00844D36" w:rsidRDefault="00844D36" w:rsidP="00F15347">
      <w:pPr>
        <w:pBdr>
          <w:top w:val="single" w:sz="4" w:space="10" w:color="auto"/>
          <w:left w:val="single" w:sz="4" w:space="10" w:color="auto"/>
          <w:bottom w:val="single" w:sz="4" w:space="10" w:color="auto"/>
          <w:right w:val="single" w:sz="4" w:space="10" w:color="auto"/>
        </w:pBdr>
        <w:rPr>
          <w:i/>
          <w:snapToGrid w:val="0"/>
          <w:sz w:val="20"/>
          <w:szCs w:val="20"/>
          <w:lang w:eastAsia="en-AU"/>
        </w:rPr>
      </w:pPr>
    </w:p>
    <w:p w14:paraId="3D11DD3A" w14:textId="7C6063AF" w:rsidR="006B40FD" w:rsidRDefault="00844D36" w:rsidP="00F15347">
      <w:pPr>
        <w:pBdr>
          <w:top w:val="single" w:sz="4" w:space="10" w:color="auto"/>
          <w:left w:val="single" w:sz="4" w:space="10" w:color="auto"/>
          <w:bottom w:val="single" w:sz="4" w:space="10" w:color="auto"/>
          <w:right w:val="single" w:sz="4" w:space="10" w:color="auto"/>
        </w:pBdr>
        <w:rPr>
          <w:snapToGrid w:val="0"/>
          <w:sz w:val="20"/>
          <w:szCs w:val="20"/>
          <w:lang w:eastAsia="en-AU"/>
        </w:rPr>
      </w:pPr>
      <w:r>
        <w:rPr>
          <w:snapToGrid w:val="0"/>
          <w:sz w:val="20"/>
          <w:szCs w:val="20"/>
          <w:lang w:eastAsia="en-AU"/>
        </w:rPr>
        <w:t>NZ Co’s election is irrevocable and so Kiwi Co must continue to treat the foreign hybrid entity as a company for all purposes of the Act.</w:t>
      </w:r>
    </w:p>
    <w:p w14:paraId="7160BE54" w14:textId="77777777" w:rsidR="00F15347" w:rsidRDefault="00F15347" w:rsidP="00F15347">
      <w:pPr>
        <w:jc w:val="left"/>
        <w:rPr>
          <w:szCs w:val="20"/>
          <w:lang w:eastAsia="en-AU"/>
        </w:rPr>
      </w:pPr>
    </w:p>
    <w:p w14:paraId="27728890" w14:textId="77777777" w:rsidR="007D7D5A" w:rsidRPr="00925A3A" w:rsidRDefault="007D7D5A" w:rsidP="00925A3A">
      <w:pPr>
        <w:jc w:val="left"/>
        <w:rPr>
          <w:snapToGrid w:val="0"/>
          <w:szCs w:val="20"/>
          <w:lang w:eastAsia="en-US"/>
        </w:rPr>
      </w:pPr>
    </w:p>
    <w:p w14:paraId="6FEDD374" w14:textId="77777777" w:rsidR="007B6050" w:rsidRDefault="007B6050">
      <w:pPr>
        <w:jc w:val="left"/>
        <w:rPr>
          <w:b/>
          <w:caps/>
          <w:sz w:val="26"/>
          <w:szCs w:val="20"/>
          <w:lang w:eastAsia="en-AU"/>
        </w:rPr>
      </w:pPr>
      <w:bookmarkStart w:id="16" w:name="_Toc500319047"/>
      <w:r>
        <w:rPr>
          <w:b/>
          <w:caps/>
          <w:sz w:val="26"/>
          <w:szCs w:val="20"/>
          <w:lang w:eastAsia="en-AU"/>
        </w:rPr>
        <w:br w:type="page"/>
      </w:r>
    </w:p>
    <w:p w14:paraId="11D5EC80" w14:textId="77777777" w:rsidR="00925A3A" w:rsidRPr="00925A3A" w:rsidRDefault="00925A3A" w:rsidP="00925A3A">
      <w:pPr>
        <w:keepNext/>
        <w:pBdr>
          <w:bottom w:val="single" w:sz="4" w:space="6" w:color="auto"/>
        </w:pBdr>
        <w:jc w:val="left"/>
        <w:outlineLvl w:val="0"/>
        <w:rPr>
          <w:b/>
          <w:caps/>
          <w:sz w:val="26"/>
          <w:szCs w:val="20"/>
          <w:lang w:eastAsia="en-AU"/>
        </w:rPr>
      </w:pPr>
      <w:r w:rsidRPr="00925A3A">
        <w:rPr>
          <w:b/>
          <w:caps/>
          <w:sz w:val="26"/>
          <w:szCs w:val="20"/>
          <w:lang w:eastAsia="en-AU"/>
        </w:rPr>
        <w:lastRenderedPageBreak/>
        <w:t>FIF rule changes relating to hybrid rules</w:t>
      </w:r>
      <w:bookmarkEnd w:id="16"/>
    </w:p>
    <w:p w14:paraId="56DE9894" w14:textId="77777777" w:rsidR="00925A3A" w:rsidRPr="00925A3A" w:rsidRDefault="00925A3A" w:rsidP="00925A3A">
      <w:pPr>
        <w:rPr>
          <w:szCs w:val="20"/>
          <w:lang w:eastAsia="en-AU"/>
        </w:rPr>
      </w:pPr>
    </w:p>
    <w:p w14:paraId="34905ACE" w14:textId="78A23417" w:rsidR="00925A3A" w:rsidRPr="00925A3A" w:rsidRDefault="0016538C" w:rsidP="00925A3A">
      <w:pPr>
        <w:rPr>
          <w:b/>
          <w:i/>
          <w:szCs w:val="20"/>
          <w:lang w:eastAsia="en-AU"/>
        </w:rPr>
      </w:pPr>
      <w:r>
        <w:rPr>
          <w:b/>
          <w:i/>
          <w:szCs w:val="20"/>
          <w:lang w:eastAsia="en-AU"/>
        </w:rPr>
        <w:t>Sections EX 44(2), EX 46(6)(e), EX 46(</w:t>
      </w:r>
      <w:proofErr w:type="gramStart"/>
      <w:r>
        <w:rPr>
          <w:b/>
          <w:i/>
          <w:szCs w:val="20"/>
          <w:lang w:eastAsia="en-AU"/>
        </w:rPr>
        <w:t>10)(</w:t>
      </w:r>
      <w:proofErr w:type="spellStart"/>
      <w:proofErr w:type="gramEnd"/>
      <w:r>
        <w:rPr>
          <w:b/>
          <w:i/>
          <w:szCs w:val="20"/>
          <w:lang w:eastAsia="en-AU"/>
        </w:rPr>
        <w:t>db</w:t>
      </w:r>
      <w:proofErr w:type="spellEnd"/>
      <w:r>
        <w:rPr>
          <w:b/>
          <w:i/>
          <w:szCs w:val="20"/>
          <w:lang w:eastAsia="en-AU"/>
        </w:rPr>
        <w:t>), EX</w:t>
      </w:r>
      <w:r w:rsidR="00896B00">
        <w:rPr>
          <w:b/>
          <w:i/>
          <w:szCs w:val="20"/>
          <w:lang w:eastAsia="en-AU"/>
        </w:rPr>
        <w:t xml:space="preserve"> 47B, EX 52(14C) and EX 53(16C)</w:t>
      </w:r>
    </w:p>
    <w:p w14:paraId="20F8600A" w14:textId="77777777" w:rsidR="00925A3A" w:rsidRPr="00925A3A" w:rsidRDefault="00925A3A" w:rsidP="00925A3A">
      <w:pPr>
        <w:rPr>
          <w:szCs w:val="20"/>
          <w:lang w:eastAsia="en-AU"/>
        </w:rPr>
      </w:pPr>
    </w:p>
    <w:p w14:paraId="738912E2" w14:textId="77777777" w:rsidR="00925A3A" w:rsidRPr="00925A3A" w:rsidRDefault="00925A3A" w:rsidP="00925A3A">
      <w:pPr>
        <w:rPr>
          <w:szCs w:val="20"/>
          <w:lang w:eastAsia="en-AU"/>
        </w:rPr>
      </w:pPr>
    </w:p>
    <w:p w14:paraId="6CA64B3B" w14:textId="77777777" w:rsidR="00925A3A" w:rsidRPr="00925A3A" w:rsidRDefault="00925A3A" w:rsidP="00925A3A">
      <w:pPr>
        <w:keepNext/>
        <w:outlineLvl w:val="1"/>
        <w:rPr>
          <w:b/>
          <w:szCs w:val="20"/>
          <w:lang w:eastAsia="en-AU"/>
        </w:rPr>
      </w:pPr>
      <w:r w:rsidRPr="00925A3A">
        <w:rPr>
          <w:b/>
          <w:szCs w:val="20"/>
          <w:lang w:eastAsia="en-AU"/>
        </w:rPr>
        <w:t xml:space="preserve">Summary </w:t>
      </w:r>
      <w:r w:rsidR="00BC732B">
        <w:rPr>
          <w:b/>
          <w:szCs w:val="20"/>
          <w:lang w:eastAsia="en-AU"/>
        </w:rPr>
        <w:t>of legislative response</w:t>
      </w:r>
    </w:p>
    <w:p w14:paraId="42A0FC43" w14:textId="77777777" w:rsidR="00925A3A" w:rsidRPr="00925A3A" w:rsidRDefault="00925A3A" w:rsidP="00925A3A">
      <w:pPr>
        <w:rPr>
          <w:szCs w:val="20"/>
          <w:lang w:eastAsia="en-AU"/>
        </w:rPr>
      </w:pPr>
    </w:p>
    <w:p w14:paraId="34FA6A7C" w14:textId="3A08991F" w:rsidR="00925A3A" w:rsidRPr="00925A3A" w:rsidRDefault="00925A3A" w:rsidP="00925A3A">
      <w:pPr>
        <w:rPr>
          <w:szCs w:val="20"/>
          <w:lang w:eastAsia="en-AU"/>
        </w:rPr>
      </w:pPr>
      <w:r w:rsidRPr="00925A3A">
        <w:rPr>
          <w:szCs w:val="20"/>
          <w:lang w:eastAsia="en-AU"/>
        </w:rPr>
        <w:t xml:space="preserve">The </w:t>
      </w:r>
      <w:r w:rsidR="00CA0037">
        <w:rPr>
          <w:szCs w:val="20"/>
          <w:lang w:eastAsia="en-AU"/>
        </w:rPr>
        <w:t xml:space="preserve">Act </w:t>
      </w:r>
      <w:r w:rsidRPr="00925A3A">
        <w:rPr>
          <w:szCs w:val="20"/>
          <w:lang w:eastAsia="en-AU"/>
        </w:rPr>
        <w:t xml:space="preserve">contains some amendments to the foreign investment fund (FIF) regime designed to ensure that a person holding a FIF interest must use the comparative value (CV) method to calculate FIF income from the interest if a distribution on the interest might otherwise be subject to </w:t>
      </w:r>
      <w:r w:rsidR="00B85E95">
        <w:rPr>
          <w:szCs w:val="20"/>
          <w:lang w:eastAsia="en-AU"/>
        </w:rPr>
        <w:t>counteraction under the hybrid rules</w:t>
      </w:r>
      <w:r w:rsidR="002D5667">
        <w:rPr>
          <w:szCs w:val="20"/>
          <w:lang w:eastAsia="en-AU"/>
        </w:rPr>
        <w:t xml:space="preserve">. </w:t>
      </w:r>
      <w:r w:rsidRPr="00925A3A">
        <w:rPr>
          <w:szCs w:val="20"/>
          <w:lang w:eastAsia="en-AU"/>
        </w:rPr>
        <w:t>The amendments a</w:t>
      </w:r>
      <w:r w:rsidR="00B85E95">
        <w:rPr>
          <w:szCs w:val="20"/>
          <w:lang w:eastAsia="en-AU"/>
        </w:rPr>
        <w:t xml:space="preserve">lso turn off the ability for </w:t>
      </w:r>
      <w:r w:rsidRPr="00925A3A">
        <w:rPr>
          <w:szCs w:val="20"/>
          <w:lang w:eastAsia="en-AU"/>
        </w:rPr>
        <w:t>a share supplier of a FIF interest under a returning share transfer to use the fair dividend rate (FDR) method in relation to an arrangement within the scope of the hybrid rules.</w:t>
      </w:r>
    </w:p>
    <w:p w14:paraId="05D3F037" w14:textId="77777777" w:rsidR="00925A3A" w:rsidRPr="00925A3A" w:rsidRDefault="00925A3A" w:rsidP="00925A3A">
      <w:pPr>
        <w:rPr>
          <w:szCs w:val="20"/>
          <w:lang w:eastAsia="en-AU"/>
        </w:rPr>
      </w:pPr>
    </w:p>
    <w:p w14:paraId="2EB3274D" w14:textId="77777777" w:rsidR="00925A3A" w:rsidRPr="00925A3A" w:rsidRDefault="00925A3A" w:rsidP="00925A3A">
      <w:pPr>
        <w:rPr>
          <w:szCs w:val="20"/>
          <w:lang w:eastAsia="en-AU"/>
        </w:rPr>
      </w:pPr>
    </w:p>
    <w:p w14:paraId="29F78D17" w14:textId="77777777" w:rsidR="00925A3A" w:rsidRPr="00925A3A" w:rsidRDefault="00925A3A" w:rsidP="00925A3A">
      <w:pPr>
        <w:keepNext/>
        <w:outlineLvl w:val="1"/>
        <w:rPr>
          <w:b/>
          <w:szCs w:val="20"/>
          <w:lang w:eastAsia="en-AU"/>
        </w:rPr>
      </w:pPr>
      <w:r w:rsidRPr="00925A3A">
        <w:rPr>
          <w:b/>
          <w:szCs w:val="20"/>
          <w:lang w:eastAsia="en-AU"/>
        </w:rPr>
        <w:t>Application date</w:t>
      </w:r>
    </w:p>
    <w:p w14:paraId="18EC7636" w14:textId="77777777" w:rsidR="00925A3A" w:rsidRPr="00925A3A" w:rsidRDefault="00925A3A" w:rsidP="00925A3A">
      <w:pPr>
        <w:rPr>
          <w:szCs w:val="20"/>
          <w:lang w:eastAsia="en-AU"/>
        </w:rPr>
      </w:pPr>
    </w:p>
    <w:p w14:paraId="427FBAB4" w14:textId="77777777" w:rsidR="00925A3A" w:rsidRPr="00925A3A" w:rsidRDefault="00925A3A" w:rsidP="00925A3A">
      <w:pPr>
        <w:rPr>
          <w:szCs w:val="20"/>
          <w:lang w:eastAsia="en-AU"/>
        </w:rPr>
      </w:pPr>
      <w:r w:rsidRPr="00925A3A">
        <w:rPr>
          <w:szCs w:val="20"/>
          <w:lang w:eastAsia="en-AU"/>
        </w:rPr>
        <w:t>The changes apply for income years beginning on or after 1 July 2018.</w:t>
      </w:r>
    </w:p>
    <w:p w14:paraId="392A5100" w14:textId="77777777" w:rsidR="00925A3A" w:rsidRPr="00925A3A" w:rsidRDefault="00925A3A" w:rsidP="00925A3A">
      <w:pPr>
        <w:rPr>
          <w:szCs w:val="20"/>
          <w:lang w:eastAsia="en-AU"/>
        </w:rPr>
      </w:pPr>
    </w:p>
    <w:p w14:paraId="27723D06" w14:textId="77777777" w:rsidR="00925A3A" w:rsidRPr="00925A3A" w:rsidRDefault="00925A3A" w:rsidP="00925A3A">
      <w:pPr>
        <w:rPr>
          <w:szCs w:val="20"/>
          <w:lang w:eastAsia="en-AU"/>
        </w:rPr>
      </w:pPr>
    </w:p>
    <w:p w14:paraId="649BE8B8" w14:textId="77777777" w:rsidR="00925A3A" w:rsidRPr="00925A3A" w:rsidRDefault="00925A3A" w:rsidP="00925A3A">
      <w:pPr>
        <w:keepNext/>
        <w:outlineLvl w:val="1"/>
        <w:rPr>
          <w:b/>
          <w:szCs w:val="20"/>
          <w:lang w:eastAsia="en-AU"/>
        </w:rPr>
      </w:pPr>
      <w:r w:rsidRPr="00925A3A">
        <w:rPr>
          <w:b/>
          <w:szCs w:val="20"/>
          <w:lang w:eastAsia="en-AU"/>
        </w:rPr>
        <w:t>Key features</w:t>
      </w:r>
    </w:p>
    <w:p w14:paraId="4C3BB701" w14:textId="77777777" w:rsidR="00925A3A" w:rsidRPr="00925A3A" w:rsidRDefault="00925A3A" w:rsidP="00925A3A">
      <w:pPr>
        <w:rPr>
          <w:szCs w:val="20"/>
          <w:lang w:eastAsia="en-AU"/>
        </w:rPr>
      </w:pPr>
    </w:p>
    <w:p w14:paraId="29E88B3D" w14:textId="77777777" w:rsidR="00925A3A" w:rsidRPr="00925A3A" w:rsidRDefault="00925A3A" w:rsidP="00925A3A">
      <w:pPr>
        <w:rPr>
          <w:szCs w:val="20"/>
          <w:lang w:eastAsia="en-AU"/>
        </w:rPr>
      </w:pPr>
      <w:r w:rsidRPr="00925A3A">
        <w:rPr>
          <w:szCs w:val="20"/>
          <w:lang w:eastAsia="en-AU"/>
        </w:rPr>
        <w:t>T</w:t>
      </w:r>
      <w:r w:rsidR="00B85E95">
        <w:rPr>
          <w:szCs w:val="20"/>
          <w:lang w:eastAsia="en-AU"/>
        </w:rPr>
        <w:t>he key features of the FIF rule changes relating to the hybrid rules</w:t>
      </w:r>
      <w:r w:rsidRPr="00925A3A">
        <w:rPr>
          <w:szCs w:val="20"/>
          <w:lang w:eastAsia="en-AU"/>
        </w:rPr>
        <w:t xml:space="preserve"> is that they require a person to use the CV method in relation to a FIF interest if:</w:t>
      </w:r>
    </w:p>
    <w:p w14:paraId="59326FE3" w14:textId="77777777" w:rsidR="00925A3A" w:rsidRPr="00925A3A" w:rsidRDefault="00925A3A" w:rsidP="00925A3A">
      <w:pPr>
        <w:rPr>
          <w:szCs w:val="20"/>
          <w:lang w:eastAsia="en-AU"/>
        </w:rPr>
      </w:pPr>
    </w:p>
    <w:p w14:paraId="7EFB314D" w14:textId="084DB111" w:rsidR="00925A3A" w:rsidRPr="00925A3A" w:rsidRDefault="00925A3A" w:rsidP="00E852A0">
      <w:pPr>
        <w:numPr>
          <w:ilvl w:val="0"/>
          <w:numId w:val="1"/>
        </w:numPr>
        <w:spacing w:after="140"/>
        <w:rPr>
          <w:szCs w:val="20"/>
          <w:lang w:eastAsia="en-AU"/>
        </w:rPr>
      </w:pPr>
      <w:r w:rsidRPr="00925A3A">
        <w:rPr>
          <w:szCs w:val="20"/>
          <w:lang w:eastAsia="en-AU"/>
        </w:rPr>
        <w:t>the FIF is entitled to a deduction or equivalent tax relief in relation to the distribution (subject to certain additional requirements);</w:t>
      </w:r>
      <w:r w:rsidR="00E06A80">
        <w:rPr>
          <w:szCs w:val="20"/>
          <w:lang w:eastAsia="en-AU"/>
        </w:rPr>
        <w:t xml:space="preserve"> and</w:t>
      </w:r>
    </w:p>
    <w:p w14:paraId="059F4F03" w14:textId="77777777" w:rsidR="00925A3A" w:rsidRPr="00925A3A" w:rsidRDefault="00925A3A" w:rsidP="00E852A0">
      <w:pPr>
        <w:numPr>
          <w:ilvl w:val="0"/>
          <w:numId w:val="1"/>
        </w:numPr>
        <w:rPr>
          <w:szCs w:val="20"/>
          <w:lang w:eastAsia="en-AU"/>
        </w:rPr>
      </w:pPr>
      <w:r w:rsidRPr="00925A3A">
        <w:rPr>
          <w:szCs w:val="20"/>
          <w:lang w:eastAsia="en-AU"/>
        </w:rPr>
        <w:t>the person holds the shares as a share user under a returning share transfer which is within the scope of the hybrid rules.</w:t>
      </w:r>
    </w:p>
    <w:p w14:paraId="4BA6D944" w14:textId="77777777" w:rsidR="00925A3A" w:rsidRPr="00925A3A" w:rsidRDefault="00925A3A" w:rsidP="00925A3A">
      <w:pPr>
        <w:rPr>
          <w:szCs w:val="20"/>
          <w:lang w:eastAsia="en-AU"/>
        </w:rPr>
      </w:pPr>
    </w:p>
    <w:p w14:paraId="5AE9E1DD" w14:textId="77777777" w:rsidR="00925A3A" w:rsidRPr="00925A3A" w:rsidRDefault="00925A3A" w:rsidP="00925A3A">
      <w:pPr>
        <w:rPr>
          <w:szCs w:val="20"/>
          <w:lang w:eastAsia="en-AU"/>
        </w:rPr>
      </w:pPr>
      <w:r w:rsidRPr="00925A3A">
        <w:rPr>
          <w:szCs w:val="20"/>
          <w:lang w:eastAsia="en-AU"/>
        </w:rPr>
        <w:t>They also turn off the ability of a share supplier in a returning share transfer to use the FDR method in relation to FIF interests which are within the scope of the hybrid rules.</w:t>
      </w:r>
    </w:p>
    <w:p w14:paraId="598AC528" w14:textId="77777777" w:rsidR="00925A3A" w:rsidRPr="00925A3A" w:rsidRDefault="00925A3A" w:rsidP="00925A3A">
      <w:pPr>
        <w:rPr>
          <w:szCs w:val="20"/>
          <w:lang w:eastAsia="en-AU"/>
        </w:rPr>
      </w:pPr>
    </w:p>
    <w:p w14:paraId="3BBA829F" w14:textId="77777777" w:rsidR="00925A3A" w:rsidRPr="00925A3A" w:rsidRDefault="00925A3A" w:rsidP="00925A3A">
      <w:pPr>
        <w:rPr>
          <w:szCs w:val="20"/>
          <w:lang w:eastAsia="en-AU"/>
        </w:rPr>
      </w:pPr>
    </w:p>
    <w:p w14:paraId="7D31E799" w14:textId="77777777" w:rsidR="00925A3A" w:rsidRPr="00925A3A" w:rsidRDefault="00925A3A" w:rsidP="00925A3A">
      <w:pPr>
        <w:keepNext/>
        <w:outlineLvl w:val="1"/>
        <w:rPr>
          <w:b/>
          <w:szCs w:val="20"/>
          <w:lang w:eastAsia="en-AU"/>
        </w:rPr>
      </w:pPr>
      <w:r w:rsidRPr="00925A3A">
        <w:rPr>
          <w:b/>
          <w:szCs w:val="20"/>
          <w:lang w:eastAsia="en-AU"/>
        </w:rPr>
        <w:t>Background</w:t>
      </w:r>
    </w:p>
    <w:p w14:paraId="7E8ED09D" w14:textId="77777777" w:rsidR="00925A3A" w:rsidRDefault="00925A3A" w:rsidP="00925A3A">
      <w:pPr>
        <w:rPr>
          <w:szCs w:val="20"/>
          <w:lang w:eastAsia="en-AU"/>
        </w:rPr>
      </w:pPr>
    </w:p>
    <w:p w14:paraId="47E616F0" w14:textId="77777777" w:rsidR="00802ACF" w:rsidRPr="00802ACF" w:rsidRDefault="00802ACF" w:rsidP="00925A3A">
      <w:pPr>
        <w:rPr>
          <w:b/>
          <w:i/>
          <w:szCs w:val="20"/>
          <w:lang w:eastAsia="en-AU"/>
        </w:rPr>
      </w:pPr>
      <w:r>
        <w:rPr>
          <w:b/>
          <w:i/>
          <w:szCs w:val="20"/>
          <w:lang w:eastAsia="en-AU"/>
        </w:rPr>
        <w:t>Scenario 1</w:t>
      </w:r>
    </w:p>
    <w:p w14:paraId="610AD16C" w14:textId="77777777" w:rsidR="00802ACF" w:rsidRPr="00925A3A" w:rsidRDefault="00802ACF" w:rsidP="00925A3A">
      <w:pPr>
        <w:rPr>
          <w:szCs w:val="20"/>
          <w:lang w:eastAsia="en-AU"/>
        </w:rPr>
      </w:pPr>
    </w:p>
    <w:p w14:paraId="77110D13" w14:textId="1A9BF3E1" w:rsidR="00925A3A" w:rsidRPr="00925A3A" w:rsidRDefault="00925A3A" w:rsidP="00925A3A">
      <w:pPr>
        <w:rPr>
          <w:szCs w:val="20"/>
          <w:lang w:eastAsia="en-AU"/>
        </w:rPr>
      </w:pPr>
      <w:r w:rsidRPr="00925A3A">
        <w:rPr>
          <w:szCs w:val="20"/>
          <w:lang w:eastAsia="en-AU"/>
        </w:rPr>
        <w:t xml:space="preserve">A straightforward situation where the hybrid rules could apply to a </w:t>
      </w:r>
      <w:r w:rsidR="0024765B">
        <w:rPr>
          <w:szCs w:val="20"/>
          <w:lang w:eastAsia="en-AU"/>
        </w:rPr>
        <w:t>New Zealand resident</w:t>
      </w:r>
      <w:r w:rsidRPr="00925A3A">
        <w:rPr>
          <w:szCs w:val="20"/>
          <w:lang w:eastAsia="en-AU"/>
        </w:rPr>
        <w:t xml:space="preserve"> holding a FIF interest is where the arrangement is within the scope of the hybrid rules and the FIF is entitled to a deduction or equivalent tax relief for a distribution in its country</w:t>
      </w:r>
      <w:r w:rsidR="002D5667">
        <w:rPr>
          <w:szCs w:val="20"/>
          <w:lang w:eastAsia="en-AU"/>
        </w:rPr>
        <w:t xml:space="preserve">. </w:t>
      </w:r>
      <w:r w:rsidRPr="00925A3A">
        <w:rPr>
          <w:szCs w:val="20"/>
          <w:lang w:eastAsia="en-AU"/>
        </w:rPr>
        <w:t>If the person is applying the FDR method:</w:t>
      </w:r>
    </w:p>
    <w:p w14:paraId="642F80DF" w14:textId="77777777" w:rsidR="00925A3A" w:rsidRPr="00925A3A" w:rsidRDefault="00925A3A" w:rsidP="00925A3A">
      <w:pPr>
        <w:rPr>
          <w:szCs w:val="20"/>
          <w:lang w:eastAsia="en-AU"/>
        </w:rPr>
      </w:pPr>
    </w:p>
    <w:p w14:paraId="0D6FC54E" w14:textId="278E9D70" w:rsidR="00925A3A" w:rsidRPr="00925A3A" w:rsidRDefault="00925A3A" w:rsidP="00E852A0">
      <w:pPr>
        <w:numPr>
          <w:ilvl w:val="0"/>
          <w:numId w:val="1"/>
        </w:numPr>
        <w:spacing w:after="140"/>
        <w:rPr>
          <w:szCs w:val="20"/>
          <w:lang w:eastAsia="en-AU"/>
        </w:rPr>
      </w:pPr>
      <w:r w:rsidRPr="00925A3A">
        <w:rPr>
          <w:szCs w:val="20"/>
          <w:lang w:eastAsia="en-AU"/>
        </w:rPr>
        <w:t>technically, the dividend is exempt income (section CW 9(1));</w:t>
      </w:r>
      <w:r w:rsidR="00E06A80">
        <w:rPr>
          <w:szCs w:val="20"/>
          <w:lang w:eastAsia="en-AU"/>
        </w:rPr>
        <w:t xml:space="preserve"> and</w:t>
      </w:r>
    </w:p>
    <w:p w14:paraId="13F0F018" w14:textId="77777777" w:rsidR="00925A3A" w:rsidRPr="00925A3A" w:rsidRDefault="00925A3A" w:rsidP="00E852A0">
      <w:pPr>
        <w:numPr>
          <w:ilvl w:val="0"/>
          <w:numId w:val="1"/>
        </w:numPr>
        <w:rPr>
          <w:szCs w:val="20"/>
          <w:lang w:eastAsia="en-AU"/>
        </w:rPr>
      </w:pPr>
      <w:r w:rsidRPr="00925A3A">
        <w:rPr>
          <w:szCs w:val="20"/>
          <w:lang w:eastAsia="en-AU"/>
        </w:rPr>
        <w:t>the distribution may be greater than the amount recognized under the FDR method.</w:t>
      </w:r>
    </w:p>
    <w:p w14:paraId="1D378962" w14:textId="77777777" w:rsidR="00925A3A" w:rsidRPr="00925A3A" w:rsidRDefault="00925A3A" w:rsidP="00925A3A">
      <w:pPr>
        <w:rPr>
          <w:szCs w:val="20"/>
          <w:lang w:eastAsia="en-AU"/>
        </w:rPr>
      </w:pPr>
    </w:p>
    <w:p w14:paraId="769E4512" w14:textId="77777777" w:rsidR="00925A3A" w:rsidRPr="00925A3A" w:rsidRDefault="00925A3A" w:rsidP="00925A3A">
      <w:pPr>
        <w:rPr>
          <w:szCs w:val="20"/>
          <w:lang w:eastAsia="en-AU"/>
        </w:rPr>
      </w:pPr>
      <w:r w:rsidRPr="00925A3A">
        <w:rPr>
          <w:szCs w:val="20"/>
          <w:lang w:eastAsia="en-AU"/>
        </w:rPr>
        <w:t>This may make it difficult to determine</w:t>
      </w:r>
      <w:r w:rsidR="0024765B">
        <w:rPr>
          <w:szCs w:val="20"/>
          <w:lang w:eastAsia="en-AU"/>
        </w:rPr>
        <w:t xml:space="preserve"> for the FIF to determine</w:t>
      </w:r>
      <w:r w:rsidRPr="00925A3A">
        <w:rPr>
          <w:szCs w:val="20"/>
          <w:lang w:eastAsia="en-AU"/>
        </w:rPr>
        <w:t xml:space="preserve"> whether and to what extent the hybrid rules should apply </w:t>
      </w:r>
      <w:r w:rsidR="0024765B">
        <w:rPr>
          <w:szCs w:val="20"/>
          <w:lang w:eastAsia="en-AU"/>
        </w:rPr>
        <w:t xml:space="preserve">in its country </w:t>
      </w:r>
      <w:r w:rsidRPr="00925A3A">
        <w:rPr>
          <w:szCs w:val="20"/>
          <w:lang w:eastAsia="en-AU"/>
        </w:rPr>
        <w:t>to the deductible dividend.</w:t>
      </w:r>
    </w:p>
    <w:p w14:paraId="30CCC6E4" w14:textId="77777777" w:rsidR="00925A3A" w:rsidRDefault="00925A3A" w:rsidP="00925A3A">
      <w:pPr>
        <w:rPr>
          <w:szCs w:val="20"/>
          <w:lang w:eastAsia="en-AU"/>
        </w:rPr>
      </w:pPr>
    </w:p>
    <w:p w14:paraId="3AF6DC57" w14:textId="77777777" w:rsidR="002A746A" w:rsidRDefault="002A746A" w:rsidP="00925A3A">
      <w:pPr>
        <w:rPr>
          <w:szCs w:val="20"/>
          <w:lang w:eastAsia="en-AU"/>
        </w:rPr>
      </w:pPr>
    </w:p>
    <w:p w14:paraId="2B6FC255" w14:textId="77777777" w:rsidR="002A746A" w:rsidRDefault="002A746A" w:rsidP="00925A3A">
      <w:pPr>
        <w:rPr>
          <w:szCs w:val="20"/>
          <w:lang w:eastAsia="en-AU"/>
        </w:rPr>
      </w:pPr>
    </w:p>
    <w:p w14:paraId="797F10B7" w14:textId="77777777" w:rsidR="00802ACF" w:rsidRPr="00802ACF" w:rsidRDefault="00802ACF" w:rsidP="00925A3A">
      <w:pPr>
        <w:rPr>
          <w:b/>
          <w:i/>
          <w:szCs w:val="20"/>
          <w:lang w:eastAsia="en-AU"/>
        </w:rPr>
      </w:pPr>
      <w:r>
        <w:rPr>
          <w:b/>
          <w:i/>
          <w:szCs w:val="20"/>
          <w:lang w:eastAsia="en-AU"/>
        </w:rPr>
        <w:lastRenderedPageBreak/>
        <w:t>Scenario 2</w:t>
      </w:r>
    </w:p>
    <w:p w14:paraId="1AB13485" w14:textId="77777777" w:rsidR="00802ACF" w:rsidRPr="00925A3A" w:rsidRDefault="00802ACF" w:rsidP="00925A3A">
      <w:pPr>
        <w:rPr>
          <w:szCs w:val="20"/>
          <w:lang w:eastAsia="en-AU"/>
        </w:rPr>
      </w:pPr>
    </w:p>
    <w:p w14:paraId="1B38857F" w14:textId="03955000" w:rsidR="00925A3A" w:rsidRPr="00925A3A" w:rsidRDefault="00925A3A" w:rsidP="00925A3A">
      <w:pPr>
        <w:rPr>
          <w:szCs w:val="20"/>
          <w:lang w:eastAsia="en-AU"/>
        </w:rPr>
      </w:pPr>
      <w:r w:rsidRPr="00925A3A">
        <w:rPr>
          <w:szCs w:val="20"/>
          <w:lang w:eastAsia="en-AU"/>
        </w:rPr>
        <w:t xml:space="preserve">A more complex scenario arises in relation to a FIF interest held by a </w:t>
      </w:r>
      <w:r w:rsidR="0024765B">
        <w:rPr>
          <w:szCs w:val="20"/>
          <w:lang w:eastAsia="en-AU"/>
        </w:rPr>
        <w:t xml:space="preserve">New Zealand resident </w:t>
      </w:r>
      <w:r w:rsidRPr="00925A3A">
        <w:rPr>
          <w:szCs w:val="20"/>
          <w:lang w:eastAsia="en-AU"/>
        </w:rPr>
        <w:t>share user pursuant to a returning share transfer</w:t>
      </w:r>
      <w:r w:rsidR="002D5667">
        <w:rPr>
          <w:szCs w:val="20"/>
          <w:lang w:eastAsia="en-AU"/>
        </w:rPr>
        <w:t xml:space="preserve">. </w:t>
      </w:r>
      <w:r w:rsidRPr="00925A3A">
        <w:rPr>
          <w:szCs w:val="20"/>
          <w:lang w:eastAsia="en-AU"/>
        </w:rPr>
        <w:t>The hybrid rules apply to hybrid transfers giving rise to a deductible/non-includible</w:t>
      </w:r>
      <w:r w:rsidR="00B85E95">
        <w:rPr>
          <w:szCs w:val="20"/>
          <w:lang w:eastAsia="en-AU"/>
        </w:rPr>
        <w:t xml:space="preserve"> (D/NI)</w:t>
      </w:r>
      <w:r w:rsidRPr="00925A3A">
        <w:rPr>
          <w:szCs w:val="20"/>
          <w:lang w:eastAsia="en-AU"/>
        </w:rPr>
        <w:t xml:space="preserve"> result</w:t>
      </w:r>
      <w:r w:rsidR="002D5667">
        <w:rPr>
          <w:szCs w:val="20"/>
          <w:lang w:eastAsia="en-AU"/>
        </w:rPr>
        <w:t xml:space="preserve">. </w:t>
      </w:r>
      <w:r w:rsidRPr="00925A3A">
        <w:rPr>
          <w:szCs w:val="20"/>
          <w:lang w:eastAsia="en-AU"/>
        </w:rPr>
        <w:t>One way this can occur is if a New Zealand person lends money to a foreign related party by way of a returning share transfer which is a share repo arrangement</w:t>
      </w:r>
      <w:r w:rsidR="002D5667">
        <w:rPr>
          <w:szCs w:val="20"/>
          <w:lang w:eastAsia="en-AU"/>
        </w:rPr>
        <w:t xml:space="preserve">. </w:t>
      </w:r>
      <w:r w:rsidRPr="00925A3A">
        <w:rPr>
          <w:szCs w:val="20"/>
          <w:lang w:eastAsia="en-AU"/>
        </w:rPr>
        <w:t>In a share repo arrangement, the loan takes the form of an initial sale of shares by the borrower to the lender, followed by a sale back of equivalent shares</w:t>
      </w:r>
      <w:r w:rsidR="002D5667">
        <w:rPr>
          <w:szCs w:val="20"/>
          <w:lang w:eastAsia="en-AU"/>
        </w:rPr>
        <w:t xml:space="preserve">. </w:t>
      </w:r>
      <w:r w:rsidRPr="00925A3A">
        <w:rPr>
          <w:szCs w:val="20"/>
          <w:lang w:eastAsia="en-AU"/>
        </w:rPr>
        <w:t>The lender may make a financing return by:</w:t>
      </w:r>
    </w:p>
    <w:p w14:paraId="62660EEF" w14:textId="77777777" w:rsidR="00925A3A" w:rsidRPr="00925A3A" w:rsidRDefault="00925A3A" w:rsidP="00925A3A">
      <w:pPr>
        <w:rPr>
          <w:szCs w:val="20"/>
          <w:lang w:eastAsia="en-AU"/>
        </w:rPr>
      </w:pPr>
    </w:p>
    <w:p w14:paraId="0057D0B4" w14:textId="77777777" w:rsidR="00925A3A" w:rsidRPr="00925A3A" w:rsidRDefault="00925A3A" w:rsidP="00E852A0">
      <w:pPr>
        <w:numPr>
          <w:ilvl w:val="0"/>
          <w:numId w:val="1"/>
        </w:numPr>
        <w:spacing w:after="140"/>
        <w:rPr>
          <w:szCs w:val="20"/>
          <w:lang w:eastAsia="en-AU"/>
        </w:rPr>
      </w:pPr>
      <w:r w:rsidRPr="00925A3A">
        <w:rPr>
          <w:szCs w:val="20"/>
          <w:lang w:eastAsia="en-AU"/>
        </w:rPr>
        <w:t>receiving and retaining the dividend on the shares;</w:t>
      </w:r>
    </w:p>
    <w:p w14:paraId="43EE2FC1" w14:textId="77777777" w:rsidR="00925A3A" w:rsidRPr="00925A3A" w:rsidRDefault="00925A3A" w:rsidP="00E852A0">
      <w:pPr>
        <w:numPr>
          <w:ilvl w:val="0"/>
          <w:numId w:val="1"/>
        </w:numPr>
        <w:rPr>
          <w:szCs w:val="20"/>
          <w:lang w:eastAsia="en-AU"/>
        </w:rPr>
      </w:pPr>
      <w:r w:rsidRPr="00925A3A">
        <w:rPr>
          <w:szCs w:val="20"/>
          <w:lang w:eastAsia="en-AU"/>
        </w:rPr>
        <w:t>receiving a greater amount for the sale back of the shares than it paid to acquire them.</w:t>
      </w:r>
    </w:p>
    <w:p w14:paraId="23AAD8F5" w14:textId="77777777" w:rsidR="00925A3A" w:rsidRPr="00925A3A" w:rsidRDefault="00925A3A" w:rsidP="00925A3A">
      <w:pPr>
        <w:rPr>
          <w:szCs w:val="20"/>
          <w:lang w:eastAsia="en-AU"/>
        </w:rPr>
      </w:pPr>
    </w:p>
    <w:p w14:paraId="6C51E8B2" w14:textId="0F2E47DD" w:rsidR="00925A3A" w:rsidRPr="00925A3A" w:rsidRDefault="00925A3A" w:rsidP="00925A3A">
      <w:pPr>
        <w:rPr>
          <w:szCs w:val="20"/>
          <w:lang w:eastAsia="en-AU"/>
        </w:rPr>
      </w:pPr>
      <w:r w:rsidRPr="00925A3A">
        <w:rPr>
          <w:szCs w:val="20"/>
          <w:lang w:eastAsia="en-AU"/>
        </w:rPr>
        <w:t>In some countries, the</w:t>
      </w:r>
      <w:r w:rsidR="005F306F">
        <w:rPr>
          <w:szCs w:val="20"/>
          <w:lang w:eastAsia="en-AU"/>
        </w:rPr>
        <w:t xml:space="preserve"> cash</w:t>
      </w:r>
      <w:r w:rsidRPr="00925A3A">
        <w:rPr>
          <w:szCs w:val="20"/>
          <w:lang w:eastAsia="en-AU"/>
        </w:rPr>
        <w:t xml:space="preserve"> borrower in a share repo arrangement is treated for tax purposes as continuing to own the shares, which it has provided as security for a loan</w:t>
      </w:r>
      <w:r w:rsidR="002D5667">
        <w:rPr>
          <w:szCs w:val="20"/>
          <w:lang w:eastAsia="en-AU"/>
        </w:rPr>
        <w:t xml:space="preserve">. </w:t>
      </w:r>
      <w:r w:rsidRPr="00925A3A">
        <w:rPr>
          <w:szCs w:val="20"/>
          <w:lang w:eastAsia="en-AU"/>
        </w:rPr>
        <w:t>In this case, the tax law applying to the borrower will usually treat any dividend paid on the shares and retained by the lender as if it were</w:t>
      </w:r>
      <w:r w:rsidR="005F306F">
        <w:rPr>
          <w:szCs w:val="20"/>
          <w:lang w:eastAsia="en-AU"/>
        </w:rPr>
        <w:t xml:space="preserve"> both income to the borrower from the share and</w:t>
      </w:r>
      <w:r w:rsidRPr="00925A3A">
        <w:rPr>
          <w:szCs w:val="20"/>
          <w:lang w:eastAsia="en-AU"/>
        </w:rPr>
        <w:t xml:space="preserve"> a deductible payment by the borrower to the lender</w:t>
      </w:r>
      <w:r w:rsidR="002D5667">
        <w:rPr>
          <w:szCs w:val="20"/>
          <w:lang w:eastAsia="en-AU"/>
        </w:rPr>
        <w:t xml:space="preserve">. </w:t>
      </w:r>
      <w:r w:rsidRPr="00925A3A">
        <w:rPr>
          <w:szCs w:val="20"/>
          <w:lang w:eastAsia="en-AU"/>
        </w:rPr>
        <w:t>If the lender is a New Zealand person and exempt from tax on the dividend, this payment is deductible (to the borrower (share supplier))</w:t>
      </w:r>
      <w:r w:rsidR="009D6E3C">
        <w:rPr>
          <w:szCs w:val="20"/>
          <w:lang w:eastAsia="en-AU"/>
        </w:rPr>
        <w:t xml:space="preserve"> and </w:t>
      </w:r>
      <w:r w:rsidR="000A6F06" w:rsidRPr="00925A3A">
        <w:rPr>
          <w:szCs w:val="20"/>
          <w:lang w:eastAsia="en-AU"/>
        </w:rPr>
        <w:t>non-includible</w:t>
      </w:r>
      <w:r w:rsidRPr="00925A3A">
        <w:rPr>
          <w:szCs w:val="20"/>
          <w:lang w:eastAsia="en-AU"/>
        </w:rPr>
        <w:t xml:space="preserve"> (to the lender/share user).</w:t>
      </w:r>
    </w:p>
    <w:p w14:paraId="1D58EFA0" w14:textId="77777777" w:rsidR="00925A3A" w:rsidRPr="00925A3A" w:rsidRDefault="00925A3A" w:rsidP="00925A3A">
      <w:pPr>
        <w:rPr>
          <w:szCs w:val="20"/>
          <w:lang w:eastAsia="en-AU"/>
        </w:rPr>
      </w:pPr>
    </w:p>
    <w:p w14:paraId="77ED8372" w14:textId="69DAF2C3" w:rsidR="00925A3A" w:rsidRPr="00925A3A" w:rsidRDefault="00925A3A" w:rsidP="00925A3A">
      <w:pPr>
        <w:rPr>
          <w:szCs w:val="20"/>
          <w:lang w:eastAsia="en-AU"/>
        </w:rPr>
      </w:pPr>
      <w:r w:rsidRPr="00925A3A">
        <w:rPr>
          <w:szCs w:val="20"/>
          <w:lang w:eastAsia="en-AU"/>
        </w:rPr>
        <w:t>Application of the FDR regime, which taxes a deemed 5% return, complicates the picture, and would make it difficult to know whether or how to apply the hybrid rules to such a</w:t>
      </w:r>
      <w:r w:rsidR="005F306F">
        <w:rPr>
          <w:szCs w:val="20"/>
          <w:lang w:eastAsia="en-AU"/>
        </w:rPr>
        <w:t xml:space="preserve"> dividend</w:t>
      </w:r>
      <w:r w:rsidRPr="00925A3A">
        <w:rPr>
          <w:szCs w:val="20"/>
          <w:lang w:eastAsia="en-AU"/>
        </w:rPr>
        <w:t xml:space="preserve"> payment</w:t>
      </w:r>
      <w:r w:rsidR="002D5667">
        <w:rPr>
          <w:szCs w:val="20"/>
          <w:lang w:eastAsia="en-AU"/>
        </w:rPr>
        <w:t xml:space="preserve">. </w:t>
      </w:r>
      <w:r w:rsidRPr="00925A3A">
        <w:rPr>
          <w:szCs w:val="20"/>
          <w:lang w:eastAsia="en-AU"/>
        </w:rPr>
        <w:t>In order to avoid thes</w:t>
      </w:r>
      <w:r w:rsidR="00B85E95">
        <w:rPr>
          <w:szCs w:val="20"/>
          <w:lang w:eastAsia="en-AU"/>
        </w:rPr>
        <w:t xml:space="preserve">e complications, the </w:t>
      </w:r>
      <w:r w:rsidR="00562AE0">
        <w:rPr>
          <w:szCs w:val="20"/>
          <w:lang w:eastAsia="en-AU"/>
        </w:rPr>
        <w:t>legislative changes</w:t>
      </w:r>
      <w:r w:rsidR="00D95CB5">
        <w:rPr>
          <w:szCs w:val="20"/>
          <w:lang w:eastAsia="en-AU"/>
        </w:rPr>
        <w:t xml:space="preserve"> </w:t>
      </w:r>
      <w:r w:rsidR="00B85E95">
        <w:rPr>
          <w:szCs w:val="20"/>
          <w:lang w:eastAsia="en-AU"/>
        </w:rPr>
        <w:t>provide</w:t>
      </w:r>
      <w:r w:rsidRPr="00925A3A">
        <w:rPr>
          <w:szCs w:val="20"/>
          <w:lang w:eastAsia="en-AU"/>
        </w:rPr>
        <w:t xml:space="preserve"> that the New Zealand lender (the share user) in such situations has to use the CV method to determine its income from the share</w:t>
      </w:r>
      <w:r w:rsidR="002D5667">
        <w:rPr>
          <w:szCs w:val="20"/>
          <w:lang w:eastAsia="en-AU"/>
        </w:rPr>
        <w:t xml:space="preserve">. </w:t>
      </w:r>
      <w:r w:rsidRPr="00925A3A">
        <w:rPr>
          <w:szCs w:val="20"/>
          <w:lang w:eastAsia="en-AU"/>
        </w:rPr>
        <w:t>This ensures that the dividend is taxable to the lender, and the hybrid rules do not need to apply</w:t>
      </w:r>
      <w:r w:rsidR="002D5667">
        <w:rPr>
          <w:szCs w:val="20"/>
          <w:lang w:eastAsia="en-AU"/>
        </w:rPr>
        <w:t xml:space="preserve">. </w:t>
      </w:r>
      <w:r w:rsidRPr="00925A3A">
        <w:rPr>
          <w:szCs w:val="20"/>
          <w:lang w:eastAsia="en-AU"/>
        </w:rPr>
        <w:t>It is analogous to the taxation of a deductible foreign equity distribution.</w:t>
      </w:r>
    </w:p>
    <w:p w14:paraId="6DD8A0B3" w14:textId="77777777" w:rsidR="00925A3A" w:rsidRDefault="00925A3A" w:rsidP="00925A3A">
      <w:pPr>
        <w:rPr>
          <w:szCs w:val="20"/>
          <w:lang w:eastAsia="en-AU"/>
        </w:rPr>
      </w:pPr>
    </w:p>
    <w:p w14:paraId="2A99EFA2" w14:textId="77777777" w:rsidR="00802ACF" w:rsidRPr="00802ACF" w:rsidRDefault="00802ACF" w:rsidP="00925A3A">
      <w:pPr>
        <w:rPr>
          <w:b/>
          <w:i/>
          <w:szCs w:val="20"/>
          <w:lang w:eastAsia="en-AU"/>
        </w:rPr>
      </w:pPr>
      <w:r>
        <w:rPr>
          <w:b/>
          <w:i/>
          <w:szCs w:val="20"/>
          <w:lang w:eastAsia="en-AU"/>
        </w:rPr>
        <w:t>Scenario 3</w:t>
      </w:r>
    </w:p>
    <w:p w14:paraId="6E8AF663" w14:textId="77777777" w:rsidR="00802ACF" w:rsidRPr="00925A3A" w:rsidRDefault="00802ACF" w:rsidP="00925A3A">
      <w:pPr>
        <w:rPr>
          <w:szCs w:val="20"/>
          <w:lang w:eastAsia="en-AU"/>
        </w:rPr>
      </w:pPr>
    </w:p>
    <w:p w14:paraId="641B1A51" w14:textId="235FA64C" w:rsidR="00925A3A" w:rsidRPr="00925A3A" w:rsidRDefault="00925A3A" w:rsidP="00925A3A">
      <w:pPr>
        <w:rPr>
          <w:szCs w:val="20"/>
          <w:lang w:eastAsia="en-AU"/>
        </w:rPr>
      </w:pPr>
      <w:r w:rsidRPr="00925A3A">
        <w:rPr>
          <w:szCs w:val="20"/>
          <w:lang w:eastAsia="en-AU"/>
        </w:rPr>
        <w:t xml:space="preserve">A third scenario arises when a </w:t>
      </w:r>
      <w:r w:rsidR="0024765B">
        <w:rPr>
          <w:szCs w:val="20"/>
          <w:lang w:eastAsia="en-AU"/>
        </w:rPr>
        <w:t xml:space="preserve">New Zealand </w:t>
      </w:r>
      <w:r w:rsidR="000A6F06">
        <w:rPr>
          <w:szCs w:val="20"/>
          <w:lang w:eastAsia="en-AU"/>
        </w:rPr>
        <w:t xml:space="preserve">resident </w:t>
      </w:r>
      <w:r w:rsidR="000A6F06" w:rsidRPr="00925A3A">
        <w:rPr>
          <w:szCs w:val="20"/>
          <w:lang w:eastAsia="en-AU"/>
        </w:rPr>
        <w:t>supplies</w:t>
      </w:r>
      <w:r w:rsidRPr="00925A3A">
        <w:rPr>
          <w:szCs w:val="20"/>
          <w:lang w:eastAsia="en-AU"/>
        </w:rPr>
        <w:t xml:space="preserve"> FIF interests under a returning share transfer which is a share loan</w:t>
      </w:r>
      <w:r w:rsidR="002D5667">
        <w:rPr>
          <w:szCs w:val="20"/>
          <w:lang w:eastAsia="en-AU"/>
        </w:rPr>
        <w:t xml:space="preserve">. </w:t>
      </w:r>
      <w:r w:rsidRPr="00925A3A">
        <w:rPr>
          <w:szCs w:val="20"/>
          <w:lang w:eastAsia="en-AU"/>
        </w:rPr>
        <w:t>Under current law the person can continue to apply the FDR method as if they still held the shares</w:t>
      </w:r>
      <w:r w:rsidR="002D5667">
        <w:rPr>
          <w:szCs w:val="20"/>
          <w:lang w:eastAsia="en-AU"/>
        </w:rPr>
        <w:t xml:space="preserve">. </w:t>
      </w:r>
      <w:r w:rsidRPr="00925A3A">
        <w:rPr>
          <w:szCs w:val="20"/>
          <w:lang w:eastAsia="en-AU"/>
        </w:rPr>
        <w:t>If the person is a share lender and receives a substitute payment which is deductible</w:t>
      </w:r>
      <w:r w:rsidR="005F306F">
        <w:rPr>
          <w:szCs w:val="20"/>
          <w:lang w:eastAsia="en-AU"/>
        </w:rPr>
        <w:t xml:space="preserve"> to the payer</w:t>
      </w:r>
      <w:r w:rsidRPr="00925A3A">
        <w:rPr>
          <w:szCs w:val="20"/>
          <w:lang w:eastAsia="en-AU"/>
        </w:rPr>
        <w:t>, this can give rise to a hybrid mismatch</w:t>
      </w:r>
      <w:r w:rsidR="002D5667">
        <w:rPr>
          <w:szCs w:val="20"/>
          <w:lang w:eastAsia="en-AU"/>
        </w:rPr>
        <w:t xml:space="preserve">. </w:t>
      </w:r>
      <w:r w:rsidRPr="00925A3A">
        <w:rPr>
          <w:szCs w:val="20"/>
          <w:lang w:eastAsia="en-AU"/>
        </w:rPr>
        <w:t>In order to preve</w:t>
      </w:r>
      <w:r w:rsidR="00D95CB5">
        <w:rPr>
          <w:szCs w:val="20"/>
          <w:lang w:eastAsia="en-AU"/>
        </w:rPr>
        <w:t xml:space="preserve">nt this possibility, the </w:t>
      </w:r>
      <w:r w:rsidR="00562AE0">
        <w:rPr>
          <w:szCs w:val="20"/>
          <w:lang w:eastAsia="en-AU"/>
        </w:rPr>
        <w:t>legislative</w:t>
      </w:r>
      <w:r w:rsidR="00D95CB5">
        <w:rPr>
          <w:szCs w:val="20"/>
          <w:lang w:eastAsia="en-AU"/>
        </w:rPr>
        <w:t xml:space="preserve"> cha</w:t>
      </w:r>
      <w:r w:rsidR="00562AE0">
        <w:rPr>
          <w:szCs w:val="20"/>
          <w:lang w:eastAsia="en-AU"/>
        </w:rPr>
        <w:t xml:space="preserve">nges </w:t>
      </w:r>
      <w:r w:rsidRPr="00925A3A">
        <w:rPr>
          <w:szCs w:val="20"/>
          <w:lang w:eastAsia="en-AU"/>
        </w:rPr>
        <w:t>prevent such a person from applying the FDR method if the counterparty is related to the person, or the returning share transfer is a structured arrangement.</w:t>
      </w:r>
    </w:p>
    <w:p w14:paraId="7ECD740F" w14:textId="77777777" w:rsidR="00925A3A" w:rsidRPr="00925A3A" w:rsidRDefault="00925A3A" w:rsidP="00925A3A">
      <w:pPr>
        <w:rPr>
          <w:szCs w:val="20"/>
          <w:lang w:eastAsia="en-AU"/>
        </w:rPr>
      </w:pPr>
    </w:p>
    <w:p w14:paraId="2AEA4D1A" w14:textId="77777777" w:rsidR="00925A3A" w:rsidRPr="00925A3A" w:rsidRDefault="00925A3A" w:rsidP="00925A3A">
      <w:pPr>
        <w:rPr>
          <w:szCs w:val="20"/>
          <w:lang w:eastAsia="en-AU"/>
        </w:rPr>
      </w:pPr>
    </w:p>
    <w:p w14:paraId="799C966A" w14:textId="77777777" w:rsidR="00925A3A" w:rsidRPr="00925A3A" w:rsidRDefault="00925A3A" w:rsidP="00925A3A">
      <w:pPr>
        <w:keepNext/>
        <w:outlineLvl w:val="1"/>
        <w:rPr>
          <w:b/>
          <w:szCs w:val="20"/>
          <w:lang w:eastAsia="en-AU"/>
        </w:rPr>
      </w:pPr>
      <w:r w:rsidRPr="00925A3A">
        <w:rPr>
          <w:b/>
          <w:szCs w:val="20"/>
          <w:lang w:eastAsia="en-AU"/>
        </w:rPr>
        <w:t>Detailed analysis</w:t>
      </w:r>
    </w:p>
    <w:p w14:paraId="074354A7" w14:textId="77777777" w:rsidR="00925A3A" w:rsidRDefault="00925A3A" w:rsidP="00925A3A">
      <w:pPr>
        <w:rPr>
          <w:szCs w:val="20"/>
          <w:lang w:eastAsia="en-AU"/>
        </w:rPr>
      </w:pPr>
    </w:p>
    <w:p w14:paraId="3D132CC3" w14:textId="25535749" w:rsidR="00CA2133" w:rsidRPr="00CA2133" w:rsidRDefault="00896B00" w:rsidP="00925A3A">
      <w:pPr>
        <w:rPr>
          <w:b/>
          <w:i/>
          <w:szCs w:val="20"/>
          <w:lang w:eastAsia="en-AU"/>
        </w:rPr>
      </w:pPr>
      <w:r>
        <w:rPr>
          <w:b/>
          <w:i/>
          <w:szCs w:val="20"/>
          <w:lang w:eastAsia="en-AU"/>
        </w:rPr>
        <w:t>Scenario 1</w:t>
      </w:r>
    </w:p>
    <w:p w14:paraId="23A9011E" w14:textId="77777777" w:rsidR="00CA2133" w:rsidRPr="00925A3A" w:rsidRDefault="00CA2133" w:rsidP="00925A3A">
      <w:pPr>
        <w:rPr>
          <w:szCs w:val="20"/>
          <w:lang w:eastAsia="en-AU"/>
        </w:rPr>
      </w:pPr>
    </w:p>
    <w:p w14:paraId="259CB24B" w14:textId="2E7E19DD" w:rsidR="00925A3A" w:rsidRPr="00925A3A" w:rsidRDefault="00802ACF" w:rsidP="00925A3A">
      <w:pPr>
        <w:rPr>
          <w:szCs w:val="20"/>
          <w:lang w:eastAsia="en-AU"/>
        </w:rPr>
      </w:pPr>
      <w:r>
        <w:rPr>
          <w:szCs w:val="20"/>
          <w:lang w:eastAsia="en-AU"/>
        </w:rPr>
        <w:t xml:space="preserve">New paragraph </w:t>
      </w:r>
      <w:r w:rsidR="00CD289F">
        <w:rPr>
          <w:szCs w:val="20"/>
          <w:lang w:eastAsia="en-AU"/>
        </w:rPr>
        <w:t>EX 46(</w:t>
      </w:r>
      <w:proofErr w:type="gramStart"/>
      <w:r w:rsidR="00CD289F">
        <w:rPr>
          <w:szCs w:val="20"/>
          <w:lang w:eastAsia="en-AU"/>
        </w:rPr>
        <w:t>10)(</w:t>
      </w:r>
      <w:proofErr w:type="spellStart"/>
      <w:proofErr w:type="gramEnd"/>
      <w:r w:rsidR="00CD289F">
        <w:rPr>
          <w:szCs w:val="20"/>
          <w:lang w:eastAsia="en-AU"/>
        </w:rPr>
        <w:t>db</w:t>
      </w:r>
      <w:proofErr w:type="spellEnd"/>
      <w:r w:rsidR="00CD289F">
        <w:rPr>
          <w:szCs w:val="20"/>
          <w:lang w:eastAsia="en-AU"/>
        </w:rPr>
        <w:t>)</w:t>
      </w:r>
      <w:r w:rsidR="00925A3A" w:rsidRPr="00925A3A">
        <w:rPr>
          <w:szCs w:val="20"/>
          <w:lang w:eastAsia="en-AU"/>
        </w:rPr>
        <w:t xml:space="preserve"> deals with </w:t>
      </w:r>
      <w:r w:rsidR="00094CD1">
        <w:rPr>
          <w:szCs w:val="20"/>
          <w:lang w:eastAsia="en-AU"/>
        </w:rPr>
        <w:t>s</w:t>
      </w:r>
      <w:r>
        <w:rPr>
          <w:szCs w:val="20"/>
          <w:lang w:eastAsia="en-AU"/>
        </w:rPr>
        <w:t>cenario 1 in the background above</w:t>
      </w:r>
      <w:r w:rsidR="002D5667">
        <w:rPr>
          <w:szCs w:val="20"/>
          <w:lang w:eastAsia="en-AU"/>
        </w:rPr>
        <w:t xml:space="preserve">. </w:t>
      </w:r>
      <w:r w:rsidR="00CD289F">
        <w:rPr>
          <w:szCs w:val="20"/>
          <w:lang w:eastAsia="en-AU"/>
        </w:rPr>
        <w:t>It</w:t>
      </w:r>
      <w:r w:rsidR="00925A3A" w:rsidRPr="00925A3A">
        <w:rPr>
          <w:szCs w:val="20"/>
          <w:lang w:eastAsia="en-AU"/>
        </w:rPr>
        <w:t xml:space="preserve"> provides that in such a case the share is a non-ordinary share, which means income from it must be determined using the </w:t>
      </w:r>
      <w:r w:rsidR="007116DF">
        <w:rPr>
          <w:szCs w:val="20"/>
          <w:lang w:eastAsia="en-AU"/>
        </w:rPr>
        <w:t>comparative value (</w:t>
      </w:r>
      <w:r w:rsidR="00925A3A" w:rsidRPr="00925A3A">
        <w:rPr>
          <w:szCs w:val="20"/>
          <w:lang w:eastAsia="en-AU"/>
        </w:rPr>
        <w:t>CV</w:t>
      </w:r>
      <w:r w:rsidR="007116DF">
        <w:rPr>
          <w:szCs w:val="20"/>
          <w:lang w:eastAsia="en-AU"/>
        </w:rPr>
        <w:t>)</w:t>
      </w:r>
      <w:r w:rsidR="00925A3A" w:rsidRPr="00925A3A">
        <w:rPr>
          <w:szCs w:val="20"/>
          <w:lang w:eastAsia="en-AU"/>
        </w:rPr>
        <w:t xml:space="preserve"> method</w:t>
      </w:r>
      <w:r w:rsidR="002D5667">
        <w:rPr>
          <w:szCs w:val="20"/>
          <w:lang w:eastAsia="en-AU"/>
        </w:rPr>
        <w:t xml:space="preserve">. </w:t>
      </w:r>
      <w:r w:rsidR="00925A3A" w:rsidRPr="00925A3A">
        <w:rPr>
          <w:szCs w:val="20"/>
          <w:lang w:eastAsia="en-AU"/>
        </w:rPr>
        <w:t>This method includes dividends in the calculation of the income, so there can be no hybrid mismatch arising from the payment.</w:t>
      </w:r>
    </w:p>
    <w:p w14:paraId="0770AB49" w14:textId="77777777" w:rsidR="00925A3A" w:rsidRPr="00925A3A" w:rsidRDefault="00925A3A" w:rsidP="00925A3A">
      <w:pPr>
        <w:rPr>
          <w:szCs w:val="20"/>
          <w:lang w:eastAsia="en-AU"/>
        </w:rPr>
      </w:pPr>
    </w:p>
    <w:p w14:paraId="32F6DD39" w14:textId="77777777" w:rsidR="00D1380C" w:rsidRDefault="00D1380C">
      <w:pPr>
        <w:jc w:val="left"/>
        <w:rPr>
          <w:szCs w:val="20"/>
          <w:lang w:eastAsia="en-AU"/>
        </w:rPr>
      </w:pPr>
      <w:r>
        <w:rPr>
          <w:szCs w:val="20"/>
          <w:lang w:eastAsia="en-AU"/>
        </w:rPr>
        <w:br w:type="page"/>
      </w:r>
    </w:p>
    <w:p w14:paraId="0867C04D" w14:textId="5294D687" w:rsidR="00925A3A" w:rsidRPr="00925A3A" w:rsidRDefault="00925A3A" w:rsidP="00925A3A">
      <w:pPr>
        <w:rPr>
          <w:szCs w:val="20"/>
          <w:lang w:eastAsia="en-AU"/>
        </w:rPr>
      </w:pPr>
      <w:r w:rsidRPr="00925A3A">
        <w:rPr>
          <w:szCs w:val="20"/>
          <w:lang w:eastAsia="en-AU"/>
        </w:rPr>
        <w:lastRenderedPageBreak/>
        <w:t>New paragraph (</w:t>
      </w:r>
      <w:proofErr w:type="spellStart"/>
      <w:r w:rsidRPr="00925A3A">
        <w:rPr>
          <w:szCs w:val="20"/>
          <w:lang w:eastAsia="en-AU"/>
        </w:rPr>
        <w:t>db</w:t>
      </w:r>
      <w:proofErr w:type="spellEnd"/>
      <w:r w:rsidRPr="00925A3A">
        <w:rPr>
          <w:szCs w:val="20"/>
          <w:lang w:eastAsia="en-AU"/>
        </w:rPr>
        <w:t>) only applies if:</w:t>
      </w:r>
    </w:p>
    <w:p w14:paraId="0F4906F8" w14:textId="77777777" w:rsidR="00925A3A" w:rsidRPr="00925A3A" w:rsidRDefault="00925A3A" w:rsidP="00925A3A">
      <w:pPr>
        <w:rPr>
          <w:szCs w:val="20"/>
          <w:lang w:eastAsia="en-AU"/>
        </w:rPr>
      </w:pPr>
    </w:p>
    <w:p w14:paraId="7F9D0605" w14:textId="77777777" w:rsidR="00925A3A" w:rsidRPr="00925A3A" w:rsidRDefault="00925A3A" w:rsidP="00E852A0">
      <w:pPr>
        <w:numPr>
          <w:ilvl w:val="0"/>
          <w:numId w:val="1"/>
        </w:numPr>
        <w:spacing w:after="140"/>
        <w:rPr>
          <w:szCs w:val="20"/>
          <w:lang w:eastAsia="en-AU"/>
        </w:rPr>
      </w:pPr>
      <w:r w:rsidRPr="00925A3A">
        <w:rPr>
          <w:szCs w:val="20"/>
          <w:lang w:eastAsia="en-AU"/>
        </w:rPr>
        <w:t>the arrangement is within the scope of the hybrid rules, because the parties are related or it is a structured arrangement;</w:t>
      </w:r>
    </w:p>
    <w:p w14:paraId="45FCFB48" w14:textId="0EFD2EB5" w:rsidR="00925A3A" w:rsidRPr="00925A3A" w:rsidRDefault="00925A3A" w:rsidP="00E852A0">
      <w:pPr>
        <w:numPr>
          <w:ilvl w:val="0"/>
          <w:numId w:val="1"/>
        </w:numPr>
        <w:rPr>
          <w:szCs w:val="20"/>
          <w:lang w:eastAsia="en-AU"/>
        </w:rPr>
      </w:pPr>
      <w:r w:rsidRPr="00925A3A">
        <w:rPr>
          <w:szCs w:val="20"/>
          <w:lang w:eastAsia="en-AU"/>
        </w:rPr>
        <w:t>the non-resident is not a foreign PIE equivalent</w:t>
      </w:r>
      <w:r w:rsidR="002D5667">
        <w:rPr>
          <w:szCs w:val="20"/>
          <w:lang w:eastAsia="en-AU"/>
        </w:rPr>
        <w:t xml:space="preserve">. </w:t>
      </w:r>
      <w:r w:rsidRPr="00925A3A">
        <w:rPr>
          <w:szCs w:val="20"/>
          <w:lang w:eastAsia="en-AU"/>
        </w:rPr>
        <w:t>In many countries, widely</w:t>
      </w:r>
      <w:r w:rsidR="00085A4C">
        <w:rPr>
          <w:szCs w:val="20"/>
          <w:lang w:eastAsia="en-AU"/>
        </w:rPr>
        <w:t>-held</w:t>
      </w:r>
      <w:r w:rsidRPr="00925A3A">
        <w:rPr>
          <w:szCs w:val="20"/>
          <w:lang w:eastAsia="en-AU"/>
        </w:rPr>
        <w:t xml:space="preserve"> investment funds are entitled to a deduction or equivalent tax relief for distributions, designed to ensure that their investors, rather than the fund, are subject to tax on underlying income </w:t>
      </w:r>
      <w:r w:rsidR="00085A4C">
        <w:rPr>
          <w:szCs w:val="20"/>
          <w:lang w:eastAsia="en-AU"/>
        </w:rPr>
        <w:t>from the fund’s investments</w:t>
      </w:r>
      <w:r w:rsidR="002D5667">
        <w:rPr>
          <w:szCs w:val="20"/>
          <w:lang w:eastAsia="en-AU"/>
        </w:rPr>
        <w:t xml:space="preserve">. </w:t>
      </w:r>
      <w:r w:rsidR="00085A4C">
        <w:rPr>
          <w:szCs w:val="20"/>
          <w:lang w:eastAsia="en-AU"/>
        </w:rPr>
        <w:t>One</w:t>
      </w:r>
      <w:r w:rsidRPr="00925A3A">
        <w:rPr>
          <w:szCs w:val="20"/>
          <w:lang w:eastAsia="en-AU"/>
        </w:rPr>
        <w:t xml:space="preserve"> example is an Australian unit trust (AUT), where income to which unit holders are presently entitled is taxed to them rather than the trust</w:t>
      </w:r>
      <w:r w:rsidR="002D5667">
        <w:rPr>
          <w:szCs w:val="20"/>
          <w:lang w:eastAsia="en-AU"/>
        </w:rPr>
        <w:t xml:space="preserve">. </w:t>
      </w:r>
      <w:r w:rsidRPr="00925A3A">
        <w:rPr>
          <w:szCs w:val="20"/>
          <w:lang w:eastAsia="en-AU"/>
        </w:rPr>
        <w:t>This change is not intended to remove the ability for a New Zealand taxpayer to use the FD</w:t>
      </w:r>
      <w:r w:rsidR="00E81A8E">
        <w:rPr>
          <w:szCs w:val="20"/>
          <w:lang w:eastAsia="en-AU"/>
        </w:rPr>
        <w:t xml:space="preserve">R method in relation to an AUT </w:t>
      </w:r>
      <w:r w:rsidRPr="00925A3A">
        <w:rPr>
          <w:szCs w:val="20"/>
          <w:lang w:eastAsia="en-AU"/>
        </w:rPr>
        <w:t>undertaking portfolio investment</w:t>
      </w:r>
      <w:r w:rsidR="00C92D49">
        <w:rPr>
          <w:szCs w:val="20"/>
          <w:lang w:eastAsia="en-AU"/>
        </w:rPr>
        <w:t>.</w:t>
      </w:r>
    </w:p>
    <w:p w14:paraId="1540D09A" w14:textId="77777777" w:rsidR="00802ACF" w:rsidRDefault="00802ACF" w:rsidP="00925A3A">
      <w:pPr>
        <w:rPr>
          <w:szCs w:val="20"/>
          <w:lang w:eastAsia="en-AU"/>
        </w:rPr>
      </w:pPr>
    </w:p>
    <w:p w14:paraId="728F5672" w14:textId="77777777" w:rsidR="00CA2133" w:rsidRPr="00CA2133" w:rsidRDefault="00CA2133" w:rsidP="00925A3A">
      <w:pPr>
        <w:rPr>
          <w:b/>
          <w:i/>
          <w:szCs w:val="20"/>
          <w:lang w:eastAsia="en-AU"/>
        </w:rPr>
      </w:pPr>
      <w:r w:rsidRPr="00CA2133">
        <w:rPr>
          <w:b/>
          <w:i/>
          <w:szCs w:val="20"/>
          <w:lang w:eastAsia="en-AU"/>
        </w:rPr>
        <w:t>Scenario 2</w:t>
      </w:r>
    </w:p>
    <w:p w14:paraId="7FF43D95" w14:textId="77777777" w:rsidR="00CA2133" w:rsidRPr="00925A3A" w:rsidRDefault="00CA2133" w:rsidP="00925A3A">
      <w:pPr>
        <w:rPr>
          <w:szCs w:val="20"/>
          <w:lang w:eastAsia="en-AU"/>
        </w:rPr>
      </w:pPr>
    </w:p>
    <w:p w14:paraId="57EB8C2A" w14:textId="718859E4" w:rsidR="007116DF" w:rsidRPr="007116DF" w:rsidRDefault="00802ACF" w:rsidP="007116DF">
      <w:pPr>
        <w:rPr>
          <w:szCs w:val="20"/>
          <w:lang w:eastAsia="en-AU"/>
        </w:rPr>
      </w:pPr>
      <w:r>
        <w:rPr>
          <w:szCs w:val="20"/>
          <w:lang w:eastAsia="en-AU"/>
        </w:rPr>
        <w:t>N</w:t>
      </w:r>
      <w:r w:rsidR="007116DF">
        <w:rPr>
          <w:szCs w:val="20"/>
          <w:lang w:eastAsia="en-AU"/>
        </w:rPr>
        <w:t>ew</w:t>
      </w:r>
      <w:r w:rsidR="007116DF" w:rsidRPr="007116DF">
        <w:rPr>
          <w:szCs w:val="20"/>
          <w:lang w:eastAsia="en-AU"/>
        </w:rPr>
        <w:t xml:space="preserve"> section EX 47B</w:t>
      </w:r>
      <w:r w:rsidR="00314228">
        <w:rPr>
          <w:szCs w:val="20"/>
          <w:lang w:eastAsia="en-AU"/>
        </w:rPr>
        <w:t xml:space="preserve"> </w:t>
      </w:r>
      <w:r>
        <w:rPr>
          <w:szCs w:val="20"/>
          <w:lang w:eastAsia="en-AU"/>
        </w:rPr>
        <w:t xml:space="preserve">deals with </w:t>
      </w:r>
      <w:r w:rsidR="00094CD1">
        <w:rPr>
          <w:szCs w:val="20"/>
          <w:lang w:eastAsia="en-AU"/>
        </w:rPr>
        <w:t>s</w:t>
      </w:r>
      <w:r>
        <w:rPr>
          <w:szCs w:val="20"/>
          <w:lang w:eastAsia="en-AU"/>
        </w:rPr>
        <w:t xml:space="preserve">cenario 2 in the background above </w:t>
      </w:r>
      <w:r w:rsidR="003C5F03">
        <w:rPr>
          <w:szCs w:val="20"/>
          <w:lang w:eastAsia="en-AU"/>
        </w:rPr>
        <w:t>In such circumstances, the</w:t>
      </w:r>
      <w:r w:rsidR="005F306F">
        <w:rPr>
          <w:szCs w:val="20"/>
          <w:lang w:eastAsia="en-AU"/>
        </w:rPr>
        <w:t xml:space="preserve"> New Zealand</w:t>
      </w:r>
      <w:r w:rsidR="003C5F03">
        <w:rPr>
          <w:szCs w:val="20"/>
          <w:lang w:eastAsia="en-AU"/>
        </w:rPr>
        <w:t xml:space="preserve"> share user is required to use the </w:t>
      </w:r>
      <w:r w:rsidR="007116DF">
        <w:rPr>
          <w:szCs w:val="20"/>
          <w:lang w:eastAsia="en-AU"/>
        </w:rPr>
        <w:t xml:space="preserve">CV </w:t>
      </w:r>
      <w:r w:rsidR="007116DF" w:rsidRPr="007116DF">
        <w:rPr>
          <w:szCs w:val="20"/>
          <w:lang w:eastAsia="en-AU"/>
        </w:rPr>
        <w:t>method to calculate their FIF income or loss from a FIF interest subject to a returning share transfer if:</w:t>
      </w:r>
    </w:p>
    <w:p w14:paraId="026D1E06" w14:textId="77777777" w:rsidR="007116DF" w:rsidRPr="00925A3A" w:rsidRDefault="007116DF" w:rsidP="007116DF">
      <w:pPr>
        <w:rPr>
          <w:szCs w:val="20"/>
          <w:lang w:eastAsia="en-AU"/>
        </w:rPr>
      </w:pPr>
    </w:p>
    <w:p w14:paraId="2F257BD6" w14:textId="77777777" w:rsidR="007116DF" w:rsidRPr="00D855EB" w:rsidRDefault="009D6E3C" w:rsidP="00D855EB">
      <w:pPr>
        <w:numPr>
          <w:ilvl w:val="0"/>
          <w:numId w:val="1"/>
        </w:numPr>
        <w:spacing w:after="140"/>
        <w:rPr>
          <w:szCs w:val="20"/>
          <w:lang w:eastAsia="en-AU"/>
        </w:rPr>
      </w:pPr>
      <w:r w:rsidRPr="00D855EB">
        <w:rPr>
          <w:szCs w:val="20"/>
          <w:lang w:eastAsia="en-AU"/>
        </w:rPr>
        <w:t xml:space="preserve">the share supplier </w:t>
      </w:r>
      <w:r w:rsidR="007116DF" w:rsidRPr="00D855EB">
        <w:rPr>
          <w:szCs w:val="20"/>
          <w:lang w:eastAsia="en-AU"/>
        </w:rPr>
        <w:t>is resident</w:t>
      </w:r>
      <w:r w:rsidR="000A6F06">
        <w:rPr>
          <w:szCs w:val="20"/>
          <w:lang w:eastAsia="en-AU"/>
        </w:rPr>
        <w:t xml:space="preserve"> </w:t>
      </w:r>
      <w:r w:rsidR="00D855EB">
        <w:rPr>
          <w:szCs w:val="20"/>
          <w:lang w:eastAsia="en-AU"/>
        </w:rPr>
        <w:t>in another country</w:t>
      </w:r>
      <w:r w:rsidR="007116DF" w:rsidRPr="00D855EB">
        <w:rPr>
          <w:szCs w:val="20"/>
          <w:lang w:eastAsia="en-AU"/>
        </w:rPr>
        <w:t>;</w:t>
      </w:r>
    </w:p>
    <w:p w14:paraId="4C0C884D" w14:textId="668F8C38" w:rsidR="007116DF" w:rsidRPr="00925A3A" w:rsidRDefault="007116DF" w:rsidP="007116DF">
      <w:pPr>
        <w:numPr>
          <w:ilvl w:val="0"/>
          <w:numId w:val="1"/>
        </w:numPr>
        <w:spacing w:after="140"/>
        <w:rPr>
          <w:szCs w:val="20"/>
          <w:lang w:eastAsia="en-AU"/>
        </w:rPr>
      </w:pPr>
      <w:r w:rsidRPr="00925A3A">
        <w:rPr>
          <w:szCs w:val="20"/>
          <w:lang w:eastAsia="en-AU"/>
        </w:rPr>
        <w:t xml:space="preserve">the </w:t>
      </w:r>
      <w:r w:rsidR="00D855EB">
        <w:rPr>
          <w:szCs w:val="20"/>
          <w:lang w:eastAsia="en-AU"/>
        </w:rPr>
        <w:t>share user</w:t>
      </w:r>
      <w:r w:rsidRPr="00925A3A">
        <w:rPr>
          <w:szCs w:val="20"/>
          <w:lang w:eastAsia="en-AU"/>
        </w:rPr>
        <w:t xml:space="preserve"> is related to the share supplier, or the returning share transfer is or is part of a structured arrangement</w:t>
      </w:r>
      <w:r w:rsidR="002D5667">
        <w:rPr>
          <w:szCs w:val="20"/>
          <w:lang w:eastAsia="en-AU"/>
        </w:rPr>
        <w:t xml:space="preserve">. </w:t>
      </w:r>
      <w:r w:rsidR="00A14014">
        <w:rPr>
          <w:szCs w:val="20"/>
          <w:lang w:eastAsia="en-AU"/>
        </w:rPr>
        <w:t>“Related” and ‘structured arrangement” are defined terms in new section FH 15 (discussed above)</w:t>
      </w:r>
      <w:r w:rsidRPr="00925A3A">
        <w:rPr>
          <w:szCs w:val="20"/>
          <w:lang w:eastAsia="en-AU"/>
        </w:rPr>
        <w:t>;</w:t>
      </w:r>
      <w:r w:rsidR="00A14014">
        <w:rPr>
          <w:szCs w:val="20"/>
          <w:lang w:eastAsia="en-AU"/>
        </w:rPr>
        <w:t xml:space="preserve"> and</w:t>
      </w:r>
    </w:p>
    <w:p w14:paraId="17D5CE5D" w14:textId="77777777" w:rsidR="007116DF" w:rsidRPr="00925A3A" w:rsidRDefault="007116DF" w:rsidP="007116DF">
      <w:pPr>
        <w:numPr>
          <w:ilvl w:val="0"/>
          <w:numId w:val="1"/>
        </w:numPr>
        <w:rPr>
          <w:szCs w:val="20"/>
          <w:lang w:eastAsia="en-AU"/>
        </w:rPr>
      </w:pPr>
      <w:r w:rsidRPr="00925A3A">
        <w:rPr>
          <w:szCs w:val="20"/>
          <w:lang w:eastAsia="en-AU"/>
        </w:rPr>
        <w:t xml:space="preserve">the share supplier is treated as the owner of the shares for </w:t>
      </w:r>
      <w:r w:rsidR="00314228">
        <w:rPr>
          <w:szCs w:val="20"/>
          <w:lang w:eastAsia="en-AU"/>
        </w:rPr>
        <w:t xml:space="preserve">the purposes of the </w:t>
      </w:r>
      <w:r w:rsidRPr="00925A3A">
        <w:rPr>
          <w:szCs w:val="20"/>
          <w:lang w:eastAsia="en-AU"/>
        </w:rPr>
        <w:t>tax rules</w:t>
      </w:r>
      <w:r w:rsidR="00D855EB">
        <w:rPr>
          <w:szCs w:val="20"/>
          <w:lang w:eastAsia="en-AU"/>
        </w:rPr>
        <w:t xml:space="preserve"> where it is resident</w:t>
      </w:r>
      <w:r w:rsidRPr="00925A3A">
        <w:rPr>
          <w:szCs w:val="20"/>
          <w:lang w:eastAsia="en-AU"/>
        </w:rPr>
        <w:t>.</w:t>
      </w:r>
    </w:p>
    <w:p w14:paraId="005A77D7" w14:textId="77777777" w:rsidR="007116DF" w:rsidRDefault="007116DF" w:rsidP="00925A3A">
      <w:pPr>
        <w:rPr>
          <w:szCs w:val="20"/>
          <w:lang w:eastAsia="en-AU"/>
        </w:rPr>
      </w:pPr>
    </w:p>
    <w:p w14:paraId="29B43378" w14:textId="12EA16E1" w:rsidR="00314228" w:rsidRDefault="003C5F03" w:rsidP="00925A3A">
      <w:pPr>
        <w:rPr>
          <w:szCs w:val="20"/>
          <w:lang w:eastAsia="en-AU"/>
        </w:rPr>
      </w:pPr>
      <w:r>
        <w:rPr>
          <w:szCs w:val="20"/>
          <w:lang w:eastAsia="en-AU"/>
        </w:rPr>
        <w:t xml:space="preserve">This is because the share supplier may be deducting the dividends paid on the shares as a financing cost in the foreign </w:t>
      </w:r>
      <w:r w:rsidR="00A12894">
        <w:rPr>
          <w:szCs w:val="20"/>
          <w:lang w:eastAsia="en-AU"/>
        </w:rPr>
        <w:t>country</w:t>
      </w:r>
      <w:r>
        <w:rPr>
          <w:szCs w:val="20"/>
          <w:lang w:eastAsia="en-AU"/>
        </w:rPr>
        <w:t>, whereas the share user may be applying the fair dividend rate (FDR) method to tax the FIF interest</w:t>
      </w:r>
      <w:r w:rsidR="002D5667">
        <w:rPr>
          <w:szCs w:val="20"/>
          <w:lang w:eastAsia="en-AU"/>
        </w:rPr>
        <w:t xml:space="preserve">. </w:t>
      </w:r>
      <w:r>
        <w:rPr>
          <w:szCs w:val="20"/>
          <w:lang w:eastAsia="en-AU"/>
        </w:rPr>
        <w:t>The difference between the income returned under the FDR method and the dividend paid results in a potential D/NI mismatch.</w:t>
      </w:r>
    </w:p>
    <w:p w14:paraId="01275D90" w14:textId="77777777" w:rsidR="00314228" w:rsidRDefault="00314228" w:rsidP="00925A3A">
      <w:pPr>
        <w:rPr>
          <w:szCs w:val="20"/>
          <w:lang w:eastAsia="en-AU"/>
        </w:rPr>
      </w:pPr>
    </w:p>
    <w:p w14:paraId="5E3D0C71" w14:textId="3D0C9B91" w:rsidR="007116DF" w:rsidRDefault="00CA2133" w:rsidP="00925A3A">
      <w:pPr>
        <w:rPr>
          <w:szCs w:val="20"/>
          <w:lang w:eastAsia="en-AU"/>
        </w:rPr>
      </w:pPr>
      <w:r>
        <w:rPr>
          <w:szCs w:val="20"/>
          <w:lang w:eastAsia="en-AU"/>
        </w:rPr>
        <w:t>There are consequential changes to related provisions in the Act</w:t>
      </w:r>
      <w:r w:rsidR="00896B00">
        <w:rPr>
          <w:szCs w:val="20"/>
          <w:lang w:eastAsia="en-AU"/>
        </w:rPr>
        <w:t>:</w:t>
      </w:r>
    </w:p>
    <w:p w14:paraId="67132E8E" w14:textId="77777777" w:rsidR="00C92D49" w:rsidRDefault="00C92D49" w:rsidP="00925A3A">
      <w:pPr>
        <w:rPr>
          <w:szCs w:val="20"/>
          <w:lang w:eastAsia="en-AU"/>
        </w:rPr>
      </w:pPr>
    </w:p>
    <w:p w14:paraId="65EDEB47" w14:textId="18BE6BB3" w:rsidR="00E81A8E" w:rsidRDefault="00C92D49" w:rsidP="00E81A8E">
      <w:pPr>
        <w:pStyle w:val="ListParagraph"/>
        <w:numPr>
          <w:ilvl w:val="0"/>
          <w:numId w:val="48"/>
        </w:numPr>
        <w:rPr>
          <w:szCs w:val="20"/>
          <w:lang w:eastAsia="en-AU"/>
        </w:rPr>
      </w:pPr>
      <w:r w:rsidRPr="00E81A8E">
        <w:rPr>
          <w:szCs w:val="20"/>
          <w:lang w:eastAsia="en-AU"/>
        </w:rPr>
        <w:t>Section EX 44(2) has been amended so that new section EX 47B has been added to the list of the provisions which limit a person’s choice of FIF income calculation methods</w:t>
      </w:r>
      <w:r w:rsidR="00E81A8E" w:rsidRPr="00E81A8E">
        <w:rPr>
          <w:szCs w:val="20"/>
          <w:lang w:eastAsia="en-AU"/>
        </w:rPr>
        <w:t>.</w:t>
      </w:r>
    </w:p>
    <w:p w14:paraId="7367FFFF" w14:textId="77777777" w:rsidR="00E81A8E" w:rsidRDefault="00E81A8E" w:rsidP="00E81A8E">
      <w:pPr>
        <w:pStyle w:val="ListParagraph"/>
        <w:ind w:left="360"/>
        <w:rPr>
          <w:szCs w:val="20"/>
          <w:lang w:eastAsia="en-AU"/>
        </w:rPr>
      </w:pPr>
    </w:p>
    <w:p w14:paraId="77D4C77B" w14:textId="257B41F2" w:rsidR="00E81A8E" w:rsidRDefault="00E81A8E" w:rsidP="00925A3A">
      <w:pPr>
        <w:pStyle w:val="ListParagraph"/>
        <w:numPr>
          <w:ilvl w:val="0"/>
          <w:numId w:val="48"/>
        </w:numPr>
        <w:rPr>
          <w:szCs w:val="20"/>
          <w:lang w:eastAsia="en-AU"/>
        </w:rPr>
      </w:pPr>
      <w:r w:rsidRPr="00E81A8E">
        <w:rPr>
          <w:szCs w:val="20"/>
          <w:lang w:eastAsia="en-AU"/>
        </w:rPr>
        <w:t>Section EX 46(6)(d) ha</w:t>
      </w:r>
      <w:r>
        <w:rPr>
          <w:szCs w:val="20"/>
          <w:lang w:eastAsia="en-AU"/>
        </w:rPr>
        <w:t xml:space="preserve">s been amended so that a person </w:t>
      </w:r>
      <w:r w:rsidR="00925A3A" w:rsidRPr="00E81A8E">
        <w:rPr>
          <w:szCs w:val="20"/>
          <w:lang w:eastAsia="en-AU"/>
        </w:rPr>
        <w:t>who holds a FIF interest as a share user in a returning share transfer can use the comparative value method to calculate FIF income from that interest if section EX 47B applies to the person.</w:t>
      </w:r>
    </w:p>
    <w:p w14:paraId="38F59E9D" w14:textId="77777777" w:rsidR="00E81A8E" w:rsidRPr="00E81A8E" w:rsidRDefault="00E81A8E" w:rsidP="00E81A8E">
      <w:pPr>
        <w:pStyle w:val="ListParagraph"/>
        <w:rPr>
          <w:szCs w:val="20"/>
          <w:lang w:eastAsia="en-AU"/>
        </w:rPr>
      </w:pPr>
    </w:p>
    <w:p w14:paraId="41D2BA49" w14:textId="30DEA345" w:rsidR="00E81A8E" w:rsidRPr="00E81A8E" w:rsidRDefault="00E81A8E" w:rsidP="00E81A8E">
      <w:pPr>
        <w:pStyle w:val="ListParagraph"/>
        <w:numPr>
          <w:ilvl w:val="0"/>
          <w:numId w:val="48"/>
        </w:numPr>
        <w:rPr>
          <w:szCs w:val="20"/>
          <w:lang w:eastAsia="en-AU"/>
        </w:rPr>
      </w:pPr>
      <w:r>
        <w:rPr>
          <w:szCs w:val="20"/>
          <w:lang w:eastAsia="en-AU"/>
        </w:rPr>
        <w:t>The</w:t>
      </w:r>
      <w:r w:rsidR="00925A3A" w:rsidRPr="00E81A8E">
        <w:rPr>
          <w:szCs w:val="20"/>
          <w:lang w:eastAsia="en-AU"/>
        </w:rPr>
        <w:t xml:space="preserve"> definition of a </w:t>
      </w:r>
      <w:r>
        <w:rPr>
          <w:szCs w:val="20"/>
          <w:lang w:eastAsia="en-AU"/>
        </w:rPr>
        <w:t>“</w:t>
      </w:r>
      <w:r w:rsidR="00925A3A" w:rsidRPr="00E81A8E">
        <w:rPr>
          <w:szCs w:val="20"/>
          <w:lang w:eastAsia="en-AU"/>
        </w:rPr>
        <w:t>returning share transfer</w:t>
      </w:r>
      <w:r>
        <w:rPr>
          <w:szCs w:val="20"/>
          <w:lang w:eastAsia="en-AU"/>
        </w:rPr>
        <w:t>”</w:t>
      </w:r>
      <w:r w:rsidR="00925A3A" w:rsidRPr="00E81A8E">
        <w:rPr>
          <w:szCs w:val="20"/>
          <w:lang w:eastAsia="en-AU"/>
        </w:rPr>
        <w:t xml:space="preserve"> </w:t>
      </w:r>
      <w:r>
        <w:rPr>
          <w:szCs w:val="20"/>
          <w:lang w:eastAsia="en-AU"/>
        </w:rPr>
        <w:t xml:space="preserve">in section YA 1 has been amended </w:t>
      </w:r>
      <w:r w:rsidR="00925A3A" w:rsidRPr="00E81A8E">
        <w:rPr>
          <w:szCs w:val="20"/>
          <w:lang w:eastAsia="en-AU"/>
        </w:rPr>
        <w:t>so it does not require that the transfer shares are listed.</w:t>
      </w:r>
    </w:p>
    <w:p w14:paraId="4C4166C6" w14:textId="77777777" w:rsidR="00E81A8E" w:rsidRPr="00E81A8E" w:rsidRDefault="00E81A8E" w:rsidP="00E81A8E">
      <w:pPr>
        <w:pStyle w:val="ListParagraph"/>
        <w:rPr>
          <w:szCs w:val="20"/>
          <w:lang w:eastAsia="en-AU"/>
        </w:rPr>
      </w:pPr>
    </w:p>
    <w:p w14:paraId="0410951F" w14:textId="77777777" w:rsidR="00925A3A" w:rsidRPr="00CA2133" w:rsidRDefault="00CA2133" w:rsidP="00925A3A">
      <w:pPr>
        <w:ind w:left="567" w:hanging="567"/>
        <w:rPr>
          <w:b/>
          <w:i/>
          <w:szCs w:val="20"/>
          <w:lang w:eastAsia="en-AU"/>
        </w:rPr>
      </w:pPr>
      <w:r>
        <w:rPr>
          <w:b/>
          <w:i/>
          <w:szCs w:val="20"/>
          <w:lang w:eastAsia="en-AU"/>
        </w:rPr>
        <w:t>Scenario 3</w:t>
      </w:r>
    </w:p>
    <w:p w14:paraId="0B357BEA" w14:textId="77777777" w:rsidR="009B23BF" w:rsidRDefault="009B23BF" w:rsidP="00925A3A">
      <w:pPr>
        <w:rPr>
          <w:szCs w:val="20"/>
          <w:lang w:eastAsia="en-AU"/>
        </w:rPr>
      </w:pPr>
    </w:p>
    <w:p w14:paraId="1DDF7595" w14:textId="7835CE1C" w:rsidR="00525D97" w:rsidRDefault="009B23BF" w:rsidP="00925A3A">
      <w:pPr>
        <w:rPr>
          <w:szCs w:val="20"/>
          <w:lang w:eastAsia="en-AU"/>
        </w:rPr>
      </w:pPr>
      <w:r>
        <w:rPr>
          <w:szCs w:val="20"/>
          <w:lang w:eastAsia="en-AU"/>
        </w:rPr>
        <w:t>S</w:t>
      </w:r>
      <w:r w:rsidR="00925A3A" w:rsidRPr="00925A3A">
        <w:rPr>
          <w:szCs w:val="20"/>
          <w:lang w:eastAsia="en-AU"/>
        </w:rPr>
        <w:t xml:space="preserve">ubsections EX 52(14C) and EX 53(16C) </w:t>
      </w:r>
      <w:r>
        <w:rPr>
          <w:szCs w:val="20"/>
          <w:lang w:eastAsia="en-AU"/>
        </w:rPr>
        <w:t>have been amended to deal with Scenario 3 in the background above</w:t>
      </w:r>
      <w:r w:rsidR="002D5667">
        <w:rPr>
          <w:szCs w:val="20"/>
          <w:lang w:eastAsia="en-AU"/>
        </w:rPr>
        <w:t xml:space="preserve">. </w:t>
      </w:r>
      <w:r>
        <w:rPr>
          <w:szCs w:val="20"/>
          <w:lang w:eastAsia="en-AU"/>
        </w:rPr>
        <w:t>T</w:t>
      </w:r>
      <w:r w:rsidR="00925A3A" w:rsidRPr="00925A3A">
        <w:rPr>
          <w:szCs w:val="20"/>
          <w:lang w:eastAsia="en-AU"/>
        </w:rPr>
        <w:t xml:space="preserve">hese subsections </w:t>
      </w:r>
      <w:r>
        <w:rPr>
          <w:szCs w:val="20"/>
          <w:lang w:eastAsia="en-AU"/>
        </w:rPr>
        <w:t xml:space="preserve">previously </w:t>
      </w:r>
      <w:r w:rsidR="00925A3A" w:rsidRPr="00925A3A">
        <w:rPr>
          <w:szCs w:val="20"/>
          <w:lang w:eastAsia="en-AU"/>
        </w:rPr>
        <w:t>allow</w:t>
      </w:r>
      <w:r>
        <w:rPr>
          <w:szCs w:val="20"/>
          <w:lang w:eastAsia="en-AU"/>
        </w:rPr>
        <w:t>ed a person who held</w:t>
      </w:r>
      <w:r w:rsidR="00925A3A" w:rsidRPr="00925A3A">
        <w:rPr>
          <w:szCs w:val="20"/>
          <w:lang w:eastAsia="en-AU"/>
        </w:rPr>
        <w:t xml:space="preserve"> a F</w:t>
      </w:r>
      <w:r>
        <w:rPr>
          <w:szCs w:val="20"/>
          <w:lang w:eastAsia="en-AU"/>
        </w:rPr>
        <w:t>IF interest and calculated</w:t>
      </w:r>
      <w:r w:rsidR="00925A3A" w:rsidRPr="00925A3A">
        <w:rPr>
          <w:szCs w:val="20"/>
          <w:lang w:eastAsia="en-AU"/>
        </w:rPr>
        <w:t xml:space="preserve"> income from that interest under the FDR method</w:t>
      </w:r>
      <w:r w:rsidR="00525D97">
        <w:rPr>
          <w:szCs w:val="20"/>
          <w:lang w:eastAsia="en-AU"/>
        </w:rPr>
        <w:t xml:space="preserve"> (whether it be the annual </w:t>
      </w:r>
      <w:r w:rsidR="008A55FF">
        <w:rPr>
          <w:szCs w:val="20"/>
          <w:lang w:eastAsia="en-AU"/>
        </w:rPr>
        <w:t xml:space="preserve">or </w:t>
      </w:r>
      <w:r w:rsidR="00525D97">
        <w:rPr>
          <w:szCs w:val="20"/>
          <w:lang w:eastAsia="en-AU"/>
        </w:rPr>
        <w:t>periodic method)</w:t>
      </w:r>
      <w:r w:rsidR="00925A3A" w:rsidRPr="00925A3A">
        <w:rPr>
          <w:szCs w:val="20"/>
          <w:lang w:eastAsia="en-AU"/>
        </w:rPr>
        <w:t xml:space="preserve"> to continue to apply that method even if the person has disposed of the shares under a returning share tr</w:t>
      </w:r>
      <w:r>
        <w:rPr>
          <w:szCs w:val="20"/>
          <w:lang w:eastAsia="en-AU"/>
        </w:rPr>
        <w:t>ansfer.</w:t>
      </w:r>
    </w:p>
    <w:p w14:paraId="20AEAA1A" w14:textId="77777777" w:rsidR="00525D97" w:rsidRDefault="00525D97" w:rsidP="00925A3A">
      <w:pPr>
        <w:rPr>
          <w:szCs w:val="20"/>
          <w:lang w:eastAsia="en-AU"/>
        </w:rPr>
      </w:pPr>
    </w:p>
    <w:p w14:paraId="67C05A2B" w14:textId="46FCEA5F" w:rsidR="00925A3A" w:rsidRPr="00925A3A" w:rsidRDefault="009B23BF" w:rsidP="00925A3A">
      <w:pPr>
        <w:rPr>
          <w:szCs w:val="20"/>
          <w:lang w:eastAsia="en-AU"/>
        </w:rPr>
      </w:pPr>
      <w:r>
        <w:rPr>
          <w:szCs w:val="20"/>
          <w:lang w:eastAsia="en-AU"/>
        </w:rPr>
        <w:lastRenderedPageBreak/>
        <w:t>In practice, this seemed</w:t>
      </w:r>
      <w:r w:rsidR="00925A3A" w:rsidRPr="00925A3A">
        <w:rPr>
          <w:szCs w:val="20"/>
          <w:lang w:eastAsia="en-AU"/>
        </w:rPr>
        <w:t xml:space="preserve"> to mean that replacement payments paid by th</w:t>
      </w:r>
      <w:r>
        <w:rPr>
          <w:szCs w:val="20"/>
          <w:lang w:eastAsia="en-AU"/>
        </w:rPr>
        <w:t>e share user could be</w:t>
      </w:r>
      <w:r w:rsidR="00925A3A" w:rsidRPr="00925A3A">
        <w:rPr>
          <w:szCs w:val="20"/>
          <w:lang w:eastAsia="en-AU"/>
        </w:rPr>
        <w:t xml:space="preserve"> treated as exempt (as dividends would be), and the share supplier </w:t>
      </w:r>
      <w:r>
        <w:rPr>
          <w:szCs w:val="20"/>
          <w:lang w:eastAsia="en-AU"/>
        </w:rPr>
        <w:t>would continue</w:t>
      </w:r>
      <w:r w:rsidR="00925A3A" w:rsidRPr="00925A3A">
        <w:rPr>
          <w:szCs w:val="20"/>
          <w:lang w:eastAsia="en-AU"/>
        </w:rPr>
        <w:t xml:space="preserve"> to pay tax only on the “fair dividend”</w:t>
      </w:r>
      <w:r w:rsidR="002D5667">
        <w:rPr>
          <w:szCs w:val="20"/>
          <w:lang w:eastAsia="en-AU"/>
        </w:rPr>
        <w:t xml:space="preserve">. </w:t>
      </w:r>
      <w:r w:rsidR="00925A3A" w:rsidRPr="00925A3A">
        <w:rPr>
          <w:szCs w:val="20"/>
          <w:lang w:eastAsia="en-AU"/>
        </w:rPr>
        <w:t>In order to avoid the potential for a hybrid mismatch counteraction in such</w:t>
      </w:r>
      <w:r>
        <w:rPr>
          <w:szCs w:val="20"/>
          <w:lang w:eastAsia="en-AU"/>
        </w:rPr>
        <w:t xml:space="preserve"> a case</w:t>
      </w:r>
      <w:r w:rsidR="00D855EB">
        <w:rPr>
          <w:szCs w:val="20"/>
          <w:lang w:eastAsia="en-AU"/>
        </w:rPr>
        <w:t xml:space="preserve"> (where the share user is a non-resident in a country with hybrid rules)</w:t>
      </w:r>
      <w:r>
        <w:rPr>
          <w:szCs w:val="20"/>
          <w:lang w:eastAsia="en-AU"/>
        </w:rPr>
        <w:t>, subsections EX 52(14C) and EX 53(16C) have been amended to deny</w:t>
      </w:r>
      <w:r w:rsidR="00925A3A" w:rsidRPr="00925A3A">
        <w:rPr>
          <w:szCs w:val="20"/>
          <w:lang w:eastAsia="en-AU"/>
        </w:rPr>
        <w:t xml:space="preserve"> the ability take this approach if the share user is related to the share supplier, or the returning share transfer is part of a structured arrangement</w:t>
      </w:r>
      <w:r w:rsidR="00525D97">
        <w:rPr>
          <w:szCs w:val="20"/>
          <w:lang w:eastAsia="en-AU"/>
        </w:rPr>
        <w:t xml:space="preserve"> (“related” and “structured arrangement” are defined terms in new section FH 15 discussed above)</w:t>
      </w:r>
      <w:r w:rsidR="002D5667">
        <w:rPr>
          <w:szCs w:val="20"/>
          <w:lang w:eastAsia="en-AU"/>
        </w:rPr>
        <w:t xml:space="preserve">. </w:t>
      </w:r>
      <w:r w:rsidR="00525D97">
        <w:rPr>
          <w:szCs w:val="20"/>
          <w:lang w:eastAsia="en-AU"/>
        </w:rPr>
        <w:t xml:space="preserve">In such circumstances, </w:t>
      </w:r>
      <w:r w:rsidR="00925A3A" w:rsidRPr="00925A3A">
        <w:rPr>
          <w:szCs w:val="20"/>
          <w:lang w:eastAsia="en-AU"/>
        </w:rPr>
        <w:t xml:space="preserve">the share supplier </w:t>
      </w:r>
      <w:r w:rsidR="00525D97">
        <w:rPr>
          <w:szCs w:val="20"/>
          <w:lang w:eastAsia="en-AU"/>
        </w:rPr>
        <w:t xml:space="preserve">now </w:t>
      </w:r>
      <w:r w:rsidR="00925A3A" w:rsidRPr="00925A3A">
        <w:rPr>
          <w:szCs w:val="20"/>
          <w:lang w:eastAsia="en-AU"/>
        </w:rPr>
        <w:t>has to apply the financial arrangement rules to</w:t>
      </w:r>
      <w:r w:rsidR="00525D97">
        <w:rPr>
          <w:szCs w:val="20"/>
          <w:lang w:eastAsia="en-AU"/>
        </w:rPr>
        <w:t xml:space="preserve"> the returning share transfer</w:t>
      </w:r>
      <w:r w:rsidR="002D5667">
        <w:rPr>
          <w:szCs w:val="20"/>
          <w:lang w:eastAsia="en-AU"/>
        </w:rPr>
        <w:t xml:space="preserve">. </w:t>
      </w:r>
      <w:r w:rsidR="00925A3A" w:rsidRPr="00925A3A">
        <w:rPr>
          <w:szCs w:val="20"/>
          <w:lang w:eastAsia="en-AU"/>
        </w:rPr>
        <w:t>The financial arrangement rules are comprehensive, and will ensure that replacement payments are taxable.</w:t>
      </w:r>
    </w:p>
    <w:p w14:paraId="595022B3" w14:textId="77777777" w:rsidR="00925A3A" w:rsidRPr="00925A3A" w:rsidRDefault="00925A3A" w:rsidP="00925A3A">
      <w:pPr>
        <w:jc w:val="left"/>
        <w:rPr>
          <w:szCs w:val="20"/>
          <w:lang w:eastAsia="en-AU"/>
        </w:rPr>
      </w:pPr>
      <w:r w:rsidRPr="00925A3A">
        <w:rPr>
          <w:szCs w:val="20"/>
          <w:lang w:eastAsia="en-AU"/>
        </w:rPr>
        <w:br w:type="page"/>
      </w:r>
    </w:p>
    <w:p w14:paraId="72500943" w14:textId="77777777" w:rsidR="00925A3A" w:rsidRPr="00925A3A" w:rsidRDefault="00925A3A" w:rsidP="00925A3A">
      <w:pPr>
        <w:keepNext/>
        <w:pBdr>
          <w:bottom w:val="single" w:sz="4" w:space="6" w:color="auto"/>
        </w:pBdr>
        <w:jc w:val="left"/>
        <w:outlineLvl w:val="0"/>
        <w:rPr>
          <w:b/>
          <w:caps/>
          <w:sz w:val="26"/>
          <w:szCs w:val="20"/>
          <w:lang w:eastAsia="en-AU"/>
        </w:rPr>
      </w:pPr>
      <w:bookmarkStart w:id="17" w:name="_Toc500319048"/>
      <w:r w:rsidRPr="00925A3A">
        <w:rPr>
          <w:b/>
          <w:caps/>
          <w:sz w:val="26"/>
          <w:szCs w:val="20"/>
          <w:lang w:eastAsia="en-AU"/>
        </w:rPr>
        <w:lastRenderedPageBreak/>
        <w:t>NRWT changes consequent on hybrid rules</w:t>
      </w:r>
      <w:bookmarkEnd w:id="17"/>
    </w:p>
    <w:p w14:paraId="03804030" w14:textId="77777777" w:rsidR="00925A3A" w:rsidRPr="00925A3A" w:rsidRDefault="00925A3A" w:rsidP="00925A3A">
      <w:pPr>
        <w:rPr>
          <w:szCs w:val="20"/>
          <w:lang w:eastAsia="en-AU"/>
        </w:rPr>
      </w:pPr>
    </w:p>
    <w:p w14:paraId="6A2B13D4" w14:textId="77777777" w:rsidR="00925A3A" w:rsidRPr="00925A3A" w:rsidRDefault="00525D97" w:rsidP="00925A3A">
      <w:pPr>
        <w:rPr>
          <w:b/>
          <w:i/>
          <w:szCs w:val="20"/>
          <w:lang w:eastAsia="en-AU"/>
        </w:rPr>
      </w:pPr>
      <w:r>
        <w:rPr>
          <w:b/>
          <w:i/>
          <w:szCs w:val="20"/>
          <w:lang w:eastAsia="en-AU"/>
        </w:rPr>
        <w:t>Section RF 2C</w:t>
      </w:r>
    </w:p>
    <w:p w14:paraId="11A4942B" w14:textId="77777777" w:rsidR="00525D97" w:rsidRDefault="00525D97" w:rsidP="00A314C8">
      <w:pPr>
        <w:rPr>
          <w:lang w:eastAsia="en-AU"/>
        </w:rPr>
      </w:pPr>
    </w:p>
    <w:p w14:paraId="71D4FB87" w14:textId="77777777" w:rsidR="00525D97" w:rsidRDefault="00525D97" w:rsidP="00A314C8">
      <w:pPr>
        <w:rPr>
          <w:lang w:eastAsia="en-AU"/>
        </w:rPr>
      </w:pPr>
    </w:p>
    <w:p w14:paraId="12C255F1" w14:textId="77777777" w:rsidR="00525D97" w:rsidRPr="00925A3A" w:rsidRDefault="00525D97" w:rsidP="00525D97">
      <w:pPr>
        <w:keepNext/>
        <w:outlineLvl w:val="1"/>
        <w:rPr>
          <w:b/>
          <w:szCs w:val="20"/>
          <w:lang w:eastAsia="en-AU"/>
        </w:rPr>
      </w:pPr>
      <w:r w:rsidRPr="00925A3A">
        <w:rPr>
          <w:b/>
          <w:szCs w:val="20"/>
          <w:lang w:eastAsia="en-AU"/>
        </w:rPr>
        <w:t>Background</w:t>
      </w:r>
    </w:p>
    <w:p w14:paraId="4467C79B" w14:textId="77777777" w:rsidR="00525D97" w:rsidRPr="00925A3A" w:rsidRDefault="00525D97" w:rsidP="00525D97">
      <w:pPr>
        <w:rPr>
          <w:szCs w:val="20"/>
          <w:lang w:eastAsia="en-AU"/>
        </w:rPr>
      </w:pPr>
    </w:p>
    <w:p w14:paraId="5C6162F8" w14:textId="04E4225D" w:rsidR="00525D97" w:rsidRPr="00925A3A" w:rsidRDefault="00D855EB" w:rsidP="00525D97">
      <w:pPr>
        <w:rPr>
          <w:szCs w:val="20"/>
          <w:lang w:eastAsia="en-AU"/>
        </w:rPr>
      </w:pPr>
      <w:r>
        <w:rPr>
          <w:snapToGrid w:val="0"/>
          <w:szCs w:val="20"/>
          <w:lang w:eastAsia="en-US"/>
        </w:rPr>
        <w:t>One</w:t>
      </w:r>
      <w:r w:rsidR="00525D97" w:rsidRPr="00925A3A">
        <w:rPr>
          <w:snapToGrid w:val="0"/>
          <w:szCs w:val="20"/>
          <w:lang w:eastAsia="en-US"/>
        </w:rPr>
        <w:t xml:space="preserve"> purpose of the</w:t>
      </w:r>
      <w:r w:rsidR="005F306F">
        <w:rPr>
          <w:snapToGrid w:val="0"/>
          <w:szCs w:val="20"/>
          <w:lang w:eastAsia="en-US"/>
        </w:rPr>
        <w:t xml:space="preserve"> non-resident financial arrangement income</w:t>
      </w:r>
      <w:r w:rsidR="00525D97" w:rsidRPr="00925A3A">
        <w:rPr>
          <w:snapToGrid w:val="0"/>
          <w:szCs w:val="20"/>
          <w:lang w:eastAsia="en-US"/>
        </w:rPr>
        <w:t xml:space="preserve"> </w:t>
      </w:r>
      <w:r w:rsidR="005F306F">
        <w:rPr>
          <w:snapToGrid w:val="0"/>
          <w:szCs w:val="20"/>
          <w:lang w:eastAsia="en-US"/>
        </w:rPr>
        <w:t>(“</w:t>
      </w:r>
      <w:r w:rsidR="00525D97" w:rsidRPr="00925A3A">
        <w:rPr>
          <w:snapToGrid w:val="0"/>
          <w:szCs w:val="20"/>
          <w:lang w:eastAsia="en-US"/>
        </w:rPr>
        <w:t>NRFAI</w:t>
      </w:r>
      <w:r w:rsidR="005F306F">
        <w:rPr>
          <w:snapToGrid w:val="0"/>
          <w:szCs w:val="20"/>
          <w:lang w:eastAsia="en-US"/>
        </w:rPr>
        <w:t>”)</w:t>
      </w:r>
      <w:r w:rsidR="00525D97" w:rsidRPr="00925A3A">
        <w:rPr>
          <w:snapToGrid w:val="0"/>
          <w:szCs w:val="20"/>
          <w:lang w:eastAsia="en-US"/>
        </w:rPr>
        <w:t xml:space="preserve"> definition is to identify situations where there is a sufficient degree of deferral between</w:t>
      </w:r>
      <w:r w:rsidR="008A55FF">
        <w:rPr>
          <w:snapToGrid w:val="0"/>
          <w:szCs w:val="20"/>
          <w:lang w:eastAsia="en-US"/>
        </w:rPr>
        <w:t xml:space="preserve"> </w:t>
      </w:r>
      <w:r w:rsidR="00525D97" w:rsidRPr="00925A3A">
        <w:rPr>
          <w:snapToGrid w:val="0"/>
          <w:szCs w:val="20"/>
          <w:lang w:eastAsia="en-US"/>
        </w:rPr>
        <w:t>deductions and</w:t>
      </w:r>
      <w:r w:rsidR="008A55FF">
        <w:rPr>
          <w:snapToGrid w:val="0"/>
          <w:szCs w:val="20"/>
          <w:lang w:eastAsia="en-US"/>
        </w:rPr>
        <w:t xml:space="preserve"> </w:t>
      </w:r>
      <w:r w:rsidR="00525D97" w:rsidRPr="00925A3A">
        <w:rPr>
          <w:snapToGrid w:val="0"/>
          <w:szCs w:val="20"/>
          <w:lang w:eastAsia="en-US"/>
        </w:rPr>
        <w:t>payments</w:t>
      </w:r>
      <w:r w:rsidR="008A55FF">
        <w:rPr>
          <w:szCs w:val="20"/>
          <w:lang w:eastAsia="en-AU"/>
        </w:rPr>
        <w:t xml:space="preserve"> </w:t>
      </w:r>
      <w:r w:rsidR="00525D97" w:rsidRPr="00925A3A">
        <w:rPr>
          <w:szCs w:val="20"/>
          <w:lang w:eastAsia="en-AU"/>
        </w:rPr>
        <w:t>under a financial arrangement between associated parties</w:t>
      </w:r>
      <w:r w:rsidR="008A55FF">
        <w:rPr>
          <w:szCs w:val="20"/>
          <w:lang w:eastAsia="en-AU"/>
        </w:rPr>
        <w:t xml:space="preserve"> </w:t>
      </w:r>
      <w:r w:rsidR="00525D97" w:rsidRPr="00925A3A">
        <w:rPr>
          <w:szCs w:val="20"/>
          <w:lang w:eastAsia="en-AU"/>
        </w:rPr>
        <w:t>that NRWT should be imposed on an accrual basis, rather than the usual payments basis</w:t>
      </w:r>
      <w:r w:rsidR="002D5667">
        <w:rPr>
          <w:szCs w:val="20"/>
          <w:lang w:eastAsia="en-AU"/>
        </w:rPr>
        <w:t xml:space="preserve">. </w:t>
      </w:r>
      <w:r>
        <w:rPr>
          <w:szCs w:val="20"/>
          <w:lang w:eastAsia="en-AU"/>
        </w:rPr>
        <w:t>Applying NRWT on an accrual basis</w:t>
      </w:r>
      <w:r w:rsidR="00525D97" w:rsidRPr="00925A3A">
        <w:rPr>
          <w:szCs w:val="20"/>
          <w:lang w:eastAsia="en-AU"/>
        </w:rPr>
        <w:t xml:space="preserve"> ensure</w:t>
      </w:r>
      <w:r>
        <w:rPr>
          <w:szCs w:val="20"/>
          <w:lang w:eastAsia="en-AU"/>
        </w:rPr>
        <w:t>s</w:t>
      </w:r>
      <w:r w:rsidR="00525D97" w:rsidRPr="00925A3A">
        <w:rPr>
          <w:szCs w:val="20"/>
          <w:lang w:eastAsia="en-AU"/>
        </w:rPr>
        <w:t xml:space="preserve"> that in such cases, there is a better matching between deductions for the borrower and the imposition of NRWT on the lender.</w:t>
      </w:r>
    </w:p>
    <w:p w14:paraId="1F1E9FE2" w14:textId="77777777" w:rsidR="00525D97" w:rsidRPr="00925A3A" w:rsidRDefault="00525D97" w:rsidP="00525D97">
      <w:pPr>
        <w:rPr>
          <w:szCs w:val="20"/>
          <w:lang w:eastAsia="en-AU"/>
        </w:rPr>
      </w:pPr>
    </w:p>
    <w:p w14:paraId="74E86821" w14:textId="05831849" w:rsidR="00525D97" w:rsidRPr="00925A3A" w:rsidRDefault="00525D97" w:rsidP="00525D97">
      <w:pPr>
        <w:rPr>
          <w:szCs w:val="20"/>
          <w:lang w:eastAsia="en-AU"/>
        </w:rPr>
      </w:pPr>
      <w:r w:rsidRPr="00925A3A">
        <w:rPr>
          <w:szCs w:val="20"/>
          <w:lang w:eastAsia="en-AU"/>
        </w:rPr>
        <w:t xml:space="preserve">However, the NRFAI definition looks at when expenditure is incurred, rather </w:t>
      </w:r>
      <w:r>
        <w:rPr>
          <w:szCs w:val="20"/>
          <w:lang w:eastAsia="en-AU"/>
        </w:rPr>
        <w:t xml:space="preserve">than </w:t>
      </w:r>
      <w:r w:rsidRPr="00925A3A">
        <w:rPr>
          <w:szCs w:val="20"/>
          <w:lang w:eastAsia="en-AU"/>
        </w:rPr>
        <w:t>when it is deductible</w:t>
      </w:r>
      <w:r w:rsidR="002D5667">
        <w:rPr>
          <w:szCs w:val="20"/>
          <w:lang w:eastAsia="en-AU"/>
        </w:rPr>
        <w:t xml:space="preserve">. </w:t>
      </w:r>
      <w:r w:rsidRPr="00925A3A">
        <w:rPr>
          <w:szCs w:val="20"/>
          <w:lang w:eastAsia="en-AU"/>
        </w:rPr>
        <w:t xml:space="preserve">This means that where a deduction for expenditure is denied or deferred under the hybrid rules, that denial or deferral is not taken into account, for </w:t>
      </w:r>
      <w:r>
        <w:rPr>
          <w:szCs w:val="20"/>
          <w:lang w:eastAsia="en-AU"/>
        </w:rPr>
        <w:t xml:space="preserve">the </w:t>
      </w:r>
      <w:r w:rsidRPr="00925A3A">
        <w:rPr>
          <w:szCs w:val="20"/>
          <w:lang w:eastAsia="en-AU"/>
        </w:rPr>
        <w:t>purposes of the NRFAI definition, because it does not affect the time when the expenditure is incurred</w:t>
      </w:r>
      <w:r w:rsidR="002D5667">
        <w:rPr>
          <w:szCs w:val="20"/>
          <w:lang w:eastAsia="en-AU"/>
        </w:rPr>
        <w:t xml:space="preserve">. </w:t>
      </w:r>
      <w:r w:rsidRPr="00925A3A">
        <w:rPr>
          <w:szCs w:val="20"/>
          <w:lang w:eastAsia="en-AU"/>
        </w:rPr>
        <w:t>This is not appropriate</w:t>
      </w:r>
      <w:r w:rsidR="002D5667">
        <w:rPr>
          <w:szCs w:val="20"/>
          <w:lang w:eastAsia="en-AU"/>
        </w:rPr>
        <w:t xml:space="preserve">. </w:t>
      </w:r>
      <w:r w:rsidRPr="00925A3A">
        <w:rPr>
          <w:szCs w:val="20"/>
          <w:lang w:eastAsia="en-AU"/>
        </w:rPr>
        <w:t xml:space="preserve">For example, </w:t>
      </w:r>
      <w:r w:rsidR="00962130">
        <w:rPr>
          <w:szCs w:val="20"/>
          <w:lang w:eastAsia="en-AU"/>
        </w:rPr>
        <w:t>suppose</w:t>
      </w:r>
      <w:r w:rsidRPr="00925A3A">
        <w:rPr>
          <w:szCs w:val="20"/>
          <w:lang w:eastAsia="en-AU"/>
        </w:rPr>
        <w:t xml:space="preserve"> interest expense is </w:t>
      </w:r>
      <w:r w:rsidR="00962130">
        <w:rPr>
          <w:szCs w:val="20"/>
          <w:lang w:eastAsia="en-AU"/>
        </w:rPr>
        <w:t xml:space="preserve">incurred in a year, but the deduction for the expense is </w:t>
      </w:r>
      <w:r w:rsidRPr="00925A3A">
        <w:rPr>
          <w:szCs w:val="20"/>
          <w:lang w:eastAsia="en-AU"/>
        </w:rPr>
        <w:t>deferred under section FH 5</w:t>
      </w:r>
      <w:r w:rsidR="002D5667">
        <w:rPr>
          <w:szCs w:val="20"/>
          <w:lang w:eastAsia="en-AU"/>
        </w:rPr>
        <w:t xml:space="preserve">. </w:t>
      </w:r>
      <w:r w:rsidR="00962130">
        <w:rPr>
          <w:szCs w:val="20"/>
          <w:lang w:eastAsia="en-AU"/>
        </w:rPr>
        <w:t>In that case</w:t>
      </w:r>
      <w:r w:rsidRPr="00925A3A">
        <w:rPr>
          <w:szCs w:val="20"/>
          <w:lang w:eastAsia="en-AU"/>
        </w:rPr>
        <w:t xml:space="preserve"> there can be no deferral between </w:t>
      </w:r>
      <w:r w:rsidR="00962130">
        <w:rPr>
          <w:szCs w:val="20"/>
          <w:lang w:eastAsia="en-AU"/>
        </w:rPr>
        <w:t xml:space="preserve">the allowing of a </w:t>
      </w:r>
      <w:r w:rsidRPr="00925A3A">
        <w:rPr>
          <w:szCs w:val="20"/>
          <w:lang w:eastAsia="en-AU"/>
        </w:rPr>
        <w:t xml:space="preserve">deduction and </w:t>
      </w:r>
      <w:r w:rsidR="00962130">
        <w:rPr>
          <w:szCs w:val="20"/>
          <w:lang w:eastAsia="en-AU"/>
        </w:rPr>
        <w:t xml:space="preserve">the payment of </w:t>
      </w:r>
      <w:r w:rsidRPr="00925A3A">
        <w:rPr>
          <w:szCs w:val="20"/>
          <w:lang w:eastAsia="en-AU"/>
        </w:rPr>
        <w:t>NRWT until the deduction is allowed</w:t>
      </w:r>
      <w:r w:rsidR="00962130">
        <w:rPr>
          <w:szCs w:val="20"/>
          <w:lang w:eastAsia="en-AU"/>
        </w:rPr>
        <w:t xml:space="preserve"> by the hybrid rules</w:t>
      </w:r>
      <w:r w:rsidRPr="00925A3A">
        <w:rPr>
          <w:szCs w:val="20"/>
          <w:lang w:eastAsia="en-AU"/>
        </w:rPr>
        <w:t>.</w:t>
      </w:r>
    </w:p>
    <w:p w14:paraId="12EFC1B0" w14:textId="77777777" w:rsidR="00925A3A" w:rsidRPr="00925A3A" w:rsidRDefault="00925A3A" w:rsidP="00925A3A">
      <w:pPr>
        <w:rPr>
          <w:szCs w:val="20"/>
          <w:lang w:eastAsia="en-AU"/>
        </w:rPr>
      </w:pPr>
    </w:p>
    <w:p w14:paraId="12E62E9E" w14:textId="77777777" w:rsidR="00925A3A" w:rsidRPr="00925A3A" w:rsidRDefault="00925A3A" w:rsidP="00925A3A">
      <w:pPr>
        <w:rPr>
          <w:szCs w:val="20"/>
          <w:lang w:eastAsia="en-AU"/>
        </w:rPr>
      </w:pPr>
    </w:p>
    <w:p w14:paraId="23972749" w14:textId="77777777" w:rsidR="00925A3A" w:rsidRPr="00925A3A" w:rsidRDefault="00525D97" w:rsidP="00925A3A">
      <w:pPr>
        <w:keepNext/>
        <w:outlineLvl w:val="1"/>
        <w:rPr>
          <w:b/>
          <w:szCs w:val="20"/>
          <w:lang w:eastAsia="en-AU"/>
        </w:rPr>
      </w:pPr>
      <w:r>
        <w:rPr>
          <w:b/>
          <w:szCs w:val="20"/>
          <w:lang w:eastAsia="en-AU"/>
        </w:rPr>
        <w:t xml:space="preserve">Summary </w:t>
      </w:r>
      <w:r w:rsidR="00BC732B">
        <w:rPr>
          <w:b/>
          <w:szCs w:val="20"/>
          <w:lang w:eastAsia="en-AU"/>
        </w:rPr>
        <w:t>of legislative response</w:t>
      </w:r>
    </w:p>
    <w:p w14:paraId="78CAE4B9" w14:textId="77777777" w:rsidR="00525D97" w:rsidRDefault="00525D97" w:rsidP="00925A3A">
      <w:pPr>
        <w:rPr>
          <w:szCs w:val="20"/>
          <w:lang w:eastAsia="en-AU"/>
        </w:rPr>
      </w:pPr>
    </w:p>
    <w:p w14:paraId="1AB578CF" w14:textId="7AA3CBAA" w:rsidR="00925A3A" w:rsidRPr="00925A3A" w:rsidRDefault="00525D97" w:rsidP="00925A3A">
      <w:pPr>
        <w:rPr>
          <w:szCs w:val="20"/>
          <w:lang w:eastAsia="en-AU"/>
        </w:rPr>
      </w:pPr>
      <w:r>
        <w:rPr>
          <w:szCs w:val="20"/>
          <w:lang w:eastAsia="en-AU"/>
        </w:rPr>
        <w:t>T</w:t>
      </w:r>
      <w:r w:rsidR="00925A3A" w:rsidRPr="00925A3A">
        <w:rPr>
          <w:szCs w:val="20"/>
          <w:lang w:eastAsia="en-AU"/>
        </w:rPr>
        <w:t>he formula for determining whether a financial arrangement gives rise to non-resident financial arrangement income (NRFAI)</w:t>
      </w:r>
      <w:r>
        <w:rPr>
          <w:szCs w:val="20"/>
          <w:lang w:eastAsia="en-AU"/>
        </w:rPr>
        <w:t xml:space="preserve"> in section RF 2C has been amended</w:t>
      </w:r>
      <w:r w:rsidR="002D5667">
        <w:rPr>
          <w:szCs w:val="20"/>
          <w:lang w:eastAsia="en-AU"/>
        </w:rPr>
        <w:t xml:space="preserve">. </w:t>
      </w:r>
      <w:r w:rsidR="00925A3A" w:rsidRPr="00925A3A">
        <w:rPr>
          <w:szCs w:val="20"/>
          <w:lang w:eastAsia="en-AU"/>
        </w:rPr>
        <w:t>It is intended to ensure that expenditure for which a deduction is denied or deferred under the hybrid rules is not taken into account in determining whether a loan gives rise to non-resident financial arrangement income.</w:t>
      </w:r>
    </w:p>
    <w:p w14:paraId="3EE84A62" w14:textId="77777777" w:rsidR="00925A3A" w:rsidRPr="00925A3A" w:rsidRDefault="00925A3A" w:rsidP="00925A3A">
      <w:pPr>
        <w:rPr>
          <w:szCs w:val="20"/>
          <w:lang w:eastAsia="en-AU"/>
        </w:rPr>
      </w:pPr>
    </w:p>
    <w:p w14:paraId="707A5961" w14:textId="77777777" w:rsidR="00925A3A" w:rsidRPr="00925A3A" w:rsidRDefault="00925A3A" w:rsidP="00925A3A">
      <w:pPr>
        <w:rPr>
          <w:szCs w:val="20"/>
          <w:lang w:eastAsia="en-AU"/>
        </w:rPr>
      </w:pPr>
    </w:p>
    <w:p w14:paraId="20C3DEE4" w14:textId="77777777" w:rsidR="00925A3A" w:rsidRPr="00925A3A" w:rsidRDefault="00925A3A" w:rsidP="00925A3A">
      <w:pPr>
        <w:keepNext/>
        <w:outlineLvl w:val="1"/>
        <w:rPr>
          <w:b/>
          <w:szCs w:val="20"/>
          <w:lang w:eastAsia="en-AU"/>
        </w:rPr>
      </w:pPr>
      <w:r w:rsidRPr="00925A3A">
        <w:rPr>
          <w:b/>
          <w:szCs w:val="20"/>
          <w:lang w:eastAsia="en-AU"/>
        </w:rPr>
        <w:t>Application date</w:t>
      </w:r>
    </w:p>
    <w:p w14:paraId="154AA606" w14:textId="77777777" w:rsidR="00925A3A" w:rsidRPr="00925A3A" w:rsidRDefault="00925A3A" w:rsidP="00925A3A">
      <w:pPr>
        <w:rPr>
          <w:szCs w:val="20"/>
          <w:lang w:eastAsia="en-AU"/>
        </w:rPr>
      </w:pPr>
    </w:p>
    <w:p w14:paraId="6BCFFBCF" w14:textId="77777777" w:rsidR="00925A3A" w:rsidRPr="00925A3A" w:rsidRDefault="00925A3A" w:rsidP="00925A3A">
      <w:pPr>
        <w:rPr>
          <w:szCs w:val="20"/>
          <w:lang w:eastAsia="en-AU"/>
        </w:rPr>
      </w:pPr>
      <w:r w:rsidRPr="00925A3A">
        <w:rPr>
          <w:szCs w:val="20"/>
          <w:lang w:eastAsia="en-AU"/>
        </w:rPr>
        <w:t>The amendment applies for income years beginning on or after 1 July 2018.</w:t>
      </w:r>
    </w:p>
    <w:p w14:paraId="24FC26EB" w14:textId="77777777" w:rsidR="00925A3A" w:rsidRPr="00925A3A" w:rsidRDefault="00925A3A" w:rsidP="00925A3A">
      <w:pPr>
        <w:rPr>
          <w:snapToGrid w:val="0"/>
          <w:szCs w:val="20"/>
          <w:lang w:eastAsia="en-US"/>
        </w:rPr>
      </w:pPr>
    </w:p>
    <w:p w14:paraId="786DBC71" w14:textId="77777777" w:rsidR="00925A3A" w:rsidRPr="00925A3A" w:rsidRDefault="00925A3A" w:rsidP="00925A3A">
      <w:pPr>
        <w:rPr>
          <w:snapToGrid w:val="0"/>
          <w:szCs w:val="20"/>
          <w:lang w:eastAsia="en-US"/>
        </w:rPr>
      </w:pPr>
    </w:p>
    <w:p w14:paraId="24E3284C" w14:textId="77777777" w:rsidR="00925A3A" w:rsidRPr="00925A3A" w:rsidRDefault="00925A3A" w:rsidP="00925A3A">
      <w:pPr>
        <w:keepNext/>
        <w:outlineLvl w:val="1"/>
        <w:rPr>
          <w:b/>
          <w:szCs w:val="20"/>
          <w:lang w:eastAsia="en-AU"/>
        </w:rPr>
      </w:pPr>
      <w:r w:rsidRPr="00925A3A">
        <w:rPr>
          <w:b/>
          <w:szCs w:val="20"/>
          <w:lang w:eastAsia="en-AU"/>
        </w:rPr>
        <w:t>Detailed analysis</w:t>
      </w:r>
    </w:p>
    <w:p w14:paraId="398DBF28" w14:textId="77777777" w:rsidR="00925A3A" w:rsidRPr="00925A3A" w:rsidRDefault="00925A3A" w:rsidP="00925A3A">
      <w:pPr>
        <w:rPr>
          <w:szCs w:val="20"/>
          <w:lang w:eastAsia="en-AU"/>
        </w:rPr>
      </w:pPr>
    </w:p>
    <w:p w14:paraId="0DEB2951" w14:textId="18BDCD51" w:rsidR="00080E70" w:rsidRDefault="00525D97" w:rsidP="00925A3A">
      <w:pPr>
        <w:rPr>
          <w:snapToGrid w:val="0"/>
          <w:szCs w:val="20"/>
          <w:lang w:eastAsia="en-US"/>
        </w:rPr>
      </w:pPr>
      <w:r>
        <w:rPr>
          <w:snapToGrid w:val="0"/>
          <w:szCs w:val="20"/>
          <w:lang w:eastAsia="en-US"/>
        </w:rPr>
        <w:t>Subsection RF 2</w:t>
      </w:r>
      <w:proofErr w:type="gramStart"/>
      <w:r>
        <w:rPr>
          <w:snapToGrid w:val="0"/>
          <w:szCs w:val="20"/>
          <w:lang w:eastAsia="en-US"/>
        </w:rPr>
        <w:t>C(</w:t>
      </w:r>
      <w:proofErr w:type="gramEnd"/>
      <w:r>
        <w:rPr>
          <w:snapToGrid w:val="0"/>
          <w:szCs w:val="20"/>
          <w:lang w:eastAsia="en-US"/>
        </w:rPr>
        <w:t>4) has been amended to reduce</w:t>
      </w:r>
      <w:r w:rsidR="00925A3A" w:rsidRPr="00925A3A">
        <w:rPr>
          <w:snapToGrid w:val="0"/>
          <w:szCs w:val="20"/>
          <w:lang w:eastAsia="en-US"/>
        </w:rPr>
        <w:t xml:space="preserve"> the amount of the denominator in the formula used to determine whether a loan gives rise to NRFAI.</w:t>
      </w:r>
    </w:p>
    <w:p w14:paraId="119CBC5B" w14:textId="77777777" w:rsidR="00080E70" w:rsidRDefault="00080E70" w:rsidP="00925A3A">
      <w:pPr>
        <w:rPr>
          <w:snapToGrid w:val="0"/>
          <w:szCs w:val="20"/>
          <w:lang w:eastAsia="en-US"/>
        </w:rPr>
      </w:pPr>
    </w:p>
    <w:p w14:paraId="44F29DD0" w14:textId="2E0DF63B" w:rsidR="00925A3A" w:rsidRPr="00925A3A" w:rsidRDefault="004824AE" w:rsidP="00925A3A">
      <w:pPr>
        <w:rPr>
          <w:snapToGrid w:val="0"/>
          <w:szCs w:val="20"/>
          <w:lang w:eastAsia="en-US"/>
        </w:rPr>
      </w:pPr>
      <w:r>
        <w:rPr>
          <w:snapToGrid w:val="0"/>
          <w:szCs w:val="20"/>
          <w:lang w:eastAsia="en-US"/>
        </w:rPr>
        <w:t xml:space="preserve">The accumulated accruals in the denominator is now reduced by the amount of deductions which have been </w:t>
      </w:r>
      <w:r w:rsidR="00925A3A" w:rsidRPr="00925A3A">
        <w:rPr>
          <w:snapToGrid w:val="0"/>
          <w:szCs w:val="20"/>
          <w:lang w:eastAsia="en-US"/>
        </w:rPr>
        <w:t>denied under the hybrid rules</w:t>
      </w:r>
      <w:r>
        <w:rPr>
          <w:snapToGrid w:val="0"/>
          <w:szCs w:val="20"/>
          <w:lang w:eastAsia="en-US"/>
        </w:rPr>
        <w:t xml:space="preserve"> in subpart FH (referred to as “hybrid deductions”).</w:t>
      </w:r>
    </w:p>
    <w:p w14:paraId="2A9D1B97" w14:textId="77777777" w:rsidR="00925A3A" w:rsidRPr="00925A3A" w:rsidRDefault="00925A3A" w:rsidP="00925A3A">
      <w:pPr>
        <w:jc w:val="left"/>
        <w:rPr>
          <w:szCs w:val="20"/>
          <w:lang w:eastAsia="en-AU"/>
        </w:rPr>
      </w:pPr>
      <w:r w:rsidRPr="00925A3A">
        <w:rPr>
          <w:szCs w:val="20"/>
          <w:lang w:eastAsia="en-AU"/>
        </w:rPr>
        <w:br w:type="page"/>
      </w:r>
    </w:p>
    <w:p w14:paraId="68384054" w14:textId="77777777" w:rsidR="00925A3A" w:rsidRPr="00925A3A" w:rsidRDefault="00925A3A" w:rsidP="00925A3A">
      <w:pPr>
        <w:keepNext/>
        <w:pBdr>
          <w:bottom w:val="single" w:sz="4" w:space="6" w:color="auto"/>
        </w:pBdr>
        <w:jc w:val="left"/>
        <w:outlineLvl w:val="0"/>
        <w:rPr>
          <w:b/>
          <w:caps/>
          <w:sz w:val="26"/>
          <w:szCs w:val="20"/>
          <w:lang w:eastAsia="en-AU"/>
        </w:rPr>
      </w:pPr>
      <w:bookmarkStart w:id="18" w:name="_Toc500319049"/>
      <w:r w:rsidRPr="00925A3A">
        <w:rPr>
          <w:b/>
          <w:caps/>
          <w:sz w:val="26"/>
          <w:szCs w:val="20"/>
          <w:lang w:eastAsia="en-AU"/>
        </w:rPr>
        <w:lastRenderedPageBreak/>
        <w:t>Thin capitalisation changes consequent upon hybrid rules</w:t>
      </w:r>
      <w:bookmarkEnd w:id="18"/>
    </w:p>
    <w:p w14:paraId="5108B380" w14:textId="77777777" w:rsidR="00925A3A" w:rsidRPr="00925A3A" w:rsidRDefault="00925A3A" w:rsidP="00925A3A">
      <w:pPr>
        <w:rPr>
          <w:szCs w:val="20"/>
          <w:lang w:eastAsia="en-AU"/>
        </w:rPr>
      </w:pPr>
    </w:p>
    <w:p w14:paraId="55DB1F4C" w14:textId="0BF5FB97" w:rsidR="00925A3A" w:rsidRPr="00925A3A" w:rsidRDefault="009E2441" w:rsidP="00925A3A">
      <w:pPr>
        <w:rPr>
          <w:b/>
          <w:i/>
          <w:szCs w:val="20"/>
          <w:lang w:eastAsia="en-AU"/>
        </w:rPr>
      </w:pPr>
      <w:r>
        <w:rPr>
          <w:b/>
          <w:i/>
          <w:szCs w:val="20"/>
          <w:lang w:eastAsia="en-AU"/>
        </w:rPr>
        <w:t>Section FE 6(2), FE 6(3)(a), FE 6(</w:t>
      </w:r>
      <w:proofErr w:type="gramStart"/>
      <w:r>
        <w:rPr>
          <w:b/>
          <w:i/>
          <w:szCs w:val="20"/>
          <w:lang w:eastAsia="en-AU"/>
        </w:rPr>
        <w:t>3)(</w:t>
      </w:r>
      <w:proofErr w:type="gramEnd"/>
      <w:r>
        <w:rPr>
          <w:b/>
          <w:i/>
          <w:szCs w:val="20"/>
          <w:lang w:eastAsia="en-AU"/>
        </w:rPr>
        <w:t>aba), FE 7(3)(b), FE 15(1)(a), FE 21(3), and FE 23</w:t>
      </w:r>
    </w:p>
    <w:p w14:paraId="524C92BB" w14:textId="77777777" w:rsidR="00925A3A" w:rsidRPr="00925A3A" w:rsidRDefault="00925A3A" w:rsidP="00925A3A">
      <w:pPr>
        <w:rPr>
          <w:szCs w:val="20"/>
          <w:lang w:eastAsia="en-AU"/>
        </w:rPr>
      </w:pPr>
    </w:p>
    <w:p w14:paraId="5EA5EDE4" w14:textId="77777777" w:rsidR="002A746A" w:rsidRPr="00896B00" w:rsidRDefault="002A746A" w:rsidP="002A746A">
      <w:pPr>
        <w:rPr>
          <w:szCs w:val="20"/>
          <w:lang w:eastAsia="en-AU"/>
        </w:rPr>
      </w:pPr>
    </w:p>
    <w:p w14:paraId="1EA43B7E" w14:textId="77777777" w:rsidR="002A746A" w:rsidRPr="00925A3A" w:rsidRDefault="002A746A" w:rsidP="002A746A">
      <w:pPr>
        <w:rPr>
          <w:b/>
          <w:szCs w:val="20"/>
          <w:lang w:eastAsia="en-AU"/>
        </w:rPr>
      </w:pPr>
      <w:r w:rsidRPr="00925A3A">
        <w:rPr>
          <w:b/>
          <w:szCs w:val="20"/>
          <w:lang w:eastAsia="en-AU"/>
        </w:rPr>
        <w:t>Background</w:t>
      </w:r>
    </w:p>
    <w:p w14:paraId="1D8B0753" w14:textId="77777777" w:rsidR="002A746A" w:rsidRPr="00925A3A" w:rsidRDefault="002A746A" w:rsidP="002A746A">
      <w:pPr>
        <w:rPr>
          <w:szCs w:val="20"/>
          <w:lang w:eastAsia="en-AU"/>
        </w:rPr>
      </w:pPr>
    </w:p>
    <w:p w14:paraId="79A4B79E" w14:textId="5C7271E7" w:rsidR="002A746A" w:rsidRPr="00925A3A" w:rsidRDefault="002A746A" w:rsidP="002A746A">
      <w:pPr>
        <w:rPr>
          <w:snapToGrid w:val="0"/>
          <w:szCs w:val="20"/>
          <w:lang w:eastAsia="en-US"/>
        </w:rPr>
      </w:pPr>
      <w:r w:rsidRPr="00925A3A">
        <w:rPr>
          <w:snapToGrid w:val="0"/>
          <w:szCs w:val="20"/>
          <w:lang w:eastAsia="en-US"/>
        </w:rPr>
        <w:t>The thin capitalisation rules prevent a multinational group taking deductions for interest expense in New Zealand to the extent that it is excessively highly leveraged</w:t>
      </w:r>
      <w:r w:rsidR="002D5667">
        <w:rPr>
          <w:snapToGrid w:val="0"/>
          <w:szCs w:val="20"/>
          <w:lang w:eastAsia="en-US"/>
        </w:rPr>
        <w:t xml:space="preserve">. </w:t>
      </w:r>
      <w:r w:rsidRPr="00925A3A">
        <w:rPr>
          <w:snapToGrid w:val="0"/>
          <w:szCs w:val="20"/>
          <w:lang w:eastAsia="en-US"/>
        </w:rPr>
        <w:t>Leverage is determined by comparing debt with asse</w:t>
      </w:r>
      <w:r>
        <w:rPr>
          <w:snapToGrid w:val="0"/>
          <w:szCs w:val="20"/>
          <w:lang w:eastAsia="en-US"/>
        </w:rPr>
        <w:t xml:space="preserve">ts less </w:t>
      </w:r>
      <w:r w:rsidRPr="00925A3A">
        <w:rPr>
          <w:snapToGrid w:val="0"/>
          <w:szCs w:val="20"/>
          <w:lang w:eastAsia="en-US"/>
        </w:rPr>
        <w:t>non-debt liabilities.</w:t>
      </w:r>
    </w:p>
    <w:p w14:paraId="3F2518A4" w14:textId="77777777" w:rsidR="002A746A" w:rsidRPr="00925A3A" w:rsidRDefault="002A746A" w:rsidP="002A746A">
      <w:pPr>
        <w:rPr>
          <w:snapToGrid w:val="0"/>
          <w:szCs w:val="20"/>
          <w:lang w:eastAsia="en-US"/>
        </w:rPr>
      </w:pPr>
    </w:p>
    <w:p w14:paraId="0D2F2951" w14:textId="03D1F7EE" w:rsidR="002A746A" w:rsidRPr="00925A3A" w:rsidRDefault="002A746A" w:rsidP="002A746A">
      <w:pPr>
        <w:rPr>
          <w:snapToGrid w:val="0"/>
          <w:szCs w:val="20"/>
          <w:lang w:eastAsia="en-US"/>
        </w:rPr>
      </w:pPr>
      <w:r w:rsidRPr="00925A3A">
        <w:rPr>
          <w:snapToGrid w:val="0"/>
          <w:szCs w:val="20"/>
          <w:lang w:eastAsia="en-US"/>
        </w:rPr>
        <w:t>If a deduction is permanently denied for interest under the hybrid rules, it is not appropriate for that amount to be treated as interest under the thin capitalisation rules</w:t>
      </w:r>
      <w:r w:rsidR="002D5667">
        <w:rPr>
          <w:snapToGrid w:val="0"/>
          <w:szCs w:val="20"/>
          <w:lang w:eastAsia="en-US"/>
        </w:rPr>
        <w:t xml:space="preserve">. </w:t>
      </w:r>
      <w:r w:rsidRPr="00925A3A">
        <w:rPr>
          <w:snapToGrid w:val="0"/>
          <w:szCs w:val="20"/>
          <w:lang w:eastAsia="en-US"/>
        </w:rPr>
        <w:t>Such treatment could result in that amount being subject (effectively) to an additional denial of deduction</w:t>
      </w:r>
      <w:r w:rsidR="002D5667">
        <w:rPr>
          <w:snapToGrid w:val="0"/>
          <w:szCs w:val="20"/>
          <w:lang w:eastAsia="en-US"/>
        </w:rPr>
        <w:t xml:space="preserve">. </w:t>
      </w:r>
      <w:r w:rsidRPr="00925A3A">
        <w:rPr>
          <w:snapToGrid w:val="0"/>
          <w:szCs w:val="20"/>
          <w:lang w:eastAsia="en-US"/>
        </w:rPr>
        <w:t>It is also not appropriate for the debt giving rise to that interest to be treated as interest-bearing debt</w:t>
      </w:r>
      <w:r w:rsidR="002D5667">
        <w:rPr>
          <w:snapToGrid w:val="0"/>
          <w:szCs w:val="20"/>
          <w:lang w:eastAsia="en-US"/>
        </w:rPr>
        <w:t xml:space="preserve">. </w:t>
      </w:r>
      <w:r w:rsidRPr="00925A3A">
        <w:rPr>
          <w:snapToGrid w:val="0"/>
          <w:szCs w:val="20"/>
          <w:lang w:eastAsia="en-US"/>
        </w:rPr>
        <w:t>It should be treated as either equity or a non-debt liability.</w:t>
      </w:r>
    </w:p>
    <w:p w14:paraId="6550C4D1" w14:textId="77777777" w:rsidR="002A746A" w:rsidRPr="00925A3A" w:rsidRDefault="002A746A" w:rsidP="002A746A">
      <w:pPr>
        <w:rPr>
          <w:snapToGrid w:val="0"/>
          <w:szCs w:val="20"/>
          <w:lang w:eastAsia="en-US"/>
        </w:rPr>
      </w:pPr>
    </w:p>
    <w:p w14:paraId="669B6F33" w14:textId="335BEE93" w:rsidR="002A746A" w:rsidRDefault="002A746A" w:rsidP="002A746A">
      <w:pPr>
        <w:rPr>
          <w:snapToGrid w:val="0"/>
          <w:szCs w:val="20"/>
          <w:lang w:eastAsia="en-US"/>
        </w:rPr>
      </w:pPr>
      <w:r w:rsidRPr="00925A3A">
        <w:rPr>
          <w:snapToGrid w:val="0"/>
          <w:szCs w:val="20"/>
          <w:lang w:eastAsia="en-US"/>
        </w:rPr>
        <w:t xml:space="preserve">If a deduction is </w:t>
      </w:r>
      <w:r w:rsidR="007B706A">
        <w:rPr>
          <w:snapToGrid w:val="0"/>
          <w:szCs w:val="20"/>
          <w:lang w:eastAsia="en-US"/>
        </w:rPr>
        <w:t>denied</w:t>
      </w:r>
      <w:r w:rsidR="007B706A" w:rsidRPr="00925A3A">
        <w:rPr>
          <w:snapToGrid w:val="0"/>
          <w:szCs w:val="20"/>
          <w:lang w:eastAsia="en-US"/>
        </w:rPr>
        <w:t xml:space="preserve"> </w:t>
      </w:r>
      <w:r w:rsidRPr="00925A3A">
        <w:rPr>
          <w:snapToGrid w:val="0"/>
          <w:szCs w:val="20"/>
          <w:lang w:eastAsia="en-US"/>
        </w:rPr>
        <w:t xml:space="preserve">under the hybrid rules, there is a possibility that </w:t>
      </w:r>
      <w:r w:rsidR="007B706A">
        <w:rPr>
          <w:snapToGrid w:val="0"/>
          <w:szCs w:val="20"/>
          <w:lang w:eastAsia="en-US"/>
        </w:rPr>
        <w:t>a deduction</w:t>
      </w:r>
      <w:r w:rsidRPr="00925A3A">
        <w:rPr>
          <w:snapToGrid w:val="0"/>
          <w:szCs w:val="20"/>
          <w:lang w:eastAsia="en-US"/>
        </w:rPr>
        <w:t xml:space="preserve"> will subsequently be allowed, by reason of being offset against surplus assessable income</w:t>
      </w:r>
      <w:r>
        <w:rPr>
          <w:snapToGrid w:val="0"/>
          <w:szCs w:val="20"/>
          <w:lang w:eastAsia="en-US"/>
        </w:rPr>
        <w:t xml:space="preserve"> under new section FH 12</w:t>
      </w:r>
      <w:r w:rsidR="002D5667">
        <w:rPr>
          <w:snapToGrid w:val="0"/>
          <w:szCs w:val="20"/>
          <w:lang w:eastAsia="en-US"/>
        </w:rPr>
        <w:t xml:space="preserve">. </w:t>
      </w:r>
      <w:r w:rsidR="008A55FF">
        <w:rPr>
          <w:snapToGrid w:val="0"/>
          <w:szCs w:val="20"/>
          <w:lang w:eastAsia="en-US"/>
        </w:rPr>
        <w:t xml:space="preserve">Application of the thin capitalisation rules to such </w:t>
      </w:r>
      <w:r w:rsidRPr="00925A3A">
        <w:rPr>
          <w:snapToGrid w:val="0"/>
          <w:szCs w:val="20"/>
          <w:lang w:eastAsia="en-US"/>
        </w:rPr>
        <w:t>interest should depend on the position of the New Zealand borrower and its worldwide group at the time the interest is incurred</w:t>
      </w:r>
      <w:r w:rsidR="002D5667">
        <w:rPr>
          <w:snapToGrid w:val="0"/>
          <w:szCs w:val="20"/>
          <w:lang w:eastAsia="en-US"/>
        </w:rPr>
        <w:t xml:space="preserve">. </w:t>
      </w:r>
      <w:r w:rsidRPr="00925A3A">
        <w:rPr>
          <w:snapToGrid w:val="0"/>
          <w:szCs w:val="20"/>
          <w:lang w:eastAsia="en-US"/>
        </w:rPr>
        <w:t>Accordingly, no amendment to the current thin capitalisation rules is required in respect of such interest.</w:t>
      </w:r>
    </w:p>
    <w:p w14:paraId="657770E1" w14:textId="18575F9E" w:rsidR="009E2441" w:rsidRDefault="009E2441" w:rsidP="002A746A">
      <w:pPr>
        <w:rPr>
          <w:snapToGrid w:val="0"/>
          <w:szCs w:val="20"/>
          <w:lang w:eastAsia="en-US"/>
        </w:rPr>
      </w:pPr>
    </w:p>
    <w:p w14:paraId="6AFBE2D3" w14:textId="02B1945E" w:rsidR="009E2441" w:rsidRPr="00925A3A" w:rsidRDefault="009E2441" w:rsidP="002A746A">
      <w:pPr>
        <w:rPr>
          <w:snapToGrid w:val="0"/>
          <w:szCs w:val="20"/>
          <w:lang w:eastAsia="en-US"/>
        </w:rPr>
      </w:pPr>
      <w:r>
        <w:rPr>
          <w:snapToGrid w:val="0"/>
          <w:szCs w:val="20"/>
          <w:lang w:eastAsia="en-US"/>
        </w:rPr>
        <w:t>Separate thin capitalisation rules apply to registered banks controlled by a single non-resident. Consequential changes have been made to these rules for the same reason as for the generic thin capitalisation rules.</w:t>
      </w:r>
    </w:p>
    <w:p w14:paraId="7405D93B" w14:textId="77777777" w:rsidR="002A746A" w:rsidRDefault="002A746A" w:rsidP="00925A3A">
      <w:pPr>
        <w:rPr>
          <w:snapToGrid w:val="0"/>
          <w:szCs w:val="20"/>
          <w:lang w:eastAsia="en-US"/>
        </w:rPr>
      </w:pPr>
    </w:p>
    <w:p w14:paraId="1F6BA73E" w14:textId="77777777" w:rsidR="002A746A" w:rsidRPr="00925A3A" w:rsidRDefault="002A746A" w:rsidP="00925A3A">
      <w:pPr>
        <w:rPr>
          <w:szCs w:val="20"/>
          <w:lang w:eastAsia="en-AU"/>
        </w:rPr>
      </w:pPr>
    </w:p>
    <w:p w14:paraId="52C2DB51" w14:textId="77777777" w:rsidR="009E2441" w:rsidRPr="00925A3A" w:rsidRDefault="009E2441" w:rsidP="009E2441">
      <w:pPr>
        <w:keepNext/>
        <w:outlineLvl w:val="1"/>
        <w:rPr>
          <w:b/>
          <w:szCs w:val="20"/>
          <w:lang w:eastAsia="en-AU"/>
        </w:rPr>
      </w:pPr>
      <w:r w:rsidRPr="00925A3A">
        <w:rPr>
          <w:b/>
          <w:szCs w:val="20"/>
          <w:lang w:eastAsia="en-AU"/>
        </w:rPr>
        <w:t xml:space="preserve">Summary </w:t>
      </w:r>
      <w:r>
        <w:rPr>
          <w:b/>
          <w:szCs w:val="20"/>
          <w:lang w:eastAsia="en-AU"/>
        </w:rPr>
        <w:t>of legislative response</w:t>
      </w:r>
    </w:p>
    <w:p w14:paraId="186483CD" w14:textId="77777777" w:rsidR="009E2441" w:rsidRPr="00925A3A" w:rsidRDefault="009E2441" w:rsidP="009E2441">
      <w:pPr>
        <w:rPr>
          <w:szCs w:val="20"/>
          <w:lang w:eastAsia="en-AU"/>
        </w:rPr>
      </w:pPr>
    </w:p>
    <w:p w14:paraId="63210CFD" w14:textId="77777777" w:rsidR="009E2441" w:rsidRPr="00925A3A" w:rsidRDefault="009E2441" w:rsidP="009E2441">
      <w:pPr>
        <w:rPr>
          <w:snapToGrid w:val="0"/>
          <w:szCs w:val="20"/>
          <w:lang w:eastAsia="en-US"/>
        </w:rPr>
      </w:pPr>
      <w:r>
        <w:rPr>
          <w:snapToGrid w:val="0"/>
          <w:szCs w:val="20"/>
          <w:lang w:eastAsia="en-US"/>
        </w:rPr>
        <w:t xml:space="preserve">Sections FE 6, FE 7, FE 15, FE 21, and FE 23 have been amended </w:t>
      </w:r>
      <w:r w:rsidRPr="00925A3A">
        <w:rPr>
          <w:snapToGrid w:val="0"/>
          <w:szCs w:val="20"/>
          <w:lang w:eastAsia="en-US"/>
        </w:rPr>
        <w:t xml:space="preserve">to ensure that interest for which deductions </w:t>
      </w:r>
      <w:r>
        <w:rPr>
          <w:snapToGrid w:val="0"/>
          <w:szCs w:val="20"/>
          <w:lang w:eastAsia="en-US"/>
        </w:rPr>
        <w:t xml:space="preserve">are </w:t>
      </w:r>
      <w:r w:rsidRPr="00925A3A">
        <w:rPr>
          <w:snapToGrid w:val="0"/>
          <w:szCs w:val="20"/>
          <w:lang w:eastAsia="en-US"/>
        </w:rPr>
        <w:t>permanently denied under the hybrid rules do not give rise to additional income under the thin capitalisation rules</w:t>
      </w:r>
      <w:r>
        <w:rPr>
          <w:snapToGrid w:val="0"/>
          <w:szCs w:val="20"/>
          <w:lang w:eastAsia="en-US"/>
        </w:rPr>
        <w:t xml:space="preserve"> (including the bank thin capitalisation rules)</w:t>
      </w:r>
      <w:r w:rsidRPr="00925A3A">
        <w:rPr>
          <w:snapToGrid w:val="0"/>
          <w:szCs w:val="20"/>
          <w:lang w:eastAsia="en-US"/>
        </w:rPr>
        <w:t>, and that the debt associated with such interest is not treated as debt under those rules.</w:t>
      </w:r>
    </w:p>
    <w:p w14:paraId="6DA75239" w14:textId="77777777" w:rsidR="00925A3A" w:rsidRPr="00925A3A" w:rsidRDefault="00925A3A" w:rsidP="00925A3A">
      <w:pPr>
        <w:rPr>
          <w:szCs w:val="20"/>
          <w:lang w:eastAsia="en-AU"/>
        </w:rPr>
      </w:pPr>
    </w:p>
    <w:p w14:paraId="470A35AA" w14:textId="77777777" w:rsidR="00925A3A" w:rsidRPr="00925A3A" w:rsidRDefault="00925A3A" w:rsidP="00925A3A">
      <w:pPr>
        <w:rPr>
          <w:szCs w:val="20"/>
          <w:lang w:eastAsia="en-AU"/>
        </w:rPr>
      </w:pPr>
    </w:p>
    <w:p w14:paraId="6DB9A1C8" w14:textId="77777777" w:rsidR="00925A3A" w:rsidRPr="00925A3A" w:rsidRDefault="00925A3A" w:rsidP="00925A3A">
      <w:pPr>
        <w:keepNext/>
        <w:outlineLvl w:val="1"/>
        <w:rPr>
          <w:b/>
          <w:szCs w:val="20"/>
          <w:lang w:eastAsia="en-AU"/>
        </w:rPr>
      </w:pPr>
      <w:r w:rsidRPr="00925A3A">
        <w:rPr>
          <w:b/>
          <w:szCs w:val="20"/>
          <w:lang w:eastAsia="en-AU"/>
        </w:rPr>
        <w:t>Application date</w:t>
      </w:r>
    </w:p>
    <w:p w14:paraId="05806C7F" w14:textId="77777777" w:rsidR="00925A3A" w:rsidRPr="00925A3A" w:rsidRDefault="00925A3A" w:rsidP="00925A3A">
      <w:pPr>
        <w:rPr>
          <w:szCs w:val="20"/>
          <w:lang w:eastAsia="en-AU"/>
        </w:rPr>
      </w:pPr>
    </w:p>
    <w:p w14:paraId="2ACEFAE9" w14:textId="77777777" w:rsidR="00925A3A" w:rsidRPr="00925A3A" w:rsidRDefault="00925A3A" w:rsidP="00925A3A">
      <w:pPr>
        <w:rPr>
          <w:szCs w:val="20"/>
          <w:lang w:eastAsia="en-AU"/>
        </w:rPr>
      </w:pPr>
      <w:r w:rsidRPr="00925A3A">
        <w:rPr>
          <w:szCs w:val="20"/>
          <w:lang w:eastAsia="en-AU"/>
        </w:rPr>
        <w:t>The amendment applies for income years beginning on or after 1 July 2018.</w:t>
      </w:r>
    </w:p>
    <w:p w14:paraId="617C8E04" w14:textId="77777777" w:rsidR="00925A3A" w:rsidRPr="00925A3A" w:rsidRDefault="00925A3A" w:rsidP="00925A3A">
      <w:pPr>
        <w:rPr>
          <w:szCs w:val="20"/>
          <w:lang w:eastAsia="en-AU"/>
        </w:rPr>
      </w:pPr>
    </w:p>
    <w:p w14:paraId="02611356" w14:textId="77777777" w:rsidR="00925A3A" w:rsidRPr="00925A3A" w:rsidRDefault="00925A3A" w:rsidP="00925A3A">
      <w:pPr>
        <w:rPr>
          <w:snapToGrid w:val="0"/>
          <w:szCs w:val="20"/>
          <w:lang w:eastAsia="en-US"/>
        </w:rPr>
      </w:pPr>
    </w:p>
    <w:p w14:paraId="612F8296" w14:textId="77777777" w:rsidR="00925A3A" w:rsidRPr="00925A3A" w:rsidRDefault="00925A3A" w:rsidP="00925A3A">
      <w:pPr>
        <w:keepNext/>
        <w:outlineLvl w:val="1"/>
        <w:rPr>
          <w:b/>
          <w:szCs w:val="20"/>
          <w:lang w:eastAsia="en-AU"/>
        </w:rPr>
      </w:pPr>
      <w:r w:rsidRPr="00925A3A">
        <w:rPr>
          <w:b/>
          <w:szCs w:val="20"/>
          <w:lang w:eastAsia="en-AU"/>
        </w:rPr>
        <w:t>Detailed analysis</w:t>
      </w:r>
    </w:p>
    <w:p w14:paraId="76B1A51C" w14:textId="4DDDA774" w:rsidR="00925A3A" w:rsidRDefault="00925A3A" w:rsidP="00925A3A">
      <w:pPr>
        <w:rPr>
          <w:szCs w:val="20"/>
          <w:lang w:eastAsia="en-AU"/>
        </w:rPr>
      </w:pPr>
    </w:p>
    <w:p w14:paraId="4B6DF704" w14:textId="315BB138" w:rsidR="009E2441" w:rsidRPr="009E2441" w:rsidRDefault="009E2441" w:rsidP="009E2441">
      <w:pPr>
        <w:pStyle w:val="Heading3"/>
        <w:rPr>
          <w:lang w:eastAsia="en-AU"/>
        </w:rPr>
      </w:pPr>
      <w:r>
        <w:rPr>
          <w:lang w:eastAsia="en-AU"/>
        </w:rPr>
        <w:t>General thin capitalisation rules</w:t>
      </w:r>
    </w:p>
    <w:p w14:paraId="0D51C4CB" w14:textId="77777777" w:rsidR="009E2441" w:rsidRPr="00925A3A" w:rsidRDefault="009E2441" w:rsidP="00925A3A">
      <w:pPr>
        <w:rPr>
          <w:szCs w:val="20"/>
          <w:lang w:eastAsia="en-AU"/>
        </w:rPr>
      </w:pPr>
    </w:p>
    <w:p w14:paraId="1818143E" w14:textId="598742E2" w:rsidR="00925A3A" w:rsidRDefault="00123FAB" w:rsidP="00925A3A">
      <w:pPr>
        <w:rPr>
          <w:snapToGrid w:val="0"/>
          <w:szCs w:val="20"/>
          <w:lang w:eastAsia="en-US"/>
        </w:rPr>
      </w:pPr>
      <w:r>
        <w:rPr>
          <w:snapToGrid w:val="0"/>
          <w:szCs w:val="20"/>
          <w:lang w:eastAsia="en-US"/>
        </w:rPr>
        <w:t>Section FE 6</w:t>
      </w:r>
      <w:r w:rsidR="00925A3A" w:rsidRPr="00925A3A">
        <w:rPr>
          <w:snapToGrid w:val="0"/>
          <w:szCs w:val="20"/>
          <w:lang w:eastAsia="en-US"/>
        </w:rPr>
        <w:t xml:space="preserve"> provides that an entity subject to the thin capitalisation regime has income equal to, broadly speaking, that portion of its interest deductions that is equal to the extent to which its New Zealand debt/assets percentage exceeds the greater of </w:t>
      </w:r>
      <w:r w:rsidR="0001110F">
        <w:rPr>
          <w:snapToGrid w:val="0"/>
          <w:szCs w:val="20"/>
          <w:lang w:eastAsia="en-US"/>
        </w:rPr>
        <w:t>sixty</w:t>
      </w:r>
      <w:r w:rsidR="00925A3A" w:rsidRPr="00925A3A">
        <w:rPr>
          <w:snapToGrid w:val="0"/>
          <w:szCs w:val="20"/>
          <w:lang w:eastAsia="en-US"/>
        </w:rPr>
        <w:t xml:space="preserve"> percent and </w:t>
      </w:r>
      <w:r w:rsidR="0001110F">
        <w:rPr>
          <w:snapToGrid w:val="0"/>
          <w:szCs w:val="20"/>
          <w:lang w:eastAsia="en-US"/>
        </w:rPr>
        <w:t xml:space="preserve">one hundred and ten </w:t>
      </w:r>
      <w:r w:rsidR="00925A3A" w:rsidRPr="00925A3A">
        <w:rPr>
          <w:snapToGrid w:val="0"/>
          <w:szCs w:val="20"/>
          <w:lang w:eastAsia="en-US"/>
        </w:rPr>
        <w:t>percent of its worldwide debt/assets percentage</w:t>
      </w:r>
      <w:r>
        <w:rPr>
          <w:snapToGrid w:val="0"/>
          <w:szCs w:val="20"/>
          <w:lang w:eastAsia="en-US"/>
        </w:rPr>
        <w:t xml:space="preserve"> for inbound investment</w:t>
      </w:r>
      <w:r w:rsidR="006C04F6">
        <w:rPr>
          <w:snapToGrid w:val="0"/>
          <w:szCs w:val="20"/>
          <w:lang w:eastAsia="en-US"/>
        </w:rPr>
        <w:t xml:space="preserve"> (the respective </w:t>
      </w:r>
      <w:r w:rsidR="006C04F6">
        <w:rPr>
          <w:snapToGrid w:val="0"/>
          <w:szCs w:val="20"/>
          <w:lang w:eastAsia="en-US"/>
        </w:rPr>
        <w:lastRenderedPageBreak/>
        <w:t xml:space="preserve">percentages are </w:t>
      </w:r>
      <w:r w:rsidR="0001110F">
        <w:rPr>
          <w:snapToGrid w:val="0"/>
          <w:szCs w:val="20"/>
          <w:lang w:eastAsia="en-US"/>
        </w:rPr>
        <w:t>seventy five</w:t>
      </w:r>
      <w:r w:rsidR="006C04F6">
        <w:rPr>
          <w:snapToGrid w:val="0"/>
          <w:szCs w:val="20"/>
          <w:lang w:eastAsia="en-US"/>
        </w:rPr>
        <w:t xml:space="preserve"> </w:t>
      </w:r>
      <w:r w:rsidR="0001110F">
        <w:rPr>
          <w:snapToGrid w:val="0"/>
          <w:szCs w:val="20"/>
          <w:lang w:eastAsia="en-US"/>
        </w:rPr>
        <w:t xml:space="preserve">percent </w:t>
      </w:r>
      <w:r w:rsidR="006C04F6">
        <w:rPr>
          <w:snapToGrid w:val="0"/>
          <w:szCs w:val="20"/>
          <w:lang w:eastAsia="en-US"/>
        </w:rPr>
        <w:t xml:space="preserve">and </w:t>
      </w:r>
      <w:r w:rsidR="0001110F">
        <w:rPr>
          <w:snapToGrid w:val="0"/>
          <w:szCs w:val="20"/>
          <w:lang w:eastAsia="en-US"/>
        </w:rPr>
        <w:t>one hundred and ten percent</w:t>
      </w:r>
      <w:r w:rsidR="006C04F6">
        <w:rPr>
          <w:snapToGrid w:val="0"/>
          <w:szCs w:val="20"/>
          <w:lang w:eastAsia="en-US"/>
        </w:rPr>
        <w:t xml:space="preserve"> for outbound investment)</w:t>
      </w:r>
      <w:r w:rsidR="00925A3A" w:rsidRPr="00925A3A">
        <w:rPr>
          <w:snapToGrid w:val="0"/>
          <w:szCs w:val="20"/>
          <w:lang w:eastAsia="en-US"/>
        </w:rPr>
        <w:t>.</w:t>
      </w:r>
    </w:p>
    <w:p w14:paraId="6ECD45BE" w14:textId="77777777" w:rsidR="006C04F6" w:rsidRDefault="006C04F6" w:rsidP="00925A3A">
      <w:pPr>
        <w:rPr>
          <w:snapToGrid w:val="0"/>
          <w:szCs w:val="20"/>
          <w:lang w:eastAsia="en-US"/>
        </w:rPr>
      </w:pPr>
    </w:p>
    <w:p w14:paraId="53F98534" w14:textId="66D2654A" w:rsidR="0063542D" w:rsidRDefault="0063542D" w:rsidP="00925A3A">
      <w:pPr>
        <w:rPr>
          <w:snapToGrid w:val="0"/>
          <w:szCs w:val="20"/>
          <w:lang w:eastAsia="en-US"/>
        </w:rPr>
      </w:pPr>
      <w:r>
        <w:rPr>
          <w:snapToGrid w:val="0"/>
          <w:szCs w:val="20"/>
          <w:lang w:eastAsia="en-US"/>
        </w:rPr>
        <w:t>Section FE 6 has been amended so that the formula in subsection (2) does not include</w:t>
      </w:r>
      <w:r w:rsidR="00AF4E7F">
        <w:rPr>
          <w:snapToGrid w:val="0"/>
          <w:szCs w:val="20"/>
          <w:lang w:eastAsia="en-US"/>
        </w:rPr>
        <w:t>,</w:t>
      </w:r>
      <w:r>
        <w:rPr>
          <w:snapToGrid w:val="0"/>
          <w:szCs w:val="20"/>
          <w:lang w:eastAsia="en-US"/>
        </w:rPr>
        <w:t xml:space="preserve"> in the amount of interest which can give rise to such income under the thin capitalisation rules, the amount of interest for which a deduction is permanently denied under the hybrid rules</w:t>
      </w:r>
      <w:r w:rsidR="002D5667">
        <w:rPr>
          <w:snapToGrid w:val="0"/>
          <w:szCs w:val="20"/>
          <w:lang w:eastAsia="en-US"/>
        </w:rPr>
        <w:t xml:space="preserve">. </w:t>
      </w:r>
      <w:r>
        <w:rPr>
          <w:snapToGrid w:val="0"/>
          <w:szCs w:val="20"/>
          <w:lang w:eastAsia="en-US"/>
        </w:rPr>
        <w:t>This is achieved th</w:t>
      </w:r>
      <w:r w:rsidR="00896B00">
        <w:rPr>
          <w:snapToGrid w:val="0"/>
          <w:szCs w:val="20"/>
          <w:lang w:eastAsia="en-US"/>
        </w:rPr>
        <w:t>rough the following amendments:</w:t>
      </w:r>
    </w:p>
    <w:p w14:paraId="26780D69" w14:textId="77777777" w:rsidR="0063542D" w:rsidRDefault="0063542D" w:rsidP="00925A3A">
      <w:pPr>
        <w:rPr>
          <w:snapToGrid w:val="0"/>
          <w:szCs w:val="20"/>
          <w:lang w:eastAsia="en-US"/>
        </w:rPr>
      </w:pPr>
    </w:p>
    <w:p w14:paraId="66A72FBD" w14:textId="65A9C1B3" w:rsidR="0063542D" w:rsidRDefault="0063542D" w:rsidP="0063542D">
      <w:pPr>
        <w:pStyle w:val="ListParagraph"/>
        <w:numPr>
          <w:ilvl w:val="0"/>
          <w:numId w:val="49"/>
        </w:numPr>
        <w:rPr>
          <w:snapToGrid w:val="0"/>
          <w:szCs w:val="20"/>
          <w:lang w:eastAsia="en-US"/>
        </w:rPr>
      </w:pPr>
      <w:r>
        <w:rPr>
          <w:snapToGrid w:val="0"/>
          <w:szCs w:val="20"/>
          <w:lang w:eastAsia="en-US"/>
        </w:rPr>
        <w:t>The formula in subsection (2) has been amended so that the interest deductions are reduced by a new term “mismatch”</w:t>
      </w:r>
      <w:r w:rsidR="009C7F7C">
        <w:rPr>
          <w:snapToGrid w:val="0"/>
          <w:szCs w:val="20"/>
          <w:lang w:eastAsia="en-US"/>
        </w:rPr>
        <w:t>;</w:t>
      </w:r>
    </w:p>
    <w:p w14:paraId="36DF4126" w14:textId="77777777" w:rsidR="0063542D" w:rsidRDefault="0063542D" w:rsidP="0063542D">
      <w:pPr>
        <w:pStyle w:val="ListParagraph"/>
        <w:ind w:left="360"/>
        <w:rPr>
          <w:snapToGrid w:val="0"/>
          <w:szCs w:val="20"/>
          <w:lang w:eastAsia="en-US"/>
        </w:rPr>
      </w:pPr>
    </w:p>
    <w:p w14:paraId="2DD32054" w14:textId="6F3F39B5" w:rsidR="0063542D" w:rsidRDefault="0063542D" w:rsidP="0063542D">
      <w:pPr>
        <w:pStyle w:val="ListParagraph"/>
        <w:numPr>
          <w:ilvl w:val="0"/>
          <w:numId w:val="49"/>
        </w:numPr>
        <w:rPr>
          <w:snapToGrid w:val="0"/>
          <w:szCs w:val="20"/>
          <w:lang w:eastAsia="en-US"/>
        </w:rPr>
      </w:pPr>
      <w:r>
        <w:rPr>
          <w:snapToGrid w:val="0"/>
          <w:szCs w:val="20"/>
          <w:lang w:eastAsia="en-US"/>
        </w:rPr>
        <w:t xml:space="preserve">“Mismatch” is defined in new paragraph </w:t>
      </w:r>
      <w:r w:rsidR="009C7F7C">
        <w:rPr>
          <w:snapToGrid w:val="0"/>
          <w:szCs w:val="20"/>
          <w:lang w:eastAsia="en-US"/>
        </w:rPr>
        <w:t xml:space="preserve">(3)(aba) as </w:t>
      </w:r>
      <w:r>
        <w:rPr>
          <w:snapToGrid w:val="0"/>
          <w:szCs w:val="20"/>
          <w:lang w:eastAsia="en-US"/>
        </w:rPr>
        <w:t>the total of the amounts denied as deductions under section FH 3, and as interest under sections FH 7 and FH 11</w:t>
      </w:r>
      <w:r w:rsidR="002D5667">
        <w:rPr>
          <w:snapToGrid w:val="0"/>
          <w:szCs w:val="20"/>
          <w:lang w:eastAsia="en-US"/>
        </w:rPr>
        <w:t xml:space="preserve">. </w:t>
      </w:r>
      <w:r>
        <w:rPr>
          <w:snapToGrid w:val="0"/>
          <w:szCs w:val="20"/>
          <w:lang w:eastAsia="en-US"/>
        </w:rPr>
        <w:t>These three sections contain the hybrid rules where the denied deduction is not a mismatch amount that can be reversed to the extent there is surplus assess</w:t>
      </w:r>
      <w:r w:rsidR="009C7F7C">
        <w:rPr>
          <w:snapToGrid w:val="0"/>
          <w:szCs w:val="20"/>
          <w:lang w:eastAsia="en-US"/>
        </w:rPr>
        <w:t>able income under section FH 12; and</w:t>
      </w:r>
    </w:p>
    <w:p w14:paraId="178C01F9" w14:textId="77777777" w:rsidR="0063542D" w:rsidRPr="0063542D" w:rsidRDefault="0063542D" w:rsidP="0063542D">
      <w:pPr>
        <w:pStyle w:val="ListParagraph"/>
        <w:rPr>
          <w:snapToGrid w:val="0"/>
          <w:szCs w:val="20"/>
          <w:lang w:eastAsia="en-US"/>
        </w:rPr>
      </w:pPr>
    </w:p>
    <w:p w14:paraId="71345D8F" w14:textId="7803C499" w:rsidR="0063542D" w:rsidRPr="0063542D" w:rsidRDefault="002E7A89" w:rsidP="0063542D">
      <w:pPr>
        <w:pStyle w:val="ListParagraph"/>
        <w:numPr>
          <w:ilvl w:val="0"/>
          <w:numId w:val="49"/>
        </w:numPr>
        <w:rPr>
          <w:snapToGrid w:val="0"/>
          <w:szCs w:val="20"/>
          <w:lang w:eastAsia="en-US"/>
        </w:rPr>
      </w:pPr>
      <w:r>
        <w:rPr>
          <w:snapToGrid w:val="0"/>
          <w:szCs w:val="20"/>
          <w:lang w:eastAsia="en-US"/>
        </w:rPr>
        <w:t>The definition of “total deduction” in paragraph (3)(a) has been amended so that it includes the interest deductions that would be allowed in the absence of the hybrid rules in subpart FH</w:t>
      </w:r>
      <w:r w:rsidR="002D5667">
        <w:rPr>
          <w:snapToGrid w:val="0"/>
          <w:szCs w:val="20"/>
          <w:lang w:eastAsia="en-US"/>
        </w:rPr>
        <w:t xml:space="preserve">. </w:t>
      </w:r>
      <w:r>
        <w:rPr>
          <w:snapToGrid w:val="0"/>
          <w:szCs w:val="20"/>
          <w:lang w:eastAsia="en-US"/>
        </w:rPr>
        <w:t>This is to reflect the intent that interest deductions that are potentially only deferred (rather than permanently denied) under the hybrid rules should remain subject to the thin capitalisation rules.</w:t>
      </w:r>
    </w:p>
    <w:p w14:paraId="00F62852" w14:textId="77777777" w:rsidR="00925A3A" w:rsidRPr="00925A3A" w:rsidRDefault="00925A3A" w:rsidP="00925A3A">
      <w:pPr>
        <w:rPr>
          <w:snapToGrid w:val="0"/>
          <w:szCs w:val="20"/>
          <w:lang w:eastAsia="en-US"/>
        </w:rPr>
      </w:pPr>
    </w:p>
    <w:p w14:paraId="7E757E85" w14:textId="3EDA2724" w:rsidR="00EC1AC9" w:rsidRDefault="006E05D1" w:rsidP="00925A3A">
      <w:pPr>
        <w:rPr>
          <w:snapToGrid w:val="0"/>
          <w:szCs w:val="20"/>
          <w:lang w:eastAsia="en-US"/>
        </w:rPr>
      </w:pPr>
      <w:r>
        <w:rPr>
          <w:snapToGrid w:val="0"/>
          <w:szCs w:val="20"/>
          <w:lang w:eastAsia="en-US"/>
        </w:rPr>
        <w:t>Section FE 15 outlines how total group debt should be calculated under the thin capitalisation rules for a New Zealand group</w:t>
      </w:r>
      <w:r w:rsidR="002D5667">
        <w:rPr>
          <w:snapToGrid w:val="0"/>
          <w:szCs w:val="20"/>
          <w:lang w:eastAsia="en-US"/>
        </w:rPr>
        <w:t xml:space="preserve">. </w:t>
      </w:r>
      <w:r w:rsidR="00EC1AC9">
        <w:rPr>
          <w:snapToGrid w:val="0"/>
          <w:szCs w:val="20"/>
          <w:lang w:eastAsia="en-US"/>
        </w:rPr>
        <w:t xml:space="preserve">Subsection (1) has been amended to exclude from the definition of total group debt the amount of financial arrangements that give rise to interest for which a deduction is permanently denied under </w:t>
      </w:r>
      <w:r w:rsidR="00F24BB4">
        <w:rPr>
          <w:snapToGrid w:val="0"/>
          <w:szCs w:val="20"/>
          <w:lang w:eastAsia="en-US"/>
        </w:rPr>
        <w:t>the hybrid rules (</w:t>
      </w:r>
      <w:r w:rsidR="0047243A">
        <w:rPr>
          <w:snapToGrid w:val="0"/>
          <w:szCs w:val="20"/>
          <w:lang w:eastAsia="en-US"/>
        </w:rPr>
        <w:t>that is,</w:t>
      </w:r>
      <w:r w:rsidR="00F24BB4">
        <w:rPr>
          <w:snapToGrid w:val="0"/>
          <w:szCs w:val="20"/>
          <w:lang w:eastAsia="en-US"/>
        </w:rPr>
        <w:t xml:space="preserve"> where the deduction is denied under section FH 3, FH 7 or FH 11).</w:t>
      </w:r>
    </w:p>
    <w:p w14:paraId="549C9177" w14:textId="0A7309B4" w:rsidR="009E2441" w:rsidRDefault="009E2441" w:rsidP="00925A3A">
      <w:pPr>
        <w:rPr>
          <w:snapToGrid w:val="0"/>
          <w:szCs w:val="20"/>
          <w:lang w:eastAsia="en-US"/>
        </w:rPr>
      </w:pPr>
    </w:p>
    <w:p w14:paraId="1D5D9B80" w14:textId="77777777" w:rsidR="009E2441" w:rsidRDefault="009E2441" w:rsidP="009E2441">
      <w:pPr>
        <w:pStyle w:val="Heading3"/>
        <w:rPr>
          <w:snapToGrid w:val="0"/>
          <w:lang w:eastAsia="en-US"/>
        </w:rPr>
      </w:pPr>
      <w:r>
        <w:rPr>
          <w:snapToGrid w:val="0"/>
          <w:lang w:eastAsia="en-US"/>
        </w:rPr>
        <w:t>Bank thin capitalisation rules</w:t>
      </w:r>
    </w:p>
    <w:p w14:paraId="2B234429" w14:textId="77777777" w:rsidR="009E2441" w:rsidRDefault="009E2441" w:rsidP="009E2441">
      <w:pPr>
        <w:rPr>
          <w:snapToGrid w:val="0"/>
          <w:szCs w:val="20"/>
          <w:lang w:eastAsia="en-US"/>
        </w:rPr>
      </w:pPr>
    </w:p>
    <w:p w14:paraId="02FA9764" w14:textId="77777777" w:rsidR="009E2441" w:rsidRDefault="009E2441" w:rsidP="009E2441">
      <w:pPr>
        <w:rPr>
          <w:snapToGrid w:val="0"/>
          <w:szCs w:val="20"/>
          <w:lang w:eastAsia="en-US"/>
        </w:rPr>
      </w:pPr>
      <w:r>
        <w:rPr>
          <w:snapToGrid w:val="0"/>
          <w:szCs w:val="20"/>
          <w:lang w:eastAsia="en-US"/>
        </w:rPr>
        <w:t>Section FE 7 has been amended so that a reporting bank’s interest expenditure does not include interest for which a deduction is denied under sections FH 3 (for character mismatches only), FH 7, or FH 11 (those being the hybrid rules that permanently deny deductions).</w:t>
      </w:r>
    </w:p>
    <w:p w14:paraId="628E772C" w14:textId="77777777" w:rsidR="009E2441" w:rsidRDefault="009E2441" w:rsidP="009E2441">
      <w:pPr>
        <w:rPr>
          <w:snapToGrid w:val="0"/>
          <w:szCs w:val="20"/>
          <w:lang w:eastAsia="en-US"/>
        </w:rPr>
      </w:pPr>
    </w:p>
    <w:p w14:paraId="0E7EB466" w14:textId="77777777" w:rsidR="009E2441" w:rsidRDefault="009E2441" w:rsidP="009E2441">
      <w:pPr>
        <w:rPr>
          <w:snapToGrid w:val="0"/>
          <w:szCs w:val="20"/>
          <w:lang w:eastAsia="en-US"/>
        </w:rPr>
      </w:pPr>
      <w:r>
        <w:rPr>
          <w:snapToGrid w:val="0"/>
          <w:szCs w:val="20"/>
          <w:lang w:eastAsia="en-US"/>
        </w:rPr>
        <w:t>Section FE 21 has been amended such that interest expenditure denied under sections</w:t>
      </w:r>
      <w:r w:rsidRPr="007E7D3A">
        <w:rPr>
          <w:snapToGrid w:val="0"/>
          <w:szCs w:val="20"/>
          <w:lang w:eastAsia="en-US"/>
        </w:rPr>
        <w:t xml:space="preserve"> </w:t>
      </w:r>
      <w:r>
        <w:rPr>
          <w:snapToGrid w:val="0"/>
          <w:szCs w:val="20"/>
          <w:lang w:eastAsia="en-US"/>
        </w:rPr>
        <w:t>FH 3 (for character mismatches only), FH 7, or FH 11 gives rise to additional financial value for the purposes of calculating equity value for a banking group. Correspondingly, Section FE 23 has been amended such that a banking group’s funding debt does not include debt under which a deduction has been denied under sections FH 3 (for character mismatches only), FH 7, or FH 11.</w:t>
      </w:r>
    </w:p>
    <w:p w14:paraId="7A47F456" w14:textId="77777777" w:rsidR="009E2441" w:rsidRDefault="009E2441" w:rsidP="00925A3A">
      <w:pPr>
        <w:rPr>
          <w:snapToGrid w:val="0"/>
          <w:szCs w:val="20"/>
          <w:lang w:eastAsia="en-US"/>
        </w:rPr>
      </w:pPr>
    </w:p>
    <w:p w14:paraId="7C839F03" w14:textId="77777777" w:rsidR="00F24BB4" w:rsidRDefault="00F24BB4" w:rsidP="00925A3A">
      <w:pPr>
        <w:jc w:val="left"/>
        <w:rPr>
          <w:snapToGrid w:val="0"/>
          <w:szCs w:val="20"/>
          <w:lang w:eastAsia="en-US"/>
        </w:rPr>
      </w:pPr>
    </w:p>
    <w:p w14:paraId="607834A4" w14:textId="77777777" w:rsidR="00925A3A" w:rsidRPr="00925A3A" w:rsidRDefault="00925A3A" w:rsidP="00925A3A">
      <w:pPr>
        <w:jc w:val="left"/>
        <w:rPr>
          <w:snapToGrid w:val="0"/>
          <w:szCs w:val="20"/>
          <w:lang w:eastAsia="en-US"/>
        </w:rPr>
      </w:pPr>
      <w:r w:rsidRPr="00925A3A">
        <w:rPr>
          <w:szCs w:val="20"/>
          <w:lang w:eastAsia="en-AU"/>
        </w:rPr>
        <w:br w:type="page"/>
      </w:r>
    </w:p>
    <w:p w14:paraId="7E886FD6" w14:textId="77777777" w:rsidR="00F24BB4" w:rsidRPr="00F24BB4" w:rsidRDefault="00F24BB4" w:rsidP="00F24BB4">
      <w:pPr>
        <w:keepNext/>
        <w:pBdr>
          <w:bottom w:val="single" w:sz="4" w:space="6" w:color="auto"/>
        </w:pBdr>
        <w:outlineLvl w:val="0"/>
        <w:rPr>
          <w:b/>
          <w:caps/>
        </w:rPr>
      </w:pPr>
      <w:r w:rsidRPr="00F24BB4">
        <w:rPr>
          <w:b/>
          <w:caps/>
        </w:rPr>
        <w:lastRenderedPageBreak/>
        <w:t xml:space="preserve">Hybrid mismatch rule for </w:t>
      </w:r>
      <w:r w:rsidR="00D17D2E">
        <w:rPr>
          <w:b/>
          <w:caps/>
        </w:rPr>
        <w:t>NRWT</w:t>
      </w:r>
    </w:p>
    <w:p w14:paraId="53375309" w14:textId="77777777" w:rsidR="00F24BB4" w:rsidRPr="00F24BB4" w:rsidRDefault="00F24BB4" w:rsidP="00F24BB4"/>
    <w:p w14:paraId="0C796880" w14:textId="77777777" w:rsidR="00F24BB4" w:rsidRPr="00F24BB4" w:rsidRDefault="00F24BB4" w:rsidP="00F24BB4">
      <w:pPr>
        <w:rPr>
          <w:b/>
          <w:i/>
        </w:rPr>
      </w:pPr>
      <w:r w:rsidRPr="00F24BB4">
        <w:rPr>
          <w:b/>
          <w:i/>
        </w:rPr>
        <w:t>Sections BH 1(4), RF 11C</w:t>
      </w:r>
    </w:p>
    <w:p w14:paraId="28AA9D04" w14:textId="77777777" w:rsidR="00F24BB4" w:rsidRPr="00F24BB4" w:rsidRDefault="00F24BB4" w:rsidP="00F24BB4"/>
    <w:p w14:paraId="345663DE" w14:textId="6D15AE21" w:rsidR="00F24BB4" w:rsidRPr="00F24BB4" w:rsidRDefault="00F24BB4" w:rsidP="00F24BB4">
      <w:r w:rsidRPr="00F24BB4">
        <w:t>New section RF 11C inserts a new hybrid mismatch rule allowing New Zealand to charge NRWT on payments under certain cross border hybrid financing instruments if New Zealand treats the payment as interest</w:t>
      </w:r>
      <w:r w:rsidR="002D5667">
        <w:t xml:space="preserve">. </w:t>
      </w:r>
      <w:r w:rsidRPr="00F24BB4">
        <w:t>This rule overrides our double tax agreements (DTAs).</w:t>
      </w:r>
    </w:p>
    <w:p w14:paraId="71420513" w14:textId="77777777" w:rsidR="00F24BB4" w:rsidRDefault="00F24BB4" w:rsidP="00F24BB4"/>
    <w:p w14:paraId="4391A7ED" w14:textId="77777777" w:rsidR="00D1380C" w:rsidRPr="00F24BB4" w:rsidRDefault="00D1380C" w:rsidP="00F24BB4"/>
    <w:p w14:paraId="0CC9AA68" w14:textId="77777777" w:rsidR="00F24BB4" w:rsidRPr="00F24BB4" w:rsidRDefault="00F24BB4" w:rsidP="00F24BB4">
      <w:pPr>
        <w:keepNext/>
        <w:outlineLvl w:val="1"/>
        <w:rPr>
          <w:b/>
        </w:rPr>
      </w:pPr>
      <w:r w:rsidRPr="00F24BB4">
        <w:rPr>
          <w:b/>
        </w:rPr>
        <w:t>Background</w:t>
      </w:r>
    </w:p>
    <w:p w14:paraId="2F9B1F0A" w14:textId="77777777" w:rsidR="00F24BB4" w:rsidRPr="00F24BB4" w:rsidRDefault="00F24BB4" w:rsidP="00F24BB4"/>
    <w:p w14:paraId="6D029281" w14:textId="77777777" w:rsidR="00F24BB4" w:rsidRPr="00F24BB4" w:rsidRDefault="00F24BB4" w:rsidP="00F24BB4">
      <w:r w:rsidRPr="00F24BB4">
        <w:t>The Government has identified a hybrid mismatch issue that arises in the following circumstances.</w:t>
      </w:r>
    </w:p>
    <w:p w14:paraId="16BB50D5" w14:textId="77777777" w:rsidR="00F24BB4" w:rsidRPr="00F24BB4" w:rsidRDefault="00F24BB4" w:rsidP="00F24BB4"/>
    <w:p w14:paraId="2B18B97F" w14:textId="0F1E49BC" w:rsidR="00F24BB4" w:rsidRPr="00F24BB4" w:rsidRDefault="00F24BB4" w:rsidP="00F24BB4">
      <w:r w:rsidRPr="00F24BB4">
        <w:t xml:space="preserve">The New Zealand </w:t>
      </w:r>
      <w:r w:rsidR="00962130">
        <w:t>branch</w:t>
      </w:r>
      <w:r w:rsidRPr="00F24BB4">
        <w:t xml:space="preserve"> of a non-resident company borrows money from another non-resident in the same overseas </w:t>
      </w:r>
      <w:r w:rsidR="00A12894">
        <w:t>country</w:t>
      </w:r>
      <w:r w:rsidRPr="00F24BB4">
        <w:t xml:space="preserve"> as the </w:t>
      </w:r>
      <w:r w:rsidR="00962130">
        <w:t>borrowing company</w:t>
      </w:r>
      <w:r w:rsidR="002D5667">
        <w:t xml:space="preserve">. </w:t>
      </w:r>
      <w:r w:rsidR="00962130">
        <w:t xml:space="preserve">The borrowing is </w:t>
      </w:r>
      <w:r w:rsidRPr="00F24BB4">
        <w:t>under a hybrid instrument which New Zealand treats as debt but the other country treats as shares.</w:t>
      </w:r>
    </w:p>
    <w:p w14:paraId="6E9106DD" w14:textId="77777777" w:rsidR="00F24BB4" w:rsidRPr="00F24BB4" w:rsidRDefault="00F24BB4" w:rsidP="00F24BB4"/>
    <w:p w14:paraId="4CC1424C" w14:textId="5129C645" w:rsidR="00F24BB4" w:rsidRPr="00F24BB4" w:rsidRDefault="00F24BB4" w:rsidP="00F24BB4">
      <w:r w:rsidRPr="00F24BB4">
        <w:t xml:space="preserve">Under our DTAs, New Zealand is able to charge NRWT on interest payments made by a non-resident’s New Zealand </w:t>
      </w:r>
      <w:r w:rsidR="00962130">
        <w:t>branch</w:t>
      </w:r>
      <w:r w:rsidRPr="00F24BB4">
        <w:t xml:space="preserve"> to another non-resident</w:t>
      </w:r>
      <w:r w:rsidR="002D5667">
        <w:t xml:space="preserve">. </w:t>
      </w:r>
      <w:r w:rsidRPr="00F24BB4">
        <w:t xml:space="preserve">However, New Zealand is not able to charge NRWT on dividends paid by one non-resident company to another (regardless of whether the dividends are connected with a </w:t>
      </w:r>
      <w:r w:rsidR="00962130">
        <w:t>branch</w:t>
      </w:r>
      <w:r w:rsidRPr="00F24BB4">
        <w:t xml:space="preserve"> in New Zealand)</w:t>
      </w:r>
      <w:r w:rsidR="002D5667">
        <w:t xml:space="preserve">. </w:t>
      </w:r>
      <w:r w:rsidRPr="00F24BB4">
        <w:t>This means that whether New Zealand can charge NRWT on payments under a hybrid financial instrument</w:t>
      </w:r>
      <w:r w:rsidR="00962130">
        <w:t xml:space="preserve"> where the borrower is a New Zealand branch of a non-resident and the lender is a resident of the same country</w:t>
      </w:r>
      <w:r w:rsidRPr="00F24BB4">
        <w:t xml:space="preserve"> depends on whether the payments are classified as interest or dividends for DTA purposes.</w:t>
      </w:r>
    </w:p>
    <w:p w14:paraId="2D193ABF" w14:textId="77777777" w:rsidR="00F24BB4" w:rsidRPr="00F24BB4" w:rsidRDefault="00F24BB4" w:rsidP="00F24BB4"/>
    <w:p w14:paraId="13E3F1C5" w14:textId="2DDC05C9" w:rsidR="00F24BB4" w:rsidRPr="00F24BB4" w:rsidRDefault="00F24BB4" w:rsidP="00F24BB4">
      <w:r w:rsidRPr="00F24BB4">
        <w:t xml:space="preserve">If </w:t>
      </w:r>
      <w:r w:rsidR="00420C19">
        <w:t xml:space="preserve">the payments are dividends for DTA purposes, and New Zealand was not able to impose NRWT on </w:t>
      </w:r>
      <w:r w:rsidR="000A6F06">
        <w:t xml:space="preserve">them, </w:t>
      </w:r>
      <w:r w:rsidR="000A6F06" w:rsidRPr="00F24BB4">
        <w:t>then</w:t>
      </w:r>
      <w:r w:rsidRPr="00F24BB4">
        <w:t xml:space="preserve"> the </w:t>
      </w:r>
      <w:r w:rsidR="00420C19">
        <w:t>branch</w:t>
      </w:r>
      <w:r w:rsidRPr="00F24BB4">
        <w:t xml:space="preserve"> would be entitled to an interest deduction in New Zealand for the </w:t>
      </w:r>
      <w:r w:rsidR="000A6F06" w:rsidRPr="00F24BB4">
        <w:t>payments but</w:t>
      </w:r>
      <w:r w:rsidRPr="00F24BB4">
        <w:t xml:space="preserve"> the payments would not be subject to NRWT</w:t>
      </w:r>
      <w:r w:rsidR="002D5667">
        <w:t xml:space="preserve">. </w:t>
      </w:r>
      <w:r w:rsidRPr="00F24BB4">
        <w:t xml:space="preserve">This </w:t>
      </w:r>
      <w:r w:rsidR="00420C19">
        <w:t>would be</w:t>
      </w:r>
      <w:r w:rsidRPr="00F24BB4">
        <w:t xml:space="preserve"> contrary to the intent of the relevant DTA provisions</w:t>
      </w:r>
      <w:r w:rsidR="00420C19">
        <w:t>.</w:t>
      </w:r>
    </w:p>
    <w:p w14:paraId="2ABEDCD2" w14:textId="77777777" w:rsidR="00F24BB4" w:rsidRPr="00F24BB4" w:rsidRDefault="00F24BB4" w:rsidP="00F24BB4"/>
    <w:p w14:paraId="772A3E5A" w14:textId="77777777" w:rsidR="00F24BB4" w:rsidRPr="00F24BB4" w:rsidRDefault="00F24BB4" w:rsidP="00F24BB4">
      <w:r w:rsidRPr="00F24BB4">
        <w:t>Australia already has a rule effectively providing that outgoing payments are not dividends for DTA purposes (and so are subject to Australian NRWT) if they are treated as interest under Australia’s domestic law.</w:t>
      </w:r>
      <w:r w:rsidRPr="00F24BB4">
        <w:rPr>
          <w:vertAlign w:val="superscript"/>
        </w:rPr>
        <w:footnoteReference w:id="5"/>
      </w:r>
    </w:p>
    <w:p w14:paraId="2AA6E946" w14:textId="77777777" w:rsidR="00F24BB4" w:rsidRDefault="00F24BB4" w:rsidP="00F24BB4"/>
    <w:p w14:paraId="45E40F3B" w14:textId="77777777" w:rsidR="00D1380C" w:rsidRPr="00F24BB4" w:rsidRDefault="00D1380C" w:rsidP="00F24BB4"/>
    <w:p w14:paraId="604FEF87" w14:textId="77777777" w:rsidR="00F24BB4" w:rsidRPr="00F24BB4" w:rsidRDefault="00B229E6" w:rsidP="00F24BB4">
      <w:pPr>
        <w:keepNext/>
        <w:outlineLvl w:val="1"/>
        <w:rPr>
          <w:b/>
        </w:rPr>
      </w:pPr>
      <w:r>
        <w:rPr>
          <w:b/>
        </w:rPr>
        <w:t>Application date</w:t>
      </w:r>
    </w:p>
    <w:p w14:paraId="75A50AB8" w14:textId="77777777" w:rsidR="00F24BB4" w:rsidRPr="00F24BB4" w:rsidRDefault="00F24BB4" w:rsidP="00F24BB4"/>
    <w:p w14:paraId="57993EA3" w14:textId="022B46BA" w:rsidR="00F24BB4" w:rsidRPr="00F24BB4" w:rsidRDefault="00F24BB4" w:rsidP="00F24BB4">
      <w:r w:rsidRPr="00F24BB4">
        <w:t>New section RF 11C applies retrospectively from 1 April 2008</w:t>
      </w:r>
      <w:r w:rsidR="002D5667">
        <w:t xml:space="preserve">. </w:t>
      </w:r>
      <w:r w:rsidRPr="00F24BB4">
        <w:t>Where taxpayers have already adopted the position that NRWT or AIL is not payable in respect of such cross border interest payments made prior to the introduction of the Bill</w:t>
      </w:r>
      <w:r w:rsidR="00B229E6">
        <w:t xml:space="preserve"> (6 December 2017)</w:t>
      </w:r>
      <w:r w:rsidRPr="00F24BB4">
        <w:t>, a savings provision is available.</w:t>
      </w:r>
    </w:p>
    <w:p w14:paraId="2D04CE8E" w14:textId="77777777" w:rsidR="00F24BB4" w:rsidRDefault="00F24BB4" w:rsidP="00F24BB4"/>
    <w:p w14:paraId="592925FF" w14:textId="77777777" w:rsidR="00D1380C" w:rsidRPr="00F24BB4" w:rsidRDefault="00D1380C" w:rsidP="00F24BB4"/>
    <w:p w14:paraId="2C74E12C" w14:textId="77777777" w:rsidR="00F24BB4" w:rsidRPr="00F24BB4" w:rsidRDefault="00F24BB4" w:rsidP="00F24BB4">
      <w:pPr>
        <w:keepNext/>
        <w:outlineLvl w:val="1"/>
        <w:rPr>
          <w:b/>
        </w:rPr>
      </w:pPr>
      <w:r w:rsidRPr="00F24BB4">
        <w:rPr>
          <w:b/>
        </w:rPr>
        <w:t>Detailed analysis</w:t>
      </w:r>
    </w:p>
    <w:p w14:paraId="1AEF28AF" w14:textId="77777777" w:rsidR="00F24BB4" w:rsidRPr="00F24BB4" w:rsidRDefault="00F24BB4" w:rsidP="00F24BB4"/>
    <w:p w14:paraId="63F870ED" w14:textId="6DCD85F1" w:rsidR="00F24BB4" w:rsidRPr="00F24BB4" w:rsidRDefault="00F24BB4" w:rsidP="00F24BB4">
      <w:r w:rsidRPr="00F24BB4">
        <w:t>The Act inserts a new section RF 11C</w:t>
      </w:r>
      <w:r w:rsidR="002D5667">
        <w:t xml:space="preserve">. </w:t>
      </w:r>
      <w:r w:rsidRPr="00F24BB4">
        <w:t xml:space="preserve">Section RF 11C(1) provides that the section applies to a payment of interest (as defined in section YA 1) by a company that is resident outside New Zealand under an applicable DTA to another person who is also resident outside New Zealand </w:t>
      </w:r>
      <w:r w:rsidRPr="00F24BB4">
        <w:lastRenderedPageBreak/>
        <w:t>under that DTA</w:t>
      </w:r>
      <w:r w:rsidR="00C06FA1">
        <w:t>, if the payment has a New Zealand source under the Income Tax Act</w:t>
      </w:r>
      <w:r w:rsidR="002D5667">
        <w:t xml:space="preserve">. </w:t>
      </w:r>
      <w:r w:rsidRPr="00F24BB4">
        <w:t>Section RF 11</w:t>
      </w:r>
      <w:proofErr w:type="gramStart"/>
      <w:r w:rsidRPr="00F24BB4">
        <w:t>C(</w:t>
      </w:r>
      <w:proofErr w:type="gramEnd"/>
      <w:r w:rsidRPr="00F24BB4">
        <w:t>2) then provides that the payment is treated as interest under the NRWT rules and the DTA, notwithstanding anything to the contrary in the DTA</w:t>
      </w:r>
      <w:r w:rsidR="002D5667">
        <w:t xml:space="preserve">. </w:t>
      </w:r>
      <w:r w:rsidRPr="00F24BB4">
        <w:t>The Act also amends section BH 1(4) to make it clear that section RF 11C overrides the applicable DTA.</w:t>
      </w:r>
    </w:p>
    <w:p w14:paraId="4D112C82" w14:textId="77777777" w:rsidR="00F24BB4" w:rsidRPr="00F24BB4" w:rsidRDefault="00F24BB4" w:rsidP="00F24BB4"/>
    <w:p w14:paraId="26E54D19" w14:textId="3AEA1ABF" w:rsidR="00F24BB4" w:rsidRDefault="00F24BB4" w:rsidP="00F24BB4">
      <w:r w:rsidRPr="00F24BB4">
        <w:t xml:space="preserve">The combined effect of the legislation is that New Zealand may withhold NRWT from a cross border payment that is </w:t>
      </w:r>
      <w:r w:rsidR="00C06FA1">
        <w:t xml:space="preserve">New Zealand source </w:t>
      </w:r>
      <w:r w:rsidRPr="00F24BB4">
        <w:t xml:space="preserve">interest under </w:t>
      </w:r>
      <w:r w:rsidR="00C06FA1">
        <w:t>the Act</w:t>
      </w:r>
      <w:r w:rsidRPr="00F24BB4">
        <w:t>, regardless of whether it is treated as a dividend under the applicable DTA.</w:t>
      </w:r>
    </w:p>
    <w:p w14:paraId="4210F065" w14:textId="2023FADC" w:rsidR="00FB1EA2" w:rsidRDefault="00FB1EA2" w:rsidP="00F24BB4"/>
    <w:p w14:paraId="1AA38021" w14:textId="77777777" w:rsidR="00D1380C" w:rsidRDefault="00D1380C" w:rsidP="00F24BB4"/>
    <w:p w14:paraId="1B768373" w14:textId="04AF406D" w:rsidR="00FB1EA2" w:rsidRPr="00FB1EA2" w:rsidRDefault="00FB1EA2" w:rsidP="00FB1EA2">
      <w:pPr>
        <w:pBdr>
          <w:top w:val="single" w:sz="4" w:space="10" w:color="auto"/>
          <w:left w:val="single" w:sz="4" w:space="10" w:color="auto"/>
          <w:bottom w:val="single" w:sz="4" w:space="10" w:color="auto"/>
          <w:right w:val="single" w:sz="4" w:space="10" w:color="auto"/>
        </w:pBdr>
        <w:rPr>
          <w:b/>
          <w:sz w:val="20"/>
          <w:szCs w:val="20"/>
          <w:lang w:eastAsia="en-AU"/>
        </w:rPr>
      </w:pPr>
      <w:r w:rsidRPr="00FB1EA2">
        <w:rPr>
          <w:b/>
          <w:sz w:val="20"/>
          <w:szCs w:val="20"/>
          <w:lang w:eastAsia="en-AU"/>
        </w:rPr>
        <w:t xml:space="preserve">Example </w:t>
      </w:r>
      <w:r w:rsidR="007A382F">
        <w:rPr>
          <w:b/>
          <w:sz w:val="20"/>
          <w:szCs w:val="20"/>
          <w:lang w:eastAsia="en-AU"/>
        </w:rPr>
        <w:t xml:space="preserve">34: </w:t>
      </w:r>
      <w:r w:rsidR="0004751E">
        <w:rPr>
          <w:b/>
          <w:sz w:val="20"/>
          <w:szCs w:val="20"/>
          <w:lang w:eastAsia="en-AU"/>
        </w:rPr>
        <w:t>Hybrid mismatch in DTA/NRWT context</w:t>
      </w:r>
    </w:p>
    <w:p w14:paraId="2C9DA50D" w14:textId="77777777" w:rsidR="00FB1EA2" w:rsidRPr="00FB1EA2" w:rsidRDefault="00FB1EA2" w:rsidP="00FB1EA2">
      <w:pPr>
        <w:pBdr>
          <w:top w:val="single" w:sz="4" w:space="10" w:color="auto"/>
          <w:left w:val="single" w:sz="4" w:space="10" w:color="auto"/>
          <w:bottom w:val="single" w:sz="4" w:space="10" w:color="auto"/>
          <w:right w:val="single" w:sz="4" w:space="10" w:color="auto"/>
        </w:pBdr>
        <w:rPr>
          <w:sz w:val="20"/>
          <w:szCs w:val="20"/>
          <w:lang w:eastAsia="en-AU"/>
        </w:rPr>
      </w:pPr>
    </w:p>
    <w:p w14:paraId="36D1A822" w14:textId="739B6B52" w:rsidR="00FB1EA2" w:rsidRPr="00FB1EA2" w:rsidRDefault="00FB1EA2" w:rsidP="00FB1EA2">
      <w:pPr>
        <w:pBdr>
          <w:top w:val="single" w:sz="4" w:space="10" w:color="auto"/>
          <w:left w:val="single" w:sz="4" w:space="10" w:color="auto"/>
          <w:bottom w:val="single" w:sz="4" w:space="10" w:color="auto"/>
          <w:right w:val="single" w:sz="4" w:space="10" w:color="auto"/>
        </w:pBdr>
        <w:rPr>
          <w:sz w:val="20"/>
          <w:szCs w:val="20"/>
          <w:lang w:eastAsia="en-AU"/>
        </w:rPr>
      </w:pPr>
      <w:r w:rsidRPr="00FB1EA2">
        <w:rPr>
          <w:sz w:val="20"/>
          <w:szCs w:val="20"/>
          <w:lang w:eastAsia="en-AU"/>
        </w:rPr>
        <w:t>A foreign group in the business of bridge building consists of two consolidated foreign companies resident in Greenwich (a foreign country), Simon Co and Garfunkel Co. Simon Co has a New Zealand branch and Garfunkel Co issues a convertible note to Simon Co to assist with its troubled New Zealand operations</w:t>
      </w:r>
      <w:r w:rsidR="002D5667">
        <w:rPr>
          <w:sz w:val="20"/>
          <w:szCs w:val="20"/>
          <w:lang w:eastAsia="en-AU"/>
        </w:rPr>
        <w:t xml:space="preserve">. </w:t>
      </w:r>
      <w:r w:rsidRPr="00FB1EA2">
        <w:rPr>
          <w:sz w:val="20"/>
          <w:szCs w:val="20"/>
          <w:lang w:eastAsia="en-AU"/>
        </w:rPr>
        <w:t>(Assume for the purposes of this example that New Zealand and Greenwich have a DTA in force that is consistent with the commentary above.)</w:t>
      </w:r>
    </w:p>
    <w:p w14:paraId="242BF3F9" w14:textId="77777777" w:rsidR="00FB1EA2" w:rsidRPr="00FB1EA2" w:rsidRDefault="00FB1EA2" w:rsidP="00FB1EA2">
      <w:pPr>
        <w:pBdr>
          <w:top w:val="single" w:sz="4" w:space="10" w:color="auto"/>
          <w:left w:val="single" w:sz="4" w:space="10" w:color="auto"/>
          <w:bottom w:val="single" w:sz="4" w:space="10" w:color="auto"/>
          <w:right w:val="single" w:sz="4" w:space="10" w:color="auto"/>
        </w:pBdr>
        <w:rPr>
          <w:sz w:val="20"/>
          <w:szCs w:val="20"/>
          <w:lang w:eastAsia="en-AU"/>
        </w:rPr>
      </w:pPr>
    </w:p>
    <w:p w14:paraId="453B6635" w14:textId="6E4637B6" w:rsidR="00FB1EA2" w:rsidRPr="00FB1EA2" w:rsidRDefault="00FB1EA2" w:rsidP="00FB1EA2">
      <w:pPr>
        <w:pBdr>
          <w:top w:val="single" w:sz="4" w:space="10" w:color="auto"/>
          <w:left w:val="single" w:sz="4" w:space="10" w:color="auto"/>
          <w:bottom w:val="single" w:sz="4" w:space="10" w:color="auto"/>
          <w:right w:val="single" w:sz="4" w:space="10" w:color="auto"/>
        </w:pBdr>
        <w:rPr>
          <w:sz w:val="20"/>
          <w:szCs w:val="20"/>
          <w:lang w:eastAsia="en-AU"/>
        </w:rPr>
      </w:pPr>
      <w:r w:rsidRPr="00FB1EA2">
        <w:rPr>
          <w:sz w:val="20"/>
          <w:szCs w:val="20"/>
          <w:lang w:eastAsia="en-AU"/>
        </w:rPr>
        <w:t>Simon Co must make annual payments to Garfunkel Co under the note and these payments are treated as interest under New Zealand domestic law, but as dividends in Greenwich. RF 11</w:t>
      </w:r>
      <w:proofErr w:type="gramStart"/>
      <w:r w:rsidRPr="00FB1EA2">
        <w:rPr>
          <w:sz w:val="20"/>
          <w:szCs w:val="20"/>
          <w:lang w:eastAsia="en-AU"/>
        </w:rPr>
        <w:t>C(</w:t>
      </w:r>
      <w:proofErr w:type="gramEnd"/>
      <w:r w:rsidRPr="00FB1EA2">
        <w:rPr>
          <w:sz w:val="20"/>
          <w:szCs w:val="20"/>
          <w:lang w:eastAsia="en-AU"/>
        </w:rPr>
        <w:t>2) will ensure that the payment is subject to NRWT, regardless of its treatment</w:t>
      </w:r>
      <w:r w:rsidR="00896B00">
        <w:rPr>
          <w:sz w:val="20"/>
          <w:szCs w:val="20"/>
          <w:lang w:eastAsia="en-AU"/>
        </w:rPr>
        <w:t xml:space="preserve"> in Greenwich or under the DTA.</w:t>
      </w:r>
    </w:p>
    <w:p w14:paraId="1F5B9407" w14:textId="77777777" w:rsidR="00FB1EA2" w:rsidRPr="00F24BB4" w:rsidRDefault="00FB1EA2" w:rsidP="00F24BB4"/>
    <w:sectPr w:rsidR="00FB1EA2" w:rsidRPr="00F24BB4" w:rsidSect="00F349E5">
      <w:pgSz w:w="11906" w:h="16838" w:code="9"/>
      <w:pgMar w:top="1134" w:right="1418" w:bottom="1134" w:left="1418" w:header="720" w:footer="567"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232">
      <wne:acd wne:acdName="acd0"/>
    </wne:keymap>
    <wne:keymap wne:kcmPrimary="02BE">
      <wne:acd wne:acdName="acd1"/>
    </wne:keymap>
  </wne:keymaps>
  <wne:toolbars>
    <wne:acdManifest>
      <wne:acdEntry wne:acdName="acd0"/>
      <wne:acdEntry wne:acdName="acd1"/>
    </wne:acdManifest>
  </wne:toolbars>
  <wne:acds>
    <wne:acd wne:argValue="AQAAAAIA" wne:acdName="acd0" wne:fciIndexBasedOn="0065"/>
    <wne:acd wne:argValue="AgBCAHUAbABsAGUAdABz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8EA3" w14:textId="77777777" w:rsidR="006F2A96" w:rsidRDefault="006F2A96">
      <w:r>
        <w:separator/>
      </w:r>
    </w:p>
  </w:endnote>
  <w:endnote w:type="continuationSeparator" w:id="0">
    <w:p w14:paraId="422AD256" w14:textId="77777777" w:rsidR="006F2A96" w:rsidRDefault="006F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EF1C" w14:textId="2A7C7877" w:rsidR="006F2A96" w:rsidRDefault="006F2A96"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A45BC3">
      <w:rPr>
        <w:rStyle w:val="PageNumber"/>
        <w:noProof/>
      </w:rPr>
      <w:t>78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A2D0" w14:textId="543975B1" w:rsidR="006F2A96" w:rsidRDefault="006F2A96"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A45BC3">
      <w:rPr>
        <w:rStyle w:val="PageNumber"/>
        <w:noProof/>
      </w:rPr>
      <w:t>77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D836" w14:textId="79247465" w:rsidR="006F2A96" w:rsidRDefault="006F2A96" w:rsidP="00F92496">
    <w:pPr>
      <w:jc w:val="center"/>
    </w:pPr>
    <w:r>
      <w:rPr>
        <w:rStyle w:val="PageNumber"/>
      </w:rPr>
      <w:fldChar w:fldCharType="begin"/>
    </w:r>
    <w:r>
      <w:rPr>
        <w:rStyle w:val="PageNumber"/>
      </w:rPr>
      <w:instrText xml:space="preserve"> PAGE </w:instrText>
    </w:r>
    <w:r>
      <w:rPr>
        <w:rStyle w:val="PageNumber"/>
      </w:rPr>
      <w:fldChar w:fldCharType="separate"/>
    </w:r>
    <w:r w:rsidR="00A45BC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87205" w14:textId="77777777" w:rsidR="006F2A96" w:rsidRDefault="006F2A96">
      <w:r>
        <w:separator/>
      </w:r>
    </w:p>
  </w:footnote>
  <w:footnote w:type="continuationSeparator" w:id="0">
    <w:p w14:paraId="7ACA53D5" w14:textId="77777777" w:rsidR="006F2A96" w:rsidRDefault="006F2A96">
      <w:r>
        <w:continuationSeparator/>
      </w:r>
    </w:p>
  </w:footnote>
  <w:footnote w:id="1">
    <w:p w14:paraId="3BB41916" w14:textId="77777777" w:rsidR="006F2A96" w:rsidRPr="00400D05" w:rsidRDefault="006F2A96">
      <w:pPr>
        <w:pStyle w:val="FootnoteText"/>
        <w:rPr>
          <w:lang w:val="en-NZ"/>
        </w:rPr>
      </w:pPr>
      <w:r>
        <w:rPr>
          <w:rStyle w:val="FootnoteReference"/>
        </w:rPr>
        <w:footnoteRef/>
      </w:r>
      <w:r>
        <w:t xml:space="preserve"> </w:t>
      </w:r>
      <w:r w:rsidRPr="00027484">
        <w:rPr>
          <w:i/>
        </w:rPr>
        <w:t>Neutralising the Effects of Hybrid Mismatch Arrangements, Action 2</w:t>
      </w:r>
      <w:r>
        <w:rPr>
          <w:i/>
        </w:rPr>
        <w:t xml:space="preserve">: Inclusive Framework on BEPS (2015) </w:t>
      </w:r>
      <w:r>
        <w:t xml:space="preserve">and </w:t>
      </w:r>
      <w:r w:rsidRPr="000E5F04">
        <w:rPr>
          <w:i/>
        </w:rPr>
        <w:t>Neutralising the Effects of Branch Mismatch Arrangements, Action 2</w:t>
      </w:r>
      <w:r>
        <w:rPr>
          <w:i/>
        </w:rPr>
        <w:t>: Inclusive Framework on BEPS (2017).</w:t>
      </w:r>
    </w:p>
  </w:footnote>
  <w:footnote w:id="2">
    <w:p w14:paraId="07332F12" w14:textId="77777777" w:rsidR="006F2A96" w:rsidRPr="00443DC1" w:rsidRDefault="006F2A96">
      <w:pPr>
        <w:pStyle w:val="FootnoteText"/>
        <w:rPr>
          <w:lang w:val="en-NZ"/>
        </w:rPr>
      </w:pPr>
      <w:r>
        <w:rPr>
          <w:rStyle w:val="FootnoteReference"/>
        </w:rPr>
        <w:footnoteRef/>
      </w:r>
      <w:r>
        <w:t xml:space="preserve"> </w:t>
      </w:r>
      <w:r w:rsidRPr="00027484">
        <w:rPr>
          <w:i/>
        </w:rPr>
        <w:t>Neutralising the Effects of Hybrid Mismatch Arrangements, Action 2</w:t>
      </w:r>
      <w:r>
        <w:rPr>
          <w:i/>
        </w:rPr>
        <w:t xml:space="preserve">: Inclusive Framework on BEPS (2015) </w:t>
      </w:r>
      <w:r>
        <w:t xml:space="preserve">and </w:t>
      </w:r>
      <w:r w:rsidRPr="000E5F04">
        <w:rPr>
          <w:i/>
        </w:rPr>
        <w:t>Neutralising the Effects of Branch Mismatch Arrangements, Action 2</w:t>
      </w:r>
      <w:r>
        <w:rPr>
          <w:i/>
        </w:rPr>
        <w:t>: Inclusive Framework on BEPS (2017).</w:t>
      </w:r>
    </w:p>
  </w:footnote>
  <w:footnote w:id="3">
    <w:p w14:paraId="51A1835B" w14:textId="39C0F890" w:rsidR="006F2A96" w:rsidRPr="005156E4" w:rsidRDefault="006F2A96">
      <w:pPr>
        <w:pStyle w:val="FootnoteText"/>
        <w:rPr>
          <w:lang w:val="en-NZ"/>
        </w:rPr>
      </w:pPr>
      <w:r>
        <w:rPr>
          <w:rStyle w:val="FootnoteReference"/>
        </w:rPr>
        <w:footnoteRef/>
      </w:r>
      <w:r>
        <w:t xml:space="preserve"> </w:t>
      </w:r>
      <w:r>
        <w:rPr>
          <w:lang w:val="en-NZ"/>
        </w:rPr>
        <w:t>A foreign hybrid entity is one that is fiscally transparent for New Zealand tax purposes and fiscally opaque for the purposes of the foreign country in which it is formed.</w:t>
      </w:r>
    </w:p>
  </w:footnote>
  <w:footnote w:id="4">
    <w:p w14:paraId="3C390E47" w14:textId="77777777" w:rsidR="006F2A96" w:rsidRPr="005156E4" w:rsidRDefault="006F2A96">
      <w:pPr>
        <w:pStyle w:val="FootnoteText"/>
        <w:rPr>
          <w:lang w:val="en-NZ"/>
        </w:rPr>
      </w:pPr>
      <w:r>
        <w:rPr>
          <w:rStyle w:val="FootnoteReference"/>
        </w:rPr>
        <w:footnoteRef/>
      </w:r>
      <w:r>
        <w:t xml:space="preserve"> </w:t>
      </w:r>
      <w:r>
        <w:rPr>
          <w:lang w:val="en-NZ"/>
        </w:rPr>
        <w:t>See paragraphs 85-88 of the OECD Branch Mismatch Report for a fuller discussion of the difference between deductions for allocation of third party expenditure and true intra-entity charges.</w:t>
      </w:r>
    </w:p>
  </w:footnote>
  <w:footnote w:id="5">
    <w:p w14:paraId="73E599EC" w14:textId="77777777" w:rsidR="006F2A96" w:rsidRDefault="006F2A96" w:rsidP="00F24BB4">
      <w:pPr>
        <w:pStyle w:val="FootnoteText"/>
      </w:pPr>
      <w:r>
        <w:rPr>
          <w:rStyle w:val="FootnoteReference"/>
        </w:rPr>
        <w:footnoteRef/>
      </w:r>
      <w:r>
        <w:t xml:space="preserve"> Section 3(2A) of Australia’s International Tax Agreements Act 1953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842857"/>
      <w:docPartObj>
        <w:docPartGallery w:val="Watermarks"/>
        <w:docPartUnique/>
      </w:docPartObj>
    </w:sdtPr>
    <w:sdtEndPr/>
    <w:sdtContent>
      <w:p w14:paraId="6B84713B" w14:textId="2778DCDC" w:rsidR="006F2A96" w:rsidRDefault="00D17D67">
        <w:pPr>
          <w:pStyle w:val="Header"/>
        </w:pPr>
        <w:r>
          <w:rPr>
            <w:noProof/>
            <w:lang w:val="en-US" w:eastAsia="zh-TW"/>
          </w:rPr>
          <w:pict w14:anchorId="6EC84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15:restartNumberingAfterBreak="0">
    <w:nsid w:val="0318685B"/>
    <w:multiLevelType w:val="hybridMultilevel"/>
    <w:tmpl w:val="76EC9A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3807186"/>
    <w:multiLevelType w:val="hybridMultilevel"/>
    <w:tmpl w:val="FC723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403231E"/>
    <w:multiLevelType w:val="hybridMultilevel"/>
    <w:tmpl w:val="FBA8214C"/>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80D1CD1"/>
    <w:multiLevelType w:val="hybridMultilevel"/>
    <w:tmpl w:val="21A4196A"/>
    <w:lvl w:ilvl="0" w:tplc="9664FFF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D7745A1"/>
    <w:multiLevelType w:val="hybridMultilevel"/>
    <w:tmpl w:val="DE029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DCA1FE2"/>
    <w:multiLevelType w:val="hybridMultilevel"/>
    <w:tmpl w:val="9F285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0FE86F58"/>
    <w:multiLevelType w:val="hybridMultilevel"/>
    <w:tmpl w:val="25C8A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0414551"/>
    <w:multiLevelType w:val="hybridMultilevel"/>
    <w:tmpl w:val="EA602080"/>
    <w:lvl w:ilvl="0" w:tplc="14090001">
      <w:start w:val="1"/>
      <w:numFmt w:val="bullet"/>
      <w:lvlText w:val=""/>
      <w:lvlJc w:val="left"/>
      <w:pPr>
        <w:ind w:left="898" w:hanging="360"/>
      </w:pPr>
      <w:rPr>
        <w:rFonts w:ascii="Symbol" w:hAnsi="Symbol" w:hint="default"/>
      </w:rPr>
    </w:lvl>
    <w:lvl w:ilvl="1" w:tplc="14090003" w:tentative="1">
      <w:start w:val="1"/>
      <w:numFmt w:val="bullet"/>
      <w:lvlText w:val="o"/>
      <w:lvlJc w:val="left"/>
      <w:pPr>
        <w:ind w:left="1618" w:hanging="360"/>
      </w:pPr>
      <w:rPr>
        <w:rFonts w:ascii="Courier New" w:hAnsi="Courier New" w:cs="Courier New" w:hint="default"/>
      </w:rPr>
    </w:lvl>
    <w:lvl w:ilvl="2" w:tplc="14090005" w:tentative="1">
      <w:start w:val="1"/>
      <w:numFmt w:val="bullet"/>
      <w:lvlText w:val=""/>
      <w:lvlJc w:val="left"/>
      <w:pPr>
        <w:ind w:left="2338" w:hanging="360"/>
      </w:pPr>
      <w:rPr>
        <w:rFonts w:ascii="Wingdings" w:hAnsi="Wingdings" w:hint="default"/>
      </w:rPr>
    </w:lvl>
    <w:lvl w:ilvl="3" w:tplc="14090001" w:tentative="1">
      <w:start w:val="1"/>
      <w:numFmt w:val="bullet"/>
      <w:lvlText w:val=""/>
      <w:lvlJc w:val="left"/>
      <w:pPr>
        <w:ind w:left="3058" w:hanging="360"/>
      </w:pPr>
      <w:rPr>
        <w:rFonts w:ascii="Symbol" w:hAnsi="Symbol" w:hint="default"/>
      </w:rPr>
    </w:lvl>
    <w:lvl w:ilvl="4" w:tplc="14090003" w:tentative="1">
      <w:start w:val="1"/>
      <w:numFmt w:val="bullet"/>
      <w:lvlText w:val="o"/>
      <w:lvlJc w:val="left"/>
      <w:pPr>
        <w:ind w:left="3778" w:hanging="360"/>
      </w:pPr>
      <w:rPr>
        <w:rFonts w:ascii="Courier New" w:hAnsi="Courier New" w:cs="Courier New" w:hint="default"/>
      </w:rPr>
    </w:lvl>
    <w:lvl w:ilvl="5" w:tplc="14090005" w:tentative="1">
      <w:start w:val="1"/>
      <w:numFmt w:val="bullet"/>
      <w:lvlText w:val=""/>
      <w:lvlJc w:val="left"/>
      <w:pPr>
        <w:ind w:left="4498" w:hanging="360"/>
      </w:pPr>
      <w:rPr>
        <w:rFonts w:ascii="Wingdings" w:hAnsi="Wingdings" w:hint="default"/>
      </w:rPr>
    </w:lvl>
    <w:lvl w:ilvl="6" w:tplc="14090001" w:tentative="1">
      <w:start w:val="1"/>
      <w:numFmt w:val="bullet"/>
      <w:lvlText w:val=""/>
      <w:lvlJc w:val="left"/>
      <w:pPr>
        <w:ind w:left="5218" w:hanging="360"/>
      </w:pPr>
      <w:rPr>
        <w:rFonts w:ascii="Symbol" w:hAnsi="Symbol" w:hint="default"/>
      </w:rPr>
    </w:lvl>
    <w:lvl w:ilvl="7" w:tplc="14090003" w:tentative="1">
      <w:start w:val="1"/>
      <w:numFmt w:val="bullet"/>
      <w:lvlText w:val="o"/>
      <w:lvlJc w:val="left"/>
      <w:pPr>
        <w:ind w:left="5938" w:hanging="360"/>
      </w:pPr>
      <w:rPr>
        <w:rFonts w:ascii="Courier New" w:hAnsi="Courier New" w:cs="Courier New" w:hint="default"/>
      </w:rPr>
    </w:lvl>
    <w:lvl w:ilvl="8" w:tplc="14090005" w:tentative="1">
      <w:start w:val="1"/>
      <w:numFmt w:val="bullet"/>
      <w:lvlText w:val=""/>
      <w:lvlJc w:val="left"/>
      <w:pPr>
        <w:ind w:left="6658" w:hanging="360"/>
      </w:pPr>
      <w:rPr>
        <w:rFonts w:ascii="Wingdings" w:hAnsi="Wingdings" w:hint="default"/>
      </w:rPr>
    </w:lvl>
  </w:abstractNum>
  <w:abstractNum w:abstractNumId="17" w15:restartNumberingAfterBreak="0">
    <w:nsid w:val="126D2329"/>
    <w:multiLevelType w:val="hybridMultilevel"/>
    <w:tmpl w:val="2702B9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7012CA3"/>
    <w:multiLevelType w:val="hybridMultilevel"/>
    <w:tmpl w:val="24A29E2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9" w15:restartNumberingAfterBreak="0">
    <w:nsid w:val="18745200"/>
    <w:multiLevelType w:val="hybridMultilevel"/>
    <w:tmpl w:val="0AE41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96D20E3"/>
    <w:multiLevelType w:val="hybridMultilevel"/>
    <w:tmpl w:val="CE90E0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1CD00225"/>
    <w:multiLevelType w:val="hybridMultilevel"/>
    <w:tmpl w:val="F78ECE7E"/>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2BB2006"/>
    <w:multiLevelType w:val="hybridMultilevel"/>
    <w:tmpl w:val="7924D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31D541C"/>
    <w:multiLevelType w:val="hybridMultilevel"/>
    <w:tmpl w:val="F5AEC9AC"/>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3954246"/>
    <w:multiLevelType w:val="hybridMultilevel"/>
    <w:tmpl w:val="8C422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45D4C72"/>
    <w:multiLevelType w:val="hybridMultilevel"/>
    <w:tmpl w:val="31AA92A0"/>
    <w:lvl w:ilvl="0" w:tplc="7040DF20">
      <w:start w:val="1"/>
      <w:numFmt w:val="bullet"/>
      <w:pStyle w:val="Bullets"/>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7EC3E07"/>
    <w:multiLevelType w:val="hybridMultilevel"/>
    <w:tmpl w:val="A654925C"/>
    <w:lvl w:ilvl="0" w:tplc="9C061D60">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9031739"/>
    <w:multiLevelType w:val="hybridMultilevel"/>
    <w:tmpl w:val="86DAFF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29A8543C"/>
    <w:multiLevelType w:val="hybridMultilevel"/>
    <w:tmpl w:val="84868416"/>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B201F7E"/>
    <w:multiLevelType w:val="hybridMultilevel"/>
    <w:tmpl w:val="D95AFA3C"/>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CAD2602"/>
    <w:multiLevelType w:val="hybridMultilevel"/>
    <w:tmpl w:val="A16EA8DE"/>
    <w:lvl w:ilvl="0" w:tplc="94D8B82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D1940C4"/>
    <w:multiLevelType w:val="hybridMultilevel"/>
    <w:tmpl w:val="14F0A4FC"/>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2" w15:restartNumberingAfterBreak="0">
    <w:nsid w:val="2F994325"/>
    <w:multiLevelType w:val="hybridMultilevel"/>
    <w:tmpl w:val="47EC80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5C21138"/>
    <w:multiLevelType w:val="hybridMultilevel"/>
    <w:tmpl w:val="80885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61160B3"/>
    <w:multiLevelType w:val="hybridMultilevel"/>
    <w:tmpl w:val="6C66F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36" w15:restartNumberingAfterBreak="0">
    <w:nsid w:val="376A15FF"/>
    <w:multiLevelType w:val="hybridMultilevel"/>
    <w:tmpl w:val="11C8665C"/>
    <w:lvl w:ilvl="0" w:tplc="81F893F4">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7" w15:restartNumberingAfterBreak="0">
    <w:nsid w:val="37741072"/>
    <w:multiLevelType w:val="hybridMultilevel"/>
    <w:tmpl w:val="341683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3C7C28A3"/>
    <w:multiLevelType w:val="hybridMultilevel"/>
    <w:tmpl w:val="49689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EB42DB3"/>
    <w:multiLevelType w:val="hybridMultilevel"/>
    <w:tmpl w:val="B70A9368"/>
    <w:lvl w:ilvl="0" w:tplc="14090001">
      <w:start w:val="1"/>
      <w:numFmt w:val="bullet"/>
      <w:lvlText w:val=""/>
      <w:lvlJc w:val="left"/>
      <w:pPr>
        <w:ind w:left="1075" w:hanging="360"/>
      </w:pPr>
      <w:rPr>
        <w:rFonts w:ascii="Symbol" w:hAnsi="Symbol" w:hint="default"/>
      </w:rPr>
    </w:lvl>
    <w:lvl w:ilvl="1" w:tplc="14090003" w:tentative="1">
      <w:start w:val="1"/>
      <w:numFmt w:val="bullet"/>
      <w:lvlText w:val="o"/>
      <w:lvlJc w:val="left"/>
      <w:pPr>
        <w:ind w:left="1795" w:hanging="360"/>
      </w:pPr>
      <w:rPr>
        <w:rFonts w:ascii="Courier New" w:hAnsi="Courier New" w:cs="Courier New" w:hint="default"/>
      </w:rPr>
    </w:lvl>
    <w:lvl w:ilvl="2" w:tplc="14090005" w:tentative="1">
      <w:start w:val="1"/>
      <w:numFmt w:val="bullet"/>
      <w:lvlText w:val=""/>
      <w:lvlJc w:val="left"/>
      <w:pPr>
        <w:ind w:left="2515" w:hanging="360"/>
      </w:pPr>
      <w:rPr>
        <w:rFonts w:ascii="Wingdings" w:hAnsi="Wingdings" w:hint="default"/>
      </w:rPr>
    </w:lvl>
    <w:lvl w:ilvl="3" w:tplc="14090001" w:tentative="1">
      <w:start w:val="1"/>
      <w:numFmt w:val="bullet"/>
      <w:lvlText w:val=""/>
      <w:lvlJc w:val="left"/>
      <w:pPr>
        <w:ind w:left="3235" w:hanging="360"/>
      </w:pPr>
      <w:rPr>
        <w:rFonts w:ascii="Symbol" w:hAnsi="Symbol" w:hint="default"/>
      </w:rPr>
    </w:lvl>
    <w:lvl w:ilvl="4" w:tplc="14090003" w:tentative="1">
      <w:start w:val="1"/>
      <w:numFmt w:val="bullet"/>
      <w:lvlText w:val="o"/>
      <w:lvlJc w:val="left"/>
      <w:pPr>
        <w:ind w:left="3955" w:hanging="360"/>
      </w:pPr>
      <w:rPr>
        <w:rFonts w:ascii="Courier New" w:hAnsi="Courier New" w:cs="Courier New" w:hint="default"/>
      </w:rPr>
    </w:lvl>
    <w:lvl w:ilvl="5" w:tplc="14090005" w:tentative="1">
      <w:start w:val="1"/>
      <w:numFmt w:val="bullet"/>
      <w:lvlText w:val=""/>
      <w:lvlJc w:val="left"/>
      <w:pPr>
        <w:ind w:left="4675" w:hanging="360"/>
      </w:pPr>
      <w:rPr>
        <w:rFonts w:ascii="Wingdings" w:hAnsi="Wingdings" w:hint="default"/>
      </w:rPr>
    </w:lvl>
    <w:lvl w:ilvl="6" w:tplc="14090001" w:tentative="1">
      <w:start w:val="1"/>
      <w:numFmt w:val="bullet"/>
      <w:lvlText w:val=""/>
      <w:lvlJc w:val="left"/>
      <w:pPr>
        <w:ind w:left="5395" w:hanging="360"/>
      </w:pPr>
      <w:rPr>
        <w:rFonts w:ascii="Symbol" w:hAnsi="Symbol" w:hint="default"/>
      </w:rPr>
    </w:lvl>
    <w:lvl w:ilvl="7" w:tplc="14090003" w:tentative="1">
      <w:start w:val="1"/>
      <w:numFmt w:val="bullet"/>
      <w:lvlText w:val="o"/>
      <w:lvlJc w:val="left"/>
      <w:pPr>
        <w:ind w:left="6115" w:hanging="360"/>
      </w:pPr>
      <w:rPr>
        <w:rFonts w:ascii="Courier New" w:hAnsi="Courier New" w:cs="Courier New" w:hint="default"/>
      </w:rPr>
    </w:lvl>
    <w:lvl w:ilvl="8" w:tplc="14090005" w:tentative="1">
      <w:start w:val="1"/>
      <w:numFmt w:val="bullet"/>
      <w:lvlText w:val=""/>
      <w:lvlJc w:val="left"/>
      <w:pPr>
        <w:ind w:left="6835" w:hanging="360"/>
      </w:pPr>
      <w:rPr>
        <w:rFonts w:ascii="Wingdings" w:hAnsi="Wingdings" w:hint="default"/>
      </w:rPr>
    </w:lvl>
  </w:abstractNum>
  <w:abstractNum w:abstractNumId="40" w15:restartNumberingAfterBreak="0">
    <w:nsid w:val="41842354"/>
    <w:multiLevelType w:val="hybridMultilevel"/>
    <w:tmpl w:val="31BC43A8"/>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44582B6F"/>
    <w:multiLevelType w:val="hybridMultilevel"/>
    <w:tmpl w:val="0CD21F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467C3F77"/>
    <w:multiLevelType w:val="hybridMultilevel"/>
    <w:tmpl w:val="FA82E4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4B373710"/>
    <w:multiLevelType w:val="hybridMultilevel"/>
    <w:tmpl w:val="4E9E7A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4BC92087"/>
    <w:multiLevelType w:val="hybridMultilevel"/>
    <w:tmpl w:val="076AC7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4D2A0C69"/>
    <w:multiLevelType w:val="hybridMultilevel"/>
    <w:tmpl w:val="9FE0C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4DD110C4"/>
    <w:multiLevelType w:val="hybridMultilevel"/>
    <w:tmpl w:val="E6A84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4E9020FE"/>
    <w:multiLevelType w:val="hybridMultilevel"/>
    <w:tmpl w:val="DAD48298"/>
    <w:lvl w:ilvl="0" w:tplc="81F893F4">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8" w15:restartNumberingAfterBreak="0">
    <w:nsid w:val="50C737F0"/>
    <w:multiLevelType w:val="hybridMultilevel"/>
    <w:tmpl w:val="4D24ED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50DE171D"/>
    <w:multiLevelType w:val="hybridMultilevel"/>
    <w:tmpl w:val="B268E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53535A5F"/>
    <w:multiLevelType w:val="hybridMultilevel"/>
    <w:tmpl w:val="8D2E8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5CC10F65"/>
    <w:multiLevelType w:val="hybridMultilevel"/>
    <w:tmpl w:val="A7CA6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5EAC40F2"/>
    <w:multiLevelType w:val="hybridMultilevel"/>
    <w:tmpl w:val="AA82D0B2"/>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60A61CD0"/>
    <w:multiLevelType w:val="hybridMultilevel"/>
    <w:tmpl w:val="2D2A1CCC"/>
    <w:lvl w:ilvl="0" w:tplc="14090001">
      <w:start w:val="1"/>
      <w:numFmt w:val="bullet"/>
      <w:lvlText w:val=""/>
      <w:lvlJc w:val="left"/>
      <w:pPr>
        <w:ind w:left="838" w:hanging="360"/>
      </w:pPr>
      <w:rPr>
        <w:rFonts w:ascii="Symbol" w:hAnsi="Symbol" w:hint="default"/>
      </w:rPr>
    </w:lvl>
    <w:lvl w:ilvl="1" w:tplc="14090003" w:tentative="1">
      <w:start w:val="1"/>
      <w:numFmt w:val="bullet"/>
      <w:lvlText w:val="o"/>
      <w:lvlJc w:val="left"/>
      <w:pPr>
        <w:ind w:left="1558" w:hanging="360"/>
      </w:pPr>
      <w:rPr>
        <w:rFonts w:ascii="Courier New" w:hAnsi="Courier New" w:cs="Courier New" w:hint="default"/>
      </w:rPr>
    </w:lvl>
    <w:lvl w:ilvl="2" w:tplc="14090005" w:tentative="1">
      <w:start w:val="1"/>
      <w:numFmt w:val="bullet"/>
      <w:lvlText w:val=""/>
      <w:lvlJc w:val="left"/>
      <w:pPr>
        <w:ind w:left="2278" w:hanging="360"/>
      </w:pPr>
      <w:rPr>
        <w:rFonts w:ascii="Wingdings" w:hAnsi="Wingdings" w:hint="default"/>
      </w:rPr>
    </w:lvl>
    <w:lvl w:ilvl="3" w:tplc="14090001" w:tentative="1">
      <w:start w:val="1"/>
      <w:numFmt w:val="bullet"/>
      <w:lvlText w:val=""/>
      <w:lvlJc w:val="left"/>
      <w:pPr>
        <w:ind w:left="2998" w:hanging="360"/>
      </w:pPr>
      <w:rPr>
        <w:rFonts w:ascii="Symbol" w:hAnsi="Symbol" w:hint="default"/>
      </w:rPr>
    </w:lvl>
    <w:lvl w:ilvl="4" w:tplc="14090003" w:tentative="1">
      <w:start w:val="1"/>
      <w:numFmt w:val="bullet"/>
      <w:lvlText w:val="o"/>
      <w:lvlJc w:val="left"/>
      <w:pPr>
        <w:ind w:left="3718" w:hanging="360"/>
      </w:pPr>
      <w:rPr>
        <w:rFonts w:ascii="Courier New" w:hAnsi="Courier New" w:cs="Courier New" w:hint="default"/>
      </w:rPr>
    </w:lvl>
    <w:lvl w:ilvl="5" w:tplc="14090005" w:tentative="1">
      <w:start w:val="1"/>
      <w:numFmt w:val="bullet"/>
      <w:lvlText w:val=""/>
      <w:lvlJc w:val="left"/>
      <w:pPr>
        <w:ind w:left="4438" w:hanging="360"/>
      </w:pPr>
      <w:rPr>
        <w:rFonts w:ascii="Wingdings" w:hAnsi="Wingdings" w:hint="default"/>
      </w:rPr>
    </w:lvl>
    <w:lvl w:ilvl="6" w:tplc="14090001" w:tentative="1">
      <w:start w:val="1"/>
      <w:numFmt w:val="bullet"/>
      <w:lvlText w:val=""/>
      <w:lvlJc w:val="left"/>
      <w:pPr>
        <w:ind w:left="5158" w:hanging="360"/>
      </w:pPr>
      <w:rPr>
        <w:rFonts w:ascii="Symbol" w:hAnsi="Symbol" w:hint="default"/>
      </w:rPr>
    </w:lvl>
    <w:lvl w:ilvl="7" w:tplc="14090003" w:tentative="1">
      <w:start w:val="1"/>
      <w:numFmt w:val="bullet"/>
      <w:lvlText w:val="o"/>
      <w:lvlJc w:val="left"/>
      <w:pPr>
        <w:ind w:left="5878" w:hanging="360"/>
      </w:pPr>
      <w:rPr>
        <w:rFonts w:ascii="Courier New" w:hAnsi="Courier New" w:cs="Courier New" w:hint="default"/>
      </w:rPr>
    </w:lvl>
    <w:lvl w:ilvl="8" w:tplc="14090005" w:tentative="1">
      <w:start w:val="1"/>
      <w:numFmt w:val="bullet"/>
      <w:lvlText w:val=""/>
      <w:lvlJc w:val="left"/>
      <w:pPr>
        <w:ind w:left="6598" w:hanging="360"/>
      </w:pPr>
      <w:rPr>
        <w:rFonts w:ascii="Wingdings" w:hAnsi="Wingdings" w:hint="default"/>
      </w:rPr>
    </w:lvl>
  </w:abstractNum>
  <w:abstractNum w:abstractNumId="54" w15:restartNumberingAfterBreak="0">
    <w:nsid w:val="61E00F2C"/>
    <w:multiLevelType w:val="hybridMultilevel"/>
    <w:tmpl w:val="6066A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623C5523"/>
    <w:multiLevelType w:val="hybridMultilevel"/>
    <w:tmpl w:val="C99E568A"/>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631C65C9"/>
    <w:multiLevelType w:val="hybridMultilevel"/>
    <w:tmpl w:val="31642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669D58F4"/>
    <w:multiLevelType w:val="hybridMultilevel"/>
    <w:tmpl w:val="D5CA512A"/>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9704D42"/>
    <w:multiLevelType w:val="hybridMultilevel"/>
    <w:tmpl w:val="5EA09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74C758CD"/>
    <w:multiLevelType w:val="hybridMultilevel"/>
    <w:tmpl w:val="CCA2E79C"/>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60" w15:restartNumberingAfterBreak="0">
    <w:nsid w:val="7911425E"/>
    <w:multiLevelType w:val="hybridMultilevel"/>
    <w:tmpl w:val="BEDC6F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1" w15:restartNumberingAfterBreak="0">
    <w:nsid w:val="79FE49E3"/>
    <w:multiLevelType w:val="hybridMultilevel"/>
    <w:tmpl w:val="98741B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7C150152"/>
    <w:multiLevelType w:val="hybridMultilevel"/>
    <w:tmpl w:val="C3309B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3" w15:restartNumberingAfterBreak="0">
    <w:nsid w:val="7CFF03E9"/>
    <w:multiLevelType w:val="hybridMultilevel"/>
    <w:tmpl w:val="5EBCD7AE"/>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7F507954"/>
    <w:multiLevelType w:val="hybridMultilevel"/>
    <w:tmpl w:val="DBFA89E6"/>
    <w:lvl w:ilvl="0" w:tplc="52C8497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7F885618"/>
    <w:multiLevelType w:val="hybridMultilevel"/>
    <w:tmpl w:val="4A16989A"/>
    <w:lvl w:ilvl="0" w:tplc="14090001">
      <w:start w:val="1"/>
      <w:numFmt w:val="bullet"/>
      <w:lvlText w:val=""/>
      <w:lvlJc w:val="left"/>
      <w:pPr>
        <w:ind w:left="779" w:hanging="360"/>
      </w:pPr>
      <w:rPr>
        <w:rFonts w:ascii="Symbol" w:hAnsi="Symbol" w:hint="default"/>
      </w:rPr>
    </w:lvl>
    <w:lvl w:ilvl="1" w:tplc="14090003" w:tentative="1">
      <w:start w:val="1"/>
      <w:numFmt w:val="bullet"/>
      <w:lvlText w:val="o"/>
      <w:lvlJc w:val="left"/>
      <w:pPr>
        <w:ind w:left="1499" w:hanging="360"/>
      </w:pPr>
      <w:rPr>
        <w:rFonts w:ascii="Courier New" w:hAnsi="Courier New" w:cs="Courier New" w:hint="default"/>
      </w:rPr>
    </w:lvl>
    <w:lvl w:ilvl="2" w:tplc="14090005" w:tentative="1">
      <w:start w:val="1"/>
      <w:numFmt w:val="bullet"/>
      <w:lvlText w:val=""/>
      <w:lvlJc w:val="left"/>
      <w:pPr>
        <w:ind w:left="2219" w:hanging="360"/>
      </w:pPr>
      <w:rPr>
        <w:rFonts w:ascii="Wingdings" w:hAnsi="Wingdings" w:hint="default"/>
      </w:rPr>
    </w:lvl>
    <w:lvl w:ilvl="3" w:tplc="14090001" w:tentative="1">
      <w:start w:val="1"/>
      <w:numFmt w:val="bullet"/>
      <w:lvlText w:val=""/>
      <w:lvlJc w:val="left"/>
      <w:pPr>
        <w:ind w:left="2939" w:hanging="360"/>
      </w:pPr>
      <w:rPr>
        <w:rFonts w:ascii="Symbol" w:hAnsi="Symbol" w:hint="default"/>
      </w:rPr>
    </w:lvl>
    <w:lvl w:ilvl="4" w:tplc="14090003" w:tentative="1">
      <w:start w:val="1"/>
      <w:numFmt w:val="bullet"/>
      <w:lvlText w:val="o"/>
      <w:lvlJc w:val="left"/>
      <w:pPr>
        <w:ind w:left="3659" w:hanging="360"/>
      </w:pPr>
      <w:rPr>
        <w:rFonts w:ascii="Courier New" w:hAnsi="Courier New" w:cs="Courier New" w:hint="default"/>
      </w:rPr>
    </w:lvl>
    <w:lvl w:ilvl="5" w:tplc="14090005" w:tentative="1">
      <w:start w:val="1"/>
      <w:numFmt w:val="bullet"/>
      <w:lvlText w:val=""/>
      <w:lvlJc w:val="left"/>
      <w:pPr>
        <w:ind w:left="4379" w:hanging="360"/>
      </w:pPr>
      <w:rPr>
        <w:rFonts w:ascii="Wingdings" w:hAnsi="Wingdings" w:hint="default"/>
      </w:rPr>
    </w:lvl>
    <w:lvl w:ilvl="6" w:tplc="14090001" w:tentative="1">
      <w:start w:val="1"/>
      <w:numFmt w:val="bullet"/>
      <w:lvlText w:val=""/>
      <w:lvlJc w:val="left"/>
      <w:pPr>
        <w:ind w:left="5099" w:hanging="360"/>
      </w:pPr>
      <w:rPr>
        <w:rFonts w:ascii="Symbol" w:hAnsi="Symbol" w:hint="default"/>
      </w:rPr>
    </w:lvl>
    <w:lvl w:ilvl="7" w:tplc="14090003" w:tentative="1">
      <w:start w:val="1"/>
      <w:numFmt w:val="bullet"/>
      <w:lvlText w:val="o"/>
      <w:lvlJc w:val="left"/>
      <w:pPr>
        <w:ind w:left="5819" w:hanging="360"/>
      </w:pPr>
      <w:rPr>
        <w:rFonts w:ascii="Courier New" w:hAnsi="Courier New" w:cs="Courier New" w:hint="default"/>
      </w:rPr>
    </w:lvl>
    <w:lvl w:ilvl="8" w:tplc="14090005" w:tentative="1">
      <w:start w:val="1"/>
      <w:numFmt w:val="bullet"/>
      <w:lvlText w:val=""/>
      <w:lvlJc w:val="left"/>
      <w:pPr>
        <w:ind w:left="6539" w:hanging="360"/>
      </w:pPr>
      <w:rPr>
        <w:rFonts w:ascii="Wingdings" w:hAnsi="Wingdings" w:hint="default"/>
      </w:rPr>
    </w:lvl>
  </w:abstractNum>
  <w:num w:numId="1">
    <w:abstractNumId w:val="35"/>
  </w:num>
  <w:num w:numId="2">
    <w:abstractNumId w:val="25"/>
  </w:num>
  <w:num w:numId="3">
    <w:abstractNumId w:val="31"/>
  </w:num>
  <w:num w:numId="4">
    <w:abstractNumId w:val="54"/>
  </w:num>
  <w:num w:numId="5">
    <w:abstractNumId w:val="23"/>
  </w:num>
  <w:num w:numId="6">
    <w:abstractNumId w:val="63"/>
  </w:num>
  <w:num w:numId="7">
    <w:abstractNumId w:val="55"/>
  </w:num>
  <w:num w:numId="8">
    <w:abstractNumId w:val="52"/>
  </w:num>
  <w:num w:numId="9">
    <w:abstractNumId w:val="11"/>
  </w:num>
  <w:num w:numId="10">
    <w:abstractNumId w:val="28"/>
  </w:num>
  <w:num w:numId="11">
    <w:abstractNumId w:val="57"/>
  </w:num>
  <w:num w:numId="12">
    <w:abstractNumId w:val="47"/>
  </w:num>
  <w:num w:numId="13">
    <w:abstractNumId w:val="29"/>
  </w:num>
  <w:num w:numId="14">
    <w:abstractNumId w:val="26"/>
  </w:num>
  <w:num w:numId="15">
    <w:abstractNumId w:val="36"/>
  </w:num>
  <w:num w:numId="16">
    <w:abstractNumId w:val="40"/>
  </w:num>
  <w:num w:numId="17">
    <w:abstractNumId w:val="21"/>
  </w:num>
  <w:num w:numId="18">
    <w:abstractNumId w:val="58"/>
  </w:num>
  <w:num w:numId="19">
    <w:abstractNumId w:val="65"/>
  </w:num>
  <w:num w:numId="20">
    <w:abstractNumId w:val="16"/>
  </w:num>
  <w:num w:numId="21">
    <w:abstractNumId w:val="53"/>
  </w:num>
  <w:num w:numId="22">
    <w:abstractNumId w:val="50"/>
  </w:num>
  <w:num w:numId="23">
    <w:abstractNumId w:val="34"/>
  </w:num>
  <w:num w:numId="24">
    <w:abstractNumId w:val="24"/>
  </w:num>
  <w:num w:numId="25">
    <w:abstractNumId w:val="51"/>
  </w:num>
  <w:num w:numId="26">
    <w:abstractNumId w:val="9"/>
  </w:num>
  <w:num w:numId="27">
    <w:abstractNumId w:val="20"/>
  </w:num>
  <w:num w:numId="28">
    <w:abstractNumId w:val="46"/>
  </w:num>
  <w:num w:numId="29">
    <w:abstractNumId w:val="13"/>
  </w:num>
  <w:num w:numId="30">
    <w:abstractNumId w:val="38"/>
  </w:num>
  <w:num w:numId="31">
    <w:abstractNumId w:val="45"/>
  </w:num>
  <w:num w:numId="32">
    <w:abstractNumId w:val="41"/>
  </w:num>
  <w:num w:numId="33">
    <w:abstractNumId w:val="39"/>
  </w:num>
  <w:num w:numId="34">
    <w:abstractNumId w:val="56"/>
  </w:num>
  <w:num w:numId="35">
    <w:abstractNumId w:val="59"/>
  </w:num>
  <w:num w:numId="36">
    <w:abstractNumId w:val="61"/>
  </w:num>
  <w:num w:numId="37">
    <w:abstractNumId w:val="44"/>
  </w:num>
  <w:num w:numId="38">
    <w:abstractNumId w:val="18"/>
  </w:num>
  <w:num w:numId="39">
    <w:abstractNumId w:val="37"/>
  </w:num>
  <w:num w:numId="40">
    <w:abstractNumId w:val="42"/>
  </w:num>
  <w:num w:numId="41">
    <w:abstractNumId w:val="62"/>
  </w:num>
  <w:num w:numId="42">
    <w:abstractNumId w:val="48"/>
  </w:num>
  <w:num w:numId="43">
    <w:abstractNumId w:val="32"/>
  </w:num>
  <w:num w:numId="44">
    <w:abstractNumId w:val="14"/>
  </w:num>
  <w:num w:numId="45">
    <w:abstractNumId w:val="15"/>
  </w:num>
  <w:num w:numId="46">
    <w:abstractNumId w:val="17"/>
  </w:num>
  <w:num w:numId="47">
    <w:abstractNumId w:val="49"/>
  </w:num>
  <w:num w:numId="48">
    <w:abstractNumId w:val="43"/>
  </w:num>
  <w:num w:numId="49">
    <w:abstractNumId w:val="60"/>
  </w:num>
  <w:num w:numId="50">
    <w:abstractNumId w:val="30"/>
  </w:num>
  <w:num w:numId="51">
    <w:abstractNumId w:val="27"/>
  </w:num>
  <w:num w:numId="52">
    <w:abstractNumId w:val="12"/>
  </w:num>
  <w:num w:numId="53">
    <w:abstractNumId w:val="64"/>
  </w:num>
  <w:num w:numId="54">
    <w:abstractNumId w:val="22"/>
  </w:num>
  <w:num w:numId="55">
    <w:abstractNumId w:val="19"/>
  </w:num>
  <w:num w:numId="56">
    <w:abstractNumId w:val="10"/>
  </w:num>
  <w:num w:numId="57">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9EB"/>
    <w:rsid w:val="00000EA1"/>
    <w:rsid w:val="00001B6C"/>
    <w:rsid w:val="00001CE7"/>
    <w:rsid w:val="00002571"/>
    <w:rsid w:val="000034BE"/>
    <w:rsid w:val="000034E4"/>
    <w:rsid w:val="00005DC0"/>
    <w:rsid w:val="00005E58"/>
    <w:rsid w:val="0000643E"/>
    <w:rsid w:val="000072EA"/>
    <w:rsid w:val="000076B4"/>
    <w:rsid w:val="00007CEA"/>
    <w:rsid w:val="00007F52"/>
    <w:rsid w:val="0001110F"/>
    <w:rsid w:val="00011591"/>
    <w:rsid w:val="000131B9"/>
    <w:rsid w:val="00013243"/>
    <w:rsid w:val="00013308"/>
    <w:rsid w:val="00013CCB"/>
    <w:rsid w:val="00013E08"/>
    <w:rsid w:val="000150C5"/>
    <w:rsid w:val="000152EB"/>
    <w:rsid w:val="0001561E"/>
    <w:rsid w:val="00016B00"/>
    <w:rsid w:val="0001760E"/>
    <w:rsid w:val="000200B3"/>
    <w:rsid w:val="0002065A"/>
    <w:rsid w:val="00020711"/>
    <w:rsid w:val="00020744"/>
    <w:rsid w:val="00021A47"/>
    <w:rsid w:val="0002221A"/>
    <w:rsid w:val="0002539C"/>
    <w:rsid w:val="00025BE7"/>
    <w:rsid w:val="00026DAC"/>
    <w:rsid w:val="00026DAE"/>
    <w:rsid w:val="00027484"/>
    <w:rsid w:val="00033EED"/>
    <w:rsid w:val="0003488D"/>
    <w:rsid w:val="00035DBF"/>
    <w:rsid w:val="0003714F"/>
    <w:rsid w:val="00040CC7"/>
    <w:rsid w:val="00041EF8"/>
    <w:rsid w:val="000428DE"/>
    <w:rsid w:val="00042C14"/>
    <w:rsid w:val="00042F8F"/>
    <w:rsid w:val="00047216"/>
    <w:rsid w:val="000473CD"/>
    <w:rsid w:val="0004751E"/>
    <w:rsid w:val="00047717"/>
    <w:rsid w:val="000505A5"/>
    <w:rsid w:val="00050A8D"/>
    <w:rsid w:val="000510A9"/>
    <w:rsid w:val="0005115C"/>
    <w:rsid w:val="000521CA"/>
    <w:rsid w:val="00052C5D"/>
    <w:rsid w:val="0005341D"/>
    <w:rsid w:val="00053C27"/>
    <w:rsid w:val="00053E45"/>
    <w:rsid w:val="000543CC"/>
    <w:rsid w:val="00054716"/>
    <w:rsid w:val="0005533F"/>
    <w:rsid w:val="00055C12"/>
    <w:rsid w:val="00056F92"/>
    <w:rsid w:val="0006054C"/>
    <w:rsid w:val="000613C8"/>
    <w:rsid w:val="000618E3"/>
    <w:rsid w:val="00062429"/>
    <w:rsid w:val="00062FE8"/>
    <w:rsid w:val="00064CF1"/>
    <w:rsid w:val="00065D36"/>
    <w:rsid w:val="00065FE0"/>
    <w:rsid w:val="00066326"/>
    <w:rsid w:val="00067D45"/>
    <w:rsid w:val="000715D0"/>
    <w:rsid w:val="0007258D"/>
    <w:rsid w:val="0007432F"/>
    <w:rsid w:val="000748C2"/>
    <w:rsid w:val="00074B3A"/>
    <w:rsid w:val="00075178"/>
    <w:rsid w:val="00075431"/>
    <w:rsid w:val="000772C5"/>
    <w:rsid w:val="00080DB2"/>
    <w:rsid w:val="00080E70"/>
    <w:rsid w:val="00083446"/>
    <w:rsid w:val="0008360C"/>
    <w:rsid w:val="000840FE"/>
    <w:rsid w:val="0008416C"/>
    <w:rsid w:val="00084753"/>
    <w:rsid w:val="00084A2E"/>
    <w:rsid w:val="00084C44"/>
    <w:rsid w:val="0008538B"/>
    <w:rsid w:val="00085A4C"/>
    <w:rsid w:val="00090DF8"/>
    <w:rsid w:val="000921B6"/>
    <w:rsid w:val="00092A59"/>
    <w:rsid w:val="0009346F"/>
    <w:rsid w:val="0009476E"/>
    <w:rsid w:val="00094CD1"/>
    <w:rsid w:val="0009633F"/>
    <w:rsid w:val="00096812"/>
    <w:rsid w:val="00097E39"/>
    <w:rsid w:val="000A0942"/>
    <w:rsid w:val="000A1009"/>
    <w:rsid w:val="000A1493"/>
    <w:rsid w:val="000A1C36"/>
    <w:rsid w:val="000A232E"/>
    <w:rsid w:val="000A44F7"/>
    <w:rsid w:val="000A452B"/>
    <w:rsid w:val="000A4D6B"/>
    <w:rsid w:val="000A5F97"/>
    <w:rsid w:val="000A6F06"/>
    <w:rsid w:val="000A7611"/>
    <w:rsid w:val="000B4031"/>
    <w:rsid w:val="000B456C"/>
    <w:rsid w:val="000B5A0C"/>
    <w:rsid w:val="000B7992"/>
    <w:rsid w:val="000B7D98"/>
    <w:rsid w:val="000B7FDB"/>
    <w:rsid w:val="000C0A59"/>
    <w:rsid w:val="000C544A"/>
    <w:rsid w:val="000C5E76"/>
    <w:rsid w:val="000C668D"/>
    <w:rsid w:val="000C71B4"/>
    <w:rsid w:val="000C7390"/>
    <w:rsid w:val="000C7FA6"/>
    <w:rsid w:val="000D1C59"/>
    <w:rsid w:val="000D1E68"/>
    <w:rsid w:val="000D20DA"/>
    <w:rsid w:val="000D228E"/>
    <w:rsid w:val="000D26C0"/>
    <w:rsid w:val="000D41C2"/>
    <w:rsid w:val="000D7FED"/>
    <w:rsid w:val="000E0216"/>
    <w:rsid w:val="000E062B"/>
    <w:rsid w:val="000E07C9"/>
    <w:rsid w:val="000E0A26"/>
    <w:rsid w:val="000E0D5D"/>
    <w:rsid w:val="000E123D"/>
    <w:rsid w:val="000E1A56"/>
    <w:rsid w:val="000E3183"/>
    <w:rsid w:val="000E3A2A"/>
    <w:rsid w:val="000E53E8"/>
    <w:rsid w:val="000E5690"/>
    <w:rsid w:val="000E5F04"/>
    <w:rsid w:val="000E66A3"/>
    <w:rsid w:val="000E689D"/>
    <w:rsid w:val="000E6CEA"/>
    <w:rsid w:val="000E75F4"/>
    <w:rsid w:val="000F1790"/>
    <w:rsid w:val="000F221C"/>
    <w:rsid w:val="000F43B1"/>
    <w:rsid w:val="000F484C"/>
    <w:rsid w:val="000F4B2D"/>
    <w:rsid w:val="000F5374"/>
    <w:rsid w:val="000F5ED5"/>
    <w:rsid w:val="000F6009"/>
    <w:rsid w:val="000F61A7"/>
    <w:rsid w:val="000F6464"/>
    <w:rsid w:val="000F6672"/>
    <w:rsid w:val="000F7647"/>
    <w:rsid w:val="00101D66"/>
    <w:rsid w:val="00101EF8"/>
    <w:rsid w:val="001020F5"/>
    <w:rsid w:val="0010286E"/>
    <w:rsid w:val="00102934"/>
    <w:rsid w:val="001031C3"/>
    <w:rsid w:val="00105F23"/>
    <w:rsid w:val="00106525"/>
    <w:rsid w:val="0010728D"/>
    <w:rsid w:val="00110357"/>
    <w:rsid w:val="0011110B"/>
    <w:rsid w:val="0011207E"/>
    <w:rsid w:val="001140A6"/>
    <w:rsid w:val="0011537A"/>
    <w:rsid w:val="001157AB"/>
    <w:rsid w:val="00115983"/>
    <w:rsid w:val="00115FC7"/>
    <w:rsid w:val="001202D8"/>
    <w:rsid w:val="0012047F"/>
    <w:rsid w:val="001206DF"/>
    <w:rsid w:val="00121BB5"/>
    <w:rsid w:val="00123FAB"/>
    <w:rsid w:val="001305AB"/>
    <w:rsid w:val="00130694"/>
    <w:rsid w:val="001312DC"/>
    <w:rsid w:val="00131F15"/>
    <w:rsid w:val="00131FBD"/>
    <w:rsid w:val="001323C7"/>
    <w:rsid w:val="00132BA4"/>
    <w:rsid w:val="00133010"/>
    <w:rsid w:val="00134A41"/>
    <w:rsid w:val="00134F50"/>
    <w:rsid w:val="0013693B"/>
    <w:rsid w:val="00136F65"/>
    <w:rsid w:val="00136F70"/>
    <w:rsid w:val="00136FE6"/>
    <w:rsid w:val="00137E58"/>
    <w:rsid w:val="00141FF8"/>
    <w:rsid w:val="001437E3"/>
    <w:rsid w:val="00143FA0"/>
    <w:rsid w:val="001442E2"/>
    <w:rsid w:val="001453C8"/>
    <w:rsid w:val="00146187"/>
    <w:rsid w:val="00146A29"/>
    <w:rsid w:val="00147B10"/>
    <w:rsid w:val="001510DC"/>
    <w:rsid w:val="00151282"/>
    <w:rsid w:val="00151C88"/>
    <w:rsid w:val="00151DA5"/>
    <w:rsid w:val="001521EC"/>
    <w:rsid w:val="001550F6"/>
    <w:rsid w:val="00157B92"/>
    <w:rsid w:val="0016037E"/>
    <w:rsid w:val="001605DF"/>
    <w:rsid w:val="00160910"/>
    <w:rsid w:val="00161319"/>
    <w:rsid w:val="001619FA"/>
    <w:rsid w:val="00162736"/>
    <w:rsid w:val="001628E5"/>
    <w:rsid w:val="00162A1C"/>
    <w:rsid w:val="001637BE"/>
    <w:rsid w:val="00165109"/>
    <w:rsid w:val="0016538C"/>
    <w:rsid w:val="001659BC"/>
    <w:rsid w:val="00166BE5"/>
    <w:rsid w:val="00166D8E"/>
    <w:rsid w:val="00167247"/>
    <w:rsid w:val="001674C0"/>
    <w:rsid w:val="00167F30"/>
    <w:rsid w:val="00170061"/>
    <w:rsid w:val="0017081C"/>
    <w:rsid w:val="0017290D"/>
    <w:rsid w:val="00172990"/>
    <w:rsid w:val="00173233"/>
    <w:rsid w:val="001741B4"/>
    <w:rsid w:val="001742FD"/>
    <w:rsid w:val="00174A1C"/>
    <w:rsid w:val="001752F9"/>
    <w:rsid w:val="001774A5"/>
    <w:rsid w:val="001807F6"/>
    <w:rsid w:val="001827F0"/>
    <w:rsid w:val="00182C4D"/>
    <w:rsid w:val="00183737"/>
    <w:rsid w:val="00184B28"/>
    <w:rsid w:val="0018757D"/>
    <w:rsid w:val="00187615"/>
    <w:rsid w:val="001932DF"/>
    <w:rsid w:val="001937C2"/>
    <w:rsid w:val="00193B6E"/>
    <w:rsid w:val="00194170"/>
    <w:rsid w:val="001958BF"/>
    <w:rsid w:val="00195C15"/>
    <w:rsid w:val="001A027B"/>
    <w:rsid w:val="001A037B"/>
    <w:rsid w:val="001A0498"/>
    <w:rsid w:val="001A194D"/>
    <w:rsid w:val="001A1E1B"/>
    <w:rsid w:val="001A609C"/>
    <w:rsid w:val="001B0174"/>
    <w:rsid w:val="001B033C"/>
    <w:rsid w:val="001B1675"/>
    <w:rsid w:val="001B1B56"/>
    <w:rsid w:val="001B48DF"/>
    <w:rsid w:val="001B4FE5"/>
    <w:rsid w:val="001B60AF"/>
    <w:rsid w:val="001B6257"/>
    <w:rsid w:val="001B761F"/>
    <w:rsid w:val="001B7B4B"/>
    <w:rsid w:val="001C059C"/>
    <w:rsid w:val="001C123E"/>
    <w:rsid w:val="001C16CF"/>
    <w:rsid w:val="001C37BE"/>
    <w:rsid w:val="001C4E60"/>
    <w:rsid w:val="001C679B"/>
    <w:rsid w:val="001C6CDC"/>
    <w:rsid w:val="001D10E7"/>
    <w:rsid w:val="001D4347"/>
    <w:rsid w:val="001D442B"/>
    <w:rsid w:val="001D5078"/>
    <w:rsid w:val="001D6169"/>
    <w:rsid w:val="001D687A"/>
    <w:rsid w:val="001D68E5"/>
    <w:rsid w:val="001D7369"/>
    <w:rsid w:val="001E0014"/>
    <w:rsid w:val="001E02F4"/>
    <w:rsid w:val="001E3303"/>
    <w:rsid w:val="001E3A37"/>
    <w:rsid w:val="001E4616"/>
    <w:rsid w:val="001E521A"/>
    <w:rsid w:val="001E5865"/>
    <w:rsid w:val="001E6E11"/>
    <w:rsid w:val="001E7247"/>
    <w:rsid w:val="001E72B1"/>
    <w:rsid w:val="001F1F14"/>
    <w:rsid w:val="001F2A69"/>
    <w:rsid w:val="001F2EF7"/>
    <w:rsid w:val="001F3E9B"/>
    <w:rsid w:val="001F6199"/>
    <w:rsid w:val="001F6843"/>
    <w:rsid w:val="001F6E22"/>
    <w:rsid w:val="001F7A6C"/>
    <w:rsid w:val="001F7FD8"/>
    <w:rsid w:val="002014DC"/>
    <w:rsid w:val="002029C2"/>
    <w:rsid w:val="002038F5"/>
    <w:rsid w:val="00203CA7"/>
    <w:rsid w:val="00204396"/>
    <w:rsid w:val="002057B5"/>
    <w:rsid w:val="002075CF"/>
    <w:rsid w:val="00210F91"/>
    <w:rsid w:val="00211E2F"/>
    <w:rsid w:val="0021228F"/>
    <w:rsid w:val="002126F9"/>
    <w:rsid w:val="002126FE"/>
    <w:rsid w:val="00213598"/>
    <w:rsid w:val="002251F5"/>
    <w:rsid w:val="002279EB"/>
    <w:rsid w:val="00230529"/>
    <w:rsid w:val="00231206"/>
    <w:rsid w:val="00231DFE"/>
    <w:rsid w:val="0023236A"/>
    <w:rsid w:val="0023263D"/>
    <w:rsid w:val="00233778"/>
    <w:rsid w:val="00233CA0"/>
    <w:rsid w:val="00234427"/>
    <w:rsid w:val="00234552"/>
    <w:rsid w:val="002348EB"/>
    <w:rsid w:val="00235351"/>
    <w:rsid w:val="00235BF3"/>
    <w:rsid w:val="00235C30"/>
    <w:rsid w:val="00236300"/>
    <w:rsid w:val="002372F2"/>
    <w:rsid w:val="00240645"/>
    <w:rsid w:val="00241369"/>
    <w:rsid w:val="002417FD"/>
    <w:rsid w:val="002429FA"/>
    <w:rsid w:val="00244E87"/>
    <w:rsid w:val="00245ECF"/>
    <w:rsid w:val="00245FDE"/>
    <w:rsid w:val="0024765B"/>
    <w:rsid w:val="00247EAF"/>
    <w:rsid w:val="002528D2"/>
    <w:rsid w:val="00252B0C"/>
    <w:rsid w:val="00252B64"/>
    <w:rsid w:val="00253B19"/>
    <w:rsid w:val="00253DC2"/>
    <w:rsid w:val="00254FD1"/>
    <w:rsid w:val="002552F3"/>
    <w:rsid w:val="00256EA0"/>
    <w:rsid w:val="002577DA"/>
    <w:rsid w:val="0025799A"/>
    <w:rsid w:val="002579B5"/>
    <w:rsid w:val="00257B15"/>
    <w:rsid w:val="002645D8"/>
    <w:rsid w:val="00264A81"/>
    <w:rsid w:val="00264DC2"/>
    <w:rsid w:val="002650E4"/>
    <w:rsid w:val="0026693C"/>
    <w:rsid w:val="00266E80"/>
    <w:rsid w:val="00267BAE"/>
    <w:rsid w:val="002722D4"/>
    <w:rsid w:val="0027239F"/>
    <w:rsid w:val="00272A39"/>
    <w:rsid w:val="00273401"/>
    <w:rsid w:val="00273A41"/>
    <w:rsid w:val="00274F48"/>
    <w:rsid w:val="00276A32"/>
    <w:rsid w:val="002777F2"/>
    <w:rsid w:val="00280070"/>
    <w:rsid w:val="00280283"/>
    <w:rsid w:val="00280D1B"/>
    <w:rsid w:val="00281F54"/>
    <w:rsid w:val="00282132"/>
    <w:rsid w:val="00284DB2"/>
    <w:rsid w:val="00285AED"/>
    <w:rsid w:val="002863D9"/>
    <w:rsid w:val="00286A56"/>
    <w:rsid w:val="002900F2"/>
    <w:rsid w:val="00291075"/>
    <w:rsid w:val="00292E64"/>
    <w:rsid w:val="00293284"/>
    <w:rsid w:val="0029427E"/>
    <w:rsid w:val="00295A5B"/>
    <w:rsid w:val="00296585"/>
    <w:rsid w:val="00296F48"/>
    <w:rsid w:val="00297BF3"/>
    <w:rsid w:val="002A1AE7"/>
    <w:rsid w:val="002A4834"/>
    <w:rsid w:val="002A4E82"/>
    <w:rsid w:val="002A746A"/>
    <w:rsid w:val="002A7512"/>
    <w:rsid w:val="002B0B36"/>
    <w:rsid w:val="002B0BFC"/>
    <w:rsid w:val="002B2172"/>
    <w:rsid w:val="002B2224"/>
    <w:rsid w:val="002B2BC8"/>
    <w:rsid w:val="002B3FE9"/>
    <w:rsid w:val="002B5E5C"/>
    <w:rsid w:val="002B6000"/>
    <w:rsid w:val="002B6057"/>
    <w:rsid w:val="002B631E"/>
    <w:rsid w:val="002B67A5"/>
    <w:rsid w:val="002C07F7"/>
    <w:rsid w:val="002C33E4"/>
    <w:rsid w:val="002C3503"/>
    <w:rsid w:val="002C42BA"/>
    <w:rsid w:val="002C45F1"/>
    <w:rsid w:val="002C4BDD"/>
    <w:rsid w:val="002C4F37"/>
    <w:rsid w:val="002C4F59"/>
    <w:rsid w:val="002C4F7D"/>
    <w:rsid w:val="002C66A8"/>
    <w:rsid w:val="002C6914"/>
    <w:rsid w:val="002C6E37"/>
    <w:rsid w:val="002C747C"/>
    <w:rsid w:val="002C7915"/>
    <w:rsid w:val="002D1029"/>
    <w:rsid w:val="002D108D"/>
    <w:rsid w:val="002D23A4"/>
    <w:rsid w:val="002D370D"/>
    <w:rsid w:val="002D436E"/>
    <w:rsid w:val="002D4622"/>
    <w:rsid w:val="002D5667"/>
    <w:rsid w:val="002D592D"/>
    <w:rsid w:val="002D5A10"/>
    <w:rsid w:val="002D5D68"/>
    <w:rsid w:val="002D6816"/>
    <w:rsid w:val="002D6B0B"/>
    <w:rsid w:val="002D73F6"/>
    <w:rsid w:val="002D7651"/>
    <w:rsid w:val="002D79DC"/>
    <w:rsid w:val="002E00E9"/>
    <w:rsid w:val="002E2011"/>
    <w:rsid w:val="002E2B70"/>
    <w:rsid w:val="002E3E30"/>
    <w:rsid w:val="002E4405"/>
    <w:rsid w:val="002E6264"/>
    <w:rsid w:val="002E6EA8"/>
    <w:rsid w:val="002E6F43"/>
    <w:rsid w:val="002E7A89"/>
    <w:rsid w:val="002E7E9B"/>
    <w:rsid w:val="002F0963"/>
    <w:rsid w:val="002F0A74"/>
    <w:rsid w:val="002F0CE6"/>
    <w:rsid w:val="002F1050"/>
    <w:rsid w:val="002F1465"/>
    <w:rsid w:val="002F1855"/>
    <w:rsid w:val="002F1979"/>
    <w:rsid w:val="002F3191"/>
    <w:rsid w:val="002F48AE"/>
    <w:rsid w:val="002F4990"/>
    <w:rsid w:val="002F53DC"/>
    <w:rsid w:val="002F5D1B"/>
    <w:rsid w:val="002F7787"/>
    <w:rsid w:val="002F7F6D"/>
    <w:rsid w:val="0030080B"/>
    <w:rsid w:val="003026B8"/>
    <w:rsid w:val="00303162"/>
    <w:rsid w:val="0030383F"/>
    <w:rsid w:val="00304014"/>
    <w:rsid w:val="00304F0A"/>
    <w:rsid w:val="0030676E"/>
    <w:rsid w:val="00306AD9"/>
    <w:rsid w:val="00306B2A"/>
    <w:rsid w:val="00306FBB"/>
    <w:rsid w:val="00307DF2"/>
    <w:rsid w:val="003104EC"/>
    <w:rsid w:val="00311638"/>
    <w:rsid w:val="00312C16"/>
    <w:rsid w:val="00312E17"/>
    <w:rsid w:val="00314228"/>
    <w:rsid w:val="00314334"/>
    <w:rsid w:val="003144F1"/>
    <w:rsid w:val="00314597"/>
    <w:rsid w:val="00314D58"/>
    <w:rsid w:val="0031657C"/>
    <w:rsid w:val="00320021"/>
    <w:rsid w:val="0032017A"/>
    <w:rsid w:val="00320B63"/>
    <w:rsid w:val="003224D9"/>
    <w:rsid w:val="003234DC"/>
    <w:rsid w:val="003313BE"/>
    <w:rsid w:val="00331584"/>
    <w:rsid w:val="0033164B"/>
    <w:rsid w:val="0033275D"/>
    <w:rsid w:val="00333745"/>
    <w:rsid w:val="00333836"/>
    <w:rsid w:val="00333EBA"/>
    <w:rsid w:val="003345E7"/>
    <w:rsid w:val="00335C94"/>
    <w:rsid w:val="00336189"/>
    <w:rsid w:val="00336CEB"/>
    <w:rsid w:val="00337CC2"/>
    <w:rsid w:val="00340243"/>
    <w:rsid w:val="00341950"/>
    <w:rsid w:val="00342EF4"/>
    <w:rsid w:val="00344E9E"/>
    <w:rsid w:val="0034511F"/>
    <w:rsid w:val="00346C9D"/>
    <w:rsid w:val="0035123F"/>
    <w:rsid w:val="00352A8C"/>
    <w:rsid w:val="00353BD9"/>
    <w:rsid w:val="00356C5D"/>
    <w:rsid w:val="00357E34"/>
    <w:rsid w:val="0036085C"/>
    <w:rsid w:val="00362F36"/>
    <w:rsid w:val="003659E4"/>
    <w:rsid w:val="00365BBB"/>
    <w:rsid w:val="00365FCC"/>
    <w:rsid w:val="003672B7"/>
    <w:rsid w:val="0036735D"/>
    <w:rsid w:val="00367805"/>
    <w:rsid w:val="00367CD0"/>
    <w:rsid w:val="00370250"/>
    <w:rsid w:val="003707EA"/>
    <w:rsid w:val="00370B0E"/>
    <w:rsid w:val="0037132A"/>
    <w:rsid w:val="00371B58"/>
    <w:rsid w:val="003746CE"/>
    <w:rsid w:val="003748A2"/>
    <w:rsid w:val="00374BF4"/>
    <w:rsid w:val="0038053F"/>
    <w:rsid w:val="00382B5E"/>
    <w:rsid w:val="00383510"/>
    <w:rsid w:val="00384111"/>
    <w:rsid w:val="00384D9F"/>
    <w:rsid w:val="003852C0"/>
    <w:rsid w:val="00386978"/>
    <w:rsid w:val="0038732C"/>
    <w:rsid w:val="0038745F"/>
    <w:rsid w:val="00390911"/>
    <w:rsid w:val="00391843"/>
    <w:rsid w:val="00392649"/>
    <w:rsid w:val="00393E28"/>
    <w:rsid w:val="00394E7C"/>
    <w:rsid w:val="00395A7C"/>
    <w:rsid w:val="00395DB4"/>
    <w:rsid w:val="00397E54"/>
    <w:rsid w:val="003A1CA0"/>
    <w:rsid w:val="003A2466"/>
    <w:rsid w:val="003A2D67"/>
    <w:rsid w:val="003A2E2C"/>
    <w:rsid w:val="003A39DE"/>
    <w:rsid w:val="003A4BC8"/>
    <w:rsid w:val="003A6385"/>
    <w:rsid w:val="003A7BF3"/>
    <w:rsid w:val="003B02AB"/>
    <w:rsid w:val="003B1B26"/>
    <w:rsid w:val="003B412E"/>
    <w:rsid w:val="003B4C56"/>
    <w:rsid w:val="003B5061"/>
    <w:rsid w:val="003B6938"/>
    <w:rsid w:val="003B7AE9"/>
    <w:rsid w:val="003C23BF"/>
    <w:rsid w:val="003C23D9"/>
    <w:rsid w:val="003C339D"/>
    <w:rsid w:val="003C50B9"/>
    <w:rsid w:val="003C5F03"/>
    <w:rsid w:val="003C605E"/>
    <w:rsid w:val="003C6393"/>
    <w:rsid w:val="003C6A1B"/>
    <w:rsid w:val="003C6F4A"/>
    <w:rsid w:val="003C7D67"/>
    <w:rsid w:val="003D1489"/>
    <w:rsid w:val="003D29D3"/>
    <w:rsid w:val="003D3E22"/>
    <w:rsid w:val="003D4BDB"/>
    <w:rsid w:val="003D749A"/>
    <w:rsid w:val="003E0163"/>
    <w:rsid w:val="003E196F"/>
    <w:rsid w:val="003E1BDC"/>
    <w:rsid w:val="003E264E"/>
    <w:rsid w:val="003E2845"/>
    <w:rsid w:val="003E2A94"/>
    <w:rsid w:val="003E4EF5"/>
    <w:rsid w:val="003E6663"/>
    <w:rsid w:val="003E7D07"/>
    <w:rsid w:val="003F116A"/>
    <w:rsid w:val="003F14A8"/>
    <w:rsid w:val="003F152B"/>
    <w:rsid w:val="003F180F"/>
    <w:rsid w:val="003F3178"/>
    <w:rsid w:val="003F3F64"/>
    <w:rsid w:val="003F6B9E"/>
    <w:rsid w:val="003F6FB8"/>
    <w:rsid w:val="00400D05"/>
    <w:rsid w:val="0040169B"/>
    <w:rsid w:val="00401CB0"/>
    <w:rsid w:val="00402AD2"/>
    <w:rsid w:val="00402F7A"/>
    <w:rsid w:val="004035E4"/>
    <w:rsid w:val="004047ED"/>
    <w:rsid w:val="0040491E"/>
    <w:rsid w:val="00404CA1"/>
    <w:rsid w:val="00406ACE"/>
    <w:rsid w:val="00407983"/>
    <w:rsid w:val="00407BF3"/>
    <w:rsid w:val="00410C4D"/>
    <w:rsid w:val="00410E4D"/>
    <w:rsid w:val="00411C8A"/>
    <w:rsid w:val="00413980"/>
    <w:rsid w:val="0041518A"/>
    <w:rsid w:val="00416157"/>
    <w:rsid w:val="00416605"/>
    <w:rsid w:val="00420B53"/>
    <w:rsid w:val="00420C19"/>
    <w:rsid w:val="00421068"/>
    <w:rsid w:val="00422E8E"/>
    <w:rsid w:val="004257AA"/>
    <w:rsid w:val="00425958"/>
    <w:rsid w:val="00425E45"/>
    <w:rsid w:val="004263BB"/>
    <w:rsid w:val="00426BA8"/>
    <w:rsid w:val="00426C7B"/>
    <w:rsid w:val="00427B4B"/>
    <w:rsid w:val="004313DF"/>
    <w:rsid w:val="00433C50"/>
    <w:rsid w:val="00434170"/>
    <w:rsid w:val="00434903"/>
    <w:rsid w:val="0043594C"/>
    <w:rsid w:val="00436AFF"/>
    <w:rsid w:val="00436C4D"/>
    <w:rsid w:val="00437664"/>
    <w:rsid w:val="00437EE6"/>
    <w:rsid w:val="00443DC1"/>
    <w:rsid w:val="00445554"/>
    <w:rsid w:val="00445CC8"/>
    <w:rsid w:val="00446C0B"/>
    <w:rsid w:val="0044740B"/>
    <w:rsid w:val="0045099F"/>
    <w:rsid w:val="004512FE"/>
    <w:rsid w:val="004535FD"/>
    <w:rsid w:val="004540D2"/>
    <w:rsid w:val="00454D1C"/>
    <w:rsid w:val="00456273"/>
    <w:rsid w:val="0045718A"/>
    <w:rsid w:val="00457282"/>
    <w:rsid w:val="004576BF"/>
    <w:rsid w:val="00461882"/>
    <w:rsid w:val="004632E4"/>
    <w:rsid w:val="004638D4"/>
    <w:rsid w:val="00463D51"/>
    <w:rsid w:val="004647CC"/>
    <w:rsid w:val="0046501F"/>
    <w:rsid w:val="0046590D"/>
    <w:rsid w:val="00466490"/>
    <w:rsid w:val="0046792A"/>
    <w:rsid w:val="00467E9D"/>
    <w:rsid w:val="004708CD"/>
    <w:rsid w:val="00470CFA"/>
    <w:rsid w:val="00472297"/>
    <w:rsid w:val="0047243A"/>
    <w:rsid w:val="00472B52"/>
    <w:rsid w:val="00473EC5"/>
    <w:rsid w:val="004740FA"/>
    <w:rsid w:val="00474151"/>
    <w:rsid w:val="004744F8"/>
    <w:rsid w:val="00474C8A"/>
    <w:rsid w:val="00476124"/>
    <w:rsid w:val="00477362"/>
    <w:rsid w:val="00477498"/>
    <w:rsid w:val="00477751"/>
    <w:rsid w:val="00480B7F"/>
    <w:rsid w:val="00481165"/>
    <w:rsid w:val="00481CDD"/>
    <w:rsid w:val="00481E58"/>
    <w:rsid w:val="00482401"/>
    <w:rsid w:val="004824AE"/>
    <w:rsid w:val="0048339D"/>
    <w:rsid w:val="00485089"/>
    <w:rsid w:val="0048537A"/>
    <w:rsid w:val="00485DC9"/>
    <w:rsid w:val="00486A6A"/>
    <w:rsid w:val="00487734"/>
    <w:rsid w:val="00490382"/>
    <w:rsid w:val="00490482"/>
    <w:rsid w:val="00491DB1"/>
    <w:rsid w:val="00496065"/>
    <w:rsid w:val="0049653D"/>
    <w:rsid w:val="004971D1"/>
    <w:rsid w:val="004A0462"/>
    <w:rsid w:val="004A0D45"/>
    <w:rsid w:val="004A0E5D"/>
    <w:rsid w:val="004A15A3"/>
    <w:rsid w:val="004A27B0"/>
    <w:rsid w:val="004A33D8"/>
    <w:rsid w:val="004A35DB"/>
    <w:rsid w:val="004A3970"/>
    <w:rsid w:val="004A409D"/>
    <w:rsid w:val="004A41C1"/>
    <w:rsid w:val="004A4B95"/>
    <w:rsid w:val="004A4C4D"/>
    <w:rsid w:val="004A6077"/>
    <w:rsid w:val="004B034F"/>
    <w:rsid w:val="004B0475"/>
    <w:rsid w:val="004B074B"/>
    <w:rsid w:val="004B0FD3"/>
    <w:rsid w:val="004B1A79"/>
    <w:rsid w:val="004B2286"/>
    <w:rsid w:val="004B40A3"/>
    <w:rsid w:val="004B4C96"/>
    <w:rsid w:val="004B5054"/>
    <w:rsid w:val="004B5309"/>
    <w:rsid w:val="004B5A7F"/>
    <w:rsid w:val="004B5C8D"/>
    <w:rsid w:val="004B6A4B"/>
    <w:rsid w:val="004B6B22"/>
    <w:rsid w:val="004C131B"/>
    <w:rsid w:val="004C1D9F"/>
    <w:rsid w:val="004C3D51"/>
    <w:rsid w:val="004C46FB"/>
    <w:rsid w:val="004C49CC"/>
    <w:rsid w:val="004C4D10"/>
    <w:rsid w:val="004C4FFD"/>
    <w:rsid w:val="004C7594"/>
    <w:rsid w:val="004D019D"/>
    <w:rsid w:val="004D0BD5"/>
    <w:rsid w:val="004D174C"/>
    <w:rsid w:val="004D19BE"/>
    <w:rsid w:val="004D2371"/>
    <w:rsid w:val="004D2EC2"/>
    <w:rsid w:val="004D346F"/>
    <w:rsid w:val="004D40F8"/>
    <w:rsid w:val="004D4155"/>
    <w:rsid w:val="004D6C5C"/>
    <w:rsid w:val="004D7880"/>
    <w:rsid w:val="004E02D5"/>
    <w:rsid w:val="004E04D7"/>
    <w:rsid w:val="004E0BB2"/>
    <w:rsid w:val="004E1587"/>
    <w:rsid w:val="004E29F6"/>
    <w:rsid w:val="004E2D30"/>
    <w:rsid w:val="004E3508"/>
    <w:rsid w:val="004E4FBA"/>
    <w:rsid w:val="004E59D9"/>
    <w:rsid w:val="004E742A"/>
    <w:rsid w:val="004E781C"/>
    <w:rsid w:val="004F0169"/>
    <w:rsid w:val="004F026E"/>
    <w:rsid w:val="004F17A2"/>
    <w:rsid w:val="004F1930"/>
    <w:rsid w:val="004F2104"/>
    <w:rsid w:val="004F2FEB"/>
    <w:rsid w:val="004F35AF"/>
    <w:rsid w:val="004F3B08"/>
    <w:rsid w:val="004F5377"/>
    <w:rsid w:val="004F6238"/>
    <w:rsid w:val="004F6BB9"/>
    <w:rsid w:val="004F6CE5"/>
    <w:rsid w:val="004F70A7"/>
    <w:rsid w:val="004F71D2"/>
    <w:rsid w:val="004F7936"/>
    <w:rsid w:val="0050048D"/>
    <w:rsid w:val="0050054A"/>
    <w:rsid w:val="00500EFA"/>
    <w:rsid w:val="00501301"/>
    <w:rsid w:val="00502548"/>
    <w:rsid w:val="00502777"/>
    <w:rsid w:val="00502FCC"/>
    <w:rsid w:val="005040ED"/>
    <w:rsid w:val="00504ABA"/>
    <w:rsid w:val="00505635"/>
    <w:rsid w:val="00506252"/>
    <w:rsid w:val="00507235"/>
    <w:rsid w:val="00507EE5"/>
    <w:rsid w:val="00507FFA"/>
    <w:rsid w:val="0051102E"/>
    <w:rsid w:val="00512F6D"/>
    <w:rsid w:val="00513353"/>
    <w:rsid w:val="005136CB"/>
    <w:rsid w:val="005141F3"/>
    <w:rsid w:val="005142E3"/>
    <w:rsid w:val="0051464A"/>
    <w:rsid w:val="005146F5"/>
    <w:rsid w:val="00514C22"/>
    <w:rsid w:val="005156E4"/>
    <w:rsid w:val="00515D6C"/>
    <w:rsid w:val="005166EC"/>
    <w:rsid w:val="00516DC8"/>
    <w:rsid w:val="00522148"/>
    <w:rsid w:val="00524EDD"/>
    <w:rsid w:val="00525D97"/>
    <w:rsid w:val="005262E9"/>
    <w:rsid w:val="005271EE"/>
    <w:rsid w:val="005276F0"/>
    <w:rsid w:val="00527BE3"/>
    <w:rsid w:val="00530085"/>
    <w:rsid w:val="005313B5"/>
    <w:rsid w:val="0053191E"/>
    <w:rsid w:val="00531F36"/>
    <w:rsid w:val="005328C0"/>
    <w:rsid w:val="00532B43"/>
    <w:rsid w:val="00532DB4"/>
    <w:rsid w:val="0053354A"/>
    <w:rsid w:val="00534896"/>
    <w:rsid w:val="005353F8"/>
    <w:rsid w:val="00536055"/>
    <w:rsid w:val="00536A30"/>
    <w:rsid w:val="00536A33"/>
    <w:rsid w:val="00541862"/>
    <w:rsid w:val="00541B10"/>
    <w:rsid w:val="00541ED0"/>
    <w:rsid w:val="00543F0E"/>
    <w:rsid w:val="00544040"/>
    <w:rsid w:val="0054477B"/>
    <w:rsid w:val="00544E66"/>
    <w:rsid w:val="005452FD"/>
    <w:rsid w:val="0054555A"/>
    <w:rsid w:val="00545A51"/>
    <w:rsid w:val="0054623D"/>
    <w:rsid w:val="005478A3"/>
    <w:rsid w:val="00547BCF"/>
    <w:rsid w:val="00547EB0"/>
    <w:rsid w:val="005502FE"/>
    <w:rsid w:val="005526A9"/>
    <w:rsid w:val="005538D9"/>
    <w:rsid w:val="00555CDE"/>
    <w:rsid w:val="0055609B"/>
    <w:rsid w:val="00556B1D"/>
    <w:rsid w:val="00556F13"/>
    <w:rsid w:val="005572C1"/>
    <w:rsid w:val="00557797"/>
    <w:rsid w:val="005605BB"/>
    <w:rsid w:val="00560976"/>
    <w:rsid w:val="005613DC"/>
    <w:rsid w:val="00562116"/>
    <w:rsid w:val="005626E0"/>
    <w:rsid w:val="00562AE0"/>
    <w:rsid w:val="0056487E"/>
    <w:rsid w:val="00564D9E"/>
    <w:rsid w:val="0056548F"/>
    <w:rsid w:val="00565B16"/>
    <w:rsid w:val="00565D35"/>
    <w:rsid w:val="0056739B"/>
    <w:rsid w:val="005679F6"/>
    <w:rsid w:val="00567C20"/>
    <w:rsid w:val="00570DA8"/>
    <w:rsid w:val="00571D44"/>
    <w:rsid w:val="00572F5B"/>
    <w:rsid w:val="00573131"/>
    <w:rsid w:val="0057315A"/>
    <w:rsid w:val="00577153"/>
    <w:rsid w:val="0057720D"/>
    <w:rsid w:val="00577A7D"/>
    <w:rsid w:val="00581067"/>
    <w:rsid w:val="005815DF"/>
    <w:rsid w:val="0058200E"/>
    <w:rsid w:val="00582060"/>
    <w:rsid w:val="00582535"/>
    <w:rsid w:val="0058279A"/>
    <w:rsid w:val="005853C3"/>
    <w:rsid w:val="00586434"/>
    <w:rsid w:val="00590622"/>
    <w:rsid w:val="00590C76"/>
    <w:rsid w:val="00590ED6"/>
    <w:rsid w:val="0059127A"/>
    <w:rsid w:val="005912A8"/>
    <w:rsid w:val="00595A8F"/>
    <w:rsid w:val="00596E6D"/>
    <w:rsid w:val="00596F26"/>
    <w:rsid w:val="00597732"/>
    <w:rsid w:val="005A036E"/>
    <w:rsid w:val="005A0EFA"/>
    <w:rsid w:val="005A13C3"/>
    <w:rsid w:val="005A1BEC"/>
    <w:rsid w:val="005A2585"/>
    <w:rsid w:val="005A548C"/>
    <w:rsid w:val="005A6D5B"/>
    <w:rsid w:val="005A70C0"/>
    <w:rsid w:val="005A7865"/>
    <w:rsid w:val="005B0D74"/>
    <w:rsid w:val="005B19C8"/>
    <w:rsid w:val="005B25AD"/>
    <w:rsid w:val="005B3C01"/>
    <w:rsid w:val="005B4FAE"/>
    <w:rsid w:val="005B5F8D"/>
    <w:rsid w:val="005C0A6C"/>
    <w:rsid w:val="005C3302"/>
    <w:rsid w:val="005C3A0C"/>
    <w:rsid w:val="005C4598"/>
    <w:rsid w:val="005C56EA"/>
    <w:rsid w:val="005D0580"/>
    <w:rsid w:val="005D1FCD"/>
    <w:rsid w:val="005D2356"/>
    <w:rsid w:val="005D4BA9"/>
    <w:rsid w:val="005D5AA9"/>
    <w:rsid w:val="005D604F"/>
    <w:rsid w:val="005D61B5"/>
    <w:rsid w:val="005D7485"/>
    <w:rsid w:val="005D79CE"/>
    <w:rsid w:val="005E11E4"/>
    <w:rsid w:val="005E2F27"/>
    <w:rsid w:val="005E3623"/>
    <w:rsid w:val="005E3652"/>
    <w:rsid w:val="005E3CFA"/>
    <w:rsid w:val="005E41A7"/>
    <w:rsid w:val="005E4B2F"/>
    <w:rsid w:val="005E505F"/>
    <w:rsid w:val="005E6370"/>
    <w:rsid w:val="005E78FC"/>
    <w:rsid w:val="005E7967"/>
    <w:rsid w:val="005E7F75"/>
    <w:rsid w:val="005E7FF9"/>
    <w:rsid w:val="005F0FAF"/>
    <w:rsid w:val="005F1417"/>
    <w:rsid w:val="005F1468"/>
    <w:rsid w:val="005F2EAB"/>
    <w:rsid w:val="005F306F"/>
    <w:rsid w:val="005F3917"/>
    <w:rsid w:val="005F3C75"/>
    <w:rsid w:val="005F4624"/>
    <w:rsid w:val="005F5349"/>
    <w:rsid w:val="005F6E78"/>
    <w:rsid w:val="005F6F3C"/>
    <w:rsid w:val="005F79B3"/>
    <w:rsid w:val="00600284"/>
    <w:rsid w:val="00600D6B"/>
    <w:rsid w:val="006027F6"/>
    <w:rsid w:val="00602953"/>
    <w:rsid w:val="006052B9"/>
    <w:rsid w:val="00605979"/>
    <w:rsid w:val="00606BB0"/>
    <w:rsid w:val="00607131"/>
    <w:rsid w:val="0060719B"/>
    <w:rsid w:val="00611E7F"/>
    <w:rsid w:val="00614075"/>
    <w:rsid w:val="0061552A"/>
    <w:rsid w:val="006162F5"/>
    <w:rsid w:val="006164E6"/>
    <w:rsid w:val="006169E2"/>
    <w:rsid w:val="00616EC1"/>
    <w:rsid w:val="0061762B"/>
    <w:rsid w:val="00617654"/>
    <w:rsid w:val="006205D3"/>
    <w:rsid w:val="0062124B"/>
    <w:rsid w:val="00621A15"/>
    <w:rsid w:val="0062240D"/>
    <w:rsid w:val="00622969"/>
    <w:rsid w:val="00622F30"/>
    <w:rsid w:val="006252F2"/>
    <w:rsid w:val="006252FC"/>
    <w:rsid w:val="00625501"/>
    <w:rsid w:val="00625E36"/>
    <w:rsid w:val="00626C73"/>
    <w:rsid w:val="00626E1D"/>
    <w:rsid w:val="00626E79"/>
    <w:rsid w:val="00627EA5"/>
    <w:rsid w:val="00627EC1"/>
    <w:rsid w:val="00630678"/>
    <w:rsid w:val="00630A64"/>
    <w:rsid w:val="0063216E"/>
    <w:rsid w:val="0063232A"/>
    <w:rsid w:val="006328CD"/>
    <w:rsid w:val="00633F09"/>
    <w:rsid w:val="00634BD4"/>
    <w:rsid w:val="00634C1B"/>
    <w:rsid w:val="0063542D"/>
    <w:rsid w:val="006354D4"/>
    <w:rsid w:val="00635501"/>
    <w:rsid w:val="006355F6"/>
    <w:rsid w:val="00636738"/>
    <w:rsid w:val="00637ED1"/>
    <w:rsid w:val="0064178E"/>
    <w:rsid w:val="00643C6D"/>
    <w:rsid w:val="00643D1E"/>
    <w:rsid w:val="00645467"/>
    <w:rsid w:val="0064616D"/>
    <w:rsid w:val="00646F5F"/>
    <w:rsid w:val="00647224"/>
    <w:rsid w:val="0064751A"/>
    <w:rsid w:val="00650421"/>
    <w:rsid w:val="00650AB2"/>
    <w:rsid w:val="00650CC9"/>
    <w:rsid w:val="00653975"/>
    <w:rsid w:val="006542AB"/>
    <w:rsid w:val="0065542F"/>
    <w:rsid w:val="006554CF"/>
    <w:rsid w:val="00655C8E"/>
    <w:rsid w:val="006565DF"/>
    <w:rsid w:val="00656D3D"/>
    <w:rsid w:val="00657AA6"/>
    <w:rsid w:val="00660B8B"/>
    <w:rsid w:val="0066117E"/>
    <w:rsid w:val="0066223A"/>
    <w:rsid w:val="0066236C"/>
    <w:rsid w:val="0066259A"/>
    <w:rsid w:val="00662A47"/>
    <w:rsid w:val="00662B5C"/>
    <w:rsid w:val="00663E50"/>
    <w:rsid w:val="00665631"/>
    <w:rsid w:val="00665CFF"/>
    <w:rsid w:val="00665F7B"/>
    <w:rsid w:val="0066628D"/>
    <w:rsid w:val="00667CD1"/>
    <w:rsid w:val="00670619"/>
    <w:rsid w:val="00670AC6"/>
    <w:rsid w:val="00670DFA"/>
    <w:rsid w:val="00670F9B"/>
    <w:rsid w:val="00671208"/>
    <w:rsid w:val="006727EB"/>
    <w:rsid w:val="00672DA3"/>
    <w:rsid w:val="00675168"/>
    <w:rsid w:val="0067528C"/>
    <w:rsid w:val="006753D2"/>
    <w:rsid w:val="00676307"/>
    <w:rsid w:val="0067649E"/>
    <w:rsid w:val="0067693A"/>
    <w:rsid w:val="00676C3E"/>
    <w:rsid w:val="00680733"/>
    <w:rsid w:val="00681CB6"/>
    <w:rsid w:val="006826FB"/>
    <w:rsid w:val="00683DE8"/>
    <w:rsid w:val="006855AC"/>
    <w:rsid w:val="0068588C"/>
    <w:rsid w:val="006859DA"/>
    <w:rsid w:val="00686272"/>
    <w:rsid w:val="006868FB"/>
    <w:rsid w:val="00686B3D"/>
    <w:rsid w:val="00687A2E"/>
    <w:rsid w:val="00690AA3"/>
    <w:rsid w:val="00691879"/>
    <w:rsid w:val="00691B85"/>
    <w:rsid w:val="00691E4C"/>
    <w:rsid w:val="00691EEB"/>
    <w:rsid w:val="00692AE7"/>
    <w:rsid w:val="0069364F"/>
    <w:rsid w:val="00693A6B"/>
    <w:rsid w:val="006947F8"/>
    <w:rsid w:val="00695352"/>
    <w:rsid w:val="00695B7A"/>
    <w:rsid w:val="00697054"/>
    <w:rsid w:val="0069735A"/>
    <w:rsid w:val="00697D56"/>
    <w:rsid w:val="006A0780"/>
    <w:rsid w:val="006A26ED"/>
    <w:rsid w:val="006A3D15"/>
    <w:rsid w:val="006A7195"/>
    <w:rsid w:val="006A77AA"/>
    <w:rsid w:val="006B1D36"/>
    <w:rsid w:val="006B2156"/>
    <w:rsid w:val="006B3C91"/>
    <w:rsid w:val="006B40FD"/>
    <w:rsid w:val="006B4190"/>
    <w:rsid w:val="006B4A75"/>
    <w:rsid w:val="006B62D8"/>
    <w:rsid w:val="006B6A41"/>
    <w:rsid w:val="006C04F6"/>
    <w:rsid w:val="006C0D04"/>
    <w:rsid w:val="006C1E67"/>
    <w:rsid w:val="006C1EBC"/>
    <w:rsid w:val="006C24F9"/>
    <w:rsid w:val="006C2C2E"/>
    <w:rsid w:val="006C463E"/>
    <w:rsid w:val="006C4F82"/>
    <w:rsid w:val="006C5775"/>
    <w:rsid w:val="006C5C71"/>
    <w:rsid w:val="006C66D9"/>
    <w:rsid w:val="006C6A53"/>
    <w:rsid w:val="006C74A3"/>
    <w:rsid w:val="006D16D4"/>
    <w:rsid w:val="006D26CE"/>
    <w:rsid w:val="006D2BB4"/>
    <w:rsid w:val="006D3D65"/>
    <w:rsid w:val="006D591E"/>
    <w:rsid w:val="006D7A6A"/>
    <w:rsid w:val="006E0097"/>
    <w:rsid w:val="006E0488"/>
    <w:rsid w:val="006E05D1"/>
    <w:rsid w:val="006E1B9F"/>
    <w:rsid w:val="006E1CEB"/>
    <w:rsid w:val="006E1E27"/>
    <w:rsid w:val="006E6571"/>
    <w:rsid w:val="006E6730"/>
    <w:rsid w:val="006E6E8A"/>
    <w:rsid w:val="006F05D7"/>
    <w:rsid w:val="006F1BA1"/>
    <w:rsid w:val="006F2A96"/>
    <w:rsid w:val="006F36E0"/>
    <w:rsid w:val="006F471E"/>
    <w:rsid w:val="006F5299"/>
    <w:rsid w:val="006F53A3"/>
    <w:rsid w:val="006F5B62"/>
    <w:rsid w:val="006F687E"/>
    <w:rsid w:val="00700D79"/>
    <w:rsid w:val="007018C0"/>
    <w:rsid w:val="0070307B"/>
    <w:rsid w:val="00705829"/>
    <w:rsid w:val="0070662A"/>
    <w:rsid w:val="00711177"/>
    <w:rsid w:val="007111C3"/>
    <w:rsid w:val="007116DF"/>
    <w:rsid w:val="00711B09"/>
    <w:rsid w:val="00712887"/>
    <w:rsid w:val="00724087"/>
    <w:rsid w:val="00725358"/>
    <w:rsid w:val="00725B2B"/>
    <w:rsid w:val="00726880"/>
    <w:rsid w:val="0072761D"/>
    <w:rsid w:val="0072770D"/>
    <w:rsid w:val="007278E6"/>
    <w:rsid w:val="007316A0"/>
    <w:rsid w:val="00731A5F"/>
    <w:rsid w:val="0073217C"/>
    <w:rsid w:val="00733005"/>
    <w:rsid w:val="0073408E"/>
    <w:rsid w:val="00736776"/>
    <w:rsid w:val="00737828"/>
    <w:rsid w:val="007407E4"/>
    <w:rsid w:val="0074089B"/>
    <w:rsid w:val="00740AD6"/>
    <w:rsid w:val="00741534"/>
    <w:rsid w:val="00741DA3"/>
    <w:rsid w:val="007428DB"/>
    <w:rsid w:val="007443C3"/>
    <w:rsid w:val="00744847"/>
    <w:rsid w:val="007451D9"/>
    <w:rsid w:val="00747FE0"/>
    <w:rsid w:val="00750B90"/>
    <w:rsid w:val="00750DB8"/>
    <w:rsid w:val="00751709"/>
    <w:rsid w:val="00751F04"/>
    <w:rsid w:val="00753AED"/>
    <w:rsid w:val="00755913"/>
    <w:rsid w:val="00756A02"/>
    <w:rsid w:val="007611F3"/>
    <w:rsid w:val="00761299"/>
    <w:rsid w:val="00761631"/>
    <w:rsid w:val="007619F7"/>
    <w:rsid w:val="00765348"/>
    <w:rsid w:val="00765B1A"/>
    <w:rsid w:val="00765FBD"/>
    <w:rsid w:val="007701B7"/>
    <w:rsid w:val="007706E1"/>
    <w:rsid w:val="007712D9"/>
    <w:rsid w:val="007718D4"/>
    <w:rsid w:val="00772E15"/>
    <w:rsid w:val="00773121"/>
    <w:rsid w:val="00773541"/>
    <w:rsid w:val="00773B70"/>
    <w:rsid w:val="0077502D"/>
    <w:rsid w:val="00775720"/>
    <w:rsid w:val="007759D8"/>
    <w:rsid w:val="00775A72"/>
    <w:rsid w:val="0077726B"/>
    <w:rsid w:val="007772BA"/>
    <w:rsid w:val="007775B3"/>
    <w:rsid w:val="00780012"/>
    <w:rsid w:val="007800C2"/>
    <w:rsid w:val="007806B8"/>
    <w:rsid w:val="00780C4C"/>
    <w:rsid w:val="007811B9"/>
    <w:rsid w:val="0078137D"/>
    <w:rsid w:val="0078172D"/>
    <w:rsid w:val="00783B88"/>
    <w:rsid w:val="007862B7"/>
    <w:rsid w:val="0078743A"/>
    <w:rsid w:val="007912EF"/>
    <w:rsid w:val="00793081"/>
    <w:rsid w:val="00793D70"/>
    <w:rsid w:val="00794AB4"/>
    <w:rsid w:val="0079532A"/>
    <w:rsid w:val="00795384"/>
    <w:rsid w:val="00796EBE"/>
    <w:rsid w:val="00796EC3"/>
    <w:rsid w:val="00797440"/>
    <w:rsid w:val="007A0D61"/>
    <w:rsid w:val="007A174E"/>
    <w:rsid w:val="007A382F"/>
    <w:rsid w:val="007A4380"/>
    <w:rsid w:val="007A508D"/>
    <w:rsid w:val="007A5931"/>
    <w:rsid w:val="007A5BC1"/>
    <w:rsid w:val="007A7151"/>
    <w:rsid w:val="007A7433"/>
    <w:rsid w:val="007B054B"/>
    <w:rsid w:val="007B188C"/>
    <w:rsid w:val="007B29DC"/>
    <w:rsid w:val="007B2E4A"/>
    <w:rsid w:val="007B51CD"/>
    <w:rsid w:val="007B54CD"/>
    <w:rsid w:val="007B5531"/>
    <w:rsid w:val="007B5C07"/>
    <w:rsid w:val="007B6050"/>
    <w:rsid w:val="007B61F8"/>
    <w:rsid w:val="007B6EDE"/>
    <w:rsid w:val="007B706A"/>
    <w:rsid w:val="007B7B70"/>
    <w:rsid w:val="007C046E"/>
    <w:rsid w:val="007C06FF"/>
    <w:rsid w:val="007C24EB"/>
    <w:rsid w:val="007C4E48"/>
    <w:rsid w:val="007C5498"/>
    <w:rsid w:val="007C54AD"/>
    <w:rsid w:val="007C653F"/>
    <w:rsid w:val="007C6EAA"/>
    <w:rsid w:val="007C6F6C"/>
    <w:rsid w:val="007C7F18"/>
    <w:rsid w:val="007D2426"/>
    <w:rsid w:val="007D266C"/>
    <w:rsid w:val="007D40FF"/>
    <w:rsid w:val="007D48FE"/>
    <w:rsid w:val="007D6549"/>
    <w:rsid w:val="007D7D5A"/>
    <w:rsid w:val="007E153F"/>
    <w:rsid w:val="007E243E"/>
    <w:rsid w:val="007E249E"/>
    <w:rsid w:val="007E2A82"/>
    <w:rsid w:val="007E2C82"/>
    <w:rsid w:val="007E2ED4"/>
    <w:rsid w:val="007E309C"/>
    <w:rsid w:val="007E42A1"/>
    <w:rsid w:val="007E638D"/>
    <w:rsid w:val="007E725C"/>
    <w:rsid w:val="007F14F1"/>
    <w:rsid w:val="007F3304"/>
    <w:rsid w:val="007F334F"/>
    <w:rsid w:val="007F55E0"/>
    <w:rsid w:val="007F5AA3"/>
    <w:rsid w:val="007F6120"/>
    <w:rsid w:val="007F6F69"/>
    <w:rsid w:val="007F6FD2"/>
    <w:rsid w:val="008011D4"/>
    <w:rsid w:val="0080175D"/>
    <w:rsid w:val="00802098"/>
    <w:rsid w:val="00802747"/>
    <w:rsid w:val="0080287A"/>
    <w:rsid w:val="00802ACF"/>
    <w:rsid w:val="00802FDB"/>
    <w:rsid w:val="00803AFD"/>
    <w:rsid w:val="0080466A"/>
    <w:rsid w:val="0080563D"/>
    <w:rsid w:val="00805D69"/>
    <w:rsid w:val="00806AF1"/>
    <w:rsid w:val="00811E97"/>
    <w:rsid w:val="008129BF"/>
    <w:rsid w:val="00812CD2"/>
    <w:rsid w:val="00814F44"/>
    <w:rsid w:val="00817779"/>
    <w:rsid w:val="00820795"/>
    <w:rsid w:val="008209BF"/>
    <w:rsid w:val="0082250A"/>
    <w:rsid w:val="00823F48"/>
    <w:rsid w:val="00824C92"/>
    <w:rsid w:val="00824EF8"/>
    <w:rsid w:val="00824F10"/>
    <w:rsid w:val="00824F24"/>
    <w:rsid w:val="00825055"/>
    <w:rsid w:val="008260EE"/>
    <w:rsid w:val="00826CE7"/>
    <w:rsid w:val="00826DB8"/>
    <w:rsid w:val="00830B68"/>
    <w:rsid w:val="00830D7F"/>
    <w:rsid w:val="0083111E"/>
    <w:rsid w:val="008312EB"/>
    <w:rsid w:val="008314FF"/>
    <w:rsid w:val="008318AC"/>
    <w:rsid w:val="0083194F"/>
    <w:rsid w:val="00832339"/>
    <w:rsid w:val="008339CF"/>
    <w:rsid w:val="008343B0"/>
    <w:rsid w:val="0083554D"/>
    <w:rsid w:val="008379D0"/>
    <w:rsid w:val="008409E3"/>
    <w:rsid w:val="00844755"/>
    <w:rsid w:val="00844D36"/>
    <w:rsid w:val="00845790"/>
    <w:rsid w:val="008462A7"/>
    <w:rsid w:val="00846ED5"/>
    <w:rsid w:val="00850356"/>
    <w:rsid w:val="008505C0"/>
    <w:rsid w:val="008509C0"/>
    <w:rsid w:val="008517C8"/>
    <w:rsid w:val="008518D5"/>
    <w:rsid w:val="00851AAC"/>
    <w:rsid w:val="00851B16"/>
    <w:rsid w:val="0085260C"/>
    <w:rsid w:val="00853696"/>
    <w:rsid w:val="008548A4"/>
    <w:rsid w:val="0085500B"/>
    <w:rsid w:val="008554EC"/>
    <w:rsid w:val="00856D57"/>
    <w:rsid w:val="0085797E"/>
    <w:rsid w:val="00857E7C"/>
    <w:rsid w:val="00860659"/>
    <w:rsid w:val="0086144E"/>
    <w:rsid w:val="00864272"/>
    <w:rsid w:val="00865366"/>
    <w:rsid w:val="008667C7"/>
    <w:rsid w:val="00871114"/>
    <w:rsid w:val="0087237D"/>
    <w:rsid w:val="00872C00"/>
    <w:rsid w:val="00873B0D"/>
    <w:rsid w:val="008750FF"/>
    <w:rsid w:val="00875E0B"/>
    <w:rsid w:val="00875FBA"/>
    <w:rsid w:val="0087610A"/>
    <w:rsid w:val="008777B7"/>
    <w:rsid w:val="00880A2D"/>
    <w:rsid w:val="00882076"/>
    <w:rsid w:val="00883A9E"/>
    <w:rsid w:val="0088486E"/>
    <w:rsid w:val="00884F66"/>
    <w:rsid w:val="00885D77"/>
    <w:rsid w:val="008901BD"/>
    <w:rsid w:val="0089129E"/>
    <w:rsid w:val="008912A7"/>
    <w:rsid w:val="0089245F"/>
    <w:rsid w:val="0089247D"/>
    <w:rsid w:val="00892B02"/>
    <w:rsid w:val="00892F41"/>
    <w:rsid w:val="00893432"/>
    <w:rsid w:val="0089364D"/>
    <w:rsid w:val="00896B00"/>
    <w:rsid w:val="00896CE1"/>
    <w:rsid w:val="00897357"/>
    <w:rsid w:val="008976DF"/>
    <w:rsid w:val="008A1431"/>
    <w:rsid w:val="008A348F"/>
    <w:rsid w:val="008A3689"/>
    <w:rsid w:val="008A55FF"/>
    <w:rsid w:val="008A6DDE"/>
    <w:rsid w:val="008A7CBF"/>
    <w:rsid w:val="008A7D3D"/>
    <w:rsid w:val="008B2303"/>
    <w:rsid w:val="008B479B"/>
    <w:rsid w:val="008B4EA9"/>
    <w:rsid w:val="008B5493"/>
    <w:rsid w:val="008B5F2A"/>
    <w:rsid w:val="008B663F"/>
    <w:rsid w:val="008B6A2D"/>
    <w:rsid w:val="008B6ADE"/>
    <w:rsid w:val="008B710C"/>
    <w:rsid w:val="008B766D"/>
    <w:rsid w:val="008B7F9C"/>
    <w:rsid w:val="008C1326"/>
    <w:rsid w:val="008C1F47"/>
    <w:rsid w:val="008C2532"/>
    <w:rsid w:val="008C3C39"/>
    <w:rsid w:val="008C4723"/>
    <w:rsid w:val="008C5487"/>
    <w:rsid w:val="008C6B58"/>
    <w:rsid w:val="008C7031"/>
    <w:rsid w:val="008D0513"/>
    <w:rsid w:val="008D3909"/>
    <w:rsid w:val="008D5149"/>
    <w:rsid w:val="008D528B"/>
    <w:rsid w:val="008D666D"/>
    <w:rsid w:val="008D73DD"/>
    <w:rsid w:val="008D784F"/>
    <w:rsid w:val="008E0F95"/>
    <w:rsid w:val="008E10B0"/>
    <w:rsid w:val="008E2D4B"/>
    <w:rsid w:val="008E2E85"/>
    <w:rsid w:val="008E3E06"/>
    <w:rsid w:val="008E450F"/>
    <w:rsid w:val="008E58F3"/>
    <w:rsid w:val="008E6941"/>
    <w:rsid w:val="008E7161"/>
    <w:rsid w:val="008E7AED"/>
    <w:rsid w:val="008F036D"/>
    <w:rsid w:val="008F134B"/>
    <w:rsid w:val="008F267A"/>
    <w:rsid w:val="008F2AF5"/>
    <w:rsid w:val="008F3F1D"/>
    <w:rsid w:val="008F52C1"/>
    <w:rsid w:val="008F5987"/>
    <w:rsid w:val="008F6628"/>
    <w:rsid w:val="0090059F"/>
    <w:rsid w:val="0090087F"/>
    <w:rsid w:val="00900F9A"/>
    <w:rsid w:val="00901F54"/>
    <w:rsid w:val="00902170"/>
    <w:rsid w:val="00902890"/>
    <w:rsid w:val="00902F83"/>
    <w:rsid w:val="0090321E"/>
    <w:rsid w:val="00903DEE"/>
    <w:rsid w:val="00904328"/>
    <w:rsid w:val="00905DF2"/>
    <w:rsid w:val="00907690"/>
    <w:rsid w:val="00907F78"/>
    <w:rsid w:val="0091160A"/>
    <w:rsid w:val="009119E0"/>
    <w:rsid w:val="00912415"/>
    <w:rsid w:val="009127B9"/>
    <w:rsid w:val="009139BE"/>
    <w:rsid w:val="00913D02"/>
    <w:rsid w:val="0091475A"/>
    <w:rsid w:val="009149BC"/>
    <w:rsid w:val="0091570D"/>
    <w:rsid w:val="009160EE"/>
    <w:rsid w:val="009163AC"/>
    <w:rsid w:val="009167C1"/>
    <w:rsid w:val="00917076"/>
    <w:rsid w:val="00917CAF"/>
    <w:rsid w:val="00920DD6"/>
    <w:rsid w:val="00920DFD"/>
    <w:rsid w:val="00921EB7"/>
    <w:rsid w:val="00922ABD"/>
    <w:rsid w:val="0092301B"/>
    <w:rsid w:val="00925238"/>
    <w:rsid w:val="00925A3A"/>
    <w:rsid w:val="00926341"/>
    <w:rsid w:val="009266AB"/>
    <w:rsid w:val="00926B8A"/>
    <w:rsid w:val="009273FD"/>
    <w:rsid w:val="00927421"/>
    <w:rsid w:val="00927E72"/>
    <w:rsid w:val="009302A6"/>
    <w:rsid w:val="00931404"/>
    <w:rsid w:val="00932193"/>
    <w:rsid w:val="00932467"/>
    <w:rsid w:val="00933074"/>
    <w:rsid w:val="009334B5"/>
    <w:rsid w:val="0093382C"/>
    <w:rsid w:val="009339B7"/>
    <w:rsid w:val="00934703"/>
    <w:rsid w:val="009351D6"/>
    <w:rsid w:val="00935540"/>
    <w:rsid w:val="00935FEE"/>
    <w:rsid w:val="0093685B"/>
    <w:rsid w:val="00936F9B"/>
    <w:rsid w:val="0093779B"/>
    <w:rsid w:val="00937828"/>
    <w:rsid w:val="00937B85"/>
    <w:rsid w:val="00942566"/>
    <w:rsid w:val="009439C6"/>
    <w:rsid w:val="009454AC"/>
    <w:rsid w:val="00945A66"/>
    <w:rsid w:val="00945A7C"/>
    <w:rsid w:val="009466AF"/>
    <w:rsid w:val="00947420"/>
    <w:rsid w:val="00947EE5"/>
    <w:rsid w:val="00952CDA"/>
    <w:rsid w:val="0095335F"/>
    <w:rsid w:val="00954FBD"/>
    <w:rsid w:val="00956D65"/>
    <w:rsid w:val="00957AE5"/>
    <w:rsid w:val="00957D9A"/>
    <w:rsid w:val="0096018F"/>
    <w:rsid w:val="00960CD1"/>
    <w:rsid w:val="00960DF5"/>
    <w:rsid w:val="00962130"/>
    <w:rsid w:val="00963072"/>
    <w:rsid w:val="009632CA"/>
    <w:rsid w:val="00963A74"/>
    <w:rsid w:val="00963D76"/>
    <w:rsid w:val="0096599D"/>
    <w:rsid w:val="0096751D"/>
    <w:rsid w:val="0096795E"/>
    <w:rsid w:val="00967A8E"/>
    <w:rsid w:val="00970891"/>
    <w:rsid w:val="009732B3"/>
    <w:rsid w:val="00973BB0"/>
    <w:rsid w:val="00974F37"/>
    <w:rsid w:val="00977043"/>
    <w:rsid w:val="009804B2"/>
    <w:rsid w:val="00981054"/>
    <w:rsid w:val="00983616"/>
    <w:rsid w:val="00984510"/>
    <w:rsid w:val="00985270"/>
    <w:rsid w:val="0098565C"/>
    <w:rsid w:val="00991321"/>
    <w:rsid w:val="00991AF4"/>
    <w:rsid w:val="00991BFD"/>
    <w:rsid w:val="00991DAA"/>
    <w:rsid w:val="00992E95"/>
    <w:rsid w:val="009944A1"/>
    <w:rsid w:val="00994A21"/>
    <w:rsid w:val="00995DCE"/>
    <w:rsid w:val="009962A5"/>
    <w:rsid w:val="00997180"/>
    <w:rsid w:val="009A03DA"/>
    <w:rsid w:val="009A0D11"/>
    <w:rsid w:val="009A0D28"/>
    <w:rsid w:val="009A2749"/>
    <w:rsid w:val="009A60D5"/>
    <w:rsid w:val="009A62D3"/>
    <w:rsid w:val="009A7359"/>
    <w:rsid w:val="009B1B04"/>
    <w:rsid w:val="009B23BF"/>
    <w:rsid w:val="009B26CD"/>
    <w:rsid w:val="009B2E70"/>
    <w:rsid w:val="009B367C"/>
    <w:rsid w:val="009B3868"/>
    <w:rsid w:val="009B41D3"/>
    <w:rsid w:val="009B4E51"/>
    <w:rsid w:val="009B7DE1"/>
    <w:rsid w:val="009C0E72"/>
    <w:rsid w:val="009C3101"/>
    <w:rsid w:val="009C4BAC"/>
    <w:rsid w:val="009C4F24"/>
    <w:rsid w:val="009C5FBE"/>
    <w:rsid w:val="009C6C71"/>
    <w:rsid w:val="009C7915"/>
    <w:rsid w:val="009C7B23"/>
    <w:rsid w:val="009C7DA0"/>
    <w:rsid w:val="009C7F7C"/>
    <w:rsid w:val="009D02E3"/>
    <w:rsid w:val="009D0970"/>
    <w:rsid w:val="009D343E"/>
    <w:rsid w:val="009D3E6A"/>
    <w:rsid w:val="009D489A"/>
    <w:rsid w:val="009D4B71"/>
    <w:rsid w:val="009D519B"/>
    <w:rsid w:val="009D6118"/>
    <w:rsid w:val="009D651F"/>
    <w:rsid w:val="009D6E3C"/>
    <w:rsid w:val="009D72E8"/>
    <w:rsid w:val="009D7F4B"/>
    <w:rsid w:val="009E217D"/>
    <w:rsid w:val="009E2441"/>
    <w:rsid w:val="009E258B"/>
    <w:rsid w:val="009E2929"/>
    <w:rsid w:val="009E3670"/>
    <w:rsid w:val="009E3FA1"/>
    <w:rsid w:val="009E56D8"/>
    <w:rsid w:val="009E69BF"/>
    <w:rsid w:val="009E7CBF"/>
    <w:rsid w:val="009E7CD7"/>
    <w:rsid w:val="009E7F9B"/>
    <w:rsid w:val="009E7FAB"/>
    <w:rsid w:val="009F067C"/>
    <w:rsid w:val="009F1996"/>
    <w:rsid w:val="009F31B9"/>
    <w:rsid w:val="009F387B"/>
    <w:rsid w:val="009F437F"/>
    <w:rsid w:val="009F4DD7"/>
    <w:rsid w:val="009F5B91"/>
    <w:rsid w:val="00A00587"/>
    <w:rsid w:val="00A00657"/>
    <w:rsid w:val="00A01A4C"/>
    <w:rsid w:val="00A02E50"/>
    <w:rsid w:val="00A031CB"/>
    <w:rsid w:val="00A05099"/>
    <w:rsid w:val="00A05CC0"/>
    <w:rsid w:val="00A060B9"/>
    <w:rsid w:val="00A10619"/>
    <w:rsid w:val="00A108AE"/>
    <w:rsid w:val="00A10AF1"/>
    <w:rsid w:val="00A10F73"/>
    <w:rsid w:val="00A11E85"/>
    <w:rsid w:val="00A12894"/>
    <w:rsid w:val="00A14014"/>
    <w:rsid w:val="00A14D48"/>
    <w:rsid w:val="00A152F8"/>
    <w:rsid w:val="00A16536"/>
    <w:rsid w:val="00A16540"/>
    <w:rsid w:val="00A16A17"/>
    <w:rsid w:val="00A17D38"/>
    <w:rsid w:val="00A20D7C"/>
    <w:rsid w:val="00A2154B"/>
    <w:rsid w:val="00A21CC0"/>
    <w:rsid w:val="00A221EE"/>
    <w:rsid w:val="00A23AC0"/>
    <w:rsid w:val="00A264D3"/>
    <w:rsid w:val="00A27BF9"/>
    <w:rsid w:val="00A314C8"/>
    <w:rsid w:val="00A3195B"/>
    <w:rsid w:val="00A31C1F"/>
    <w:rsid w:val="00A32B96"/>
    <w:rsid w:val="00A32BB5"/>
    <w:rsid w:val="00A34472"/>
    <w:rsid w:val="00A368A7"/>
    <w:rsid w:val="00A37650"/>
    <w:rsid w:val="00A4013C"/>
    <w:rsid w:val="00A405ED"/>
    <w:rsid w:val="00A415BC"/>
    <w:rsid w:val="00A41EBC"/>
    <w:rsid w:val="00A44A33"/>
    <w:rsid w:val="00A44C7D"/>
    <w:rsid w:val="00A44D2F"/>
    <w:rsid w:val="00A44F31"/>
    <w:rsid w:val="00A45BC3"/>
    <w:rsid w:val="00A460C7"/>
    <w:rsid w:val="00A46304"/>
    <w:rsid w:val="00A50970"/>
    <w:rsid w:val="00A50BFD"/>
    <w:rsid w:val="00A51DDA"/>
    <w:rsid w:val="00A558F4"/>
    <w:rsid w:val="00A564AF"/>
    <w:rsid w:val="00A579E6"/>
    <w:rsid w:val="00A60166"/>
    <w:rsid w:val="00A61D34"/>
    <w:rsid w:val="00A61DCA"/>
    <w:rsid w:val="00A62577"/>
    <w:rsid w:val="00A62E26"/>
    <w:rsid w:val="00A63C23"/>
    <w:rsid w:val="00A6470B"/>
    <w:rsid w:val="00A65231"/>
    <w:rsid w:val="00A65654"/>
    <w:rsid w:val="00A65B11"/>
    <w:rsid w:val="00A66B53"/>
    <w:rsid w:val="00A717EB"/>
    <w:rsid w:val="00A71D1D"/>
    <w:rsid w:val="00A726CB"/>
    <w:rsid w:val="00A740DB"/>
    <w:rsid w:val="00A74819"/>
    <w:rsid w:val="00A7540A"/>
    <w:rsid w:val="00A759EB"/>
    <w:rsid w:val="00A76BD6"/>
    <w:rsid w:val="00A76BF8"/>
    <w:rsid w:val="00A77FF4"/>
    <w:rsid w:val="00A80177"/>
    <w:rsid w:val="00A8140F"/>
    <w:rsid w:val="00A824C3"/>
    <w:rsid w:val="00A82744"/>
    <w:rsid w:val="00A83062"/>
    <w:rsid w:val="00A84C1B"/>
    <w:rsid w:val="00A85213"/>
    <w:rsid w:val="00A8571E"/>
    <w:rsid w:val="00A85777"/>
    <w:rsid w:val="00A85CAF"/>
    <w:rsid w:val="00A86A46"/>
    <w:rsid w:val="00A87113"/>
    <w:rsid w:val="00A87854"/>
    <w:rsid w:val="00A91F9C"/>
    <w:rsid w:val="00A93E1C"/>
    <w:rsid w:val="00A948EF"/>
    <w:rsid w:val="00A96BA1"/>
    <w:rsid w:val="00AA3141"/>
    <w:rsid w:val="00AA3F8A"/>
    <w:rsid w:val="00AA4E8C"/>
    <w:rsid w:val="00AA5FA9"/>
    <w:rsid w:val="00AA7FC6"/>
    <w:rsid w:val="00AB22E3"/>
    <w:rsid w:val="00AB33AA"/>
    <w:rsid w:val="00AB47CC"/>
    <w:rsid w:val="00AB4981"/>
    <w:rsid w:val="00AB7613"/>
    <w:rsid w:val="00AB7782"/>
    <w:rsid w:val="00AB7CCC"/>
    <w:rsid w:val="00AC055E"/>
    <w:rsid w:val="00AC1BF4"/>
    <w:rsid w:val="00AC3555"/>
    <w:rsid w:val="00AC3C16"/>
    <w:rsid w:val="00AC4311"/>
    <w:rsid w:val="00AC4552"/>
    <w:rsid w:val="00AC478A"/>
    <w:rsid w:val="00AC600E"/>
    <w:rsid w:val="00AD17B5"/>
    <w:rsid w:val="00AD6183"/>
    <w:rsid w:val="00AD644A"/>
    <w:rsid w:val="00AD7897"/>
    <w:rsid w:val="00AE0226"/>
    <w:rsid w:val="00AE1527"/>
    <w:rsid w:val="00AE1A70"/>
    <w:rsid w:val="00AE3EBC"/>
    <w:rsid w:val="00AE5764"/>
    <w:rsid w:val="00AE74FB"/>
    <w:rsid w:val="00AE768B"/>
    <w:rsid w:val="00AF0465"/>
    <w:rsid w:val="00AF1C40"/>
    <w:rsid w:val="00AF2600"/>
    <w:rsid w:val="00AF4E7F"/>
    <w:rsid w:val="00AF6A61"/>
    <w:rsid w:val="00AF7FB0"/>
    <w:rsid w:val="00B0114B"/>
    <w:rsid w:val="00B02098"/>
    <w:rsid w:val="00B035C1"/>
    <w:rsid w:val="00B03A09"/>
    <w:rsid w:val="00B03FAD"/>
    <w:rsid w:val="00B04C80"/>
    <w:rsid w:val="00B04CEE"/>
    <w:rsid w:val="00B05D9A"/>
    <w:rsid w:val="00B10609"/>
    <w:rsid w:val="00B10E86"/>
    <w:rsid w:val="00B1122F"/>
    <w:rsid w:val="00B1212F"/>
    <w:rsid w:val="00B12B60"/>
    <w:rsid w:val="00B1305F"/>
    <w:rsid w:val="00B13729"/>
    <w:rsid w:val="00B14637"/>
    <w:rsid w:val="00B159AB"/>
    <w:rsid w:val="00B17F3D"/>
    <w:rsid w:val="00B210BB"/>
    <w:rsid w:val="00B229E6"/>
    <w:rsid w:val="00B250BC"/>
    <w:rsid w:val="00B251B6"/>
    <w:rsid w:val="00B2524A"/>
    <w:rsid w:val="00B2623D"/>
    <w:rsid w:val="00B2716E"/>
    <w:rsid w:val="00B272C8"/>
    <w:rsid w:val="00B2780F"/>
    <w:rsid w:val="00B27D4A"/>
    <w:rsid w:val="00B300E9"/>
    <w:rsid w:val="00B30DC1"/>
    <w:rsid w:val="00B3100E"/>
    <w:rsid w:val="00B32A3D"/>
    <w:rsid w:val="00B34CCF"/>
    <w:rsid w:val="00B350C3"/>
    <w:rsid w:val="00B35F3B"/>
    <w:rsid w:val="00B37616"/>
    <w:rsid w:val="00B41FE7"/>
    <w:rsid w:val="00B425BA"/>
    <w:rsid w:val="00B43745"/>
    <w:rsid w:val="00B44D24"/>
    <w:rsid w:val="00B450E9"/>
    <w:rsid w:val="00B45C8D"/>
    <w:rsid w:val="00B506B9"/>
    <w:rsid w:val="00B509F7"/>
    <w:rsid w:val="00B51480"/>
    <w:rsid w:val="00B5154A"/>
    <w:rsid w:val="00B52067"/>
    <w:rsid w:val="00B526F5"/>
    <w:rsid w:val="00B53948"/>
    <w:rsid w:val="00B53ED5"/>
    <w:rsid w:val="00B547B2"/>
    <w:rsid w:val="00B55084"/>
    <w:rsid w:val="00B55A74"/>
    <w:rsid w:val="00B55EE4"/>
    <w:rsid w:val="00B571CC"/>
    <w:rsid w:val="00B57395"/>
    <w:rsid w:val="00B57467"/>
    <w:rsid w:val="00B603BA"/>
    <w:rsid w:val="00B624E6"/>
    <w:rsid w:val="00B63061"/>
    <w:rsid w:val="00B644F8"/>
    <w:rsid w:val="00B648FD"/>
    <w:rsid w:val="00B653A2"/>
    <w:rsid w:val="00B659A8"/>
    <w:rsid w:val="00B65AEE"/>
    <w:rsid w:val="00B674E8"/>
    <w:rsid w:val="00B711DB"/>
    <w:rsid w:val="00B71708"/>
    <w:rsid w:val="00B72EA7"/>
    <w:rsid w:val="00B73682"/>
    <w:rsid w:val="00B76123"/>
    <w:rsid w:val="00B76B78"/>
    <w:rsid w:val="00B76CC5"/>
    <w:rsid w:val="00B77A75"/>
    <w:rsid w:val="00B834D8"/>
    <w:rsid w:val="00B83AE4"/>
    <w:rsid w:val="00B85E95"/>
    <w:rsid w:val="00B86B52"/>
    <w:rsid w:val="00B876ED"/>
    <w:rsid w:val="00B87E4A"/>
    <w:rsid w:val="00B90514"/>
    <w:rsid w:val="00B90B5E"/>
    <w:rsid w:val="00B90E29"/>
    <w:rsid w:val="00B9173A"/>
    <w:rsid w:val="00B91E80"/>
    <w:rsid w:val="00B949CE"/>
    <w:rsid w:val="00B95B8B"/>
    <w:rsid w:val="00B95E24"/>
    <w:rsid w:val="00B96836"/>
    <w:rsid w:val="00B973B7"/>
    <w:rsid w:val="00B9778E"/>
    <w:rsid w:val="00B97A0F"/>
    <w:rsid w:val="00BA07B7"/>
    <w:rsid w:val="00BA100C"/>
    <w:rsid w:val="00BA2277"/>
    <w:rsid w:val="00BA2DD1"/>
    <w:rsid w:val="00BA3B2C"/>
    <w:rsid w:val="00BA3BE2"/>
    <w:rsid w:val="00BA3E54"/>
    <w:rsid w:val="00BA504E"/>
    <w:rsid w:val="00BA5297"/>
    <w:rsid w:val="00BA7792"/>
    <w:rsid w:val="00BB136C"/>
    <w:rsid w:val="00BB2467"/>
    <w:rsid w:val="00BB3297"/>
    <w:rsid w:val="00BB57AC"/>
    <w:rsid w:val="00BB6343"/>
    <w:rsid w:val="00BB6AFC"/>
    <w:rsid w:val="00BC08ED"/>
    <w:rsid w:val="00BC0E7E"/>
    <w:rsid w:val="00BC153C"/>
    <w:rsid w:val="00BC1576"/>
    <w:rsid w:val="00BC310C"/>
    <w:rsid w:val="00BC39EE"/>
    <w:rsid w:val="00BC47D6"/>
    <w:rsid w:val="00BC52A3"/>
    <w:rsid w:val="00BC6DB7"/>
    <w:rsid w:val="00BC732B"/>
    <w:rsid w:val="00BD12E2"/>
    <w:rsid w:val="00BD2646"/>
    <w:rsid w:val="00BD2FB2"/>
    <w:rsid w:val="00BD4029"/>
    <w:rsid w:val="00BD5C19"/>
    <w:rsid w:val="00BD6010"/>
    <w:rsid w:val="00BE1853"/>
    <w:rsid w:val="00BE20DA"/>
    <w:rsid w:val="00BE51B7"/>
    <w:rsid w:val="00BE580B"/>
    <w:rsid w:val="00BE680B"/>
    <w:rsid w:val="00BE6BB9"/>
    <w:rsid w:val="00BE70BA"/>
    <w:rsid w:val="00BE7889"/>
    <w:rsid w:val="00BF02AB"/>
    <w:rsid w:val="00BF0A9A"/>
    <w:rsid w:val="00BF1584"/>
    <w:rsid w:val="00BF17B6"/>
    <w:rsid w:val="00BF3108"/>
    <w:rsid w:val="00BF3492"/>
    <w:rsid w:val="00BF3B78"/>
    <w:rsid w:val="00BF3ED1"/>
    <w:rsid w:val="00BF53D2"/>
    <w:rsid w:val="00BF6774"/>
    <w:rsid w:val="00BF763C"/>
    <w:rsid w:val="00BF799A"/>
    <w:rsid w:val="00C006FC"/>
    <w:rsid w:val="00C00FB6"/>
    <w:rsid w:val="00C0128A"/>
    <w:rsid w:val="00C01F32"/>
    <w:rsid w:val="00C02864"/>
    <w:rsid w:val="00C02B73"/>
    <w:rsid w:val="00C03353"/>
    <w:rsid w:val="00C03B17"/>
    <w:rsid w:val="00C0412B"/>
    <w:rsid w:val="00C04267"/>
    <w:rsid w:val="00C04D09"/>
    <w:rsid w:val="00C0624E"/>
    <w:rsid w:val="00C0632E"/>
    <w:rsid w:val="00C064AE"/>
    <w:rsid w:val="00C06FA1"/>
    <w:rsid w:val="00C10487"/>
    <w:rsid w:val="00C1683B"/>
    <w:rsid w:val="00C175CC"/>
    <w:rsid w:val="00C17C6D"/>
    <w:rsid w:val="00C2032F"/>
    <w:rsid w:val="00C20C28"/>
    <w:rsid w:val="00C20F0F"/>
    <w:rsid w:val="00C20FE3"/>
    <w:rsid w:val="00C2146D"/>
    <w:rsid w:val="00C21BC7"/>
    <w:rsid w:val="00C21F58"/>
    <w:rsid w:val="00C22231"/>
    <w:rsid w:val="00C22D54"/>
    <w:rsid w:val="00C26433"/>
    <w:rsid w:val="00C266A7"/>
    <w:rsid w:val="00C27358"/>
    <w:rsid w:val="00C27386"/>
    <w:rsid w:val="00C30DB5"/>
    <w:rsid w:val="00C30F1E"/>
    <w:rsid w:val="00C317C4"/>
    <w:rsid w:val="00C32392"/>
    <w:rsid w:val="00C3250B"/>
    <w:rsid w:val="00C32C29"/>
    <w:rsid w:val="00C35130"/>
    <w:rsid w:val="00C35FD6"/>
    <w:rsid w:val="00C36260"/>
    <w:rsid w:val="00C36C65"/>
    <w:rsid w:val="00C36F1D"/>
    <w:rsid w:val="00C371F6"/>
    <w:rsid w:val="00C3744D"/>
    <w:rsid w:val="00C37D97"/>
    <w:rsid w:val="00C37FC5"/>
    <w:rsid w:val="00C416F7"/>
    <w:rsid w:val="00C417DC"/>
    <w:rsid w:val="00C422BC"/>
    <w:rsid w:val="00C43D77"/>
    <w:rsid w:val="00C43DB1"/>
    <w:rsid w:val="00C4646A"/>
    <w:rsid w:val="00C4646B"/>
    <w:rsid w:val="00C47628"/>
    <w:rsid w:val="00C478DD"/>
    <w:rsid w:val="00C50DBF"/>
    <w:rsid w:val="00C52047"/>
    <w:rsid w:val="00C528B7"/>
    <w:rsid w:val="00C53D74"/>
    <w:rsid w:val="00C55933"/>
    <w:rsid w:val="00C55EFB"/>
    <w:rsid w:val="00C5633F"/>
    <w:rsid w:val="00C563CF"/>
    <w:rsid w:val="00C56AE1"/>
    <w:rsid w:val="00C576F2"/>
    <w:rsid w:val="00C622CF"/>
    <w:rsid w:val="00C63562"/>
    <w:rsid w:val="00C641AE"/>
    <w:rsid w:val="00C647A9"/>
    <w:rsid w:val="00C65D57"/>
    <w:rsid w:val="00C6617E"/>
    <w:rsid w:val="00C66EF4"/>
    <w:rsid w:val="00C70FAC"/>
    <w:rsid w:val="00C7152E"/>
    <w:rsid w:val="00C7187F"/>
    <w:rsid w:val="00C73733"/>
    <w:rsid w:val="00C742E7"/>
    <w:rsid w:val="00C775CE"/>
    <w:rsid w:val="00C81646"/>
    <w:rsid w:val="00C816AC"/>
    <w:rsid w:val="00C81B47"/>
    <w:rsid w:val="00C830BA"/>
    <w:rsid w:val="00C83450"/>
    <w:rsid w:val="00C85BC5"/>
    <w:rsid w:val="00C867FC"/>
    <w:rsid w:val="00C86F21"/>
    <w:rsid w:val="00C9076F"/>
    <w:rsid w:val="00C90A24"/>
    <w:rsid w:val="00C91686"/>
    <w:rsid w:val="00C916C3"/>
    <w:rsid w:val="00C9289F"/>
    <w:rsid w:val="00C92D49"/>
    <w:rsid w:val="00C93D77"/>
    <w:rsid w:val="00C94233"/>
    <w:rsid w:val="00C950C3"/>
    <w:rsid w:val="00C9607D"/>
    <w:rsid w:val="00C960B6"/>
    <w:rsid w:val="00C970BA"/>
    <w:rsid w:val="00C974C1"/>
    <w:rsid w:val="00C97891"/>
    <w:rsid w:val="00CA0037"/>
    <w:rsid w:val="00CA093E"/>
    <w:rsid w:val="00CA0E5B"/>
    <w:rsid w:val="00CA1C20"/>
    <w:rsid w:val="00CA1DF4"/>
    <w:rsid w:val="00CA2133"/>
    <w:rsid w:val="00CA28FC"/>
    <w:rsid w:val="00CA2F25"/>
    <w:rsid w:val="00CA4F5C"/>
    <w:rsid w:val="00CA5532"/>
    <w:rsid w:val="00CA5DC4"/>
    <w:rsid w:val="00CA62B3"/>
    <w:rsid w:val="00CB27D7"/>
    <w:rsid w:val="00CB3B52"/>
    <w:rsid w:val="00CB51D0"/>
    <w:rsid w:val="00CB5A89"/>
    <w:rsid w:val="00CB60DF"/>
    <w:rsid w:val="00CB7881"/>
    <w:rsid w:val="00CB7EFD"/>
    <w:rsid w:val="00CC0A38"/>
    <w:rsid w:val="00CC105D"/>
    <w:rsid w:val="00CC18F8"/>
    <w:rsid w:val="00CC1F37"/>
    <w:rsid w:val="00CC2DB1"/>
    <w:rsid w:val="00CC3185"/>
    <w:rsid w:val="00CC3F64"/>
    <w:rsid w:val="00CC49EC"/>
    <w:rsid w:val="00CC4C67"/>
    <w:rsid w:val="00CC503B"/>
    <w:rsid w:val="00CC6B45"/>
    <w:rsid w:val="00CC6D66"/>
    <w:rsid w:val="00CC7AFB"/>
    <w:rsid w:val="00CC7D26"/>
    <w:rsid w:val="00CD0D78"/>
    <w:rsid w:val="00CD1092"/>
    <w:rsid w:val="00CD228E"/>
    <w:rsid w:val="00CD289F"/>
    <w:rsid w:val="00CD5BF3"/>
    <w:rsid w:val="00CD66AC"/>
    <w:rsid w:val="00CD719E"/>
    <w:rsid w:val="00CD7EC8"/>
    <w:rsid w:val="00CE042B"/>
    <w:rsid w:val="00CE3CD4"/>
    <w:rsid w:val="00CE3FBA"/>
    <w:rsid w:val="00CE7026"/>
    <w:rsid w:val="00CE7FA1"/>
    <w:rsid w:val="00CF001C"/>
    <w:rsid w:val="00CF017A"/>
    <w:rsid w:val="00CF039C"/>
    <w:rsid w:val="00CF0D61"/>
    <w:rsid w:val="00CF2A7A"/>
    <w:rsid w:val="00CF42A3"/>
    <w:rsid w:val="00CF478F"/>
    <w:rsid w:val="00CF4F13"/>
    <w:rsid w:val="00CF53B0"/>
    <w:rsid w:val="00CF5C26"/>
    <w:rsid w:val="00CF60BE"/>
    <w:rsid w:val="00CF63CD"/>
    <w:rsid w:val="00CF6A07"/>
    <w:rsid w:val="00CF6D29"/>
    <w:rsid w:val="00CF6E1E"/>
    <w:rsid w:val="00D01D7E"/>
    <w:rsid w:val="00D0288F"/>
    <w:rsid w:val="00D02DE3"/>
    <w:rsid w:val="00D02F61"/>
    <w:rsid w:val="00D0492A"/>
    <w:rsid w:val="00D04D09"/>
    <w:rsid w:val="00D05041"/>
    <w:rsid w:val="00D05DB4"/>
    <w:rsid w:val="00D05F85"/>
    <w:rsid w:val="00D06447"/>
    <w:rsid w:val="00D07907"/>
    <w:rsid w:val="00D07C48"/>
    <w:rsid w:val="00D1091C"/>
    <w:rsid w:val="00D10ADF"/>
    <w:rsid w:val="00D113DE"/>
    <w:rsid w:val="00D1380C"/>
    <w:rsid w:val="00D163CA"/>
    <w:rsid w:val="00D17D2E"/>
    <w:rsid w:val="00D17D67"/>
    <w:rsid w:val="00D20A75"/>
    <w:rsid w:val="00D229E9"/>
    <w:rsid w:val="00D236C9"/>
    <w:rsid w:val="00D23D3D"/>
    <w:rsid w:val="00D243E3"/>
    <w:rsid w:val="00D25020"/>
    <w:rsid w:val="00D25297"/>
    <w:rsid w:val="00D25F30"/>
    <w:rsid w:val="00D2702B"/>
    <w:rsid w:val="00D30B50"/>
    <w:rsid w:val="00D319DB"/>
    <w:rsid w:val="00D321C6"/>
    <w:rsid w:val="00D321C9"/>
    <w:rsid w:val="00D32819"/>
    <w:rsid w:val="00D34B66"/>
    <w:rsid w:val="00D43AF4"/>
    <w:rsid w:val="00D43D66"/>
    <w:rsid w:val="00D43E5F"/>
    <w:rsid w:val="00D4489D"/>
    <w:rsid w:val="00D45FFB"/>
    <w:rsid w:val="00D46450"/>
    <w:rsid w:val="00D4679A"/>
    <w:rsid w:val="00D510A2"/>
    <w:rsid w:val="00D51DAB"/>
    <w:rsid w:val="00D53DB7"/>
    <w:rsid w:val="00D55D20"/>
    <w:rsid w:val="00D57748"/>
    <w:rsid w:val="00D60A84"/>
    <w:rsid w:val="00D6358B"/>
    <w:rsid w:val="00D6376B"/>
    <w:rsid w:val="00D63816"/>
    <w:rsid w:val="00D65C80"/>
    <w:rsid w:val="00D67607"/>
    <w:rsid w:val="00D676FB"/>
    <w:rsid w:val="00D6773F"/>
    <w:rsid w:val="00D67E07"/>
    <w:rsid w:val="00D70451"/>
    <w:rsid w:val="00D71E05"/>
    <w:rsid w:val="00D73528"/>
    <w:rsid w:val="00D73BD4"/>
    <w:rsid w:val="00D74D22"/>
    <w:rsid w:val="00D75AE4"/>
    <w:rsid w:val="00D760A9"/>
    <w:rsid w:val="00D7668A"/>
    <w:rsid w:val="00D801FB"/>
    <w:rsid w:val="00D80A47"/>
    <w:rsid w:val="00D833C9"/>
    <w:rsid w:val="00D83BB2"/>
    <w:rsid w:val="00D83FBC"/>
    <w:rsid w:val="00D83FDE"/>
    <w:rsid w:val="00D855EB"/>
    <w:rsid w:val="00D90911"/>
    <w:rsid w:val="00D91E25"/>
    <w:rsid w:val="00D923A3"/>
    <w:rsid w:val="00D935E6"/>
    <w:rsid w:val="00D93DC9"/>
    <w:rsid w:val="00D95CB5"/>
    <w:rsid w:val="00D9633D"/>
    <w:rsid w:val="00D96BC7"/>
    <w:rsid w:val="00D9787E"/>
    <w:rsid w:val="00DA1663"/>
    <w:rsid w:val="00DA2694"/>
    <w:rsid w:val="00DA324C"/>
    <w:rsid w:val="00DA4416"/>
    <w:rsid w:val="00DA666A"/>
    <w:rsid w:val="00DA675F"/>
    <w:rsid w:val="00DA6DCC"/>
    <w:rsid w:val="00DB01A5"/>
    <w:rsid w:val="00DB08C2"/>
    <w:rsid w:val="00DB1F10"/>
    <w:rsid w:val="00DB2119"/>
    <w:rsid w:val="00DB26FF"/>
    <w:rsid w:val="00DB31F6"/>
    <w:rsid w:val="00DB42AC"/>
    <w:rsid w:val="00DB5397"/>
    <w:rsid w:val="00DB6FD5"/>
    <w:rsid w:val="00DC23E4"/>
    <w:rsid w:val="00DC348E"/>
    <w:rsid w:val="00DC45D8"/>
    <w:rsid w:val="00DC533C"/>
    <w:rsid w:val="00DC5A96"/>
    <w:rsid w:val="00DC5D91"/>
    <w:rsid w:val="00DC6C43"/>
    <w:rsid w:val="00DC7399"/>
    <w:rsid w:val="00DD1E7A"/>
    <w:rsid w:val="00DD271E"/>
    <w:rsid w:val="00DD3640"/>
    <w:rsid w:val="00DD36D5"/>
    <w:rsid w:val="00DD3FFF"/>
    <w:rsid w:val="00DD5236"/>
    <w:rsid w:val="00DD5444"/>
    <w:rsid w:val="00DD5886"/>
    <w:rsid w:val="00DD5FED"/>
    <w:rsid w:val="00DD6DEC"/>
    <w:rsid w:val="00DD7785"/>
    <w:rsid w:val="00DD7ABB"/>
    <w:rsid w:val="00DD7E9E"/>
    <w:rsid w:val="00DE013A"/>
    <w:rsid w:val="00DE140A"/>
    <w:rsid w:val="00DE182B"/>
    <w:rsid w:val="00DE2EF7"/>
    <w:rsid w:val="00DE38A2"/>
    <w:rsid w:val="00DE3E9E"/>
    <w:rsid w:val="00DE4174"/>
    <w:rsid w:val="00DE4E83"/>
    <w:rsid w:val="00DE5FE0"/>
    <w:rsid w:val="00DE79FD"/>
    <w:rsid w:val="00DF1EC4"/>
    <w:rsid w:val="00DF24A3"/>
    <w:rsid w:val="00DF4081"/>
    <w:rsid w:val="00DF40A7"/>
    <w:rsid w:val="00DF4D0E"/>
    <w:rsid w:val="00DF4F9C"/>
    <w:rsid w:val="00DF623B"/>
    <w:rsid w:val="00DF627A"/>
    <w:rsid w:val="00DF6717"/>
    <w:rsid w:val="00DF6E18"/>
    <w:rsid w:val="00DF73D1"/>
    <w:rsid w:val="00E02C61"/>
    <w:rsid w:val="00E039E5"/>
    <w:rsid w:val="00E03BC1"/>
    <w:rsid w:val="00E043ED"/>
    <w:rsid w:val="00E04F60"/>
    <w:rsid w:val="00E06A80"/>
    <w:rsid w:val="00E07E56"/>
    <w:rsid w:val="00E10A54"/>
    <w:rsid w:val="00E110CC"/>
    <w:rsid w:val="00E11AB1"/>
    <w:rsid w:val="00E126A7"/>
    <w:rsid w:val="00E13F7C"/>
    <w:rsid w:val="00E14BC2"/>
    <w:rsid w:val="00E1528D"/>
    <w:rsid w:val="00E15903"/>
    <w:rsid w:val="00E165D3"/>
    <w:rsid w:val="00E169CC"/>
    <w:rsid w:val="00E16DD9"/>
    <w:rsid w:val="00E17095"/>
    <w:rsid w:val="00E173B0"/>
    <w:rsid w:val="00E17C3F"/>
    <w:rsid w:val="00E20B74"/>
    <w:rsid w:val="00E210DB"/>
    <w:rsid w:val="00E2266B"/>
    <w:rsid w:val="00E22E67"/>
    <w:rsid w:val="00E2312D"/>
    <w:rsid w:val="00E23927"/>
    <w:rsid w:val="00E2484F"/>
    <w:rsid w:val="00E24945"/>
    <w:rsid w:val="00E25837"/>
    <w:rsid w:val="00E25D67"/>
    <w:rsid w:val="00E263CA"/>
    <w:rsid w:val="00E26FC8"/>
    <w:rsid w:val="00E273E9"/>
    <w:rsid w:val="00E30EA9"/>
    <w:rsid w:val="00E317AA"/>
    <w:rsid w:val="00E33248"/>
    <w:rsid w:val="00E337D1"/>
    <w:rsid w:val="00E337D4"/>
    <w:rsid w:val="00E3497A"/>
    <w:rsid w:val="00E34CAA"/>
    <w:rsid w:val="00E351DA"/>
    <w:rsid w:val="00E375F2"/>
    <w:rsid w:val="00E377F6"/>
    <w:rsid w:val="00E40182"/>
    <w:rsid w:val="00E40632"/>
    <w:rsid w:val="00E4519A"/>
    <w:rsid w:val="00E460B9"/>
    <w:rsid w:val="00E46141"/>
    <w:rsid w:val="00E47C26"/>
    <w:rsid w:val="00E51584"/>
    <w:rsid w:val="00E52E47"/>
    <w:rsid w:val="00E53127"/>
    <w:rsid w:val="00E53BB4"/>
    <w:rsid w:val="00E53D45"/>
    <w:rsid w:val="00E55D3D"/>
    <w:rsid w:val="00E56E0A"/>
    <w:rsid w:val="00E57D29"/>
    <w:rsid w:val="00E57DDA"/>
    <w:rsid w:val="00E6181C"/>
    <w:rsid w:val="00E621B0"/>
    <w:rsid w:val="00E62A0F"/>
    <w:rsid w:val="00E635F5"/>
    <w:rsid w:val="00E63EFC"/>
    <w:rsid w:val="00E70954"/>
    <w:rsid w:val="00E72AA0"/>
    <w:rsid w:val="00E73296"/>
    <w:rsid w:val="00E73731"/>
    <w:rsid w:val="00E73D72"/>
    <w:rsid w:val="00E743EA"/>
    <w:rsid w:val="00E75500"/>
    <w:rsid w:val="00E763FD"/>
    <w:rsid w:val="00E80169"/>
    <w:rsid w:val="00E80F3F"/>
    <w:rsid w:val="00E817F5"/>
    <w:rsid w:val="00E81A8E"/>
    <w:rsid w:val="00E82E30"/>
    <w:rsid w:val="00E83CBB"/>
    <w:rsid w:val="00E84F93"/>
    <w:rsid w:val="00E851A4"/>
    <w:rsid w:val="00E852A0"/>
    <w:rsid w:val="00E8743E"/>
    <w:rsid w:val="00E905BA"/>
    <w:rsid w:val="00E90DC6"/>
    <w:rsid w:val="00E91A96"/>
    <w:rsid w:val="00E93C4E"/>
    <w:rsid w:val="00E9422A"/>
    <w:rsid w:val="00E9503D"/>
    <w:rsid w:val="00E95893"/>
    <w:rsid w:val="00E97237"/>
    <w:rsid w:val="00E97768"/>
    <w:rsid w:val="00EA0D9A"/>
    <w:rsid w:val="00EA1447"/>
    <w:rsid w:val="00EA2F4E"/>
    <w:rsid w:val="00EA4213"/>
    <w:rsid w:val="00EA4CC6"/>
    <w:rsid w:val="00EA555A"/>
    <w:rsid w:val="00EA5D44"/>
    <w:rsid w:val="00EA65AF"/>
    <w:rsid w:val="00EA6BA6"/>
    <w:rsid w:val="00EA6BDF"/>
    <w:rsid w:val="00EA6D34"/>
    <w:rsid w:val="00EB0F19"/>
    <w:rsid w:val="00EB1820"/>
    <w:rsid w:val="00EB32B5"/>
    <w:rsid w:val="00EB3E64"/>
    <w:rsid w:val="00EB661A"/>
    <w:rsid w:val="00EB66F5"/>
    <w:rsid w:val="00EB6ED1"/>
    <w:rsid w:val="00EC01A3"/>
    <w:rsid w:val="00EC1217"/>
    <w:rsid w:val="00EC1AC9"/>
    <w:rsid w:val="00EC374D"/>
    <w:rsid w:val="00EC4488"/>
    <w:rsid w:val="00EC4C74"/>
    <w:rsid w:val="00EC508D"/>
    <w:rsid w:val="00EC583A"/>
    <w:rsid w:val="00EC587F"/>
    <w:rsid w:val="00EC6BC0"/>
    <w:rsid w:val="00EC7152"/>
    <w:rsid w:val="00ED12B5"/>
    <w:rsid w:val="00ED1E3F"/>
    <w:rsid w:val="00ED2AB3"/>
    <w:rsid w:val="00ED30A9"/>
    <w:rsid w:val="00ED33DF"/>
    <w:rsid w:val="00ED3FC7"/>
    <w:rsid w:val="00ED4624"/>
    <w:rsid w:val="00ED4AAA"/>
    <w:rsid w:val="00ED4CAD"/>
    <w:rsid w:val="00ED5920"/>
    <w:rsid w:val="00ED5DB5"/>
    <w:rsid w:val="00ED69DD"/>
    <w:rsid w:val="00ED7317"/>
    <w:rsid w:val="00EE0A85"/>
    <w:rsid w:val="00EE127E"/>
    <w:rsid w:val="00EE15FF"/>
    <w:rsid w:val="00EE1A43"/>
    <w:rsid w:val="00EE1CFA"/>
    <w:rsid w:val="00EE1D0F"/>
    <w:rsid w:val="00EE2149"/>
    <w:rsid w:val="00EE3590"/>
    <w:rsid w:val="00EE3CE8"/>
    <w:rsid w:val="00EE3D41"/>
    <w:rsid w:val="00EE4D46"/>
    <w:rsid w:val="00EE55ED"/>
    <w:rsid w:val="00EF0B0C"/>
    <w:rsid w:val="00EF18A2"/>
    <w:rsid w:val="00EF2232"/>
    <w:rsid w:val="00EF2F57"/>
    <w:rsid w:val="00EF31A1"/>
    <w:rsid w:val="00EF31E8"/>
    <w:rsid w:val="00EF3D91"/>
    <w:rsid w:val="00EF48C4"/>
    <w:rsid w:val="00EF7B12"/>
    <w:rsid w:val="00F01896"/>
    <w:rsid w:val="00F02C78"/>
    <w:rsid w:val="00F02D24"/>
    <w:rsid w:val="00F02F4B"/>
    <w:rsid w:val="00F038DC"/>
    <w:rsid w:val="00F03C3D"/>
    <w:rsid w:val="00F03D1C"/>
    <w:rsid w:val="00F041B5"/>
    <w:rsid w:val="00F04EBF"/>
    <w:rsid w:val="00F05616"/>
    <w:rsid w:val="00F05983"/>
    <w:rsid w:val="00F05B16"/>
    <w:rsid w:val="00F0607B"/>
    <w:rsid w:val="00F0682F"/>
    <w:rsid w:val="00F07274"/>
    <w:rsid w:val="00F119D5"/>
    <w:rsid w:val="00F11D61"/>
    <w:rsid w:val="00F12B22"/>
    <w:rsid w:val="00F12F91"/>
    <w:rsid w:val="00F15347"/>
    <w:rsid w:val="00F16AF8"/>
    <w:rsid w:val="00F20FEC"/>
    <w:rsid w:val="00F21C4C"/>
    <w:rsid w:val="00F2218D"/>
    <w:rsid w:val="00F22CCC"/>
    <w:rsid w:val="00F239B7"/>
    <w:rsid w:val="00F24BB4"/>
    <w:rsid w:val="00F26EF5"/>
    <w:rsid w:val="00F26F0F"/>
    <w:rsid w:val="00F27611"/>
    <w:rsid w:val="00F30BCB"/>
    <w:rsid w:val="00F32C8B"/>
    <w:rsid w:val="00F337F0"/>
    <w:rsid w:val="00F34409"/>
    <w:rsid w:val="00F349E5"/>
    <w:rsid w:val="00F34EB1"/>
    <w:rsid w:val="00F35050"/>
    <w:rsid w:val="00F363D9"/>
    <w:rsid w:val="00F36467"/>
    <w:rsid w:val="00F36BF9"/>
    <w:rsid w:val="00F37239"/>
    <w:rsid w:val="00F374D3"/>
    <w:rsid w:val="00F40137"/>
    <w:rsid w:val="00F403E4"/>
    <w:rsid w:val="00F412CC"/>
    <w:rsid w:val="00F4387B"/>
    <w:rsid w:val="00F44BF5"/>
    <w:rsid w:val="00F462EA"/>
    <w:rsid w:val="00F469E8"/>
    <w:rsid w:val="00F47D1E"/>
    <w:rsid w:val="00F5240A"/>
    <w:rsid w:val="00F52A7B"/>
    <w:rsid w:val="00F542E3"/>
    <w:rsid w:val="00F54B26"/>
    <w:rsid w:val="00F54CC0"/>
    <w:rsid w:val="00F57E5E"/>
    <w:rsid w:val="00F57FBD"/>
    <w:rsid w:val="00F60B32"/>
    <w:rsid w:val="00F610CE"/>
    <w:rsid w:val="00F639F8"/>
    <w:rsid w:val="00F64395"/>
    <w:rsid w:val="00F64583"/>
    <w:rsid w:val="00F64DC4"/>
    <w:rsid w:val="00F65619"/>
    <w:rsid w:val="00F66211"/>
    <w:rsid w:val="00F672A9"/>
    <w:rsid w:val="00F679FA"/>
    <w:rsid w:val="00F67D07"/>
    <w:rsid w:val="00F67F23"/>
    <w:rsid w:val="00F70FC2"/>
    <w:rsid w:val="00F7113E"/>
    <w:rsid w:val="00F72F62"/>
    <w:rsid w:val="00F73F78"/>
    <w:rsid w:val="00F746EE"/>
    <w:rsid w:val="00F74C69"/>
    <w:rsid w:val="00F74CBB"/>
    <w:rsid w:val="00F74EBF"/>
    <w:rsid w:val="00F7613C"/>
    <w:rsid w:val="00F7647F"/>
    <w:rsid w:val="00F771BC"/>
    <w:rsid w:val="00F774AF"/>
    <w:rsid w:val="00F80C29"/>
    <w:rsid w:val="00F81EA6"/>
    <w:rsid w:val="00F82ED6"/>
    <w:rsid w:val="00F84481"/>
    <w:rsid w:val="00F86315"/>
    <w:rsid w:val="00F866F5"/>
    <w:rsid w:val="00F867D0"/>
    <w:rsid w:val="00F86F85"/>
    <w:rsid w:val="00F90821"/>
    <w:rsid w:val="00F912B0"/>
    <w:rsid w:val="00F914AD"/>
    <w:rsid w:val="00F915C2"/>
    <w:rsid w:val="00F91F59"/>
    <w:rsid w:val="00F9217E"/>
    <w:rsid w:val="00F92496"/>
    <w:rsid w:val="00F92E52"/>
    <w:rsid w:val="00F939A3"/>
    <w:rsid w:val="00F9462F"/>
    <w:rsid w:val="00F94A67"/>
    <w:rsid w:val="00F95703"/>
    <w:rsid w:val="00F95AF3"/>
    <w:rsid w:val="00F969BF"/>
    <w:rsid w:val="00F96AA8"/>
    <w:rsid w:val="00F96CC0"/>
    <w:rsid w:val="00FA00A8"/>
    <w:rsid w:val="00FA01CF"/>
    <w:rsid w:val="00FA2D4D"/>
    <w:rsid w:val="00FA4422"/>
    <w:rsid w:val="00FA57B1"/>
    <w:rsid w:val="00FA5833"/>
    <w:rsid w:val="00FA66F4"/>
    <w:rsid w:val="00FA6EF3"/>
    <w:rsid w:val="00FB1EA2"/>
    <w:rsid w:val="00FB2266"/>
    <w:rsid w:val="00FB2B74"/>
    <w:rsid w:val="00FB2FDA"/>
    <w:rsid w:val="00FB325B"/>
    <w:rsid w:val="00FC02F2"/>
    <w:rsid w:val="00FC0602"/>
    <w:rsid w:val="00FC2FE0"/>
    <w:rsid w:val="00FC36F8"/>
    <w:rsid w:val="00FC5F73"/>
    <w:rsid w:val="00FC6930"/>
    <w:rsid w:val="00FC7378"/>
    <w:rsid w:val="00FC7502"/>
    <w:rsid w:val="00FC7613"/>
    <w:rsid w:val="00FD061B"/>
    <w:rsid w:val="00FD15C2"/>
    <w:rsid w:val="00FD1C08"/>
    <w:rsid w:val="00FD1F4D"/>
    <w:rsid w:val="00FD7319"/>
    <w:rsid w:val="00FD780E"/>
    <w:rsid w:val="00FE0607"/>
    <w:rsid w:val="00FE0F60"/>
    <w:rsid w:val="00FE1813"/>
    <w:rsid w:val="00FE25CA"/>
    <w:rsid w:val="00FE28C4"/>
    <w:rsid w:val="00FE2DC3"/>
    <w:rsid w:val="00FE33CE"/>
    <w:rsid w:val="00FE48E6"/>
    <w:rsid w:val="00FE56F5"/>
    <w:rsid w:val="00FE5A61"/>
    <w:rsid w:val="00FE648E"/>
    <w:rsid w:val="00FE72C7"/>
    <w:rsid w:val="00FE767B"/>
    <w:rsid w:val="00FF0C1C"/>
    <w:rsid w:val="00FF149A"/>
    <w:rsid w:val="00FF169E"/>
    <w:rsid w:val="00FF5339"/>
    <w:rsid w:val="00FF6428"/>
    <w:rsid w:val="00FF6F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7AEFB6E"/>
  <w15:docId w15:val="{04E2AA2B-DC50-4820-99D4-C33C216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26"/>
    <w:pPr>
      <w:jc w:val="both"/>
    </w:pPr>
  </w:style>
  <w:style w:type="paragraph" w:styleId="Heading1">
    <w:name w:val="heading 1"/>
    <w:basedOn w:val="Normal"/>
    <w:next w:val="Normal"/>
    <w:link w:val="Heading1Char"/>
    <w:qFormat/>
    <w:rsid w:val="00EF18A2"/>
    <w:pPr>
      <w:keepNext/>
      <w:pBdr>
        <w:bottom w:val="single" w:sz="4" w:space="6" w:color="auto"/>
      </w:pBdr>
      <w:outlineLvl w:val="0"/>
    </w:pPr>
    <w:rPr>
      <w:b/>
      <w:caps/>
      <w:sz w:val="26"/>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link w:val="Heading4Char"/>
    <w:qFormat/>
    <w:pPr>
      <w:keepNext/>
      <w:outlineLvl w:val="3"/>
    </w:pPr>
    <w:rPr>
      <w:i/>
    </w:rPr>
  </w:style>
  <w:style w:type="paragraph" w:styleId="Heading5">
    <w:name w:val="heading 5"/>
    <w:basedOn w:val="Normal"/>
    <w:next w:val="Normal"/>
    <w:link w:val="Heading5Char"/>
    <w:qFormat/>
    <w:rsid w:val="005D604F"/>
    <w:pPr>
      <w:outlineLvl w:val="4"/>
    </w:pPr>
    <w:rPr>
      <w:u w:val="single"/>
    </w:rPr>
  </w:style>
  <w:style w:type="paragraph" w:styleId="Heading6">
    <w:name w:val="heading 6"/>
    <w:basedOn w:val="Normal"/>
    <w:next w:val="Normal"/>
    <w:link w:val="Heading6Char"/>
    <w:qFormat/>
    <w:pPr>
      <w:keepNext/>
      <w:outlineLvl w:val="5"/>
    </w:pPr>
    <w:rPr>
      <w:i/>
      <w:sz w:val="32"/>
    </w:rPr>
  </w:style>
  <w:style w:type="paragraph" w:styleId="Heading7">
    <w:name w:val="heading 7"/>
    <w:basedOn w:val="Normal"/>
    <w:next w:val="Normal"/>
    <w:link w:val="Heading7Char"/>
    <w:qFormat/>
    <w:pPr>
      <w:keepNext/>
      <w:outlineLvl w:val="6"/>
    </w:pPr>
    <w:rPr>
      <w:b/>
      <w:sz w:val="28"/>
    </w:rPr>
  </w:style>
  <w:style w:type="paragraph" w:styleId="Heading8">
    <w:name w:val="heading 8"/>
    <w:aliases w:val="Table heading"/>
    <w:basedOn w:val="Normal"/>
    <w:next w:val="Normal"/>
    <w:link w:val="Heading8Char"/>
    <w:qFormat/>
    <w:pPr>
      <w:keepNext/>
      <w:outlineLvl w:val="7"/>
    </w:pPr>
    <w:rPr>
      <w:sz w:val="28"/>
    </w:rPr>
  </w:style>
  <w:style w:type="paragraph" w:styleId="Heading9">
    <w:name w:val="heading 9"/>
    <w:basedOn w:val="Normal"/>
    <w:next w:val="Normal"/>
    <w:link w:val="Heading9Char"/>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8A2"/>
    <w:rPr>
      <w:b/>
      <w:caps/>
      <w:sz w:val="26"/>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paragraph" w:customStyle="1" w:styleId="List1">
    <w:name w:val="List 1"/>
    <w:basedOn w:val="Normal"/>
    <w:uiPriority w:val="1"/>
    <w:qFormat/>
    <w:pPr>
      <w:tabs>
        <w:tab w:val="num" w:pos="567"/>
      </w:tabs>
      <w:ind w:left="567" w:hanging="567"/>
    </w:pPr>
  </w:style>
  <w:style w:type="character" w:styleId="PageNumber">
    <w:name w:val="page number"/>
    <w:basedOn w:val="DefaultParagraphFont"/>
    <w:rsid w:val="00A62E26"/>
    <w:rPr>
      <w:rFonts w:ascii="Times New Roman" w:hAnsi="Times New Roman"/>
      <w:sz w:val="22"/>
    </w:rPr>
  </w:style>
  <w:style w:type="paragraph" w:styleId="Header">
    <w:name w:val="header"/>
    <w:basedOn w:val="Normal"/>
    <w:link w:val="HeaderChar"/>
    <w:unhideWhenUsed/>
    <w:rsid w:val="00A65B11"/>
    <w:pPr>
      <w:tabs>
        <w:tab w:val="center" w:pos="4513"/>
        <w:tab w:val="right" w:pos="9026"/>
      </w:tabs>
    </w:pPr>
  </w:style>
  <w:style w:type="character" w:styleId="FootnoteReference">
    <w:name w:val="footnote reference"/>
    <w:basedOn w:val="DefaultParagraphFont"/>
    <w:uiPriority w:val="99"/>
    <w:rPr>
      <w:rFonts w:ascii="Times New Roman" w:hAnsi="Times New Roman"/>
      <w:vertAlign w:val="superscript"/>
    </w:rPr>
  </w:style>
  <w:style w:type="paragraph" w:styleId="TOC1">
    <w:name w:val="toc 1"/>
    <w:basedOn w:val="Normal"/>
    <w:next w:val="Normal"/>
    <w:autoRedefine/>
    <w:uiPriority w:val="39"/>
    <w:pPr>
      <w:tabs>
        <w:tab w:val="right" w:pos="8222"/>
      </w:tabs>
      <w:spacing w:before="360" w:after="240"/>
    </w:pPr>
    <w:rPr>
      <w:b/>
      <w:noProof/>
      <w:sz w:val="32"/>
    </w:rPr>
  </w:style>
  <w:style w:type="paragraph" w:styleId="TOC2">
    <w:name w:val="toc 2"/>
    <w:basedOn w:val="Normal"/>
    <w:next w:val="Normal"/>
    <w:autoRedefine/>
    <w:uiPriority w:val="39"/>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link w:val="DocumentMapChar"/>
    <w:semiHidden/>
    <w:pPr>
      <w:shd w:val="clear" w:color="auto" w:fill="000080"/>
    </w:pPr>
    <w:rPr>
      <w:rFonts w:ascii="Tahoma" w:hAnsi="Tahoma"/>
    </w:rPr>
  </w:style>
  <w:style w:type="paragraph" w:customStyle="1" w:styleId="Exampleheading">
    <w:name w:val="Example heading"/>
    <w:basedOn w:val="Normal"/>
    <w:next w:val="Exampletext"/>
    <w:link w:val="ExampleheadingChar"/>
    <w:uiPriority w:val="3"/>
    <w:qFormat/>
    <w:rsid w:val="00A62E26"/>
    <w:rPr>
      <w:b/>
      <w:sz w:val="20"/>
    </w:rPr>
  </w:style>
  <w:style w:type="paragraph" w:customStyle="1" w:styleId="Exampletext">
    <w:name w:val="Example text"/>
    <w:basedOn w:val="Exampleheading"/>
    <w:uiPriority w:val="3"/>
    <w:qFormat/>
    <w:rsid w:val="00957AE5"/>
    <w:rPr>
      <w:b w:val="0"/>
    </w:rPr>
  </w:style>
  <w:style w:type="character" w:customStyle="1" w:styleId="ExampleheadingChar">
    <w:name w:val="Example heading Char"/>
    <w:basedOn w:val="DefaultParagraphFont"/>
    <w:link w:val="Exampleheading"/>
    <w:uiPriority w:val="3"/>
    <w:rsid w:val="00A62E26"/>
    <w:rPr>
      <w:b/>
      <w:sz w:val="20"/>
    </w:rPr>
  </w:style>
  <w:style w:type="paragraph" w:styleId="BalloonText">
    <w:name w:val="Balloon Text"/>
    <w:basedOn w:val="Normal"/>
    <w:link w:val="BalloonTextChar"/>
    <w:uiPriority w:val="99"/>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link w:val="CommentTextChar"/>
    <w:semiHidden/>
    <w:rsid w:val="00297BF3"/>
    <w:rPr>
      <w:sz w:val="20"/>
    </w:rPr>
  </w:style>
  <w:style w:type="paragraph" w:styleId="CommentSubject">
    <w:name w:val="annotation subject"/>
    <w:basedOn w:val="CommentText"/>
    <w:next w:val="CommentText"/>
    <w:link w:val="CommentSubjectChar"/>
    <w:uiPriority w:val="99"/>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rsid w:val="00A65B11"/>
  </w:style>
  <w:style w:type="paragraph" w:styleId="ListParagraph">
    <w:name w:val="List Paragraph"/>
    <w:basedOn w:val="Normal"/>
    <w:uiPriority w:val="34"/>
    <w:qFormat/>
    <w:rsid w:val="00E337D4"/>
    <w:pPr>
      <w:ind w:left="720"/>
      <w:contextualSpacing/>
    </w:pPr>
  </w:style>
  <w:style w:type="paragraph" w:styleId="NormalWeb">
    <w:name w:val="Normal (Web)"/>
    <w:basedOn w:val="Normal"/>
    <w:unhideWhenUsed/>
    <w:rsid w:val="00FB325B"/>
    <w:pPr>
      <w:spacing w:before="100" w:beforeAutospacing="1" w:after="100" w:afterAutospacing="1"/>
      <w:jc w:val="left"/>
    </w:pPr>
    <w:rPr>
      <w:rFonts w:eastAsiaTheme="minorEastAsia"/>
    </w:rPr>
  </w:style>
  <w:style w:type="paragraph" w:customStyle="1" w:styleId="Bullets">
    <w:name w:val="Bullets"/>
    <w:basedOn w:val="Normal"/>
    <w:qFormat/>
    <w:rsid w:val="00755913"/>
    <w:pPr>
      <w:numPr>
        <w:numId w:val="2"/>
      </w:numPr>
      <w:spacing w:after="140"/>
      <w:ind w:left="567" w:hanging="567"/>
    </w:pPr>
    <w:rPr>
      <w:szCs w:val="20"/>
      <w:lang w:eastAsia="en-AU"/>
    </w:rPr>
  </w:style>
  <w:style w:type="paragraph" w:styleId="FootnoteText">
    <w:name w:val="footnote text"/>
    <w:basedOn w:val="Normal"/>
    <w:link w:val="FootnoteTextChar"/>
    <w:uiPriority w:val="99"/>
    <w:rsid w:val="000C5E76"/>
    <w:rPr>
      <w:sz w:val="20"/>
      <w:szCs w:val="20"/>
      <w:lang w:val="en-GB" w:eastAsia="en-AU"/>
    </w:rPr>
  </w:style>
  <w:style w:type="character" w:customStyle="1" w:styleId="FootnoteTextChar">
    <w:name w:val="Footnote Text Char"/>
    <w:basedOn w:val="DefaultParagraphFont"/>
    <w:link w:val="FootnoteText"/>
    <w:uiPriority w:val="99"/>
    <w:rsid w:val="000C5E76"/>
    <w:rPr>
      <w:sz w:val="20"/>
      <w:szCs w:val="20"/>
      <w:lang w:val="en-GB" w:eastAsia="en-AU"/>
    </w:rPr>
  </w:style>
  <w:style w:type="paragraph" w:customStyle="1" w:styleId="Title-Specialreport">
    <w:name w:val="Title - Special report"/>
    <w:basedOn w:val="Normal"/>
    <w:qFormat/>
    <w:rsid w:val="00532DB4"/>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 w:type="numbering" w:customStyle="1" w:styleId="NoList1">
    <w:name w:val="No List1"/>
    <w:next w:val="NoList"/>
    <w:uiPriority w:val="99"/>
    <w:semiHidden/>
    <w:unhideWhenUsed/>
    <w:rsid w:val="00925A3A"/>
  </w:style>
  <w:style w:type="character" w:customStyle="1" w:styleId="Heading4Char">
    <w:name w:val="Heading 4 Char"/>
    <w:basedOn w:val="DefaultParagraphFont"/>
    <w:link w:val="Heading4"/>
    <w:rsid w:val="00925A3A"/>
    <w:rPr>
      <w:i/>
    </w:rPr>
  </w:style>
  <w:style w:type="character" w:customStyle="1" w:styleId="Heading5Char">
    <w:name w:val="Heading 5 Char"/>
    <w:basedOn w:val="DefaultParagraphFont"/>
    <w:link w:val="Heading5"/>
    <w:rsid w:val="005D604F"/>
    <w:rPr>
      <w:u w:val="single"/>
    </w:rPr>
  </w:style>
  <w:style w:type="character" w:customStyle="1" w:styleId="Heading6Char">
    <w:name w:val="Heading 6 Char"/>
    <w:basedOn w:val="DefaultParagraphFont"/>
    <w:link w:val="Heading6"/>
    <w:rsid w:val="00925A3A"/>
    <w:rPr>
      <w:i/>
      <w:sz w:val="32"/>
    </w:rPr>
  </w:style>
  <w:style w:type="character" w:customStyle="1" w:styleId="Heading7Char">
    <w:name w:val="Heading 7 Char"/>
    <w:basedOn w:val="DefaultParagraphFont"/>
    <w:link w:val="Heading7"/>
    <w:rsid w:val="00925A3A"/>
    <w:rPr>
      <w:b/>
      <w:sz w:val="28"/>
    </w:rPr>
  </w:style>
  <w:style w:type="character" w:customStyle="1" w:styleId="Heading8Char">
    <w:name w:val="Heading 8 Char"/>
    <w:aliases w:val="Table heading Char"/>
    <w:basedOn w:val="DefaultParagraphFont"/>
    <w:link w:val="Heading8"/>
    <w:rsid w:val="00925A3A"/>
    <w:rPr>
      <w:sz w:val="28"/>
    </w:rPr>
  </w:style>
  <w:style w:type="character" w:customStyle="1" w:styleId="Heading9Char">
    <w:name w:val="Heading 9 Char"/>
    <w:basedOn w:val="DefaultParagraphFont"/>
    <w:link w:val="Heading9"/>
    <w:rsid w:val="00925A3A"/>
    <w:rPr>
      <w:b/>
      <w:snapToGrid w:val="0"/>
      <w:color w:val="000000"/>
      <w:sz w:val="22"/>
    </w:rPr>
  </w:style>
  <w:style w:type="character" w:customStyle="1" w:styleId="FooterChar">
    <w:name w:val="Footer Char"/>
    <w:basedOn w:val="DefaultParagraphFont"/>
    <w:link w:val="Footer"/>
    <w:uiPriority w:val="99"/>
    <w:rsid w:val="00925A3A"/>
    <w:rPr>
      <w:sz w:val="22"/>
      <w:lang w:val="en-GB" w:eastAsia="en-AU"/>
    </w:rPr>
  </w:style>
  <w:style w:type="paragraph" w:styleId="Footer">
    <w:name w:val="footer"/>
    <w:basedOn w:val="Normal"/>
    <w:link w:val="FooterChar"/>
    <w:uiPriority w:val="99"/>
    <w:rsid w:val="00925A3A"/>
    <w:pPr>
      <w:tabs>
        <w:tab w:val="center" w:pos="4153"/>
        <w:tab w:val="right" w:pos="8306"/>
      </w:tabs>
      <w:jc w:val="center"/>
    </w:pPr>
    <w:rPr>
      <w:sz w:val="22"/>
      <w:lang w:val="en-GB" w:eastAsia="en-AU"/>
    </w:rPr>
  </w:style>
  <w:style w:type="character" w:customStyle="1" w:styleId="FooterChar1">
    <w:name w:val="Footer Char1"/>
    <w:basedOn w:val="DefaultParagraphFont"/>
    <w:uiPriority w:val="99"/>
    <w:semiHidden/>
    <w:rsid w:val="00925A3A"/>
  </w:style>
  <w:style w:type="paragraph" w:customStyle="1" w:styleId="Sectionheading">
    <w:name w:val="Section heading"/>
    <w:qFormat/>
    <w:rsid w:val="00925A3A"/>
    <w:pPr>
      <w:pBdr>
        <w:top w:val="single" w:sz="4" w:space="8" w:color="auto"/>
        <w:bottom w:val="single" w:sz="4" w:space="8" w:color="auto"/>
      </w:pBdr>
      <w:jc w:val="center"/>
    </w:pPr>
    <w:rPr>
      <w:sz w:val="60"/>
      <w:szCs w:val="20"/>
      <w:lang w:eastAsia="en-AU"/>
    </w:rPr>
  </w:style>
  <w:style w:type="character" w:customStyle="1" w:styleId="DocumentMapChar">
    <w:name w:val="Document Map Char"/>
    <w:basedOn w:val="DefaultParagraphFont"/>
    <w:link w:val="DocumentMap"/>
    <w:semiHidden/>
    <w:rsid w:val="00925A3A"/>
    <w:rPr>
      <w:rFonts w:ascii="Tahoma" w:hAnsi="Tahoma"/>
      <w:shd w:val="clear" w:color="auto" w:fill="000080"/>
    </w:rPr>
  </w:style>
  <w:style w:type="paragraph" w:styleId="Title">
    <w:name w:val="Title"/>
    <w:link w:val="TitleChar"/>
    <w:qFormat/>
    <w:rsid w:val="00925A3A"/>
    <w:pPr>
      <w:pBdr>
        <w:bottom w:val="single" w:sz="4" w:space="6" w:color="auto"/>
      </w:pBdr>
    </w:pPr>
    <w:rPr>
      <w:b/>
      <w:sz w:val="48"/>
      <w:szCs w:val="20"/>
      <w:lang w:val="en-US" w:eastAsia="en-AU"/>
    </w:rPr>
  </w:style>
  <w:style w:type="character" w:customStyle="1" w:styleId="TitleChar">
    <w:name w:val="Title Char"/>
    <w:basedOn w:val="DefaultParagraphFont"/>
    <w:link w:val="Title"/>
    <w:rsid w:val="00925A3A"/>
    <w:rPr>
      <w:b/>
      <w:sz w:val="48"/>
      <w:szCs w:val="20"/>
      <w:lang w:val="en-US" w:eastAsia="en-AU"/>
    </w:rPr>
  </w:style>
  <w:style w:type="character" w:customStyle="1" w:styleId="CommentTextChar">
    <w:name w:val="Comment Text Char"/>
    <w:basedOn w:val="DefaultParagraphFont"/>
    <w:link w:val="CommentText"/>
    <w:semiHidden/>
    <w:rsid w:val="00925A3A"/>
    <w:rPr>
      <w:sz w:val="20"/>
    </w:rPr>
  </w:style>
  <w:style w:type="paragraph" w:customStyle="1" w:styleId="Bullets2">
    <w:name w:val="Bullets2"/>
    <w:basedOn w:val="Normal"/>
    <w:qFormat/>
    <w:rsid w:val="00925A3A"/>
    <w:pPr>
      <w:numPr>
        <w:numId w:val="3"/>
      </w:numPr>
      <w:ind w:left="1134" w:hanging="567"/>
      <w:contextualSpacing/>
    </w:pPr>
    <w:rPr>
      <w:szCs w:val="20"/>
      <w:lang w:val="en-GB" w:eastAsia="en-AU"/>
    </w:rPr>
  </w:style>
  <w:style w:type="paragraph" w:styleId="BodyText">
    <w:name w:val="Body Text"/>
    <w:basedOn w:val="Normal"/>
    <w:link w:val="BodyTextChar"/>
    <w:rsid w:val="00925A3A"/>
    <w:rPr>
      <w:szCs w:val="20"/>
      <w:lang w:val="en-GB" w:eastAsia="en-AU"/>
    </w:rPr>
  </w:style>
  <w:style w:type="character" w:customStyle="1" w:styleId="BodyTextChar">
    <w:name w:val="Body Text Char"/>
    <w:basedOn w:val="DefaultParagraphFont"/>
    <w:link w:val="BodyText"/>
    <w:rsid w:val="00925A3A"/>
    <w:rPr>
      <w:szCs w:val="20"/>
      <w:lang w:val="en-GB" w:eastAsia="en-AU"/>
    </w:rPr>
  </w:style>
  <w:style w:type="paragraph" w:customStyle="1" w:styleId="Indentbullet">
    <w:name w:val="Indent bullet"/>
    <w:basedOn w:val="BodyText"/>
    <w:rsid w:val="00925A3A"/>
    <w:pPr>
      <w:tabs>
        <w:tab w:val="num" w:pos="360"/>
      </w:tabs>
      <w:spacing w:after="140"/>
    </w:pPr>
  </w:style>
  <w:style w:type="character" w:styleId="Strong">
    <w:name w:val="Strong"/>
    <w:basedOn w:val="DefaultParagraphFont"/>
    <w:uiPriority w:val="22"/>
    <w:qFormat/>
    <w:rsid w:val="00925A3A"/>
    <w:rPr>
      <w:b/>
      <w:bCs/>
    </w:rPr>
  </w:style>
  <w:style w:type="character" w:customStyle="1" w:styleId="BalloonTextChar">
    <w:name w:val="Balloon Text Char"/>
    <w:basedOn w:val="DefaultParagraphFont"/>
    <w:link w:val="BalloonText"/>
    <w:uiPriority w:val="99"/>
    <w:semiHidden/>
    <w:rsid w:val="00925A3A"/>
    <w:rPr>
      <w:rFonts w:ascii="Tahoma" w:hAnsi="Tahoma" w:cs="Tahoma"/>
      <w:sz w:val="16"/>
      <w:szCs w:val="16"/>
    </w:rPr>
  </w:style>
  <w:style w:type="paragraph" w:customStyle="1" w:styleId="dotpoint">
    <w:name w:val="dot point"/>
    <w:basedOn w:val="Normal"/>
    <w:rsid w:val="00925A3A"/>
    <w:pPr>
      <w:tabs>
        <w:tab w:val="num" w:pos="567"/>
      </w:tabs>
      <w:spacing w:after="140"/>
      <w:ind w:left="567" w:hanging="567"/>
    </w:pPr>
    <w:rPr>
      <w:szCs w:val="20"/>
      <w:lang w:val="en-GB" w:eastAsia="en-AU"/>
    </w:rPr>
  </w:style>
  <w:style w:type="paragraph" w:styleId="BodyTextIndent">
    <w:name w:val="Body Text Indent"/>
    <w:basedOn w:val="Normal"/>
    <w:link w:val="BodyTextIndentChar"/>
    <w:rsid w:val="00925A3A"/>
    <w:pPr>
      <w:ind w:left="450"/>
    </w:pPr>
    <w:rPr>
      <w:szCs w:val="20"/>
      <w:lang w:eastAsia="en-AU"/>
    </w:rPr>
  </w:style>
  <w:style w:type="character" w:customStyle="1" w:styleId="BodyTextIndentChar">
    <w:name w:val="Body Text Indent Char"/>
    <w:basedOn w:val="DefaultParagraphFont"/>
    <w:link w:val="BodyTextIndent"/>
    <w:rsid w:val="00925A3A"/>
    <w:rPr>
      <w:szCs w:val="20"/>
      <w:lang w:eastAsia="en-AU"/>
    </w:rPr>
  </w:style>
  <w:style w:type="paragraph" w:styleId="BodyTextIndent2">
    <w:name w:val="Body Text Indent 2"/>
    <w:basedOn w:val="Normal"/>
    <w:link w:val="BodyTextIndent2Char"/>
    <w:rsid w:val="00925A3A"/>
    <w:pPr>
      <w:ind w:left="450"/>
    </w:pPr>
    <w:rPr>
      <w:szCs w:val="20"/>
      <w:lang w:val="en-US" w:eastAsia="en-AU"/>
    </w:rPr>
  </w:style>
  <w:style w:type="character" w:customStyle="1" w:styleId="BodyTextIndent2Char">
    <w:name w:val="Body Text Indent 2 Char"/>
    <w:basedOn w:val="DefaultParagraphFont"/>
    <w:link w:val="BodyTextIndent2"/>
    <w:rsid w:val="00925A3A"/>
    <w:rPr>
      <w:szCs w:val="20"/>
      <w:lang w:val="en-US" w:eastAsia="en-AU"/>
    </w:rPr>
  </w:style>
  <w:style w:type="paragraph" w:styleId="BodyTextIndent3">
    <w:name w:val="Body Text Indent 3"/>
    <w:basedOn w:val="Normal"/>
    <w:link w:val="BodyTextIndent3Char"/>
    <w:rsid w:val="00925A3A"/>
    <w:pPr>
      <w:ind w:left="465"/>
    </w:pPr>
    <w:rPr>
      <w:szCs w:val="20"/>
      <w:lang w:val="en-US" w:eastAsia="en-AU"/>
    </w:rPr>
  </w:style>
  <w:style w:type="character" w:customStyle="1" w:styleId="BodyTextIndent3Char">
    <w:name w:val="Body Text Indent 3 Char"/>
    <w:basedOn w:val="DefaultParagraphFont"/>
    <w:link w:val="BodyTextIndent3"/>
    <w:rsid w:val="00925A3A"/>
    <w:rPr>
      <w:szCs w:val="20"/>
      <w:lang w:val="en-US" w:eastAsia="en-AU"/>
    </w:rPr>
  </w:style>
  <w:style w:type="paragraph" w:styleId="BodyText2">
    <w:name w:val="Body Text 2"/>
    <w:basedOn w:val="Normal"/>
    <w:link w:val="BodyText2Char"/>
    <w:rsid w:val="00925A3A"/>
    <w:pPr>
      <w:jc w:val="center"/>
    </w:pPr>
    <w:rPr>
      <w:b/>
      <w:szCs w:val="20"/>
      <w:lang w:val="en-US" w:eastAsia="en-AU"/>
    </w:rPr>
  </w:style>
  <w:style w:type="character" w:customStyle="1" w:styleId="BodyText2Char">
    <w:name w:val="Body Text 2 Char"/>
    <w:basedOn w:val="DefaultParagraphFont"/>
    <w:link w:val="BodyText2"/>
    <w:rsid w:val="00925A3A"/>
    <w:rPr>
      <w:b/>
      <w:szCs w:val="20"/>
      <w:lang w:val="en-US" w:eastAsia="en-AU"/>
    </w:rPr>
  </w:style>
  <w:style w:type="paragraph" w:customStyle="1" w:styleId="BodyTextChapter2">
    <w:name w:val="Body Text Chapter 2"/>
    <w:rsid w:val="00925A3A"/>
    <w:pPr>
      <w:tabs>
        <w:tab w:val="num" w:pos="992"/>
      </w:tabs>
      <w:ind w:left="992" w:hanging="992"/>
      <w:jc w:val="both"/>
    </w:pPr>
    <w:rPr>
      <w:noProof/>
      <w:szCs w:val="20"/>
      <w:lang w:val="en-AU" w:eastAsia="en-AU"/>
    </w:rPr>
  </w:style>
  <w:style w:type="paragraph" w:customStyle="1" w:styleId="PartHeading">
    <w:name w:val="PartHeading"/>
    <w:basedOn w:val="Heading1"/>
    <w:rsid w:val="00925A3A"/>
    <w:pPr>
      <w:pBdr>
        <w:top w:val="single" w:sz="4" w:space="8" w:color="auto"/>
        <w:bottom w:val="single" w:sz="4" w:space="8" w:color="auto"/>
      </w:pBdr>
      <w:jc w:val="center"/>
    </w:pPr>
    <w:rPr>
      <w:b w:val="0"/>
      <w:sz w:val="60"/>
      <w:szCs w:val="20"/>
      <w:lang w:eastAsia="en-AU"/>
    </w:rPr>
  </w:style>
  <w:style w:type="paragraph" w:customStyle="1" w:styleId="BodyTextChapter11">
    <w:name w:val="Body Text Chapter 11"/>
    <w:rsid w:val="00925A3A"/>
    <w:pPr>
      <w:tabs>
        <w:tab w:val="num" w:pos="992"/>
      </w:tabs>
      <w:ind w:left="992" w:hanging="992"/>
      <w:jc w:val="both"/>
    </w:pPr>
    <w:rPr>
      <w:noProof/>
      <w:szCs w:val="20"/>
      <w:lang w:val="en-AU" w:eastAsia="en-AU"/>
    </w:rPr>
  </w:style>
  <w:style w:type="paragraph" w:customStyle="1" w:styleId="BodyTextChapter14">
    <w:name w:val="Body Text Chapter 14"/>
    <w:rsid w:val="00925A3A"/>
    <w:pPr>
      <w:tabs>
        <w:tab w:val="num" w:pos="992"/>
      </w:tabs>
      <w:ind w:left="992" w:hanging="992"/>
      <w:jc w:val="both"/>
    </w:pPr>
    <w:rPr>
      <w:noProof/>
      <w:szCs w:val="20"/>
      <w:lang w:val="en-AU" w:eastAsia="en-AU"/>
    </w:rPr>
  </w:style>
  <w:style w:type="paragraph" w:customStyle="1" w:styleId="BodyTextChapter17">
    <w:name w:val="Body Text Chapter 17"/>
    <w:rsid w:val="00925A3A"/>
    <w:pPr>
      <w:tabs>
        <w:tab w:val="num" w:pos="992"/>
      </w:tabs>
      <w:ind w:left="992" w:hanging="992"/>
      <w:jc w:val="both"/>
    </w:pPr>
    <w:rPr>
      <w:noProof/>
      <w:szCs w:val="20"/>
      <w:lang w:val="en-AU" w:eastAsia="en-AU"/>
    </w:rPr>
  </w:style>
  <w:style w:type="paragraph" w:customStyle="1" w:styleId="BodyTextChapter15">
    <w:name w:val="Body Text Chapter 15"/>
    <w:rsid w:val="00925A3A"/>
    <w:pPr>
      <w:tabs>
        <w:tab w:val="num" w:pos="992"/>
      </w:tabs>
      <w:ind w:left="992" w:hanging="992"/>
      <w:jc w:val="both"/>
    </w:pPr>
    <w:rPr>
      <w:noProof/>
      <w:szCs w:val="20"/>
      <w:lang w:val="en-AU" w:eastAsia="en-AU"/>
    </w:rPr>
  </w:style>
  <w:style w:type="paragraph" w:styleId="BodyText3">
    <w:name w:val="Body Text 3"/>
    <w:basedOn w:val="Normal"/>
    <w:link w:val="BodyText3Char"/>
    <w:rsid w:val="00925A3A"/>
    <w:pPr>
      <w:pBdr>
        <w:top w:val="single" w:sz="4" w:space="1" w:color="auto"/>
        <w:left w:val="single" w:sz="4" w:space="4" w:color="auto"/>
        <w:bottom w:val="single" w:sz="4" w:space="1" w:color="auto"/>
        <w:right w:val="single" w:sz="4" w:space="4" w:color="auto"/>
      </w:pBdr>
    </w:pPr>
    <w:rPr>
      <w:sz w:val="20"/>
      <w:szCs w:val="20"/>
      <w:lang w:val="en-GB" w:eastAsia="en-AU"/>
    </w:rPr>
  </w:style>
  <w:style w:type="character" w:customStyle="1" w:styleId="BodyText3Char">
    <w:name w:val="Body Text 3 Char"/>
    <w:basedOn w:val="DefaultParagraphFont"/>
    <w:link w:val="BodyText3"/>
    <w:rsid w:val="00925A3A"/>
    <w:rPr>
      <w:sz w:val="20"/>
      <w:szCs w:val="20"/>
      <w:lang w:val="en-GB" w:eastAsia="en-AU"/>
    </w:rPr>
  </w:style>
  <w:style w:type="paragraph" w:customStyle="1" w:styleId="Style1">
    <w:name w:val="Style1"/>
    <w:basedOn w:val="Normal"/>
    <w:rsid w:val="00925A3A"/>
    <w:rPr>
      <w:szCs w:val="20"/>
      <w:lang w:eastAsia="en-AU"/>
    </w:rPr>
  </w:style>
  <w:style w:type="paragraph" w:customStyle="1" w:styleId="TRNormal">
    <w:name w:val="_TRNormal"/>
    <w:rsid w:val="00925A3A"/>
    <w:pPr>
      <w:spacing w:after="240" w:line="300" w:lineRule="atLeast"/>
      <w:ind w:left="567" w:hanging="567"/>
      <w:jc w:val="both"/>
    </w:pPr>
    <w:rPr>
      <w:szCs w:val="20"/>
      <w:lang w:eastAsia="en-AU"/>
    </w:rPr>
  </w:style>
  <w:style w:type="paragraph" w:customStyle="1" w:styleId="dotpoint2">
    <w:name w:val="dot point2"/>
    <w:basedOn w:val="Normal"/>
    <w:rsid w:val="00925A3A"/>
    <w:pPr>
      <w:widowControl w:val="0"/>
      <w:tabs>
        <w:tab w:val="num" w:pos="360"/>
      </w:tabs>
      <w:ind w:left="340" w:hanging="340"/>
    </w:pPr>
    <w:rPr>
      <w:szCs w:val="20"/>
      <w:lang w:val="en-GB" w:eastAsia="en-AU"/>
    </w:rPr>
  </w:style>
  <w:style w:type="paragraph" w:customStyle="1" w:styleId="recomendation">
    <w:name w:val="recomendation"/>
    <w:basedOn w:val="BodyText"/>
    <w:rsid w:val="00925A3A"/>
    <w:pPr>
      <w:tabs>
        <w:tab w:val="left" w:pos="567"/>
        <w:tab w:val="left" w:pos="1134"/>
      </w:tabs>
      <w:spacing w:after="180"/>
      <w:ind w:left="567" w:hanging="567"/>
    </w:pPr>
    <w:rPr>
      <w:rFonts w:ascii="Arial" w:hAnsi="Arial"/>
    </w:rPr>
  </w:style>
  <w:style w:type="paragraph" w:customStyle="1" w:styleId="Subrec">
    <w:name w:val="Subrec"/>
    <w:basedOn w:val="BodyText"/>
    <w:rsid w:val="00925A3A"/>
    <w:pPr>
      <w:tabs>
        <w:tab w:val="num" w:pos="1134"/>
      </w:tabs>
      <w:spacing w:after="180"/>
      <w:ind w:left="1134" w:hanging="567"/>
    </w:pPr>
    <w:rPr>
      <w:rFonts w:ascii="Arial" w:hAnsi="Arial"/>
    </w:rPr>
  </w:style>
  <w:style w:type="paragraph" w:customStyle="1" w:styleId="Dotpointtwo">
    <w:name w:val="Dot point two"/>
    <w:basedOn w:val="dotpoint"/>
    <w:next w:val="BlockText"/>
    <w:rsid w:val="00925A3A"/>
    <w:pPr>
      <w:widowControl w:val="0"/>
      <w:tabs>
        <w:tab w:val="clear" w:pos="567"/>
        <w:tab w:val="num" w:pos="1134"/>
      </w:tabs>
      <w:spacing w:after="240"/>
      <w:ind w:left="1134"/>
    </w:pPr>
  </w:style>
  <w:style w:type="paragraph" w:styleId="BlockText">
    <w:name w:val="Block Text"/>
    <w:basedOn w:val="Normal"/>
    <w:rsid w:val="00925A3A"/>
    <w:pPr>
      <w:spacing w:after="120"/>
      <w:ind w:left="1440" w:right="1440"/>
    </w:pPr>
    <w:rPr>
      <w:szCs w:val="20"/>
      <w:lang w:eastAsia="en-AU"/>
    </w:rPr>
  </w:style>
  <w:style w:type="paragraph" w:customStyle="1" w:styleId="Tabledotpoint">
    <w:name w:val="Table dot point"/>
    <w:basedOn w:val="Normal"/>
    <w:rsid w:val="00925A3A"/>
    <w:pPr>
      <w:tabs>
        <w:tab w:val="num" w:pos="360"/>
      </w:tabs>
      <w:spacing w:after="240"/>
      <w:ind w:left="284" w:hanging="284"/>
    </w:pPr>
    <w:rPr>
      <w:sz w:val="20"/>
      <w:szCs w:val="20"/>
      <w:lang w:eastAsia="en-AU"/>
    </w:rPr>
  </w:style>
  <w:style w:type="paragraph" w:customStyle="1" w:styleId="TRFooter">
    <w:name w:val="_TRFooter"/>
    <w:basedOn w:val="TRNormal"/>
    <w:rsid w:val="00925A3A"/>
    <w:pPr>
      <w:tabs>
        <w:tab w:val="right" w:pos="9071"/>
      </w:tabs>
      <w:spacing w:after="0" w:line="240" w:lineRule="atLeast"/>
      <w:ind w:left="0" w:firstLine="0"/>
      <w:jc w:val="left"/>
    </w:pPr>
    <w:rPr>
      <w:sz w:val="16"/>
    </w:rPr>
  </w:style>
  <w:style w:type="paragraph" w:customStyle="1" w:styleId="TRHeader">
    <w:name w:val="_TRHeader"/>
    <w:basedOn w:val="TRNormal"/>
    <w:rsid w:val="00925A3A"/>
    <w:pPr>
      <w:spacing w:after="0"/>
      <w:ind w:left="0" w:firstLine="0"/>
      <w:jc w:val="left"/>
    </w:pPr>
    <w:rPr>
      <w:b/>
      <w:sz w:val="16"/>
    </w:rPr>
  </w:style>
  <w:style w:type="paragraph" w:customStyle="1" w:styleId="TRTitle">
    <w:name w:val="_TRTitle"/>
    <w:basedOn w:val="TRNormal"/>
    <w:next w:val="TRNormal"/>
    <w:rsid w:val="00925A3A"/>
    <w:p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925A3A"/>
    <w:pPr>
      <w:spacing w:after="0"/>
      <w:ind w:left="0" w:firstLine="0"/>
      <w:jc w:val="left"/>
    </w:pPr>
  </w:style>
  <w:style w:type="paragraph" w:customStyle="1" w:styleId="Chapter16">
    <w:name w:val="Chapter16"/>
    <w:rsid w:val="00925A3A"/>
    <w:pPr>
      <w:tabs>
        <w:tab w:val="left" w:pos="709"/>
      </w:tabs>
      <w:ind w:left="709" w:hanging="709"/>
      <w:jc w:val="both"/>
    </w:pPr>
    <w:rPr>
      <w:szCs w:val="20"/>
      <w:lang w:eastAsia="en-AU"/>
    </w:rPr>
  </w:style>
  <w:style w:type="paragraph" w:customStyle="1" w:styleId="Chapter19">
    <w:name w:val="Chapter19"/>
    <w:rsid w:val="00925A3A"/>
    <w:pPr>
      <w:tabs>
        <w:tab w:val="num" w:pos="720"/>
      </w:tabs>
      <w:ind w:left="709" w:hanging="709"/>
      <w:jc w:val="both"/>
    </w:pPr>
    <w:rPr>
      <w:szCs w:val="20"/>
      <w:lang w:eastAsia="en-AU"/>
    </w:rPr>
  </w:style>
  <w:style w:type="paragraph" w:customStyle="1" w:styleId="Chapter11">
    <w:name w:val="Chapter11"/>
    <w:rsid w:val="00925A3A"/>
    <w:pPr>
      <w:tabs>
        <w:tab w:val="left" w:pos="709"/>
      </w:tabs>
      <w:ind w:left="709" w:hanging="709"/>
      <w:jc w:val="both"/>
    </w:pPr>
    <w:rPr>
      <w:szCs w:val="20"/>
      <w:lang w:eastAsia="en-AU"/>
    </w:rPr>
  </w:style>
  <w:style w:type="paragraph" w:customStyle="1" w:styleId="Chapter13">
    <w:name w:val="Chapter13"/>
    <w:rsid w:val="00925A3A"/>
    <w:pPr>
      <w:tabs>
        <w:tab w:val="left" w:pos="709"/>
      </w:tabs>
      <w:ind w:left="709" w:hanging="709"/>
      <w:jc w:val="both"/>
    </w:pPr>
    <w:rPr>
      <w:szCs w:val="20"/>
      <w:lang w:eastAsia="en-AU"/>
    </w:rPr>
  </w:style>
  <w:style w:type="paragraph" w:customStyle="1" w:styleId="dotpointindent">
    <w:name w:val="dot point indent"/>
    <w:rsid w:val="00925A3A"/>
    <w:pPr>
      <w:tabs>
        <w:tab w:val="num" w:pos="1134"/>
      </w:tabs>
      <w:spacing w:after="140"/>
      <w:ind w:left="1134" w:hanging="567"/>
    </w:pPr>
    <w:rPr>
      <w:noProof/>
      <w:szCs w:val="20"/>
      <w:lang w:val="en-AU" w:eastAsia="en-AU"/>
    </w:rPr>
  </w:style>
  <w:style w:type="paragraph" w:customStyle="1" w:styleId="TRFootnoteText">
    <w:name w:val="_TRFootnote Text"/>
    <w:basedOn w:val="Normal"/>
    <w:rsid w:val="00925A3A"/>
    <w:pPr>
      <w:spacing w:line="300" w:lineRule="atLeast"/>
    </w:pPr>
    <w:rPr>
      <w:sz w:val="16"/>
      <w:szCs w:val="20"/>
      <w:lang w:eastAsia="en-AU"/>
    </w:rPr>
  </w:style>
  <w:style w:type="paragraph" w:customStyle="1" w:styleId="TRBodyText">
    <w:name w:val="_TRBody Text"/>
    <w:rsid w:val="00925A3A"/>
    <w:pPr>
      <w:spacing w:line="300" w:lineRule="atLeast"/>
      <w:jc w:val="both"/>
    </w:pPr>
    <w:rPr>
      <w:szCs w:val="20"/>
      <w:lang w:eastAsia="en-AU"/>
    </w:rPr>
  </w:style>
  <w:style w:type="paragraph" w:customStyle="1" w:styleId="Chapter3">
    <w:name w:val="Chapter 3"/>
    <w:basedOn w:val="Normal"/>
    <w:rsid w:val="00925A3A"/>
    <w:pPr>
      <w:tabs>
        <w:tab w:val="num" w:pos="737"/>
      </w:tabs>
      <w:spacing w:before="120" w:after="120"/>
      <w:ind w:left="737" w:hanging="737"/>
    </w:pPr>
    <w:rPr>
      <w:snapToGrid w:val="0"/>
      <w:szCs w:val="20"/>
      <w:lang w:val="en-AU" w:eastAsia="en-US"/>
    </w:rPr>
  </w:style>
  <w:style w:type="paragraph" w:customStyle="1" w:styleId="Indent2">
    <w:name w:val="Indent 2"/>
    <w:rsid w:val="00925A3A"/>
    <w:pPr>
      <w:widowControl w:val="0"/>
      <w:tabs>
        <w:tab w:val="left" w:pos="1440"/>
      </w:tabs>
      <w:ind w:left="1440" w:hanging="719"/>
    </w:pPr>
    <w:rPr>
      <w:snapToGrid w:val="0"/>
      <w:szCs w:val="20"/>
      <w:lang w:val="en-AU" w:eastAsia="en-US"/>
    </w:rPr>
  </w:style>
  <w:style w:type="paragraph" w:customStyle="1" w:styleId="TRHeading2">
    <w:name w:val="_TRHeading 2"/>
    <w:basedOn w:val="Normal"/>
    <w:next w:val="TRNormal"/>
    <w:rsid w:val="00925A3A"/>
    <w:pPr>
      <w:keepNext/>
      <w:widowControl w:val="0"/>
      <w:spacing w:before="560" w:after="360"/>
      <w:jc w:val="left"/>
    </w:pPr>
    <w:rPr>
      <w:b/>
      <w:szCs w:val="20"/>
      <w:lang w:eastAsia="en-AU"/>
    </w:rPr>
  </w:style>
  <w:style w:type="paragraph" w:customStyle="1" w:styleId="TRHeading4">
    <w:name w:val="_TRHeading 4"/>
    <w:basedOn w:val="Normal"/>
    <w:next w:val="TRNormal"/>
    <w:rsid w:val="00925A3A"/>
    <w:pPr>
      <w:keepNext/>
      <w:widowControl w:val="0"/>
      <w:spacing w:before="360" w:after="360"/>
      <w:jc w:val="left"/>
    </w:pPr>
    <w:rPr>
      <w:i/>
      <w:szCs w:val="20"/>
      <w:lang w:eastAsia="en-AU"/>
    </w:rPr>
  </w:style>
  <w:style w:type="paragraph" w:customStyle="1" w:styleId="Chapter2">
    <w:name w:val="Chapter 2"/>
    <w:basedOn w:val="Normal"/>
    <w:autoRedefine/>
    <w:rsid w:val="000772C5"/>
    <w:pPr>
      <w:tabs>
        <w:tab w:val="num" w:pos="851"/>
      </w:tabs>
      <w:spacing w:after="240"/>
    </w:pPr>
    <w:rPr>
      <w:snapToGrid w:val="0"/>
      <w:szCs w:val="20"/>
      <w:lang w:eastAsia="en-AU"/>
    </w:rPr>
  </w:style>
  <w:style w:type="table" w:customStyle="1" w:styleId="TableGrid1">
    <w:name w:val="Table Grid1"/>
    <w:basedOn w:val="TableNormal"/>
    <w:next w:val="TableGrid"/>
    <w:uiPriority w:val="59"/>
    <w:rsid w:val="00925A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925A3A"/>
    <w:rPr>
      <w:b/>
      <w:bCs/>
      <w:sz w:val="20"/>
    </w:rPr>
  </w:style>
  <w:style w:type="paragraph" w:customStyle="1" w:styleId="Egbox">
    <w:name w:val="Eg box"/>
    <w:basedOn w:val="Normal"/>
    <w:link w:val="EgboxChar"/>
    <w:qFormat/>
    <w:rsid w:val="00925A3A"/>
    <w:pPr>
      <w:pBdr>
        <w:top w:val="single" w:sz="4" w:space="1" w:color="auto"/>
        <w:left w:val="single" w:sz="4" w:space="4" w:color="auto"/>
        <w:bottom w:val="single" w:sz="4" w:space="1" w:color="auto"/>
        <w:right w:val="single" w:sz="4" w:space="4" w:color="auto"/>
      </w:pBdr>
      <w:spacing w:after="240"/>
    </w:pPr>
    <w:rPr>
      <w:szCs w:val="20"/>
      <w:lang w:eastAsia="en-AU"/>
    </w:rPr>
  </w:style>
  <w:style w:type="character" w:customStyle="1" w:styleId="EgboxChar">
    <w:name w:val="Eg box Char"/>
    <w:basedOn w:val="DefaultParagraphFont"/>
    <w:link w:val="Egbox"/>
    <w:rsid w:val="00925A3A"/>
    <w:rPr>
      <w:szCs w:val="20"/>
      <w:lang w:eastAsia="en-AU"/>
    </w:rPr>
  </w:style>
  <w:style w:type="character" w:styleId="Hyperlink">
    <w:name w:val="Hyperlink"/>
    <w:basedOn w:val="DefaultParagraphFont"/>
    <w:uiPriority w:val="99"/>
    <w:unhideWhenUsed/>
    <w:rsid w:val="00925A3A"/>
    <w:rPr>
      <w:color w:val="0000FF" w:themeColor="hyperlink"/>
      <w:u w:val="single"/>
    </w:rPr>
  </w:style>
  <w:style w:type="paragraph" w:customStyle="1" w:styleId="Clause">
    <w:name w:val="Clause"/>
    <w:basedOn w:val="Normal"/>
    <w:next w:val="Normal"/>
    <w:qFormat/>
    <w:rsid w:val="00925A3A"/>
    <w:rPr>
      <w:b/>
      <w:i/>
      <w:szCs w:val="20"/>
      <w:lang w:val="en-GB" w:eastAsia="en-AU"/>
    </w:rPr>
  </w:style>
  <w:style w:type="table" w:customStyle="1" w:styleId="TableGrid2">
    <w:name w:val="Table Grid2"/>
    <w:basedOn w:val="TableNormal"/>
    <w:next w:val="TableGrid"/>
    <w:uiPriority w:val="59"/>
    <w:rsid w:val="00D321C6"/>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3263D"/>
    <w:rPr>
      <w:sz w:val="20"/>
      <w:szCs w:val="20"/>
    </w:rPr>
  </w:style>
  <w:style w:type="character" w:customStyle="1" w:styleId="EndnoteTextChar">
    <w:name w:val="Endnote Text Char"/>
    <w:basedOn w:val="DefaultParagraphFont"/>
    <w:link w:val="EndnoteText"/>
    <w:uiPriority w:val="99"/>
    <w:semiHidden/>
    <w:rsid w:val="0023263D"/>
    <w:rPr>
      <w:sz w:val="20"/>
      <w:szCs w:val="20"/>
    </w:rPr>
  </w:style>
  <w:style w:type="character" w:styleId="EndnoteReference">
    <w:name w:val="endnote reference"/>
    <w:basedOn w:val="DefaultParagraphFont"/>
    <w:uiPriority w:val="99"/>
    <w:semiHidden/>
    <w:unhideWhenUsed/>
    <w:rsid w:val="002326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18141">
      <w:bodyDiv w:val="1"/>
      <w:marLeft w:val="0"/>
      <w:marRight w:val="0"/>
      <w:marTop w:val="0"/>
      <w:marBottom w:val="0"/>
      <w:divBdr>
        <w:top w:val="none" w:sz="0" w:space="0" w:color="auto"/>
        <w:left w:val="none" w:sz="0" w:space="0" w:color="auto"/>
        <w:bottom w:val="none" w:sz="0" w:space="0" w:color="auto"/>
        <w:right w:val="none" w:sz="0" w:space="0" w:color="auto"/>
      </w:divBdr>
    </w:div>
    <w:div w:id="1606617944">
      <w:bodyDiv w:val="1"/>
      <w:marLeft w:val="0"/>
      <w:marRight w:val="0"/>
      <w:marTop w:val="0"/>
      <w:marBottom w:val="0"/>
      <w:divBdr>
        <w:top w:val="none" w:sz="0" w:space="0" w:color="auto"/>
        <w:left w:val="none" w:sz="0" w:space="0" w:color="auto"/>
        <w:bottom w:val="none" w:sz="0" w:space="0" w:color="auto"/>
        <w:right w:val="none" w:sz="0" w:space="0" w:color="auto"/>
      </w:divBdr>
    </w:div>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 w:id="18285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package" Target="embeddings/Microsoft_Visio_Drawing6.vsdx"/><Relationship Id="rId39" Type="http://schemas.openxmlformats.org/officeDocument/2006/relationships/hyperlink" Target="mailto:hybridelections@ird.govt.nz" TargetMode="External"/><Relationship Id="rId3" Type="http://schemas.openxmlformats.org/officeDocument/2006/relationships/styles" Target="styles.xml"/><Relationship Id="rId21" Type="http://schemas.openxmlformats.org/officeDocument/2006/relationships/package" Target="embeddings/Microsoft_Visio_Drawing4.vsdx"/><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image" Target="media/image8.emf"/><Relationship Id="rId33" Type="http://schemas.openxmlformats.org/officeDocument/2006/relationships/image" Target="media/image13.png"/><Relationship Id="rId38" Type="http://schemas.openxmlformats.org/officeDocument/2006/relationships/hyperlink" Target="mailto:hybridelections@ird.govt.nz"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0.png"/><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package" Target="embeddings/Microsoft_Visio_Drawing5.vsdx"/><Relationship Id="rId32" Type="http://schemas.openxmlformats.org/officeDocument/2006/relationships/image" Target="media/image12.png"/><Relationship Id="rId37" Type="http://schemas.openxmlformats.org/officeDocument/2006/relationships/hyperlink" Target="mailto:hybridelections@ird.govt.nz" TargetMode="External"/><Relationship Id="rId40" Type="http://schemas.openxmlformats.org/officeDocument/2006/relationships/hyperlink" Target="mailto:hybridelections@ird.govt.nz" TargetMode="Externa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image" Target="media/image7.emf"/><Relationship Id="rId28" Type="http://schemas.openxmlformats.org/officeDocument/2006/relationships/package" Target="embeddings/Microsoft_Visio_Drawing7.vsdx"/><Relationship Id="rId36" Type="http://schemas.openxmlformats.org/officeDocument/2006/relationships/package" Target="embeddings/Microsoft_Visio_Drawing9.vsdx"/><Relationship Id="rId10" Type="http://schemas.openxmlformats.org/officeDocument/2006/relationships/header" Target="header1.xml"/><Relationship Id="rId19" Type="http://schemas.openxmlformats.org/officeDocument/2006/relationships/package" Target="embeddings/Microsoft_Visio_Drawing3.vsdx"/><Relationship Id="rId31" Type="http://schemas.openxmlformats.org/officeDocument/2006/relationships/package" Target="embeddings/Microsoft_Visio_Drawing8.vsdx"/><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image" Target="media/image6.png"/><Relationship Id="rId27" Type="http://schemas.openxmlformats.org/officeDocument/2006/relationships/image" Target="media/image9.emf"/><Relationship Id="rId30" Type="http://schemas.openxmlformats.org/officeDocument/2006/relationships/image" Target="media/image11.emf"/><Relationship Id="rId35"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27409</Words>
  <Characters>156234</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Draft special report - BEPS - Hybrid and branch mismatch rules (August 2018)</vt:lpstr>
    </vt:vector>
  </TitlesOfParts>
  <Company>Inland Revenue</Company>
  <LinksUpToDate>false</LinksUpToDate>
  <CharactersWithSpaces>183277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special report - BEPS - Hybrid and branch mismatch rules (August 2018)</dc:title>
  <dc:subject/>
  <dc:creator>Policy and Strategy</dc:creator>
  <dcterms:created xsi:type="dcterms:W3CDTF">2019-04-29T00:04:00Z</dcterms:created>
  <dcterms:modified xsi:type="dcterms:W3CDTF">2019-04-29T00:05:00Z</dcterms:modified>
</cp:coreProperties>
</file>