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AA" w:rsidRPr="00F64C06" w:rsidRDefault="00ED4E6C" w:rsidP="002A5769">
      <w:pPr>
        <w:autoSpaceDE w:val="0"/>
        <w:autoSpaceDN w:val="0"/>
        <w:adjustRightInd w:val="0"/>
        <w:jc w:val="left"/>
      </w:pPr>
      <w:bookmarkStart w:id="0" w:name="_Toc135445744"/>
      <w:bookmarkStart w:id="1" w:name="_GoBack"/>
      <w:bookmarkEnd w:id="1"/>
      <w:r>
        <w:t xml:space="preserve">March </w:t>
      </w:r>
      <w:r w:rsidR="006A15AA">
        <w:t>2017</w:t>
      </w:r>
    </w:p>
    <w:p w:rsidR="006A15AA" w:rsidRDefault="006A15AA" w:rsidP="002A5769">
      <w:pPr>
        <w:autoSpaceDE w:val="0"/>
        <w:autoSpaceDN w:val="0"/>
        <w:adjustRightInd w:val="0"/>
        <w:rPr>
          <w:i/>
          <w:iCs/>
          <w:sz w:val="28"/>
          <w:szCs w:val="28"/>
        </w:rPr>
      </w:pPr>
    </w:p>
    <w:p w:rsidR="00FB10A5" w:rsidRPr="00F64C06" w:rsidRDefault="00FB10A5" w:rsidP="002A5769">
      <w:pPr>
        <w:autoSpaceDE w:val="0"/>
        <w:autoSpaceDN w:val="0"/>
        <w:adjustRightInd w:val="0"/>
        <w:rPr>
          <w:i/>
          <w:iCs/>
          <w:sz w:val="28"/>
          <w:szCs w:val="28"/>
        </w:rPr>
      </w:pPr>
    </w:p>
    <w:p w:rsidR="006A15AA" w:rsidRPr="00F64C06" w:rsidRDefault="006A15AA" w:rsidP="002A5769">
      <w:pPr>
        <w:autoSpaceDE w:val="0"/>
        <w:autoSpaceDN w:val="0"/>
        <w:adjustRightInd w:val="0"/>
        <w:rPr>
          <w:i/>
          <w:iCs/>
          <w:sz w:val="28"/>
          <w:szCs w:val="28"/>
        </w:rPr>
      </w:pPr>
      <w:r w:rsidRPr="00F64C06">
        <w:rPr>
          <w:i/>
          <w:iCs/>
          <w:sz w:val="28"/>
          <w:szCs w:val="28"/>
        </w:rPr>
        <w:t>A special report from</w:t>
      </w:r>
    </w:p>
    <w:p w:rsidR="006A15AA" w:rsidRPr="00F64C06" w:rsidRDefault="006A15AA" w:rsidP="002A5769">
      <w:pPr>
        <w:rPr>
          <w:sz w:val="28"/>
          <w:szCs w:val="28"/>
        </w:rPr>
      </w:pPr>
      <w:r w:rsidRPr="00F64C06">
        <w:rPr>
          <w:sz w:val="28"/>
          <w:szCs w:val="28"/>
        </w:rPr>
        <w:t>Policy and Strategy, Inland Revenue</w:t>
      </w:r>
    </w:p>
    <w:p w:rsidR="006A15AA" w:rsidRPr="00F64C06" w:rsidRDefault="006A15AA" w:rsidP="002A5769">
      <w:pPr>
        <w:rPr>
          <w:sz w:val="28"/>
          <w:szCs w:val="28"/>
        </w:rPr>
      </w:pPr>
    </w:p>
    <w:p w:rsidR="006A15AA" w:rsidRDefault="006A15AA" w:rsidP="002A5769"/>
    <w:p w:rsidR="006A15AA" w:rsidRPr="005A3CD8" w:rsidRDefault="006A15AA" w:rsidP="002A5769">
      <w:pPr>
        <w:pStyle w:val="BodyText"/>
        <w:pBdr>
          <w:top w:val="single" w:sz="18" w:space="10" w:color="auto"/>
          <w:bottom w:val="single" w:sz="8" w:space="10" w:color="auto"/>
        </w:pBdr>
        <w:rPr>
          <w:b/>
          <w:sz w:val="36"/>
          <w:szCs w:val="36"/>
        </w:rPr>
      </w:pPr>
      <w:r>
        <w:rPr>
          <w:b/>
          <w:sz w:val="36"/>
          <w:szCs w:val="36"/>
        </w:rPr>
        <w:t xml:space="preserve">Foreign </w:t>
      </w:r>
      <w:r w:rsidR="0087421A">
        <w:rPr>
          <w:b/>
          <w:sz w:val="36"/>
          <w:szCs w:val="36"/>
        </w:rPr>
        <w:t>t</w:t>
      </w:r>
      <w:r>
        <w:rPr>
          <w:b/>
          <w:sz w:val="36"/>
          <w:szCs w:val="36"/>
        </w:rPr>
        <w:t>rust disclosure rules</w:t>
      </w:r>
    </w:p>
    <w:p w:rsidR="006A15AA" w:rsidRDefault="006A15AA" w:rsidP="002A5769"/>
    <w:p w:rsidR="00FB10A5" w:rsidRDefault="00FB10A5" w:rsidP="002A5769"/>
    <w:p w:rsidR="006A15AA" w:rsidRDefault="006A15AA" w:rsidP="002A5769">
      <w:r>
        <w:t xml:space="preserve">This special report provides early information on the increased disclosure requirements for foreign trusts with </w:t>
      </w:r>
      <w:r w:rsidR="002355C6">
        <w:t>New Zealand-</w:t>
      </w:r>
      <w:r>
        <w:t>resident trustees</w:t>
      </w:r>
      <w:r w:rsidR="00F74808">
        <w:t xml:space="preserve"> contained in the Taxation (Business Tax, Exchange of Information, and Remedial Matters) Act 2017</w:t>
      </w:r>
      <w:r w:rsidR="00E60262">
        <w:t>.  T</w:t>
      </w:r>
      <w:r>
        <w:t xml:space="preserve">hese include requirements for the trust to register with Inland Revenue, file annual </w:t>
      </w:r>
      <w:r w:rsidR="0087421A">
        <w:t xml:space="preserve">disclosure </w:t>
      </w:r>
      <w:r>
        <w:t>returns</w:t>
      </w:r>
      <w:r w:rsidR="0088419A">
        <w:t>,</w:t>
      </w:r>
      <w:r>
        <w:t xml:space="preserve"> and pay registration and filing fees.  In addition, the register of foreign trusts would be shared with certain New Zealand government agencies.  </w:t>
      </w:r>
    </w:p>
    <w:p w:rsidR="006A15AA" w:rsidRDefault="006A15AA" w:rsidP="002A5769"/>
    <w:p w:rsidR="006A15AA" w:rsidRDefault="006A15AA" w:rsidP="002A5769">
      <w:r>
        <w:t xml:space="preserve">The resident trustee of the foreign trust would need to comply with the registration and filing obligations in order to qualify for the exemption from tax on foreign-sourced </w:t>
      </w:r>
      <w:r w:rsidR="0088419A">
        <w:t>income</w:t>
      </w:r>
      <w:r>
        <w:t xml:space="preserve">. </w:t>
      </w:r>
    </w:p>
    <w:p w:rsidR="006A15AA" w:rsidRDefault="006A15AA" w:rsidP="002A5769"/>
    <w:p w:rsidR="006A15AA" w:rsidRDefault="006A15AA" w:rsidP="002A5769">
      <w:r>
        <w:t>The</w:t>
      </w:r>
      <w:r w:rsidR="00F74808">
        <w:t xml:space="preserve"> </w:t>
      </w:r>
      <w:r>
        <w:t xml:space="preserve">amendments </w:t>
      </w:r>
      <w:r w:rsidR="00F74808">
        <w:t xml:space="preserve">contained in the Taxation (Business Tax, Exchange of Information, and Remedial Matters) Act </w:t>
      </w:r>
      <w:r>
        <w:t>require existing trusts to apply for registration by 30 June 2017.  Foreign trusts that are formed after the enactment of these amendments</w:t>
      </w:r>
      <w:r w:rsidR="00252436">
        <w:t xml:space="preserve"> (21 February 2017)</w:t>
      </w:r>
      <w:r>
        <w:t xml:space="preserve"> have 30 days to apply for registration. </w:t>
      </w:r>
    </w:p>
    <w:p w:rsidR="006A15AA" w:rsidRDefault="006A15AA" w:rsidP="002A5769"/>
    <w:p w:rsidR="00FB10A5" w:rsidRPr="00670DFA" w:rsidRDefault="00FB10A5" w:rsidP="002A5769"/>
    <w:p w:rsidR="006A15AA" w:rsidRPr="00670619" w:rsidRDefault="006A15AA" w:rsidP="002A5769">
      <w:pPr>
        <w:pStyle w:val="Heading2"/>
      </w:pPr>
      <w:r w:rsidRPr="00670DFA">
        <w:t>Background</w:t>
      </w:r>
    </w:p>
    <w:p w:rsidR="006A15AA" w:rsidRPr="00670DFA" w:rsidRDefault="006A15AA" w:rsidP="002A5769"/>
    <w:p w:rsidR="006A15AA" w:rsidRDefault="006A15AA" w:rsidP="002A5769">
      <w:r>
        <w:t>New Zealand taxes trusts on the basis of the</w:t>
      </w:r>
      <w:r w:rsidR="0087421A">
        <w:t xml:space="preserve"> tax</w:t>
      </w:r>
      <w:r>
        <w:t xml:space="preserve"> residence of the settlor.  Accordingly there is an exemption in</w:t>
      </w:r>
      <w:r w:rsidR="00F74808">
        <w:t xml:space="preserve"> section</w:t>
      </w:r>
      <w:r>
        <w:t xml:space="preserve"> CW 54 of the Income Tax Act 2007 for foreign</w:t>
      </w:r>
      <w:r w:rsidR="0088419A">
        <w:t>-</w:t>
      </w:r>
      <w:r>
        <w:t xml:space="preserve">sourced </w:t>
      </w:r>
      <w:r w:rsidR="009B3893">
        <w:t xml:space="preserve">amounts </w:t>
      </w:r>
      <w:r>
        <w:t>derived by resident trustees</w:t>
      </w:r>
      <w:r w:rsidR="00E60262">
        <w:t>.  T</w:t>
      </w:r>
      <w:r>
        <w:t xml:space="preserve">he eligibility for the exemption is set out in </w:t>
      </w:r>
      <w:r w:rsidR="00F74808">
        <w:t xml:space="preserve">section </w:t>
      </w:r>
      <w:r>
        <w:t>HC</w:t>
      </w:r>
      <w:r w:rsidR="002355C6">
        <w:t> </w:t>
      </w:r>
      <w:r>
        <w:t xml:space="preserve">26.  </w:t>
      </w:r>
    </w:p>
    <w:p w:rsidR="006A15AA" w:rsidRDefault="006A15AA" w:rsidP="002A5769"/>
    <w:p w:rsidR="006A15AA" w:rsidRDefault="006A15AA" w:rsidP="002A5769">
      <w:r>
        <w:t>The changes follow the Government’s April 2016 Inquiry into Foreign Trust Disclosure Rules</w:t>
      </w:r>
      <w:r w:rsidR="00E60262">
        <w:t>.  T</w:t>
      </w:r>
      <w:r>
        <w:t>he Inquiry was set up to examine and make recommendations regarding disclosure rules and other related matters to ensure that New Zealand’s reputation is maintained.  The Inquiry recommended a formal registration process for foreign trusts and increased disclosures of information</w:t>
      </w:r>
      <w:r w:rsidR="00E60262">
        <w:t>.  T</w:t>
      </w:r>
      <w:r>
        <w:t xml:space="preserve">he Inquiry also considered that the Department of Internal Affairs and </w:t>
      </w:r>
      <w:r w:rsidR="001D2E83">
        <w:t xml:space="preserve">New Zealand </w:t>
      </w:r>
      <w:r>
        <w:t>Police</w:t>
      </w:r>
      <w:r w:rsidR="0088419A">
        <w:t xml:space="preserve"> should be able to access the information</w:t>
      </w:r>
      <w:r>
        <w:t xml:space="preserve">. </w:t>
      </w:r>
    </w:p>
    <w:p w:rsidR="006A15AA" w:rsidRDefault="006A15AA" w:rsidP="002A5769"/>
    <w:p w:rsidR="006A15AA" w:rsidRDefault="006A15AA" w:rsidP="002A5769">
      <w:r>
        <w:t xml:space="preserve">These changes are important to </w:t>
      </w:r>
      <w:r w:rsidR="0088419A">
        <w:t>protect</w:t>
      </w:r>
      <w:r>
        <w:t xml:space="preserve"> New Zealand’s reputation as having best practice in contributing to global exchange of information. </w:t>
      </w:r>
    </w:p>
    <w:p w:rsidR="006A15AA" w:rsidRDefault="006A15AA" w:rsidP="002A5769"/>
    <w:p w:rsidR="006A15AA" w:rsidRDefault="006A15AA" w:rsidP="002A5769">
      <w:r>
        <w:t xml:space="preserve">These disclosure requirements are imposed on </w:t>
      </w:r>
      <w:r w:rsidR="0087421A">
        <w:t xml:space="preserve">a </w:t>
      </w:r>
      <w:r>
        <w:t xml:space="preserve">New Zealand resident trustee of the foreign trust. </w:t>
      </w:r>
    </w:p>
    <w:p w:rsidR="00FB10A5" w:rsidRDefault="00FB10A5" w:rsidP="002A5769"/>
    <w:p w:rsidR="002A5769" w:rsidRDefault="002A5769" w:rsidP="002A5769">
      <w:pPr>
        <w:jc w:val="left"/>
        <w:rPr>
          <w:b/>
        </w:rPr>
      </w:pPr>
      <w:r>
        <w:br w:type="page"/>
      </w:r>
    </w:p>
    <w:p w:rsidR="00E95CD7" w:rsidRDefault="001648F1" w:rsidP="002A5769">
      <w:pPr>
        <w:pStyle w:val="Heading2"/>
      </w:pPr>
      <w:r>
        <w:lastRenderedPageBreak/>
        <w:t>Key features</w:t>
      </w:r>
    </w:p>
    <w:p w:rsidR="001648F1" w:rsidRPr="00670DFA" w:rsidRDefault="001648F1" w:rsidP="002A5769"/>
    <w:p w:rsidR="006A15AA" w:rsidRPr="00670DFA" w:rsidRDefault="006A15AA" w:rsidP="002A5769">
      <w:pPr>
        <w:pStyle w:val="Heading3"/>
      </w:pPr>
      <w:r>
        <w:t>Registration of a foreign trust</w:t>
      </w:r>
    </w:p>
    <w:p w:rsidR="006A15AA" w:rsidRDefault="006A15AA" w:rsidP="002A5769"/>
    <w:p w:rsidR="006A15AA" w:rsidRDefault="006A15AA" w:rsidP="002A5769">
      <w:r>
        <w:t>Resident foreign trustees will be required to register foreign trusts with Inland Revenue</w:t>
      </w:r>
      <w:r w:rsidR="008436DD">
        <w:t xml:space="preserve"> under new section </w:t>
      </w:r>
      <w:proofErr w:type="gramStart"/>
      <w:r w:rsidR="008436DD">
        <w:t>59B(</w:t>
      </w:r>
      <w:proofErr w:type="gramEnd"/>
      <w:r w:rsidR="008436DD">
        <w:t>2</w:t>
      </w:r>
      <w:r w:rsidR="003B42AF">
        <w:t>)</w:t>
      </w:r>
      <w:r w:rsidR="00E60262">
        <w:t>.  A</w:t>
      </w:r>
      <w:r>
        <w:t xml:space="preserve"> contact trustee is responsible for </w:t>
      </w:r>
      <w:r w:rsidR="004A0A40">
        <w:t xml:space="preserve">the </w:t>
      </w:r>
      <w:r>
        <w:t>communicati</w:t>
      </w:r>
      <w:r w:rsidR="004A0A40">
        <w:t>on</w:t>
      </w:r>
      <w:r>
        <w:t xml:space="preserve"> with the Commissioner of Inland Revenue and must provide the </w:t>
      </w:r>
      <w:r w:rsidR="0088419A">
        <w:t xml:space="preserve">required </w:t>
      </w:r>
      <w:r>
        <w:t xml:space="preserve">information </w:t>
      </w:r>
      <w:r w:rsidR="0088419A">
        <w:t>about</w:t>
      </w:r>
      <w:r>
        <w:t xml:space="preserve"> the foreign trust</w:t>
      </w:r>
      <w:r w:rsidR="00E60262">
        <w:t>.  I</w:t>
      </w:r>
      <w:r>
        <w:t>n many cases, it is likely that there will only be one resident foreign trustee</w:t>
      </w:r>
      <w:r w:rsidR="0088419A">
        <w:t>,</w:t>
      </w:r>
      <w:r>
        <w:t xml:space="preserve"> who will therefore also be the contact trustee</w:t>
      </w:r>
      <w:r w:rsidR="00E60262">
        <w:t>.  I</w:t>
      </w:r>
      <w:r w:rsidR="0088419A">
        <w:t>f a</w:t>
      </w:r>
      <w:r>
        <w:t xml:space="preserve"> foreign trust has more than one resident foreign trustee, each </w:t>
      </w:r>
      <w:r w:rsidR="0088419A">
        <w:t>of them</w:t>
      </w:r>
      <w:r>
        <w:t xml:space="preserve"> is responsible for the performance of the </w:t>
      </w:r>
      <w:r w:rsidR="0088419A">
        <w:t xml:space="preserve">trustee </w:t>
      </w:r>
      <w:r>
        <w:t>obligations</w:t>
      </w:r>
      <w:r w:rsidR="002355C6">
        <w:t>, but they will need to decide who will be the contact trustee</w:t>
      </w:r>
      <w:r w:rsidR="00160D23">
        <w:t xml:space="preserve"> and will communicate the information to Inland Revenue</w:t>
      </w:r>
      <w:r w:rsidR="00E60262">
        <w:t>.  T</w:t>
      </w:r>
      <w:r>
        <w:t xml:space="preserve">hese include </w:t>
      </w:r>
      <w:r w:rsidR="0088419A">
        <w:t>registering</w:t>
      </w:r>
      <w:r>
        <w:t xml:space="preserve"> the trust, disclos</w:t>
      </w:r>
      <w:r w:rsidR="0088419A">
        <w:t>ing</w:t>
      </w:r>
      <w:r>
        <w:t xml:space="preserve"> information required as part of registration</w:t>
      </w:r>
      <w:r w:rsidR="0088419A">
        <w:t>, filing</w:t>
      </w:r>
      <w:r>
        <w:t xml:space="preserve"> annual </w:t>
      </w:r>
      <w:r w:rsidR="0087421A">
        <w:t xml:space="preserve">disclosure </w:t>
      </w:r>
      <w:r>
        <w:t>returns and pay</w:t>
      </w:r>
      <w:r w:rsidR="0088419A">
        <w:t>ing</w:t>
      </w:r>
      <w:r>
        <w:t xml:space="preserve"> fees. </w:t>
      </w:r>
      <w:r w:rsidR="00A40D29">
        <w:t xml:space="preserve"> </w:t>
      </w:r>
    </w:p>
    <w:p w:rsidR="006A15AA" w:rsidRDefault="006A15AA" w:rsidP="002A5769"/>
    <w:p w:rsidR="006A15AA" w:rsidRDefault="006A15AA" w:rsidP="002A5769">
      <w:r>
        <w:t xml:space="preserve">If </w:t>
      </w:r>
      <w:r w:rsidR="002355C6">
        <w:t>the contact</w:t>
      </w:r>
      <w:r>
        <w:t xml:space="preserve"> trustee expects to </w:t>
      </w:r>
      <w:r w:rsidR="0088419A">
        <w:t xml:space="preserve">stop </w:t>
      </w:r>
      <w:r>
        <w:t xml:space="preserve">being a resident foreign trustee of a trust, </w:t>
      </w:r>
      <w:r w:rsidR="0087421A">
        <w:t>for example</w:t>
      </w:r>
      <w:r>
        <w:t xml:space="preserve"> if they </w:t>
      </w:r>
      <w:r w:rsidR="0088419A">
        <w:t xml:space="preserve">will no longer </w:t>
      </w:r>
      <w:r>
        <w:t xml:space="preserve">be a New Zealand resident, they </w:t>
      </w:r>
      <w:r w:rsidR="0088419A">
        <w:t>must</w:t>
      </w:r>
      <w:r>
        <w:t xml:space="preserve"> inform the Commissioner of the date they </w:t>
      </w:r>
      <w:r w:rsidR="0088419A">
        <w:t>expect</w:t>
      </w:r>
      <w:r>
        <w:t xml:space="preserve"> </w:t>
      </w:r>
      <w:r w:rsidR="0088419A">
        <w:t>this to happen</w:t>
      </w:r>
      <w:r>
        <w:t xml:space="preserve"> and the details of any replacement contact trustee.</w:t>
      </w:r>
    </w:p>
    <w:p w:rsidR="006A15AA" w:rsidRDefault="006A15AA" w:rsidP="002A5769"/>
    <w:p w:rsidR="006A15AA" w:rsidRDefault="006A15AA" w:rsidP="002A5769">
      <w:r>
        <w:t>An amendment is also made to the definition of a foreign trust in section HC 11 to ensure a foreign trust is defined at a point in time rather than when a distribution is made</w:t>
      </w:r>
      <w:r w:rsidR="00E60262">
        <w:t>.  T</w:t>
      </w:r>
      <w:r>
        <w:t xml:space="preserve">his ensures that all foreign trusts with a New Zealand-resident trustee must comply with the disclosure rules, regardless of whether a distribution has been made. </w:t>
      </w:r>
    </w:p>
    <w:p w:rsidR="007D2A0F" w:rsidRDefault="007D2A0F" w:rsidP="002A5769"/>
    <w:p w:rsidR="002A5769" w:rsidRDefault="002A5769" w:rsidP="002A5769"/>
    <w:p w:rsidR="006A15AA" w:rsidRPr="002A5769" w:rsidRDefault="007D2A0F" w:rsidP="002A5769">
      <w:pPr>
        <w:pStyle w:val="Heading3"/>
        <w:pBdr>
          <w:top w:val="single" w:sz="4" w:space="10" w:color="auto"/>
          <w:left w:val="single" w:sz="4" w:space="10" w:color="auto"/>
          <w:bottom w:val="single" w:sz="4" w:space="10" w:color="auto"/>
          <w:right w:val="single" w:sz="4" w:space="10" w:color="auto"/>
        </w:pBdr>
        <w:spacing w:after="140"/>
        <w:rPr>
          <w:i w:val="0"/>
          <w:sz w:val="20"/>
          <w:szCs w:val="20"/>
        </w:rPr>
      </w:pPr>
      <w:r w:rsidRPr="002A5769">
        <w:rPr>
          <w:i w:val="0"/>
          <w:sz w:val="20"/>
          <w:szCs w:val="20"/>
        </w:rPr>
        <w:t>Registration for existing foreign trusts</w:t>
      </w:r>
    </w:p>
    <w:p w:rsidR="007D2A0F" w:rsidRPr="00FB10A5" w:rsidRDefault="007D2A0F" w:rsidP="002A5769">
      <w:pPr>
        <w:pBdr>
          <w:top w:val="single" w:sz="4" w:space="10" w:color="auto"/>
          <w:left w:val="single" w:sz="4" w:space="10" w:color="auto"/>
          <w:bottom w:val="single" w:sz="4" w:space="10" w:color="auto"/>
          <w:right w:val="single" w:sz="4" w:space="10" w:color="auto"/>
        </w:pBdr>
        <w:spacing w:after="140"/>
        <w:rPr>
          <w:sz w:val="20"/>
          <w:szCs w:val="20"/>
        </w:rPr>
      </w:pPr>
      <w:r w:rsidRPr="00FB10A5">
        <w:rPr>
          <w:sz w:val="20"/>
          <w:szCs w:val="20"/>
        </w:rPr>
        <w:t>New section 59B replaces the previous section 59B which covered the disclosure of information for foreign trusts</w:t>
      </w:r>
      <w:r w:rsidR="00E60262">
        <w:rPr>
          <w:sz w:val="20"/>
          <w:szCs w:val="20"/>
        </w:rPr>
        <w:t>.  T</w:t>
      </w:r>
      <w:r w:rsidRPr="00FB10A5">
        <w:rPr>
          <w:sz w:val="20"/>
          <w:szCs w:val="20"/>
        </w:rPr>
        <w:t>he previous section 59B included requirements to disclose certain information as part of an initial disclosure to Inland Revenue and subsequently to provide any changes to these details within 30 days.</w:t>
      </w:r>
    </w:p>
    <w:p w:rsidR="007D2A0F" w:rsidRPr="00FB10A5" w:rsidRDefault="007D2A0F" w:rsidP="002A5769">
      <w:pPr>
        <w:pBdr>
          <w:top w:val="single" w:sz="4" w:space="10" w:color="auto"/>
          <w:left w:val="single" w:sz="4" w:space="10" w:color="auto"/>
          <w:bottom w:val="single" w:sz="4" w:space="10" w:color="auto"/>
          <w:right w:val="single" w:sz="4" w:space="10" w:color="auto"/>
        </w:pBdr>
        <w:spacing w:after="140"/>
        <w:rPr>
          <w:sz w:val="20"/>
          <w:szCs w:val="20"/>
        </w:rPr>
      </w:pPr>
      <w:r w:rsidRPr="00FB10A5">
        <w:rPr>
          <w:sz w:val="20"/>
          <w:szCs w:val="20"/>
        </w:rPr>
        <w:t>The previous foreign trust disclosure process is being replaced by a more extensive disclosure regime with a formalised registration process</w:t>
      </w:r>
      <w:r w:rsidR="00E60262">
        <w:rPr>
          <w:sz w:val="20"/>
          <w:szCs w:val="20"/>
        </w:rPr>
        <w:t>.  F</w:t>
      </w:r>
      <w:r w:rsidRPr="00FB10A5">
        <w:rPr>
          <w:sz w:val="20"/>
          <w:szCs w:val="20"/>
        </w:rPr>
        <w:t>ollowing enactment</w:t>
      </w:r>
      <w:r w:rsidR="000F3256" w:rsidRPr="00FB10A5">
        <w:rPr>
          <w:sz w:val="20"/>
          <w:szCs w:val="20"/>
        </w:rPr>
        <w:t xml:space="preserve"> (21 February 2017)</w:t>
      </w:r>
      <w:r w:rsidRPr="00FB10A5">
        <w:rPr>
          <w:sz w:val="20"/>
          <w:szCs w:val="20"/>
        </w:rPr>
        <w:t xml:space="preserve">, the previous disclosure rules no longer apply. </w:t>
      </w:r>
    </w:p>
    <w:p w:rsidR="007D2A0F" w:rsidRPr="00FB10A5" w:rsidRDefault="007D2A0F" w:rsidP="002A5769">
      <w:pPr>
        <w:pBdr>
          <w:top w:val="single" w:sz="4" w:space="10" w:color="auto"/>
          <w:left w:val="single" w:sz="4" w:space="10" w:color="auto"/>
          <w:bottom w:val="single" w:sz="4" w:space="10" w:color="auto"/>
          <w:right w:val="single" w:sz="4" w:space="10" w:color="auto"/>
        </w:pBdr>
        <w:rPr>
          <w:sz w:val="20"/>
          <w:szCs w:val="20"/>
        </w:rPr>
      </w:pPr>
      <w:r w:rsidRPr="00FB10A5">
        <w:rPr>
          <w:sz w:val="20"/>
          <w:szCs w:val="20"/>
        </w:rPr>
        <w:t>Resident foreign trustees of existing foreign trusts will have until 30 June 2017 to apply for registration of the foreign trust and provide the relevant information</w:t>
      </w:r>
      <w:r w:rsidR="00E60262">
        <w:rPr>
          <w:sz w:val="20"/>
          <w:szCs w:val="20"/>
        </w:rPr>
        <w:t>.  T</w:t>
      </w:r>
      <w:r w:rsidRPr="00FB10A5">
        <w:rPr>
          <w:sz w:val="20"/>
          <w:szCs w:val="20"/>
        </w:rPr>
        <w:t xml:space="preserve">his registration will include providing some information </w:t>
      </w:r>
      <w:r w:rsidR="00F74808">
        <w:rPr>
          <w:sz w:val="20"/>
          <w:szCs w:val="20"/>
        </w:rPr>
        <w:t xml:space="preserve">that </w:t>
      </w:r>
      <w:r w:rsidRPr="00FB10A5">
        <w:rPr>
          <w:sz w:val="20"/>
          <w:szCs w:val="20"/>
        </w:rPr>
        <w:t>was already included as part of the trust’s initial disclosure</w:t>
      </w:r>
      <w:r w:rsidR="00F74808">
        <w:rPr>
          <w:sz w:val="20"/>
          <w:szCs w:val="20"/>
        </w:rPr>
        <w:t>,</w:t>
      </w:r>
      <w:r w:rsidRPr="00FB10A5">
        <w:rPr>
          <w:sz w:val="20"/>
          <w:szCs w:val="20"/>
        </w:rPr>
        <w:t xml:space="preserve"> alongside the more extensive requirements which have been introduced. </w:t>
      </w:r>
    </w:p>
    <w:p w:rsidR="007D2A0F" w:rsidRDefault="007D2A0F" w:rsidP="002A5769">
      <w:pPr>
        <w:pStyle w:val="Heading3"/>
      </w:pPr>
    </w:p>
    <w:p w:rsidR="002A5769" w:rsidRPr="002A5769" w:rsidRDefault="002A5769" w:rsidP="002A5769"/>
    <w:p w:rsidR="006A15AA" w:rsidRPr="00670DFA" w:rsidRDefault="006A15AA" w:rsidP="002A5769">
      <w:pPr>
        <w:pStyle w:val="Heading3"/>
      </w:pPr>
      <w:r>
        <w:t xml:space="preserve">Registration details </w:t>
      </w:r>
    </w:p>
    <w:p w:rsidR="006A15AA" w:rsidRDefault="006A15AA" w:rsidP="002A5769"/>
    <w:p w:rsidR="006A15AA" w:rsidRDefault="006A15AA" w:rsidP="002A5769">
      <w:r>
        <w:t xml:space="preserve">Replacement section 59B stipulates what information must be provided </w:t>
      </w:r>
      <w:r w:rsidR="00777BB6">
        <w:t xml:space="preserve">with the application to register </w:t>
      </w:r>
      <w:r>
        <w:t>the trust with Inland Revenue</w:t>
      </w:r>
      <w:r w:rsidR="00E60262">
        <w:t>.  I</w:t>
      </w:r>
      <w:r>
        <w:t xml:space="preserve">f the contact trustee </w:t>
      </w:r>
      <w:r w:rsidR="0095158E">
        <w:t>does not</w:t>
      </w:r>
      <w:r>
        <w:t xml:space="preserve"> provide any of the information this may </w:t>
      </w:r>
      <w:r w:rsidR="0095158E">
        <w:t xml:space="preserve">affect </w:t>
      </w:r>
      <w:r>
        <w:t xml:space="preserve">the eligibility for the exemption on tax for foreign-sourced income derived by resident trustees. </w:t>
      </w:r>
    </w:p>
    <w:p w:rsidR="006A15AA" w:rsidRDefault="006A15AA" w:rsidP="002A5769"/>
    <w:p w:rsidR="006A15AA" w:rsidRPr="00670DFA" w:rsidRDefault="006A15AA" w:rsidP="002A5769">
      <w:pPr>
        <w:pStyle w:val="Heading3"/>
      </w:pPr>
      <w:r>
        <w:t xml:space="preserve">Annual </w:t>
      </w:r>
      <w:r w:rsidR="001C3FAB">
        <w:t xml:space="preserve">disclosure </w:t>
      </w:r>
      <w:r>
        <w:t xml:space="preserve">returns  </w:t>
      </w:r>
    </w:p>
    <w:p w:rsidR="006A15AA" w:rsidRDefault="006A15AA" w:rsidP="002A5769"/>
    <w:p w:rsidR="006A15AA" w:rsidRPr="002A5769" w:rsidRDefault="006A15AA" w:rsidP="002A5769">
      <w:pPr>
        <w:rPr>
          <w:spacing w:val="-4"/>
        </w:rPr>
      </w:pPr>
      <w:r w:rsidRPr="002A5769">
        <w:rPr>
          <w:spacing w:val="-4"/>
        </w:rPr>
        <w:t xml:space="preserve">Resident trustees of a foreign trust will be required to file annual returns, including the trust’s financial </w:t>
      </w:r>
      <w:proofErr w:type="gramStart"/>
      <w:r w:rsidRPr="002A5769">
        <w:rPr>
          <w:spacing w:val="-4"/>
        </w:rPr>
        <w:t>statements</w:t>
      </w:r>
      <w:r w:rsidR="00A650E9" w:rsidRPr="002A5769">
        <w:rPr>
          <w:spacing w:val="-4"/>
        </w:rPr>
        <w:t>,</w:t>
      </w:r>
      <w:proofErr w:type="gramEnd"/>
      <w:r w:rsidRPr="002A5769">
        <w:rPr>
          <w:spacing w:val="-4"/>
        </w:rPr>
        <w:t xml:space="preserve"> and details of settlements and distributions made over the year.  </w:t>
      </w:r>
      <w:r w:rsidR="00A650E9" w:rsidRPr="002A5769">
        <w:rPr>
          <w:spacing w:val="-4"/>
        </w:rPr>
        <w:t xml:space="preserve">The due date for filing the return is </w:t>
      </w:r>
      <w:r w:rsidR="003B42AF" w:rsidRPr="002A5769">
        <w:rPr>
          <w:spacing w:val="-4"/>
        </w:rPr>
        <w:t xml:space="preserve">six months after </w:t>
      </w:r>
      <w:r w:rsidR="00CD627D" w:rsidRPr="002A5769">
        <w:rPr>
          <w:spacing w:val="-4"/>
        </w:rPr>
        <w:t>the foreign trust’s balance date</w:t>
      </w:r>
      <w:r w:rsidR="00A650E9" w:rsidRPr="002A5769">
        <w:rPr>
          <w:spacing w:val="-4"/>
        </w:rPr>
        <w:t>, or 30 September if the trust does not have a balance date (being six months after the end of New Zealand’s tax year)</w:t>
      </w:r>
      <w:r w:rsidR="003B42AF" w:rsidRPr="002A5769">
        <w:rPr>
          <w:spacing w:val="-4"/>
        </w:rPr>
        <w:t xml:space="preserve">. </w:t>
      </w:r>
    </w:p>
    <w:p w:rsidR="006A15AA" w:rsidRDefault="006A15AA" w:rsidP="002A5769"/>
    <w:p w:rsidR="006A15AA" w:rsidRDefault="006A15AA" w:rsidP="002A5769">
      <w:r>
        <w:lastRenderedPageBreak/>
        <w:t xml:space="preserve">The contact trustee must </w:t>
      </w:r>
      <w:r w:rsidR="001C3FAB">
        <w:t xml:space="preserve">also </w:t>
      </w:r>
      <w:r>
        <w:t xml:space="preserve">provide any updates to the information provided at registration within 30 days </w:t>
      </w:r>
      <w:r w:rsidR="00711934">
        <w:t xml:space="preserve">after </w:t>
      </w:r>
      <w:r>
        <w:t>becom</w:t>
      </w:r>
      <w:r w:rsidR="00711934">
        <w:t>ing</w:t>
      </w:r>
      <w:r>
        <w:t xml:space="preserve"> aware of the alteration. </w:t>
      </w:r>
    </w:p>
    <w:p w:rsidR="006A15AA" w:rsidRDefault="006A15AA" w:rsidP="002A5769"/>
    <w:p w:rsidR="006A15AA" w:rsidRDefault="006A15AA" w:rsidP="002A5769">
      <w:pPr>
        <w:pStyle w:val="Heading3"/>
      </w:pPr>
      <w:r>
        <w:t>Registration and annual filing fee</w:t>
      </w:r>
    </w:p>
    <w:p w:rsidR="006A15AA" w:rsidRDefault="006A15AA" w:rsidP="002A5769"/>
    <w:p w:rsidR="006A15AA" w:rsidRDefault="006A15AA" w:rsidP="002A5769">
      <w:r>
        <w:t>New section 59E prescribes a registration fee of $270 and an annual filing fee of $50.  This section also includes a regulation-making power which will allow the</w:t>
      </w:r>
      <w:r w:rsidR="001C3FAB">
        <w:t>se</w:t>
      </w:r>
      <w:r>
        <w:t xml:space="preserve"> fees to be amended by Ord</w:t>
      </w:r>
      <w:r w:rsidR="00B5450E">
        <w:t xml:space="preserve">er in Council.  This section also </w:t>
      </w:r>
      <w:r w:rsidR="001C3FAB">
        <w:t>allows</w:t>
      </w:r>
      <w:r>
        <w:t xml:space="preserve"> natural persons who are not in the business of providing trustee services</w:t>
      </w:r>
      <w:r w:rsidR="001C3FAB">
        <w:t xml:space="preserve"> to be exempt from the fees</w:t>
      </w:r>
      <w:r w:rsidR="00F74808">
        <w:t>.</w:t>
      </w:r>
    </w:p>
    <w:p w:rsidR="006A15AA" w:rsidRDefault="006A15AA" w:rsidP="002A5769"/>
    <w:p w:rsidR="006A15AA" w:rsidRDefault="004919F0" w:rsidP="002A5769">
      <w:pPr>
        <w:pStyle w:val="Heading3"/>
      </w:pPr>
      <w:r>
        <w:t>Concessions</w:t>
      </w:r>
      <w:r w:rsidR="006A15AA">
        <w:t xml:space="preserve"> for natural persons not in the business of providing trustee services</w:t>
      </w:r>
    </w:p>
    <w:p w:rsidR="006A15AA" w:rsidRDefault="006A15AA" w:rsidP="002A5769"/>
    <w:p w:rsidR="006A15AA" w:rsidRDefault="006A15AA" w:rsidP="002A5769">
      <w:r>
        <w:t xml:space="preserve">The </w:t>
      </w:r>
      <w:r w:rsidR="004919F0">
        <w:t>previous</w:t>
      </w:r>
      <w:r>
        <w:t xml:space="preserve"> disclosure requirements introduced in 2006 include</w:t>
      </w:r>
      <w:r w:rsidR="003440FF">
        <w:t>d</w:t>
      </w:r>
      <w:r>
        <w:t xml:space="preserve"> a grace period of two years for </w:t>
      </w:r>
      <w:r w:rsidR="006F1CAE">
        <w:t xml:space="preserve">new </w:t>
      </w:r>
      <w:r>
        <w:t>migrants who are not in the business of providing trustee services.  In recognition of the increased disclosure obligations on resident foreign trustees, this grace period has been extended to four years.  The eligibility for the grace period has also been extended more generally to</w:t>
      </w:r>
      <w:r w:rsidR="003440FF">
        <w:t xml:space="preserve"> situations where all trustees are</w:t>
      </w:r>
      <w:r>
        <w:t xml:space="preserve"> natural persons not in the business of providing trustee services</w:t>
      </w:r>
      <w:r w:rsidR="00E60262">
        <w:t>.  T</w:t>
      </w:r>
      <w:r w:rsidR="003440FF">
        <w:t>his gives the resident foreign trustee more time to understand their obligations and comply with the disclosure rules</w:t>
      </w:r>
      <w:r w:rsidR="001D2E83">
        <w:t>.</w:t>
      </w:r>
    </w:p>
    <w:p w:rsidR="003440FF" w:rsidRDefault="003440FF" w:rsidP="002A5769"/>
    <w:p w:rsidR="003440FF" w:rsidRDefault="003440FF" w:rsidP="002A5769">
      <w:r>
        <w:t xml:space="preserve">This change, along with several other concessions, has been introduced to </w:t>
      </w:r>
      <w:r w:rsidR="00711934">
        <w:t xml:space="preserve">reduce </w:t>
      </w:r>
      <w:r>
        <w:t xml:space="preserve">compliance costs for foreign trusts </w:t>
      </w:r>
      <w:r w:rsidR="001C3FAB">
        <w:t xml:space="preserve">when </w:t>
      </w:r>
      <w:r>
        <w:t>all trustees of the foreign trust are natural persons not in the business of providing trustee services.  These concessions recognise that not all foreign trusts are intended to be established as such and some people may become resident foreign trustees of foreign trusts due to changes in circumstances (for example, such as a trustee migrating to New Zealand or acting as an executor of a trust).</w:t>
      </w:r>
    </w:p>
    <w:p w:rsidR="004919F0" w:rsidRDefault="004919F0" w:rsidP="002A5769"/>
    <w:p w:rsidR="004919F0" w:rsidRDefault="004919F0" w:rsidP="002A5769">
      <w:r>
        <w:t>For consistency, these concessions should all apply in the same circumstances across the board, so that non-professional trustees can readily ascertain what concessions are available to them.</w:t>
      </w:r>
    </w:p>
    <w:p w:rsidR="004919F0" w:rsidRDefault="004919F0" w:rsidP="002A5769"/>
    <w:p w:rsidR="00D83F1C" w:rsidRDefault="004919F0" w:rsidP="002A5769">
      <w:r>
        <w:t xml:space="preserve">These concessions include increased time to comply with registration requirements, limited information </w:t>
      </w:r>
      <w:r w:rsidR="00BA51E1">
        <w:t>required about</w:t>
      </w:r>
      <w:r>
        <w:t xml:space="preserve"> settlements, and a waiver of registration and annual return fees</w:t>
      </w:r>
      <w:r w:rsidR="00E60262">
        <w:t>.  T</w:t>
      </w:r>
      <w:r w:rsidR="00D83F1C">
        <w:t xml:space="preserve">he concessions available to non-professional trustees are discussed in further detail in </w:t>
      </w:r>
      <w:r w:rsidR="006F1CAE">
        <w:t>later</w:t>
      </w:r>
      <w:r w:rsidR="00D83F1C">
        <w:t xml:space="preserve"> sections of this special report.</w:t>
      </w:r>
    </w:p>
    <w:p w:rsidR="00D83F1C" w:rsidRDefault="00D83F1C" w:rsidP="002A5769"/>
    <w:p w:rsidR="00D83F1C" w:rsidRDefault="00D83F1C" w:rsidP="002A5769">
      <w:pPr>
        <w:pStyle w:val="Heading3"/>
      </w:pPr>
      <w:r>
        <w:t>Summary of registration requirements and concessions</w:t>
      </w:r>
    </w:p>
    <w:p w:rsidR="006D31BC" w:rsidRDefault="006D31BC" w:rsidP="002A5769"/>
    <w:tbl>
      <w:tblPr>
        <w:tblStyle w:val="TableGrid"/>
        <w:tblW w:w="0" w:type="auto"/>
        <w:tblCellMar>
          <w:top w:w="57" w:type="dxa"/>
          <w:left w:w="57" w:type="dxa"/>
          <w:bottom w:w="57" w:type="dxa"/>
          <w:right w:w="57" w:type="dxa"/>
        </w:tblCellMar>
        <w:tblLook w:val="04A0" w:firstRow="1" w:lastRow="0" w:firstColumn="1" w:lastColumn="0" w:noHBand="0" w:noVBand="1"/>
      </w:tblPr>
      <w:tblGrid>
        <w:gridCol w:w="2042"/>
        <w:gridCol w:w="3543"/>
        <w:gridCol w:w="3544"/>
      </w:tblGrid>
      <w:tr w:rsidR="00455773" w:rsidRPr="002A5769" w:rsidTr="00AC4740">
        <w:trPr>
          <w:cantSplit/>
          <w:tblHeader/>
        </w:trPr>
        <w:tc>
          <w:tcPr>
            <w:tcW w:w="2042" w:type="dxa"/>
            <w:shd w:val="clear" w:color="auto" w:fill="D9D9D9" w:themeFill="background1" w:themeFillShade="D9"/>
          </w:tcPr>
          <w:p w:rsidR="00455773" w:rsidRPr="002A5769" w:rsidRDefault="00455773" w:rsidP="002A5769">
            <w:pPr>
              <w:jc w:val="left"/>
              <w:rPr>
                <w:sz w:val="18"/>
                <w:szCs w:val="18"/>
              </w:rPr>
            </w:pPr>
          </w:p>
        </w:tc>
        <w:tc>
          <w:tcPr>
            <w:tcW w:w="3543" w:type="dxa"/>
            <w:shd w:val="clear" w:color="auto" w:fill="D9D9D9" w:themeFill="background1" w:themeFillShade="D9"/>
          </w:tcPr>
          <w:p w:rsidR="00455773" w:rsidRPr="002A5769" w:rsidRDefault="00455773" w:rsidP="002A5769">
            <w:pPr>
              <w:jc w:val="left"/>
              <w:rPr>
                <w:b/>
                <w:sz w:val="18"/>
                <w:szCs w:val="18"/>
              </w:rPr>
            </w:pPr>
            <w:r w:rsidRPr="002A5769">
              <w:rPr>
                <w:b/>
                <w:sz w:val="18"/>
                <w:szCs w:val="18"/>
              </w:rPr>
              <w:t>At least one trustee is not a natural person or is in the business of providing trustee services</w:t>
            </w:r>
          </w:p>
        </w:tc>
        <w:tc>
          <w:tcPr>
            <w:tcW w:w="3544" w:type="dxa"/>
            <w:shd w:val="clear" w:color="auto" w:fill="D9D9D9" w:themeFill="background1" w:themeFillShade="D9"/>
          </w:tcPr>
          <w:p w:rsidR="00455773" w:rsidRPr="002A5769" w:rsidRDefault="00455773" w:rsidP="002A5769">
            <w:pPr>
              <w:jc w:val="left"/>
              <w:rPr>
                <w:b/>
                <w:sz w:val="18"/>
                <w:szCs w:val="18"/>
              </w:rPr>
            </w:pPr>
            <w:r w:rsidRPr="002A5769">
              <w:rPr>
                <w:b/>
                <w:sz w:val="18"/>
                <w:szCs w:val="18"/>
              </w:rPr>
              <w:t>All trustees are natural persons not in the business of providing trustee services</w:t>
            </w:r>
          </w:p>
        </w:tc>
      </w:tr>
      <w:tr w:rsidR="00455773" w:rsidRPr="002A5769" w:rsidTr="002A5769">
        <w:trPr>
          <w:cantSplit/>
        </w:trPr>
        <w:tc>
          <w:tcPr>
            <w:tcW w:w="2042" w:type="dxa"/>
          </w:tcPr>
          <w:p w:rsidR="00455773" w:rsidRPr="002A5769" w:rsidRDefault="00455773" w:rsidP="002A5769">
            <w:pPr>
              <w:jc w:val="left"/>
              <w:rPr>
                <w:b/>
                <w:sz w:val="18"/>
                <w:szCs w:val="18"/>
              </w:rPr>
            </w:pPr>
            <w:r w:rsidRPr="002A5769">
              <w:rPr>
                <w:b/>
                <w:sz w:val="18"/>
                <w:szCs w:val="18"/>
              </w:rPr>
              <w:t xml:space="preserve">Time </w:t>
            </w:r>
            <w:r w:rsidR="00367E55" w:rsidRPr="002A5769">
              <w:rPr>
                <w:b/>
                <w:sz w:val="18"/>
                <w:szCs w:val="18"/>
              </w:rPr>
              <w:t>limits</w:t>
            </w:r>
            <w:r w:rsidRPr="002A5769">
              <w:rPr>
                <w:b/>
                <w:sz w:val="18"/>
                <w:szCs w:val="18"/>
              </w:rPr>
              <w:t xml:space="preserve"> for</w:t>
            </w:r>
            <w:r w:rsidR="00EF59AE" w:rsidRPr="002A5769">
              <w:rPr>
                <w:b/>
                <w:sz w:val="18"/>
                <w:szCs w:val="18"/>
              </w:rPr>
              <w:t xml:space="preserve"> application for </w:t>
            </w:r>
            <w:r w:rsidRPr="002A5769">
              <w:rPr>
                <w:b/>
                <w:sz w:val="18"/>
                <w:szCs w:val="18"/>
              </w:rPr>
              <w:t xml:space="preserve"> registration</w:t>
            </w:r>
          </w:p>
        </w:tc>
        <w:tc>
          <w:tcPr>
            <w:tcW w:w="3543" w:type="dxa"/>
          </w:tcPr>
          <w:p w:rsidR="00F74808" w:rsidRDefault="00455773" w:rsidP="00F74808">
            <w:pPr>
              <w:spacing w:after="140"/>
              <w:jc w:val="left"/>
              <w:rPr>
                <w:sz w:val="18"/>
                <w:szCs w:val="18"/>
              </w:rPr>
            </w:pPr>
            <w:r w:rsidRPr="002A5769">
              <w:rPr>
                <w:sz w:val="18"/>
                <w:szCs w:val="18"/>
              </w:rPr>
              <w:t xml:space="preserve">If </w:t>
            </w:r>
            <w:r w:rsidR="00DE5D6C" w:rsidRPr="002A5769">
              <w:rPr>
                <w:sz w:val="18"/>
                <w:szCs w:val="18"/>
              </w:rPr>
              <w:t xml:space="preserve">the </w:t>
            </w:r>
            <w:r w:rsidRPr="002A5769">
              <w:rPr>
                <w:sz w:val="18"/>
                <w:szCs w:val="18"/>
              </w:rPr>
              <w:t xml:space="preserve">foreign trust exists </w:t>
            </w:r>
            <w:r w:rsidR="00463658" w:rsidRPr="002A5769">
              <w:rPr>
                <w:sz w:val="18"/>
                <w:szCs w:val="18"/>
              </w:rPr>
              <w:t>on</w:t>
            </w:r>
            <w:r w:rsidRPr="002A5769">
              <w:rPr>
                <w:sz w:val="18"/>
                <w:szCs w:val="18"/>
              </w:rPr>
              <w:t xml:space="preserve"> the </w:t>
            </w:r>
            <w:r w:rsidR="00463658" w:rsidRPr="002A5769">
              <w:rPr>
                <w:sz w:val="18"/>
                <w:szCs w:val="18"/>
              </w:rPr>
              <w:t xml:space="preserve">date of Royal </w:t>
            </w:r>
            <w:r w:rsidR="006F1CAE" w:rsidRPr="002A5769">
              <w:rPr>
                <w:sz w:val="18"/>
                <w:szCs w:val="18"/>
              </w:rPr>
              <w:t>a</w:t>
            </w:r>
            <w:r w:rsidR="00463658" w:rsidRPr="002A5769">
              <w:rPr>
                <w:sz w:val="18"/>
                <w:szCs w:val="18"/>
              </w:rPr>
              <w:t>ssent</w:t>
            </w:r>
            <w:r w:rsidRPr="002A5769">
              <w:rPr>
                <w:sz w:val="18"/>
                <w:szCs w:val="18"/>
              </w:rPr>
              <w:t xml:space="preserve"> (and the resident foreign trustee is already appointed as a trustee)</w:t>
            </w:r>
            <w:r w:rsidR="00DE5D6C" w:rsidRPr="002A5769">
              <w:rPr>
                <w:sz w:val="18"/>
                <w:szCs w:val="18"/>
              </w:rPr>
              <w:t xml:space="preserve">, the </w:t>
            </w:r>
            <w:r w:rsidR="00E763FF" w:rsidRPr="002A5769">
              <w:rPr>
                <w:sz w:val="18"/>
                <w:szCs w:val="18"/>
              </w:rPr>
              <w:t xml:space="preserve">resident foreign </w:t>
            </w:r>
            <w:proofErr w:type="gramStart"/>
            <w:r w:rsidR="00DE5D6C" w:rsidRPr="002A5769">
              <w:rPr>
                <w:sz w:val="18"/>
                <w:szCs w:val="18"/>
              </w:rPr>
              <w:t>trust</w:t>
            </w:r>
            <w:r w:rsidR="00E763FF" w:rsidRPr="002A5769">
              <w:rPr>
                <w:sz w:val="18"/>
                <w:szCs w:val="18"/>
              </w:rPr>
              <w:t xml:space="preserve">ee </w:t>
            </w:r>
            <w:r w:rsidRPr="002A5769">
              <w:rPr>
                <w:sz w:val="18"/>
                <w:szCs w:val="18"/>
              </w:rPr>
              <w:t xml:space="preserve"> </w:t>
            </w:r>
            <w:r w:rsidR="00DE5D6C" w:rsidRPr="002A5769">
              <w:rPr>
                <w:sz w:val="18"/>
                <w:szCs w:val="18"/>
              </w:rPr>
              <w:t>m</w:t>
            </w:r>
            <w:r w:rsidRPr="002A5769">
              <w:rPr>
                <w:sz w:val="18"/>
                <w:szCs w:val="18"/>
              </w:rPr>
              <w:t>ust</w:t>
            </w:r>
            <w:proofErr w:type="gramEnd"/>
            <w:r w:rsidRPr="002A5769">
              <w:rPr>
                <w:sz w:val="18"/>
                <w:szCs w:val="18"/>
              </w:rPr>
              <w:t xml:space="preserve"> apply </w:t>
            </w:r>
            <w:r w:rsidR="00E763FF" w:rsidRPr="002A5769">
              <w:rPr>
                <w:sz w:val="18"/>
                <w:szCs w:val="18"/>
              </w:rPr>
              <w:t xml:space="preserve">to register the trust </w:t>
            </w:r>
            <w:r w:rsidRPr="002A5769">
              <w:rPr>
                <w:sz w:val="18"/>
                <w:szCs w:val="18"/>
              </w:rPr>
              <w:t>by 30 June 2017.</w:t>
            </w:r>
          </w:p>
          <w:p w:rsidR="005C7BFF" w:rsidRPr="002A5769" w:rsidRDefault="00455773" w:rsidP="002A5769">
            <w:pPr>
              <w:jc w:val="left"/>
              <w:rPr>
                <w:sz w:val="18"/>
                <w:szCs w:val="18"/>
              </w:rPr>
            </w:pPr>
            <w:r w:rsidRPr="002A5769">
              <w:rPr>
                <w:sz w:val="18"/>
                <w:szCs w:val="18"/>
              </w:rPr>
              <w:t xml:space="preserve">If </w:t>
            </w:r>
            <w:r w:rsidR="00DE5D6C" w:rsidRPr="002A5769">
              <w:rPr>
                <w:sz w:val="18"/>
                <w:szCs w:val="18"/>
              </w:rPr>
              <w:t xml:space="preserve">the </w:t>
            </w:r>
            <w:r w:rsidRPr="002A5769">
              <w:rPr>
                <w:sz w:val="18"/>
                <w:szCs w:val="18"/>
              </w:rPr>
              <w:t xml:space="preserve">foreign trust is established after </w:t>
            </w:r>
            <w:r w:rsidR="008B4B29" w:rsidRPr="002A5769">
              <w:rPr>
                <w:sz w:val="18"/>
                <w:szCs w:val="18"/>
              </w:rPr>
              <w:t xml:space="preserve">the date of Royal </w:t>
            </w:r>
            <w:r w:rsidR="006F1CAE" w:rsidRPr="002A5769">
              <w:rPr>
                <w:sz w:val="18"/>
                <w:szCs w:val="18"/>
              </w:rPr>
              <w:t>a</w:t>
            </w:r>
            <w:r w:rsidR="008B4B29" w:rsidRPr="002A5769">
              <w:rPr>
                <w:sz w:val="18"/>
                <w:szCs w:val="18"/>
              </w:rPr>
              <w:t>ssent</w:t>
            </w:r>
            <w:r w:rsidRPr="002A5769">
              <w:rPr>
                <w:sz w:val="18"/>
                <w:szCs w:val="18"/>
              </w:rPr>
              <w:t xml:space="preserve"> or </w:t>
            </w:r>
            <w:r w:rsidR="005C7BFF" w:rsidRPr="002A5769">
              <w:rPr>
                <w:sz w:val="18"/>
                <w:szCs w:val="18"/>
              </w:rPr>
              <w:t>a</w:t>
            </w:r>
            <w:r w:rsidRPr="002A5769">
              <w:rPr>
                <w:sz w:val="18"/>
                <w:szCs w:val="18"/>
              </w:rPr>
              <w:t xml:space="preserve"> resident foreign trustee is appointed after the enactment of the legislation</w:t>
            </w:r>
            <w:r w:rsidR="00DE5D6C" w:rsidRPr="002A5769">
              <w:rPr>
                <w:sz w:val="18"/>
                <w:szCs w:val="18"/>
              </w:rPr>
              <w:t>, the</w:t>
            </w:r>
            <w:r w:rsidRPr="002A5769">
              <w:rPr>
                <w:sz w:val="18"/>
                <w:szCs w:val="18"/>
              </w:rPr>
              <w:t xml:space="preserve"> </w:t>
            </w:r>
            <w:r w:rsidR="00DE5D6C" w:rsidRPr="002A5769">
              <w:rPr>
                <w:sz w:val="18"/>
                <w:szCs w:val="18"/>
              </w:rPr>
              <w:t>r</w:t>
            </w:r>
            <w:r w:rsidR="005C7BFF" w:rsidRPr="002A5769">
              <w:rPr>
                <w:sz w:val="18"/>
                <w:szCs w:val="18"/>
              </w:rPr>
              <w:t>esident foreign trustee must</w:t>
            </w:r>
            <w:r w:rsidRPr="002A5769">
              <w:rPr>
                <w:sz w:val="18"/>
                <w:szCs w:val="18"/>
              </w:rPr>
              <w:t xml:space="preserve"> apply </w:t>
            </w:r>
            <w:r w:rsidR="00E763FF" w:rsidRPr="002A5769">
              <w:rPr>
                <w:sz w:val="18"/>
                <w:szCs w:val="18"/>
              </w:rPr>
              <w:t xml:space="preserve">to register the trust </w:t>
            </w:r>
            <w:r w:rsidRPr="002A5769">
              <w:rPr>
                <w:sz w:val="18"/>
                <w:szCs w:val="18"/>
              </w:rPr>
              <w:t xml:space="preserve">within 30 days of </w:t>
            </w:r>
            <w:r w:rsidR="005C7BFF" w:rsidRPr="002A5769">
              <w:rPr>
                <w:sz w:val="18"/>
                <w:szCs w:val="18"/>
              </w:rPr>
              <w:t>becoming the resident foreign trustee</w:t>
            </w:r>
            <w:r w:rsidR="00DE5D6C" w:rsidRPr="002A5769">
              <w:rPr>
                <w:sz w:val="18"/>
                <w:szCs w:val="18"/>
              </w:rPr>
              <w:t>.</w:t>
            </w:r>
          </w:p>
          <w:p w:rsidR="00455773" w:rsidRPr="002A5769" w:rsidRDefault="00455773" w:rsidP="002A5769">
            <w:pPr>
              <w:jc w:val="left"/>
              <w:rPr>
                <w:sz w:val="18"/>
                <w:szCs w:val="18"/>
              </w:rPr>
            </w:pPr>
          </w:p>
        </w:tc>
        <w:tc>
          <w:tcPr>
            <w:tcW w:w="3544" w:type="dxa"/>
          </w:tcPr>
          <w:p w:rsidR="00455773" w:rsidRPr="009369BF" w:rsidRDefault="00E763FF" w:rsidP="002A5769">
            <w:pPr>
              <w:spacing w:after="140"/>
              <w:jc w:val="left"/>
              <w:rPr>
                <w:sz w:val="18"/>
                <w:szCs w:val="18"/>
              </w:rPr>
            </w:pPr>
            <w:r w:rsidRPr="009369BF">
              <w:rPr>
                <w:sz w:val="18"/>
                <w:szCs w:val="18"/>
              </w:rPr>
              <w:t>The trustee must apply to register the trust within</w:t>
            </w:r>
            <w:r w:rsidRPr="0057335B">
              <w:rPr>
                <w:sz w:val="18"/>
                <w:szCs w:val="18"/>
              </w:rPr>
              <w:t xml:space="preserve"> f</w:t>
            </w:r>
            <w:r w:rsidR="00455773" w:rsidRPr="009369BF">
              <w:rPr>
                <w:sz w:val="18"/>
                <w:szCs w:val="18"/>
              </w:rPr>
              <w:t xml:space="preserve">our years and 30 days from the date that the </w:t>
            </w:r>
            <w:r w:rsidR="00245D35" w:rsidRPr="009369BF">
              <w:rPr>
                <w:sz w:val="18"/>
                <w:szCs w:val="18"/>
              </w:rPr>
              <w:t>trustee became a resident foreign trustee (</w:t>
            </w:r>
            <w:r w:rsidR="00DE5D6C" w:rsidRPr="0057335B">
              <w:rPr>
                <w:sz w:val="18"/>
                <w:szCs w:val="18"/>
              </w:rPr>
              <w:t>that is</w:t>
            </w:r>
            <w:r w:rsidR="00245D35" w:rsidRPr="009369BF">
              <w:rPr>
                <w:sz w:val="18"/>
                <w:szCs w:val="18"/>
              </w:rPr>
              <w:t>, when the trustee was appointed or became a New Zealand</w:t>
            </w:r>
            <w:r w:rsidR="00DE5D6C" w:rsidRPr="0057335B">
              <w:rPr>
                <w:sz w:val="18"/>
                <w:szCs w:val="18"/>
              </w:rPr>
              <w:t xml:space="preserve"> </w:t>
            </w:r>
            <w:r w:rsidR="00245D35" w:rsidRPr="009369BF">
              <w:rPr>
                <w:sz w:val="18"/>
                <w:szCs w:val="18"/>
              </w:rPr>
              <w:t>resident)</w:t>
            </w:r>
            <w:r w:rsidR="00455773" w:rsidRPr="009369BF">
              <w:rPr>
                <w:sz w:val="18"/>
                <w:szCs w:val="18"/>
              </w:rPr>
              <w:t xml:space="preserve">. </w:t>
            </w:r>
          </w:p>
          <w:p w:rsidR="00EF59AE" w:rsidRPr="009369BF" w:rsidRDefault="00EF59AE" w:rsidP="002A5769">
            <w:pPr>
              <w:spacing w:after="140"/>
              <w:jc w:val="left"/>
              <w:rPr>
                <w:sz w:val="18"/>
                <w:szCs w:val="18"/>
              </w:rPr>
            </w:pPr>
            <w:r w:rsidRPr="009369BF">
              <w:rPr>
                <w:sz w:val="18"/>
                <w:szCs w:val="18"/>
              </w:rPr>
              <w:t xml:space="preserve">If the resident foreign trustee has </w:t>
            </w:r>
            <w:r w:rsidR="00E763FF" w:rsidRPr="0057335B">
              <w:rPr>
                <w:sz w:val="18"/>
                <w:szCs w:val="18"/>
              </w:rPr>
              <w:t>held that role</w:t>
            </w:r>
            <w:r w:rsidRPr="009369BF">
              <w:rPr>
                <w:sz w:val="18"/>
                <w:szCs w:val="18"/>
              </w:rPr>
              <w:t xml:space="preserve"> for more than four years and 30 days </w:t>
            </w:r>
            <w:r w:rsidR="00DE5D6C" w:rsidRPr="0057335B">
              <w:rPr>
                <w:sz w:val="18"/>
                <w:szCs w:val="18"/>
              </w:rPr>
              <w:t>before</w:t>
            </w:r>
            <w:r w:rsidRPr="009369BF">
              <w:rPr>
                <w:sz w:val="18"/>
                <w:szCs w:val="18"/>
              </w:rPr>
              <w:t xml:space="preserve"> enactment of the legislation, the deadline is 30 June 2017. </w:t>
            </w:r>
          </w:p>
          <w:p w:rsidR="00245D35" w:rsidRPr="002A5769" w:rsidRDefault="00DE5D6C" w:rsidP="002A5769">
            <w:pPr>
              <w:jc w:val="left"/>
              <w:rPr>
                <w:b/>
                <w:sz w:val="18"/>
                <w:szCs w:val="18"/>
              </w:rPr>
            </w:pPr>
            <w:r w:rsidRPr="009369BF">
              <w:rPr>
                <w:sz w:val="18"/>
                <w:szCs w:val="18"/>
              </w:rPr>
              <w:t>If there are</w:t>
            </w:r>
            <w:r w:rsidR="00455773" w:rsidRPr="009369BF">
              <w:rPr>
                <w:sz w:val="18"/>
                <w:szCs w:val="18"/>
              </w:rPr>
              <w:t xml:space="preserve"> multiple resident foreign trustees</w:t>
            </w:r>
            <w:r w:rsidR="00E763FF" w:rsidRPr="0057335B">
              <w:rPr>
                <w:sz w:val="18"/>
                <w:szCs w:val="18"/>
              </w:rPr>
              <w:t>,</w:t>
            </w:r>
            <w:r w:rsidR="00455773" w:rsidRPr="009369BF">
              <w:rPr>
                <w:sz w:val="18"/>
                <w:szCs w:val="18"/>
              </w:rPr>
              <w:t xml:space="preserve"> the </w:t>
            </w:r>
            <w:r w:rsidR="005D652F" w:rsidRPr="009369BF">
              <w:rPr>
                <w:sz w:val="18"/>
                <w:szCs w:val="18"/>
              </w:rPr>
              <w:t>grace period</w:t>
            </w:r>
            <w:r w:rsidR="00455773" w:rsidRPr="009369BF">
              <w:rPr>
                <w:sz w:val="18"/>
                <w:szCs w:val="18"/>
              </w:rPr>
              <w:t xml:space="preserve"> </w:t>
            </w:r>
            <w:r w:rsidR="00E763FF" w:rsidRPr="009369BF">
              <w:rPr>
                <w:sz w:val="18"/>
                <w:szCs w:val="18"/>
              </w:rPr>
              <w:t xml:space="preserve">begins on </w:t>
            </w:r>
            <w:r w:rsidR="00455773" w:rsidRPr="009369BF">
              <w:rPr>
                <w:sz w:val="18"/>
                <w:szCs w:val="18"/>
              </w:rPr>
              <w:t>the earliest</w:t>
            </w:r>
            <w:r w:rsidR="00E763FF" w:rsidRPr="009369BF">
              <w:rPr>
                <w:sz w:val="18"/>
                <w:szCs w:val="18"/>
              </w:rPr>
              <w:t xml:space="preserve"> date that any of the trustees became a</w:t>
            </w:r>
            <w:r w:rsidR="00455773" w:rsidRPr="009369BF">
              <w:rPr>
                <w:sz w:val="18"/>
                <w:szCs w:val="18"/>
              </w:rPr>
              <w:t xml:space="preserve"> resident foreign trustee.</w:t>
            </w:r>
            <w:r w:rsidR="00455773" w:rsidRPr="002A5769">
              <w:rPr>
                <w:b/>
                <w:sz w:val="18"/>
                <w:szCs w:val="18"/>
              </w:rPr>
              <w:t xml:space="preserve"> </w:t>
            </w:r>
          </w:p>
        </w:tc>
      </w:tr>
      <w:tr w:rsidR="00455773" w:rsidRPr="002A5769" w:rsidTr="002A5769">
        <w:trPr>
          <w:cantSplit/>
        </w:trPr>
        <w:tc>
          <w:tcPr>
            <w:tcW w:w="2042" w:type="dxa"/>
            <w:vMerge w:val="restart"/>
          </w:tcPr>
          <w:p w:rsidR="00455773" w:rsidRPr="002A5769" w:rsidRDefault="00455773" w:rsidP="002A5769">
            <w:pPr>
              <w:jc w:val="left"/>
              <w:rPr>
                <w:b/>
                <w:sz w:val="18"/>
                <w:szCs w:val="18"/>
              </w:rPr>
            </w:pPr>
            <w:r w:rsidRPr="002A5769">
              <w:rPr>
                <w:b/>
                <w:sz w:val="18"/>
                <w:szCs w:val="18"/>
              </w:rPr>
              <w:lastRenderedPageBreak/>
              <w:t xml:space="preserve">Information </w:t>
            </w:r>
            <w:r w:rsidR="007C012A" w:rsidRPr="002A5769">
              <w:rPr>
                <w:b/>
                <w:sz w:val="18"/>
                <w:szCs w:val="18"/>
              </w:rPr>
              <w:t>required</w:t>
            </w:r>
            <w:r w:rsidRPr="002A5769">
              <w:rPr>
                <w:b/>
                <w:sz w:val="18"/>
                <w:szCs w:val="18"/>
              </w:rPr>
              <w:t xml:space="preserve"> on application for registration</w:t>
            </w:r>
          </w:p>
        </w:tc>
        <w:tc>
          <w:tcPr>
            <w:tcW w:w="3543" w:type="dxa"/>
          </w:tcPr>
          <w:p w:rsidR="00455773" w:rsidRPr="002A5769" w:rsidRDefault="00455773" w:rsidP="002A5769">
            <w:pPr>
              <w:jc w:val="left"/>
              <w:rPr>
                <w:sz w:val="18"/>
                <w:szCs w:val="18"/>
              </w:rPr>
            </w:pPr>
            <w:r w:rsidRPr="002A5769">
              <w:rPr>
                <w:sz w:val="18"/>
                <w:szCs w:val="18"/>
              </w:rPr>
              <w:t>Copy of the trust deed</w:t>
            </w:r>
            <w:r w:rsidR="00F74808">
              <w:rPr>
                <w:sz w:val="18"/>
                <w:szCs w:val="18"/>
              </w:rPr>
              <w:t>.</w:t>
            </w:r>
          </w:p>
        </w:tc>
        <w:tc>
          <w:tcPr>
            <w:tcW w:w="3544" w:type="dxa"/>
          </w:tcPr>
          <w:p w:rsidR="00455773" w:rsidRPr="002A5769" w:rsidRDefault="00455773" w:rsidP="002A5769">
            <w:pPr>
              <w:jc w:val="left"/>
              <w:rPr>
                <w:sz w:val="18"/>
                <w:szCs w:val="18"/>
              </w:rPr>
            </w:pPr>
            <w:r w:rsidRPr="002A5769">
              <w:rPr>
                <w:sz w:val="18"/>
                <w:szCs w:val="18"/>
              </w:rPr>
              <w:t>Copy of the trust deed</w:t>
            </w:r>
            <w:r w:rsidR="00F74808">
              <w:rPr>
                <w:sz w:val="18"/>
                <w:szCs w:val="18"/>
              </w:rPr>
              <w:t>.</w:t>
            </w:r>
          </w:p>
        </w:tc>
      </w:tr>
      <w:tr w:rsidR="00455773" w:rsidRPr="002A5769" w:rsidTr="002A5769">
        <w:trPr>
          <w:cantSplit/>
        </w:trPr>
        <w:tc>
          <w:tcPr>
            <w:tcW w:w="2042" w:type="dxa"/>
            <w:vMerge/>
          </w:tcPr>
          <w:p w:rsidR="00455773" w:rsidRPr="002A5769" w:rsidRDefault="00455773" w:rsidP="002A5769">
            <w:pPr>
              <w:jc w:val="left"/>
              <w:rPr>
                <w:b/>
                <w:sz w:val="18"/>
                <w:szCs w:val="18"/>
              </w:rPr>
            </w:pPr>
          </w:p>
        </w:tc>
        <w:tc>
          <w:tcPr>
            <w:tcW w:w="3543" w:type="dxa"/>
          </w:tcPr>
          <w:p w:rsidR="00455773" w:rsidRPr="002A5769" w:rsidRDefault="00455773" w:rsidP="002A5769">
            <w:pPr>
              <w:jc w:val="left"/>
              <w:rPr>
                <w:sz w:val="18"/>
                <w:szCs w:val="18"/>
              </w:rPr>
            </w:pPr>
            <w:r w:rsidRPr="002A5769">
              <w:rPr>
                <w:sz w:val="18"/>
                <w:szCs w:val="18"/>
              </w:rPr>
              <w:t>Identifying particulars and contact details for settlors, trustees and beneficiaries</w:t>
            </w:r>
            <w:r w:rsidR="00F74808">
              <w:rPr>
                <w:sz w:val="18"/>
                <w:szCs w:val="18"/>
              </w:rPr>
              <w:t>.</w:t>
            </w:r>
          </w:p>
        </w:tc>
        <w:tc>
          <w:tcPr>
            <w:tcW w:w="3544" w:type="dxa"/>
          </w:tcPr>
          <w:p w:rsidR="00455773" w:rsidRPr="002A5769" w:rsidRDefault="00455773" w:rsidP="002A5769">
            <w:pPr>
              <w:jc w:val="left"/>
              <w:rPr>
                <w:sz w:val="18"/>
                <w:szCs w:val="18"/>
              </w:rPr>
            </w:pPr>
            <w:r w:rsidRPr="002A5769">
              <w:rPr>
                <w:sz w:val="18"/>
                <w:szCs w:val="18"/>
              </w:rPr>
              <w:t>Identifying particulars and contact details for settlors, trustees and beneficiaries</w:t>
            </w:r>
            <w:r w:rsidR="00F74808">
              <w:rPr>
                <w:sz w:val="18"/>
                <w:szCs w:val="18"/>
              </w:rPr>
              <w:t>.</w:t>
            </w:r>
          </w:p>
        </w:tc>
      </w:tr>
      <w:tr w:rsidR="00455773" w:rsidRPr="002A5769" w:rsidTr="002A5769">
        <w:trPr>
          <w:cantSplit/>
        </w:trPr>
        <w:tc>
          <w:tcPr>
            <w:tcW w:w="2042" w:type="dxa"/>
            <w:vMerge/>
          </w:tcPr>
          <w:p w:rsidR="00455773" w:rsidRPr="002A5769" w:rsidRDefault="00455773" w:rsidP="002A5769">
            <w:pPr>
              <w:jc w:val="left"/>
              <w:rPr>
                <w:b/>
                <w:sz w:val="18"/>
                <w:szCs w:val="18"/>
              </w:rPr>
            </w:pPr>
          </w:p>
        </w:tc>
        <w:tc>
          <w:tcPr>
            <w:tcW w:w="3543" w:type="dxa"/>
          </w:tcPr>
          <w:p w:rsidR="00455773" w:rsidRPr="002A5769" w:rsidRDefault="00455773" w:rsidP="002A5769">
            <w:pPr>
              <w:jc w:val="left"/>
              <w:rPr>
                <w:sz w:val="18"/>
                <w:szCs w:val="18"/>
              </w:rPr>
            </w:pPr>
            <w:r w:rsidRPr="002A5769">
              <w:rPr>
                <w:sz w:val="18"/>
                <w:szCs w:val="18"/>
              </w:rPr>
              <w:t>Signed declaration that relevant persons are aware of their legal obligations to provide information and will do so</w:t>
            </w:r>
            <w:r w:rsidR="00F74808">
              <w:rPr>
                <w:sz w:val="18"/>
                <w:szCs w:val="18"/>
              </w:rPr>
              <w:t>.</w:t>
            </w:r>
          </w:p>
        </w:tc>
        <w:tc>
          <w:tcPr>
            <w:tcW w:w="3544" w:type="dxa"/>
          </w:tcPr>
          <w:p w:rsidR="00455773" w:rsidRPr="002A5769" w:rsidRDefault="00455773" w:rsidP="002A5769">
            <w:pPr>
              <w:jc w:val="left"/>
              <w:rPr>
                <w:sz w:val="18"/>
                <w:szCs w:val="18"/>
              </w:rPr>
            </w:pPr>
            <w:r w:rsidRPr="002A5769">
              <w:rPr>
                <w:sz w:val="18"/>
                <w:szCs w:val="18"/>
              </w:rPr>
              <w:t>Signed declaration that relevant persons are aware of their legal obligations to provide information and will do so</w:t>
            </w:r>
            <w:r w:rsidR="00F74808">
              <w:rPr>
                <w:sz w:val="18"/>
                <w:szCs w:val="18"/>
              </w:rPr>
              <w:t>.</w:t>
            </w:r>
          </w:p>
        </w:tc>
      </w:tr>
      <w:tr w:rsidR="00455773" w:rsidRPr="002A5769" w:rsidTr="002A5769">
        <w:trPr>
          <w:cantSplit/>
        </w:trPr>
        <w:tc>
          <w:tcPr>
            <w:tcW w:w="2042" w:type="dxa"/>
            <w:vMerge/>
          </w:tcPr>
          <w:p w:rsidR="00455773" w:rsidRPr="002A5769" w:rsidRDefault="00455773" w:rsidP="002A5769">
            <w:pPr>
              <w:jc w:val="left"/>
              <w:rPr>
                <w:b/>
                <w:sz w:val="18"/>
                <w:szCs w:val="18"/>
              </w:rPr>
            </w:pPr>
          </w:p>
        </w:tc>
        <w:tc>
          <w:tcPr>
            <w:tcW w:w="3543" w:type="dxa"/>
          </w:tcPr>
          <w:p w:rsidR="00455773" w:rsidRPr="002A5769" w:rsidRDefault="00455773" w:rsidP="002A5769">
            <w:pPr>
              <w:jc w:val="left"/>
              <w:rPr>
                <w:sz w:val="18"/>
                <w:szCs w:val="18"/>
              </w:rPr>
            </w:pPr>
            <w:r w:rsidRPr="002A5769">
              <w:rPr>
                <w:sz w:val="18"/>
                <w:szCs w:val="18"/>
              </w:rPr>
              <w:t>Information about settlements made from date of formation until the date of application</w:t>
            </w:r>
            <w:r w:rsidR="00F74808">
              <w:rPr>
                <w:sz w:val="18"/>
                <w:szCs w:val="18"/>
              </w:rPr>
              <w:t>.</w:t>
            </w:r>
          </w:p>
        </w:tc>
        <w:tc>
          <w:tcPr>
            <w:tcW w:w="3544" w:type="dxa"/>
          </w:tcPr>
          <w:p w:rsidR="00455773" w:rsidRPr="009369BF" w:rsidRDefault="00455773" w:rsidP="002A5769">
            <w:pPr>
              <w:spacing w:after="140"/>
              <w:jc w:val="left"/>
              <w:rPr>
                <w:sz w:val="18"/>
                <w:szCs w:val="18"/>
              </w:rPr>
            </w:pPr>
            <w:r w:rsidRPr="009369BF">
              <w:rPr>
                <w:sz w:val="18"/>
                <w:szCs w:val="18"/>
              </w:rPr>
              <w:t xml:space="preserve">For trusts first required to register on date of Royal </w:t>
            </w:r>
            <w:r w:rsidR="006F1CAE" w:rsidRPr="009369BF">
              <w:rPr>
                <w:sz w:val="18"/>
                <w:szCs w:val="18"/>
              </w:rPr>
              <w:t>a</w:t>
            </w:r>
            <w:r w:rsidRPr="009369BF">
              <w:rPr>
                <w:sz w:val="18"/>
                <w:szCs w:val="18"/>
              </w:rPr>
              <w:t>ssent, information about settlements dating back to 30 June 2013 (or formation, if later)</w:t>
            </w:r>
            <w:r w:rsidR="00F74808" w:rsidRPr="009369BF">
              <w:rPr>
                <w:sz w:val="18"/>
                <w:szCs w:val="18"/>
              </w:rPr>
              <w:t>.</w:t>
            </w:r>
          </w:p>
          <w:p w:rsidR="00455773" w:rsidRPr="009369BF" w:rsidRDefault="00455773" w:rsidP="002A5769">
            <w:pPr>
              <w:spacing w:after="140"/>
              <w:jc w:val="left"/>
              <w:rPr>
                <w:sz w:val="18"/>
                <w:szCs w:val="18"/>
              </w:rPr>
            </w:pPr>
            <w:r w:rsidRPr="009369BF">
              <w:rPr>
                <w:sz w:val="18"/>
                <w:szCs w:val="18"/>
              </w:rPr>
              <w:t xml:space="preserve">For trusts first required to register after date of Royal </w:t>
            </w:r>
            <w:r w:rsidR="006F1CAE" w:rsidRPr="009369BF">
              <w:rPr>
                <w:sz w:val="18"/>
                <w:szCs w:val="18"/>
              </w:rPr>
              <w:t>a</w:t>
            </w:r>
            <w:r w:rsidRPr="009369BF">
              <w:rPr>
                <w:sz w:val="18"/>
                <w:szCs w:val="18"/>
              </w:rPr>
              <w:t>ssent, information about settlements dating back four years (or formation, if later)</w:t>
            </w:r>
            <w:r w:rsidR="00F74808" w:rsidRPr="009369BF">
              <w:rPr>
                <w:sz w:val="18"/>
                <w:szCs w:val="18"/>
              </w:rPr>
              <w:t>.</w:t>
            </w:r>
          </w:p>
          <w:p w:rsidR="00455773" w:rsidRPr="002A5769" w:rsidRDefault="00455773" w:rsidP="002A5769">
            <w:pPr>
              <w:jc w:val="left"/>
              <w:rPr>
                <w:b/>
                <w:sz w:val="18"/>
                <w:szCs w:val="18"/>
              </w:rPr>
            </w:pPr>
            <w:r w:rsidRPr="009369BF">
              <w:rPr>
                <w:sz w:val="18"/>
                <w:szCs w:val="18"/>
              </w:rPr>
              <w:t xml:space="preserve">See </w:t>
            </w:r>
            <w:r w:rsidR="007C012A" w:rsidRPr="009369BF">
              <w:rPr>
                <w:sz w:val="18"/>
                <w:szCs w:val="18"/>
              </w:rPr>
              <w:t xml:space="preserve">the </w:t>
            </w:r>
            <w:r w:rsidRPr="009369BF">
              <w:rPr>
                <w:sz w:val="18"/>
                <w:szCs w:val="18"/>
              </w:rPr>
              <w:t xml:space="preserve">section “Information </w:t>
            </w:r>
            <w:r w:rsidR="007C012A" w:rsidRPr="009369BF">
              <w:rPr>
                <w:sz w:val="18"/>
                <w:szCs w:val="18"/>
              </w:rPr>
              <w:t>required on</w:t>
            </w:r>
            <w:r w:rsidRPr="009369BF">
              <w:rPr>
                <w:sz w:val="18"/>
                <w:szCs w:val="18"/>
              </w:rPr>
              <w:t xml:space="preserve"> registration” and the subsection “Historic</w:t>
            </w:r>
            <w:r w:rsidR="008D794F" w:rsidRPr="0057335B">
              <w:rPr>
                <w:sz w:val="18"/>
                <w:szCs w:val="18"/>
              </w:rPr>
              <w:t>al</w:t>
            </w:r>
            <w:r w:rsidRPr="009369BF">
              <w:rPr>
                <w:sz w:val="18"/>
                <w:szCs w:val="18"/>
              </w:rPr>
              <w:t xml:space="preserve"> settlements”.</w:t>
            </w:r>
          </w:p>
        </w:tc>
      </w:tr>
      <w:tr w:rsidR="00455773" w:rsidRPr="002A5769" w:rsidTr="002A5769">
        <w:trPr>
          <w:cantSplit/>
        </w:trPr>
        <w:tc>
          <w:tcPr>
            <w:tcW w:w="2042" w:type="dxa"/>
          </w:tcPr>
          <w:p w:rsidR="00455773" w:rsidRPr="002A5769" w:rsidRDefault="00455773" w:rsidP="002A5769">
            <w:pPr>
              <w:jc w:val="left"/>
              <w:rPr>
                <w:b/>
                <w:sz w:val="18"/>
                <w:szCs w:val="18"/>
              </w:rPr>
            </w:pPr>
            <w:r w:rsidRPr="002A5769">
              <w:rPr>
                <w:b/>
                <w:sz w:val="18"/>
                <w:szCs w:val="18"/>
              </w:rPr>
              <w:t>Registration application fee</w:t>
            </w:r>
          </w:p>
        </w:tc>
        <w:tc>
          <w:tcPr>
            <w:tcW w:w="3543" w:type="dxa"/>
          </w:tcPr>
          <w:p w:rsidR="00455773" w:rsidRPr="002A5769" w:rsidRDefault="00455773" w:rsidP="002A5769">
            <w:pPr>
              <w:jc w:val="left"/>
              <w:rPr>
                <w:sz w:val="18"/>
                <w:szCs w:val="18"/>
              </w:rPr>
            </w:pPr>
            <w:r w:rsidRPr="002A5769">
              <w:rPr>
                <w:sz w:val="18"/>
                <w:szCs w:val="18"/>
              </w:rPr>
              <w:t>$270 including GST</w:t>
            </w:r>
            <w:r w:rsidR="00F74808">
              <w:rPr>
                <w:sz w:val="18"/>
                <w:szCs w:val="18"/>
              </w:rPr>
              <w:t>.</w:t>
            </w:r>
          </w:p>
        </w:tc>
        <w:tc>
          <w:tcPr>
            <w:tcW w:w="3544" w:type="dxa"/>
          </w:tcPr>
          <w:p w:rsidR="00455773" w:rsidRPr="002A5769" w:rsidRDefault="00455773" w:rsidP="002A5769">
            <w:pPr>
              <w:jc w:val="left"/>
              <w:rPr>
                <w:b/>
                <w:sz w:val="18"/>
                <w:szCs w:val="18"/>
              </w:rPr>
            </w:pPr>
            <w:r w:rsidRPr="002A5769">
              <w:rPr>
                <w:b/>
                <w:sz w:val="18"/>
                <w:szCs w:val="18"/>
              </w:rPr>
              <w:t>Exempt</w:t>
            </w:r>
            <w:r w:rsidR="007C012A" w:rsidRPr="002A5769">
              <w:rPr>
                <w:b/>
                <w:sz w:val="18"/>
                <w:szCs w:val="18"/>
              </w:rPr>
              <w:t xml:space="preserve"> –</w:t>
            </w:r>
            <w:r w:rsidRPr="002A5769">
              <w:rPr>
                <w:b/>
                <w:sz w:val="18"/>
                <w:szCs w:val="18"/>
              </w:rPr>
              <w:t xml:space="preserve"> see “Fees”</w:t>
            </w:r>
            <w:r w:rsidR="007C012A" w:rsidRPr="002A5769">
              <w:rPr>
                <w:b/>
                <w:sz w:val="18"/>
                <w:szCs w:val="18"/>
              </w:rPr>
              <w:t xml:space="preserve"> section</w:t>
            </w:r>
            <w:r w:rsidR="00F74808">
              <w:rPr>
                <w:b/>
                <w:sz w:val="18"/>
                <w:szCs w:val="18"/>
              </w:rPr>
              <w:t>.</w:t>
            </w:r>
          </w:p>
        </w:tc>
      </w:tr>
      <w:tr w:rsidR="00455773" w:rsidRPr="002A5769" w:rsidTr="002A5769">
        <w:trPr>
          <w:cantSplit/>
        </w:trPr>
        <w:tc>
          <w:tcPr>
            <w:tcW w:w="2042" w:type="dxa"/>
          </w:tcPr>
          <w:p w:rsidR="00455773" w:rsidRPr="002A5769" w:rsidRDefault="00455773" w:rsidP="002A5769">
            <w:pPr>
              <w:jc w:val="left"/>
              <w:rPr>
                <w:b/>
                <w:sz w:val="18"/>
                <w:szCs w:val="18"/>
              </w:rPr>
            </w:pPr>
            <w:r w:rsidRPr="002A5769">
              <w:rPr>
                <w:b/>
                <w:sz w:val="18"/>
                <w:szCs w:val="18"/>
              </w:rPr>
              <w:t>Subsequent changes to information</w:t>
            </w:r>
          </w:p>
        </w:tc>
        <w:tc>
          <w:tcPr>
            <w:tcW w:w="3543" w:type="dxa"/>
          </w:tcPr>
          <w:p w:rsidR="00455773" w:rsidRPr="002A5769" w:rsidRDefault="00455773" w:rsidP="002A5769">
            <w:pPr>
              <w:jc w:val="left"/>
              <w:rPr>
                <w:sz w:val="18"/>
                <w:szCs w:val="18"/>
              </w:rPr>
            </w:pPr>
            <w:r w:rsidRPr="002A5769">
              <w:rPr>
                <w:sz w:val="18"/>
                <w:szCs w:val="18"/>
              </w:rPr>
              <w:t>Within 30 days</w:t>
            </w:r>
            <w:r w:rsidR="00F74808">
              <w:rPr>
                <w:sz w:val="18"/>
                <w:szCs w:val="18"/>
              </w:rPr>
              <w:t>.</w:t>
            </w:r>
          </w:p>
        </w:tc>
        <w:tc>
          <w:tcPr>
            <w:tcW w:w="3544" w:type="dxa"/>
          </w:tcPr>
          <w:p w:rsidR="00455773" w:rsidRPr="002A5769" w:rsidRDefault="00455773" w:rsidP="002A5769">
            <w:pPr>
              <w:jc w:val="left"/>
              <w:rPr>
                <w:sz w:val="18"/>
                <w:szCs w:val="18"/>
              </w:rPr>
            </w:pPr>
            <w:r w:rsidRPr="002A5769">
              <w:rPr>
                <w:sz w:val="18"/>
                <w:szCs w:val="18"/>
              </w:rPr>
              <w:t>Within 30 days</w:t>
            </w:r>
            <w:r w:rsidR="00F74808">
              <w:rPr>
                <w:sz w:val="18"/>
                <w:szCs w:val="18"/>
              </w:rPr>
              <w:t>.</w:t>
            </w:r>
          </w:p>
        </w:tc>
      </w:tr>
      <w:tr w:rsidR="00455773" w:rsidRPr="002A5769" w:rsidTr="002A5769">
        <w:trPr>
          <w:cantSplit/>
        </w:trPr>
        <w:tc>
          <w:tcPr>
            <w:tcW w:w="2042" w:type="dxa"/>
          </w:tcPr>
          <w:p w:rsidR="00455773" w:rsidRPr="002A5769" w:rsidRDefault="00455773" w:rsidP="002A5769">
            <w:pPr>
              <w:jc w:val="left"/>
              <w:rPr>
                <w:b/>
                <w:sz w:val="18"/>
                <w:szCs w:val="18"/>
              </w:rPr>
            </w:pPr>
            <w:r w:rsidRPr="002A5769">
              <w:rPr>
                <w:b/>
                <w:sz w:val="18"/>
                <w:szCs w:val="18"/>
              </w:rPr>
              <w:t>Annual</w:t>
            </w:r>
            <w:r w:rsidR="007C012A" w:rsidRPr="002A5769">
              <w:rPr>
                <w:b/>
                <w:sz w:val="18"/>
                <w:szCs w:val="18"/>
              </w:rPr>
              <w:t xml:space="preserve"> disclosure</w:t>
            </w:r>
            <w:r w:rsidRPr="002A5769">
              <w:rPr>
                <w:b/>
                <w:sz w:val="18"/>
                <w:szCs w:val="18"/>
              </w:rPr>
              <w:t xml:space="preserve"> return</w:t>
            </w:r>
          </w:p>
        </w:tc>
        <w:tc>
          <w:tcPr>
            <w:tcW w:w="3543" w:type="dxa"/>
          </w:tcPr>
          <w:p w:rsidR="00455773" w:rsidRPr="002A5769" w:rsidRDefault="006F1CAE" w:rsidP="002A5769">
            <w:pPr>
              <w:jc w:val="left"/>
              <w:rPr>
                <w:sz w:val="18"/>
                <w:szCs w:val="18"/>
              </w:rPr>
            </w:pPr>
            <w:r w:rsidRPr="002A5769">
              <w:rPr>
                <w:sz w:val="18"/>
                <w:szCs w:val="18"/>
              </w:rPr>
              <w:t>W</w:t>
            </w:r>
            <w:r w:rsidR="00455773" w:rsidRPr="002A5769">
              <w:rPr>
                <w:sz w:val="18"/>
                <w:szCs w:val="18"/>
              </w:rPr>
              <w:t>ithin six months of balance date</w:t>
            </w:r>
            <w:r w:rsidR="007C012A" w:rsidRPr="002A5769">
              <w:rPr>
                <w:sz w:val="18"/>
                <w:szCs w:val="18"/>
              </w:rPr>
              <w:t xml:space="preserve"> or </w:t>
            </w:r>
            <w:r w:rsidR="00455773" w:rsidRPr="002A5769">
              <w:rPr>
                <w:sz w:val="18"/>
                <w:szCs w:val="18"/>
              </w:rPr>
              <w:t xml:space="preserve">end of </w:t>
            </w:r>
            <w:r w:rsidR="007C012A" w:rsidRPr="002A5769">
              <w:rPr>
                <w:sz w:val="18"/>
                <w:szCs w:val="18"/>
              </w:rPr>
              <w:t xml:space="preserve">the </w:t>
            </w:r>
            <w:r w:rsidR="00455773" w:rsidRPr="002A5769">
              <w:rPr>
                <w:sz w:val="18"/>
                <w:szCs w:val="18"/>
              </w:rPr>
              <w:t xml:space="preserve">tax year with </w:t>
            </w:r>
            <w:r w:rsidR="007C012A" w:rsidRPr="002A5769">
              <w:rPr>
                <w:sz w:val="18"/>
                <w:szCs w:val="18"/>
              </w:rPr>
              <w:t xml:space="preserve">a </w:t>
            </w:r>
            <w:r w:rsidR="00455773" w:rsidRPr="002A5769">
              <w:rPr>
                <w:sz w:val="18"/>
                <w:szCs w:val="18"/>
              </w:rPr>
              <w:t>copy of financial statements</w:t>
            </w:r>
            <w:r w:rsidRPr="002A5769">
              <w:rPr>
                <w:sz w:val="18"/>
                <w:szCs w:val="18"/>
              </w:rPr>
              <w:t>,</w:t>
            </w:r>
            <w:r w:rsidR="00455773" w:rsidRPr="002A5769">
              <w:rPr>
                <w:sz w:val="18"/>
                <w:szCs w:val="18"/>
              </w:rPr>
              <w:t xml:space="preserve"> and details about settlements and distributions made during the return year</w:t>
            </w:r>
            <w:r w:rsidR="00F74808">
              <w:rPr>
                <w:sz w:val="18"/>
                <w:szCs w:val="18"/>
              </w:rPr>
              <w:t>.</w:t>
            </w:r>
          </w:p>
        </w:tc>
        <w:tc>
          <w:tcPr>
            <w:tcW w:w="3544" w:type="dxa"/>
          </w:tcPr>
          <w:p w:rsidR="00455773" w:rsidRPr="002A5769" w:rsidRDefault="006F1CAE" w:rsidP="002A5769">
            <w:pPr>
              <w:jc w:val="left"/>
              <w:rPr>
                <w:sz w:val="18"/>
                <w:szCs w:val="18"/>
              </w:rPr>
            </w:pPr>
            <w:r w:rsidRPr="002A5769">
              <w:rPr>
                <w:sz w:val="18"/>
                <w:szCs w:val="18"/>
              </w:rPr>
              <w:t>W</w:t>
            </w:r>
            <w:r w:rsidR="00455773" w:rsidRPr="002A5769">
              <w:rPr>
                <w:sz w:val="18"/>
                <w:szCs w:val="18"/>
              </w:rPr>
              <w:t>ithin six months of balance date</w:t>
            </w:r>
            <w:r w:rsidR="007C012A" w:rsidRPr="002A5769">
              <w:rPr>
                <w:sz w:val="18"/>
                <w:szCs w:val="18"/>
              </w:rPr>
              <w:t xml:space="preserve"> or </w:t>
            </w:r>
            <w:r w:rsidR="00455773" w:rsidRPr="002A5769">
              <w:rPr>
                <w:sz w:val="18"/>
                <w:szCs w:val="18"/>
              </w:rPr>
              <w:t xml:space="preserve">end of tax year with </w:t>
            </w:r>
            <w:r w:rsidR="007C012A" w:rsidRPr="002A5769">
              <w:rPr>
                <w:sz w:val="18"/>
                <w:szCs w:val="18"/>
              </w:rPr>
              <w:t xml:space="preserve">a </w:t>
            </w:r>
            <w:r w:rsidR="00455773" w:rsidRPr="002A5769">
              <w:rPr>
                <w:sz w:val="18"/>
                <w:szCs w:val="18"/>
              </w:rPr>
              <w:t>copy of</w:t>
            </w:r>
            <w:r w:rsidR="007C012A" w:rsidRPr="002A5769">
              <w:rPr>
                <w:sz w:val="18"/>
                <w:szCs w:val="18"/>
              </w:rPr>
              <w:t xml:space="preserve"> the</w:t>
            </w:r>
            <w:r w:rsidR="00455773" w:rsidRPr="002A5769">
              <w:rPr>
                <w:sz w:val="18"/>
                <w:szCs w:val="18"/>
              </w:rPr>
              <w:t xml:space="preserve"> financial statements</w:t>
            </w:r>
            <w:r w:rsidRPr="002A5769">
              <w:rPr>
                <w:sz w:val="18"/>
                <w:szCs w:val="18"/>
              </w:rPr>
              <w:t>,</w:t>
            </w:r>
            <w:r w:rsidR="00455773" w:rsidRPr="002A5769">
              <w:rPr>
                <w:sz w:val="18"/>
                <w:szCs w:val="18"/>
              </w:rPr>
              <w:t xml:space="preserve"> and details about settlements and distributions made during the return year</w:t>
            </w:r>
            <w:r w:rsidR="007C012A" w:rsidRPr="002A5769">
              <w:rPr>
                <w:sz w:val="18"/>
                <w:szCs w:val="18"/>
              </w:rPr>
              <w:t>.</w:t>
            </w:r>
          </w:p>
        </w:tc>
      </w:tr>
      <w:tr w:rsidR="00455773" w:rsidRPr="002A5769" w:rsidTr="002A5769">
        <w:trPr>
          <w:cantSplit/>
        </w:trPr>
        <w:tc>
          <w:tcPr>
            <w:tcW w:w="2042" w:type="dxa"/>
          </w:tcPr>
          <w:p w:rsidR="00455773" w:rsidRPr="002A5769" w:rsidRDefault="00455773" w:rsidP="002A5769">
            <w:pPr>
              <w:jc w:val="left"/>
              <w:rPr>
                <w:b/>
                <w:sz w:val="18"/>
                <w:szCs w:val="18"/>
              </w:rPr>
            </w:pPr>
            <w:r w:rsidRPr="002A5769">
              <w:rPr>
                <w:b/>
                <w:sz w:val="18"/>
                <w:szCs w:val="18"/>
              </w:rPr>
              <w:t>Annual return filing fee</w:t>
            </w:r>
          </w:p>
        </w:tc>
        <w:tc>
          <w:tcPr>
            <w:tcW w:w="3543" w:type="dxa"/>
          </w:tcPr>
          <w:p w:rsidR="00455773" w:rsidRPr="002A5769" w:rsidRDefault="00455773" w:rsidP="002A5769">
            <w:pPr>
              <w:jc w:val="left"/>
              <w:rPr>
                <w:sz w:val="18"/>
                <w:szCs w:val="18"/>
              </w:rPr>
            </w:pPr>
            <w:r w:rsidRPr="002A5769">
              <w:rPr>
                <w:sz w:val="18"/>
                <w:szCs w:val="18"/>
              </w:rPr>
              <w:t>$50 including GST per return year</w:t>
            </w:r>
            <w:r w:rsidR="00F74808">
              <w:rPr>
                <w:sz w:val="18"/>
                <w:szCs w:val="18"/>
              </w:rPr>
              <w:t>.</w:t>
            </w:r>
          </w:p>
        </w:tc>
        <w:tc>
          <w:tcPr>
            <w:tcW w:w="3544" w:type="dxa"/>
          </w:tcPr>
          <w:p w:rsidR="00455773" w:rsidRPr="002A5769" w:rsidRDefault="00455773" w:rsidP="002A5769">
            <w:pPr>
              <w:jc w:val="left"/>
              <w:rPr>
                <w:b/>
                <w:sz w:val="18"/>
                <w:szCs w:val="18"/>
              </w:rPr>
            </w:pPr>
            <w:r w:rsidRPr="002A5769">
              <w:rPr>
                <w:b/>
                <w:sz w:val="18"/>
                <w:szCs w:val="18"/>
              </w:rPr>
              <w:t xml:space="preserve">Exempt </w:t>
            </w:r>
            <w:r w:rsidR="006F1CAE" w:rsidRPr="002A5769">
              <w:rPr>
                <w:b/>
                <w:sz w:val="18"/>
                <w:szCs w:val="18"/>
              </w:rPr>
              <w:t xml:space="preserve">– </w:t>
            </w:r>
            <w:r w:rsidRPr="002A5769">
              <w:rPr>
                <w:b/>
                <w:sz w:val="18"/>
                <w:szCs w:val="18"/>
              </w:rPr>
              <w:t>see “Fees”</w:t>
            </w:r>
            <w:r w:rsidR="006F1CAE" w:rsidRPr="002A5769">
              <w:rPr>
                <w:b/>
                <w:sz w:val="18"/>
                <w:szCs w:val="18"/>
              </w:rPr>
              <w:t xml:space="preserve"> section</w:t>
            </w:r>
            <w:r w:rsidR="00F74808">
              <w:rPr>
                <w:b/>
                <w:sz w:val="18"/>
                <w:szCs w:val="18"/>
              </w:rPr>
              <w:t>.</w:t>
            </w:r>
          </w:p>
        </w:tc>
      </w:tr>
    </w:tbl>
    <w:p w:rsidR="004919F0" w:rsidRDefault="004919F0" w:rsidP="002A5769"/>
    <w:p w:rsidR="006A15AA" w:rsidRDefault="006A15AA" w:rsidP="002A5769"/>
    <w:p w:rsidR="006A15AA" w:rsidRDefault="006A15AA" w:rsidP="002A5769">
      <w:pPr>
        <w:pStyle w:val="Heading3"/>
      </w:pPr>
      <w:r>
        <w:t>Eligibility for tax exemption</w:t>
      </w:r>
    </w:p>
    <w:p w:rsidR="006A15AA" w:rsidRDefault="006A15AA" w:rsidP="002A5769"/>
    <w:p w:rsidR="006A15AA" w:rsidRDefault="006A15AA" w:rsidP="002A5769">
      <w:r>
        <w:t xml:space="preserve">Foreign-sourced income derived by a New Zealand-resident trustee is exempt income under </w:t>
      </w:r>
      <w:r w:rsidR="00F74808">
        <w:t xml:space="preserve">section </w:t>
      </w:r>
      <w:r>
        <w:t xml:space="preserve">CW </w:t>
      </w:r>
      <w:r w:rsidR="00BE06A7">
        <w:t>54</w:t>
      </w:r>
      <w:r>
        <w:t xml:space="preserve"> of the Income Tax Act</w:t>
      </w:r>
      <w:r w:rsidR="00754901">
        <w:t xml:space="preserve"> 2007</w:t>
      </w:r>
      <w:r>
        <w:t xml:space="preserve"> if certain criteria are met</w:t>
      </w:r>
      <w:r w:rsidR="00E60262">
        <w:t>.  T</w:t>
      </w:r>
      <w:r w:rsidR="008B4B29">
        <w:t>h</w:t>
      </w:r>
      <w:r w:rsidR="00E17569">
        <w:t>e</w:t>
      </w:r>
      <w:r w:rsidR="008B4B29">
        <w:t xml:space="preserve"> criteria </w:t>
      </w:r>
      <w:r w:rsidR="00E17569">
        <w:t xml:space="preserve">are </w:t>
      </w:r>
      <w:r w:rsidR="008B4B29">
        <w:t xml:space="preserve">set out in </w:t>
      </w:r>
      <w:r w:rsidR="00F74808">
        <w:t xml:space="preserve">section </w:t>
      </w:r>
      <w:r w:rsidR="008B4B29">
        <w:t>HC 26</w:t>
      </w:r>
      <w:r w:rsidR="00E60262">
        <w:t>.  T</w:t>
      </w:r>
      <w:r>
        <w:t xml:space="preserve">he amendments to section HC 26 </w:t>
      </w:r>
      <w:r w:rsidR="008B4B29">
        <w:t>ensure that the foreign trust must compl</w:t>
      </w:r>
      <w:r w:rsidR="00E17569">
        <w:t>y</w:t>
      </w:r>
      <w:r w:rsidR="008B4B29">
        <w:t xml:space="preserve"> with the increased disclosure obligations</w:t>
      </w:r>
      <w:r>
        <w:t xml:space="preserve"> in order to be eligible for this tax exemption. </w:t>
      </w:r>
    </w:p>
    <w:p w:rsidR="006A15AA" w:rsidRDefault="006A15AA" w:rsidP="002A5769"/>
    <w:p w:rsidR="006A15AA" w:rsidRDefault="006A15AA" w:rsidP="002A5769">
      <w:pPr>
        <w:pStyle w:val="Heading3"/>
      </w:pPr>
      <w:r>
        <w:t>Information sharing with other agencies</w:t>
      </w:r>
    </w:p>
    <w:p w:rsidR="006A15AA" w:rsidRDefault="006A15AA" w:rsidP="002A5769"/>
    <w:p w:rsidR="006A15AA" w:rsidRDefault="006A15AA" w:rsidP="002A5769">
      <w:r>
        <w:t xml:space="preserve">An exception to the secrecy provisions will allow the information contained in the foreign trust register to be shared with the Department of Internal Affairs and </w:t>
      </w:r>
      <w:r w:rsidR="00F74808">
        <w:t xml:space="preserve">New Zealand </w:t>
      </w:r>
      <w:r>
        <w:t xml:space="preserve">Police. </w:t>
      </w:r>
    </w:p>
    <w:p w:rsidR="00152DCB" w:rsidRDefault="00152DCB" w:rsidP="002A5769"/>
    <w:p w:rsidR="00682755" w:rsidRDefault="00152DCB" w:rsidP="002A5769">
      <w:r>
        <w:t>The Finance and Expenditure committee also recommended that Inland Revenue should be able to share information with the Overseas Investment Office.</w:t>
      </w:r>
      <w:r w:rsidR="00682755">
        <w:t xml:space="preserve">  This will take the form of an Approved Information Sharing Agreement between Inland Revenue and the Overseas Investment Office. </w:t>
      </w:r>
    </w:p>
    <w:p w:rsidR="006A15AA" w:rsidRDefault="006A15AA" w:rsidP="002A5769"/>
    <w:p w:rsidR="006A15AA" w:rsidRPr="00C741C4" w:rsidRDefault="006A15AA" w:rsidP="002A5769">
      <w:pPr>
        <w:pStyle w:val="Heading3"/>
      </w:pPr>
      <w:r>
        <w:t xml:space="preserve">Consequential amendments </w:t>
      </w:r>
    </w:p>
    <w:p w:rsidR="006A15AA" w:rsidRDefault="006A15AA" w:rsidP="002A5769"/>
    <w:p w:rsidR="006A15AA" w:rsidRDefault="006A15AA" w:rsidP="002A5769">
      <w:r>
        <w:t xml:space="preserve">Certain </w:t>
      </w:r>
      <w:r w:rsidR="006C607C">
        <w:t>definitions</w:t>
      </w:r>
      <w:r>
        <w:t xml:space="preserve"> and record</w:t>
      </w:r>
      <w:r w:rsidR="00E17569">
        <w:t>-</w:t>
      </w:r>
      <w:r>
        <w:t xml:space="preserve">keeping requirements have been repealed due to the extended disclosure requirements. </w:t>
      </w:r>
    </w:p>
    <w:p w:rsidR="006A15AA" w:rsidRDefault="006A15AA" w:rsidP="002A5769"/>
    <w:p w:rsidR="00FB10A5" w:rsidRDefault="00FB10A5" w:rsidP="002A5769"/>
    <w:p w:rsidR="006A15AA" w:rsidRPr="00670DFA" w:rsidRDefault="006A15AA" w:rsidP="002A5769">
      <w:pPr>
        <w:pStyle w:val="Heading2"/>
      </w:pPr>
      <w:r w:rsidRPr="00670DFA">
        <w:lastRenderedPageBreak/>
        <w:t>Application date</w:t>
      </w:r>
      <w:r w:rsidR="00331A55">
        <w:t>s</w:t>
      </w:r>
    </w:p>
    <w:p w:rsidR="006A15AA" w:rsidRPr="00670DFA" w:rsidRDefault="006A15AA" w:rsidP="002A5769"/>
    <w:p w:rsidR="006A15AA" w:rsidRDefault="006A15AA" w:rsidP="002A5769">
      <w:r>
        <w:t xml:space="preserve">The </w:t>
      </w:r>
      <w:r w:rsidR="00455773">
        <w:t>amendments</w:t>
      </w:r>
      <w:r>
        <w:t xml:space="preserve"> c</w:t>
      </w:r>
      <w:r w:rsidR="00F74808">
        <w:t>a</w:t>
      </w:r>
      <w:r>
        <w:t xml:space="preserve">me into effect on the date of Royal </w:t>
      </w:r>
      <w:r w:rsidR="006F1CAE">
        <w:t>a</w:t>
      </w:r>
      <w:r>
        <w:t>ssent</w:t>
      </w:r>
      <w:r w:rsidR="00F74808">
        <w:t xml:space="preserve">, being </w:t>
      </w:r>
      <w:r w:rsidR="00633EEF">
        <w:t>21 February 201</w:t>
      </w:r>
      <w:r w:rsidR="00B63807">
        <w:t>7</w:t>
      </w:r>
      <w:r>
        <w:t>.</w:t>
      </w:r>
    </w:p>
    <w:p w:rsidR="008B4B29" w:rsidRDefault="008B4B29" w:rsidP="002A5769"/>
    <w:p w:rsidR="008B4B29" w:rsidRPr="00670DFA" w:rsidRDefault="008B4B29" w:rsidP="002A5769">
      <w:r>
        <w:t xml:space="preserve">For foreign trusts in existence at the date of Royal </w:t>
      </w:r>
      <w:r w:rsidR="006F1CAE">
        <w:t>a</w:t>
      </w:r>
      <w:r>
        <w:t>ssent, the resident foreign trustee must apply for registration of the trust by 30 June 2017.</w:t>
      </w:r>
    </w:p>
    <w:p w:rsidR="009C7915" w:rsidRDefault="009C7915" w:rsidP="002A5769"/>
    <w:p w:rsidR="00FB10A5" w:rsidRDefault="00FB10A5" w:rsidP="002A5769"/>
    <w:p w:rsidR="00C75E31" w:rsidRDefault="00C75E31" w:rsidP="002A5769">
      <w:pPr>
        <w:pStyle w:val="Heading2"/>
      </w:pPr>
      <w:r>
        <w:t>Detailed analysis</w:t>
      </w:r>
    </w:p>
    <w:p w:rsidR="00C75E31" w:rsidRDefault="00C75E31" w:rsidP="002A5769"/>
    <w:p w:rsidR="00E31650" w:rsidRPr="00670DFA" w:rsidRDefault="00E31650" w:rsidP="002A5769">
      <w:pPr>
        <w:pStyle w:val="Heading3"/>
      </w:pPr>
      <w:r>
        <w:t>Tax exemption for foreign-sourced amounts: resident trustees</w:t>
      </w:r>
    </w:p>
    <w:p w:rsidR="00E31650" w:rsidRPr="00670DFA" w:rsidRDefault="00E31650" w:rsidP="002A5769"/>
    <w:p w:rsidR="00E31650" w:rsidRDefault="00E31650" w:rsidP="002A5769">
      <w:r>
        <w:t>New Zealand taxes trusts on a settlor basis</w:t>
      </w:r>
      <w:r w:rsidR="00E60262">
        <w:t>.  O</w:t>
      </w:r>
      <w:r>
        <w:t>ne result of this is an exemption for foreign</w:t>
      </w:r>
      <w:r w:rsidR="007C012A">
        <w:t>-</w:t>
      </w:r>
      <w:r>
        <w:t xml:space="preserve">sourced amounts derived by trustees resident in New Zealand if the trust is classified as a foreign trust. </w:t>
      </w:r>
    </w:p>
    <w:p w:rsidR="00E31650" w:rsidRDefault="00E31650" w:rsidP="002A5769"/>
    <w:p w:rsidR="00E31650" w:rsidRDefault="00E31650" w:rsidP="002A5769">
      <w:r>
        <w:t xml:space="preserve">This tax exemption was available to all New Zealand-resident trustees </w:t>
      </w:r>
      <w:r w:rsidR="007C012A">
        <w:t>before</w:t>
      </w:r>
      <w:r>
        <w:t xml:space="preserve"> the enactment of the Taxation (Business Tax, Exchange of Information, and Remedial Matters) Act 2017</w:t>
      </w:r>
      <w:r w:rsidR="00E60262">
        <w:t>.  H</w:t>
      </w:r>
      <w:r w:rsidR="00D41445">
        <w:t>owever, i</w:t>
      </w:r>
      <w:r>
        <w:t xml:space="preserve">f the trustee </w:t>
      </w:r>
      <w:r w:rsidR="00D41445">
        <w:t xml:space="preserve">was </w:t>
      </w:r>
      <w:r>
        <w:t>convicted of a knowledge offence and was not a qualifying resident foreign trustee</w:t>
      </w:r>
      <w:r w:rsidR="00F74808">
        <w:t>,</w:t>
      </w:r>
      <w:r>
        <w:t xml:space="preserve"> they did not qualify for the exemption. </w:t>
      </w:r>
    </w:p>
    <w:p w:rsidR="00E31650" w:rsidRDefault="00E31650" w:rsidP="002A5769"/>
    <w:p w:rsidR="00E31650" w:rsidRDefault="00E31650" w:rsidP="002A5769">
      <w:r>
        <w:t xml:space="preserve">The amendments to section HC 26 tighten the criteria for the tax exemption.  These amendments require the resident foreign trustee to </w:t>
      </w:r>
      <w:r w:rsidR="00D41445">
        <w:t>comply</w:t>
      </w:r>
      <w:r>
        <w:t xml:space="preserve"> with the</w:t>
      </w:r>
      <w:r w:rsidR="00CB183F">
        <w:t xml:space="preserve"> disclosure</w:t>
      </w:r>
      <w:r>
        <w:t xml:space="preserve"> obligations for the income year in which the income is derived.</w:t>
      </w:r>
    </w:p>
    <w:p w:rsidR="00E31650" w:rsidRDefault="00E31650" w:rsidP="002A5769"/>
    <w:p w:rsidR="00E31650" w:rsidRPr="007C753D" w:rsidRDefault="00E31650" w:rsidP="002A5769">
      <w:pPr>
        <w:rPr>
          <w:i/>
        </w:rPr>
      </w:pPr>
      <w:r>
        <w:rPr>
          <w:i/>
        </w:rPr>
        <w:t>T</w:t>
      </w:r>
      <w:r w:rsidRPr="007C753D">
        <w:rPr>
          <w:i/>
        </w:rPr>
        <w:t>rust deed required</w:t>
      </w:r>
      <w:r>
        <w:rPr>
          <w:i/>
        </w:rPr>
        <w:t xml:space="preserve"> for exemption</w:t>
      </w:r>
    </w:p>
    <w:p w:rsidR="00E31650" w:rsidRDefault="00E31650" w:rsidP="002A5769"/>
    <w:p w:rsidR="00E31650" w:rsidRDefault="00E31650" w:rsidP="002A5769">
      <w:r>
        <w:t xml:space="preserve">The Commissioner may register a foreign trust regardless of whether </w:t>
      </w:r>
      <w:r w:rsidR="00F74808">
        <w:t xml:space="preserve">it has </w:t>
      </w:r>
      <w:r>
        <w:t>a trust deed</w:t>
      </w:r>
      <w:r w:rsidR="00E60262">
        <w:t>.  H</w:t>
      </w:r>
      <w:r>
        <w:t>owever, the tax exemption on foreign</w:t>
      </w:r>
      <w:r w:rsidR="00D41445">
        <w:t>-</w:t>
      </w:r>
      <w:r>
        <w:t xml:space="preserve">sourced amounts will </w:t>
      </w:r>
      <w:r w:rsidR="00D41445">
        <w:t xml:space="preserve">only </w:t>
      </w:r>
      <w:r>
        <w:t xml:space="preserve">be available to resident foreign trustees if the trust </w:t>
      </w:r>
      <w:r w:rsidR="00D41445">
        <w:t>has</w:t>
      </w:r>
      <w:r>
        <w:t xml:space="preserve"> a trust deed, </w:t>
      </w:r>
      <w:r w:rsidR="00D41445">
        <w:t>even</w:t>
      </w:r>
      <w:r w:rsidR="006F1CAE">
        <w:t xml:space="preserve"> </w:t>
      </w:r>
      <w:r w:rsidR="00CB183F">
        <w:t xml:space="preserve">if </w:t>
      </w:r>
      <w:r>
        <w:t xml:space="preserve">all other registration and </w:t>
      </w:r>
      <w:r w:rsidR="009B3893">
        <w:t>ongoing</w:t>
      </w:r>
      <w:r>
        <w:t xml:space="preserve"> requirements are met. </w:t>
      </w:r>
    </w:p>
    <w:p w:rsidR="00E31650" w:rsidRDefault="00E31650" w:rsidP="002A5769"/>
    <w:p w:rsidR="00E31650" w:rsidRDefault="00E31650" w:rsidP="002A5769">
      <w:r>
        <w:t>The rationale behind requiring a trust deed in order to qualify for the exemption is to counter possible circumvention of the disclosure obligations by using documentation other than a trust deed</w:t>
      </w:r>
      <w:r w:rsidR="00D41445">
        <w:t xml:space="preserve"> or verbal agreements</w:t>
      </w:r>
      <w:r>
        <w:t xml:space="preserve"> to avoid disclosing information to Inland Revenue.  </w:t>
      </w:r>
      <w:r w:rsidR="00D41445">
        <w:t>T</w:t>
      </w:r>
      <w:r>
        <w:t xml:space="preserve">he trust deed is a vital piece of information and it is important </w:t>
      </w:r>
      <w:r w:rsidR="00D41445">
        <w:t>for it to be</w:t>
      </w:r>
      <w:r>
        <w:t xml:space="preserve"> provided to Inland Revenue and other enforcement agencies. </w:t>
      </w:r>
    </w:p>
    <w:p w:rsidR="00E31650" w:rsidRPr="00BF0F42" w:rsidRDefault="00E31650" w:rsidP="002A5769">
      <w:pPr>
        <w:rPr>
          <w:i/>
        </w:rPr>
      </w:pPr>
      <w:r>
        <w:br/>
      </w:r>
      <w:r w:rsidRPr="00BF0F42">
        <w:rPr>
          <w:i/>
        </w:rPr>
        <w:t xml:space="preserve">Eligibility for exemption </w:t>
      </w:r>
    </w:p>
    <w:p w:rsidR="00E31650" w:rsidRDefault="00E31650" w:rsidP="002A5769"/>
    <w:p w:rsidR="00E31650" w:rsidRDefault="00E31650" w:rsidP="002A5769">
      <w:r>
        <w:t xml:space="preserve">The eligibility for an exemption on foreign-sourced income of the trust is assessed </w:t>
      </w:r>
      <w:r w:rsidR="00D41445">
        <w:t xml:space="preserve">each </w:t>
      </w:r>
      <w:r>
        <w:t>year</w:t>
      </w:r>
      <w:r w:rsidR="00E60262">
        <w:t>.  A</w:t>
      </w:r>
      <w:r>
        <w:t xml:space="preserve"> foreign trust that </w:t>
      </w:r>
      <w:r w:rsidR="00D41445">
        <w:t>is not</w:t>
      </w:r>
      <w:r>
        <w:t xml:space="preserve"> register</w:t>
      </w:r>
      <w:r w:rsidR="00D41445">
        <w:t>ed</w:t>
      </w:r>
      <w:r>
        <w:t xml:space="preserve"> on time will lose its exemption for that year.</w:t>
      </w:r>
    </w:p>
    <w:p w:rsidR="00E31650" w:rsidRDefault="00E31650" w:rsidP="002A5769"/>
    <w:p w:rsidR="00E31650" w:rsidRDefault="00E31650" w:rsidP="002A5769">
      <w:r>
        <w:t xml:space="preserve">If the foreign trust is later registered, it will be able to get the exemption for </w:t>
      </w:r>
      <w:r w:rsidR="00D41445">
        <w:t>the</w:t>
      </w:r>
      <w:r>
        <w:t xml:space="preserve"> years for which it has </w:t>
      </w:r>
      <w:r w:rsidR="00D41445">
        <w:t xml:space="preserve">met </w:t>
      </w:r>
      <w:r>
        <w:t xml:space="preserve">its disclosure obligations. </w:t>
      </w:r>
    </w:p>
    <w:p w:rsidR="00E31650" w:rsidRDefault="00E31650" w:rsidP="002A5769"/>
    <w:p w:rsidR="00E31650" w:rsidRDefault="00E31650" w:rsidP="002A5769">
      <w:r>
        <w:t xml:space="preserve">The trust must be registered at the time the income is derived to qualify for the tax exemption in </w:t>
      </w:r>
      <w:r w:rsidR="00F74808">
        <w:t xml:space="preserve">section </w:t>
      </w:r>
      <w:r>
        <w:t>C</w:t>
      </w:r>
      <w:r w:rsidR="00A7387E">
        <w:t xml:space="preserve">W </w:t>
      </w:r>
      <w:r w:rsidR="00CA4C97">
        <w:t>54</w:t>
      </w:r>
      <w:r w:rsidR="00E60262">
        <w:t>.  I</w:t>
      </w:r>
      <w:r w:rsidR="00A7387E">
        <w:t>n addition, subsections</w:t>
      </w:r>
      <w:r w:rsidR="00752298">
        <w:t xml:space="preserve"> HC 26</w:t>
      </w:r>
      <w:r w:rsidR="00A7387E">
        <w:t xml:space="preserve"> 1</w:t>
      </w:r>
      <w:r>
        <w:t>(c) and (d) provide rules around when the trust must be registered to qualify for the exemption.</w:t>
      </w:r>
    </w:p>
    <w:p w:rsidR="00E31650" w:rsidRDefault="00E31650" w:rsidP="002A5769"/>
    <w:p w:rsidR="002A5769" w:rsidRDefault="002A5769" w:rsidP="002A5769">
      <w:pPr>
        <w:jc w:val="left"/>
        <w:rPr>
          <w:i/>
        </w:rPr>
      </w:pPr>
      <w:r>
        <w:rPr>
          <w:i/>
        </w:rPr>
        <w:br w:type="page"/>
      </w:r>
    </w:p>
    <w:p w:rsidR="00E31650" w:rsidRPr="00FA17C2" w:rsidRDefault="00E31650" w:rsidP="002A5769">
      <w:pPr>
        <w:rPr>
          <w:i/>
        </w:rPr>
      </w:pPr>
      <w:r w:rsidRPr="00FA17C2">
        <w:rPr>
          <w:i/>
        </w:rPr>
        <w:lastRenderedPageBreak/>
        <w:t xml:space="preserve">Application made within time limits under </w:t>
      </w:r>
      <w:r w:rsidR="00F74808">
        <w:rPr>
          <w:i/>
        </w:rPr>
        <w:t xml:space="preserve">section </w:t>
      </w:r>
      <w:r w:rsidRPr="00FA17C2">
        <w:rPr>
          <w:i/>
        </w:rPr>
        <w:t>59C</w:t>
      </w:r>
    </w:p>
    <w:p w:rsidR="00E31650" w:rsidRDefault="00E31650" w:rsidP="002A5769"/>
    <w:p w:rsidR="00E31650" w:rsidRDefault="00E31650" w:rsidP="002A5769">
      <w:r>
        <w:t xml:space="preserve">If a resident foreign trustee applies for registration within the time limit given by new section 59C (the </w:t>
      </w:r>
      <w:r w:rsidR="00D41445">
        <w:t>“</w:t>
      </w:r>
      <w:r>
        <w:t xml:space="preserve">application period”), and registration is completed by the end of the income year after the application period (the </w:t>
      </w:r>
      <w:r w:rsidR="00D41445">
        <w:t>“</w:t>
      </w:r>
      <w:r>
        <w:t xml:space="preserve">post-deadline year”) then for any subsequent years they will qualify for the exemption as long as the trust </w:t>
      </w:r>
      <w:r w:rsidR="00D41445">
        <w:t>remains</w:t>
      </w:r>
      <w:r>
        <w:t xml:space="preserve"> registered and the trustee meet</w:t>
      </w:r>
      <w:r w:rsidR="00D41445">
        <w:t>s</w:t>
      </w:r>
      <w:r>
        <w:t xml:space="preserve"> their obligations.</w:t>
      </w:r>
      <w:r w:rsidR="00F85057">
        <w:t xml:space="preserve"> </w:t>
      </w:r>
    </w:p>
    <w:p w:rsidR="00E31650" w:rsidRDefault="00E31650" w:rsidP="002A5769"/>
    <w:p w:rsidR="00E31650" w:rsidRDefault="00E31650" w:rsidP="002A5769">
      <w:r>
        <w:t>Resident foreign trustees must comply with all their obligations under sections 22, 59B, 59C and 59D of the Tax Administration Act</w:t>
      </w:r>
      <w:r w:rsidR="00754901">
        <w:t xml:space="preserve"> 1994</w:t>
      </w:r>
      <w:r>
        <w:t xml:space="preserve"> for the income year in order for the trust to qualify for an exemption on foreign-sourced trustee income. </w:t>
      </w:r>
    </w:p>
    <w:p w:rsidR="00E31650" w:rsidRDefault="00E31650" w:rsidP="002A5769"/>
    <w:p w:rsidR="002A5769" w:rsidRDefault="002A5769" w:rsidP="002A5769"/>
    <w:p w:rsidR="00E31650" w:rsidRDefault="00E31650" w:rsidP="002A5769">
      <w:pPr>
        <w:pStyle w:val="Exampleheading"/>
        <w:pBdr>
          <w:top w:val="single" w:sz="4" w:space="10" w:color="auto"/>
          <w:left w:val="single" w:sz="4" w:space="10" w:color="auto"/>
          <w:bottom w:val="single" w:sz="4" w:space="10" w:color="auto"/>
          <w:right w:val="single" w:sz="4" w:space="10" w:color="auto"/>
        </w:pBdr>
      </w:pPr>
      <w:r>
        <w:t>Example</w:t>
      </w:r>
    </w:p>
    <w:p w:rsidR="00E31650" w:rsidRDefault="00E31650" w:rsidP="002A5769">
      <w:pPr>
        <w:pStyle w:val="Exampletext"/>
        <w:pBdr>
          <w:top w:val="single" w:sz="4" w:space="10" w:color="auto"/>
          <w:left w:val="single" w:sz="4" w:space="10" w:color="auto"/>
          <w:bottom w:val="single" w:sz="4" w:space="10" w:color="auto"/>
          <w:right w:val="single" w:sz="4" w:space="10" w:color="auto"/>
        </w:pBdr>
      </w:pPr>
    </w:p>
    <w:p w:rsidR="00E31650" w:rsidRDefault="004B0814" w:rsidP="002A5769">
      <w:pPr>
        <w:pStyle w:val="Exampletext"/>
        <w:pBdr>
          <w:top w:val="single" w:sz="4" w:space="10" w:color="auto"/>
          <w:left w:val="single" w:sz="4" w:space="10" w:color="auto"/>
          <w:bottom w:val="single" w:sz="4" w:space="10" w:color="auto"/>
          <w:right w:val="single" w:sz="4" w:space="10" w:color="auto"/>
        </w:pBdr>
      </w:pPr>
      <w:r>
        <w:t xml:space="preserve">XYZ </w:t>
      </w:r>
      <w:r w:rsidR="00F74808">
        <w:t>T</w:t>
      </w:r>
      <w:r>
        <w:t>rust is formed on 1 November 2016, and Frank, a New Zealand resident</w:t>
      </w:r>
      <w:r w:rsidR="00D41445">
        <w:t>,</w:t>
      </w:r>
      <w:r>
        <w:t xml:space="preserve"> is appointed as a trustee</w:t>
      </w:r>
      <w:r w:rsidR="00E60262">
        <w:t>.  F</w:t>
      </w:r>
      <w:r>
        <w:t xml:space="preserve">rank has </w:t>
      </w:r>
      <w:r w:rsidR="00E35366">
        <w:t xml:space="preserve">until </w:t>
      </w:r>
      <w:r w:rsidR="00E31650">
        <w:t>30 June 2017 to apply to the Commissioner for registration of XYZ</w:t>
      </w:r>
      <w:r>
        <w:t xml:space="preserve"> (</w:t>
      </w:r>
      <w:r w:rsidR="00E35366">
        <w:t xml:space="preserve">see </w:t>
      </w:r>
      <w:r>
        <w:t xml:space="preserve">the </w:t>
      </w:r>
      <w:r w:rsidR="00E35366">
        <w:t>“</w:t>
      </w:r>
      <w:r w:rsidRPr="00CE1272">
        <w:t>Time limits for registration</w:t>
      </w:r>
      <w:r w:rsidR="00E35366">
        <w:t>”</w:t>
      </w:r>
      <w:r>
        <w:rPr>
          <w:i/>
        </w:rPr>
        <w:t xml:space="preserve"> </w:t>
      </w:r>
      <w:r>
        <w:t>section</w:t>
      </w:r>
      <w:r w:rsidR="00E35366">
        <w:t xml:space="preserve"> for more details</w:t>
      </w:r>
      <w:r>
        <w:t>)</w:t>
      </w:r>
      <w:r w:rsidR="00E31650">
        <w:t>.</w:t>
      </w:r>
    </w:p>
    <w:p w:rsidR="00E31650" w:rsidRDefault="00E31650" w:rsidP="002A5769">
      <w:pPr>
        <w:pStyle w:val="Exampletext"/>
        <w:pBdr>
          <w:top w:val="single" w:sz="4" w:space="10" w:color="auto"/>
          <w:left w:val="single" w:sz="4" w:space="10" w:color="auto"/>
          <w:bottom w:val="single" w:sz="4" w:space="10" w:color="auto"/>
          <w:right w:val="single" w:sz="4" w:space="10" w:color="auto"/>
        </w:pBdr>
      </w:pPr>
    </w:p>
    <w:p w:rsidR="00E31650" w:rsidRDefault="00E31650" w:rsidP="002A5769">
      <w:pPr>
        <w:pStyle w:val="Exampletext"/>
        <w:pBdr>
          <w:top w:val="single" w:sz="4" w:space="10" w:color="auto"/>
          <w:left w:val="single" w:sz="4" w:space="10" w:color="auto"/>
          <w:bottom w:val="single" w:sz="4" w:space="10" w:color="auto"/>
          <w:right w:val="single" w:sz="4" w:space="10" w:color="auto"/>
        </w:pBdr>
      </w:pPr>
      <w:r>
        <w:t xml:space="preserve">Frank applies for </w:t>
      </w:r>
      <w:r w:rsidR="00E35366">
        <w:t xml:space="preserve">registration </w:t>
      </w:r>
      <w:r w:rsidR="004B0814">
        <w:t>within the</w:t>
      </w:r>
      <w:r>
        <w:t xml:space="preserve"> time</w:t>
      </w:r>
      <w:r w:rsidR="004B0814">
        <w:t xml:space="preserve"> specified in </w:t>
      </w:r>
      <w:r w:rsidR="00F74808">
        <w:t xml:space="preserve">section </w:t>
      </w:r>
      <w:r w:rsidR="004B0814">
        <w:t>59C</w:t>
      </w:r>
      <w:r>
        <w:t>, and the registration process for XYZ Trust is completed one month after the end of the application period</w:t>
      </w:r>
      <w:r w:rsidR="00E60262">
        <w:t>.  T</w:t>
      </w:r>
      <w:r>
        <w:t>he trust is fully registered with Inland Revenue on 1 August 2017</w:t>
      </w:r>
      <w:r w:rsidR="00E60262">
        <w:t>.  A</w:t>
      </w:r>
      <w:r>
        <w:t xml:space="preserve">ny </w:t>
      </w:r>
      <w:r w:rsidR="00E35366">
        <w:t xml:space="preserve">foreign-sourced </w:t>
      </w:r>
      <w:r>
        <w:t xml:space="preserve">trustee income </w:t>
      </w:r>
      <w:r w:rsidR="007B1712">
        <w:t xml:space="preserve">will </w:t>
      </w:r>
      <w:r>
        <w:t xml:space="preserve">be eligible for an exemption from New Zealand tax under </w:t>
      </w:r>
      <w:r w:rsidR="00BA1E20">
        <w:t xml:space="preserve">section </w:t>
      </w:r>
      <w:r>
        <w:t xml:space="preserve">CW 54 if all the conditions specified in </w:t>
      </w:r>
      <w:r w:rsidR="00BA1E20">
        <w:t xml:space="preserve">section </w:t>
      </w:r>
      <w:r>
        <w:t>HC 26(</w:t>
      </w:r>
      <w:r w:rsidR="002051F0">
        <w:t>1</w:t>
      </w:r>
      <w:proofErr w:type="gramStart"/>
      <w:r>
        <w:t>)(</w:t>
      </w:r>
      <w:proofErr w:type="gramEnd"/>
      <w:r>
        <w:t xml:space="preserve">c) are met. </w:t>
      </w:r>
    </w:p>
    <w:p w:rsidR="00E31650" w:rsidRDefault="00E31650" w:rsidP="002A5769">
      <w:pPr>
        <w:pStyle w:val="Exampletext"/>
        <w:pBdr>
          <w:top w:val="single" w:sz="4" w:space="10" w:color="auto"/>
          <w:left w:val="single" w:sz="4" w:space="10" w:color="auto"/>
          <w:bottom w:val="single" w:sz="4" w:space="10" w:color="auto"/>
          <w:right w:val="single" w:sz="4" w:space="10" w:color="auto"/>
        </w:pBdr>
      </w:pPr>
    </w:p>
    <w:p w:rsidR="00E31650" w:rsidRDefault="00E31650" w:rsidP="002A5769">
      <w:pPr>
        <w:pStyle w:val="Exampletext"/>
        <w:pBdr>
          <w:top w:val="single" w:sz="4" w:space="10" w:color="auto"/>
          <w:left w:val="single" w:sz="4" w:space="10" w:color="auto"/>
          <w:bottom w:val="single" w:sz="4" w:space="10" w:color="auto"/>
          <w:right w:val="single" w:sz="4" w:space="10" w:color="auto"/>
        </w:pBdr>
      </w:pPr>
      <w:r>
        <w:t xml:space="preserve">For the XYZ Trust’s foreign-sourced trustee income to qualify for the exemption, the following </w:t>
      </w:r>
      <w:r w:rsidR="00E35366">
        <w:t>conditions must be met.</w:t>
      </w:r>
    </w:p>
    <w:p w:rsidR="002A5769" w:rsidRDefault="002A5769" w:rsidP="002A5769">
      <w:pPr>
        <w:pStyle w:val="Exampletext"/>
        <w:pBdr>
          <w:top w:val="single" w:sz="4" w:space="10" w:color="auto"/>
          <w:left w:val="single" w:sz="4" w:space="10" w:color="auto"/>
          <w:bottom w:val="single" w:sz="4" w:space="10" w:color="auto"/>
          <w:right w:val="single" w:sz="4" w:space="10" w:color="auto"/>
        </w:pBdr>
      </w:pPr>
    </w:p>
    <w:p w:rsidR="00E31650" w:rsidRDefault="00E31650" w:rsidP="002A5769">
      <w:pPr>
        <w:pStyle w:val="Exampletext"/>
        <w:pBdr>
          <w:top w:val="single" w:sz="4" w:space="10" w:color="auto"/>
          <w:left w:val="single" w:sz="4" w:space="10" w:color="auto"/>
          <w:bottom w:val="single" w:sz="4" w:space="10" w:color="auto"/>
          <w:right w:val="single" w:sz="4" w:space="10" w:color="auto"/>
        </w:pBdr>
        <w:ind w:left="426" w:hanging="426"/>
      </w:pPr>
      <w:r>
        <w:t xml:space="preserve">(a) </w:t>
      </w:r>
      <w:r w:rsidR="002A5769">
        <w:tab/>
      </w:r>
      <w:r>
        <w:t>XYZ Trust must have a trust deed</w:t>
      </w:r>
      <w:r w:rsidR="00E35366">
        <w:t>.</w:t>
      </w:r>
    </w:p>
    <w:p w:rsidR="00E31650" w:rsidRDefault="00E31650" w:rsidP="002A5769">
      <w:pPr>
        <w:pStyle w:val="Exampletext"/>
        <w:pBdr>
          <w:top w:val="single" w:sz="4" w:space="10" w:color="auto"/>
          <w:left w:val="single" w:sz="4" w:space="10" w:color="auto"/>
          <w:bottom w:val="single" w:sz="4" w:space="10" w:color="auto"/>
          <w:right w:val="single" w:sz="4" w:space="10" w:color="auto"/>
        </w:pBdr>
        <w:ind w:left="426" w:hanging="426"/>
      </w:pPr>
      <w:r>
        <w:t xml:space="preserve">(b) </w:t>
      </w:r>
      <w:r w:rsidR="002A5769">
        <w:tab/>
      </w:r>
      <w:r>
        <w:t xml:space="preserve">XYZ </w:t>
      </w:r>
      <w:r w:rsidR="00E35366">
        <w:t xml:space="preserve">Trust’s registration </w:t>
      </w:r>
      <w:r w:rsidR="00754901">
        <w:t>must be</w:t>
      </w:r>
      <w:r w:rsidR="00E35366">
        <w:t xml:space="preserve"> current</w:t>
      </w:r>
      <w:r>
        <w:t xml:space="preserve"> when the foreign-sourced income is derived</w:t>
      </w:r>
      <w:r w:rsidR="00E35366">
        <w:t>.</w:t>
      </w:r>
    </w:p>
    <w:p w:rsidR="00E31650" w:rsidRDefault="00E31650" w:rsidP="002A5769">
      <w:pPr>
        <w:pStyle w:val="Exampletext"/>
        <w:pBdr>
          <w:top w:val="single" w:sz="4" w:space="10" w:color="auto"/>
          <w:left w:val="single" w:sz="4" w:space="10" w:color="auto"/>
          <w:bottom w:val="single" w:sz="4" w:space="10" w:color="auto"/>
          <w:right w:val="single" w:sz="4" w:space="10" w:color="auto"/>
        </w:pBdr>
        <w:ind w:left="426" w:hanging="426"/>
      </w:pPr>
      <w:r>
        <w:t xml:space="preserve">(c) </w:t>
      </w:r>
      <w:r w:rsidR="002A5769">
        <w:tab/>
      </w:r>
      <w:r>
        <w:t xml:space="preserve">The resident foreign trustee (Frank) must also comply with all the requirements under sections 22, 59B, 59C and 59D as they arise during the income year. </w:t>
      </w:r>
    </w:p>
    <w:p w:rsidR="00E31650" w:rsidRDefault="00E31650" w:rsidP="002A5769">
      <w:pPr>
        <w:pStyle w:val="Exampletext"/>
        <w:pBdr>
          <w:top w:val="single" w:sz="4" w:space="10" w:color="auto"/>
          <w:left w:val="single" w:sz="4" w:space="10" w:color="auto"/>
          <w:bottom w:val="single" w:sz="4" w:space="10" w:color="auto"/>
          <w:right w:val="single" w:sz="4" w:space="10" w:color="auto"/>
        </w:pBdr>
      </w:pPr>
    </w:p>
    <w:p w:rsidR="00E31650" w:rsidRDefault="00E31650" w:rsidP="002A5769">
      <w:pPr>
        <w:pStyle w:val="Exampletext"/>
        <w:pBdr>
          <w:top w:val="single" w:sz="4" w:space="10" w:color="auto"/>
          <w:left w:val="single" w:sz="4" w:space="10" w:color="auto"/>
          <w:bottom w:val="single" w:sz="4" w:space="10" w:color="auto"/>
          <w:right w:val="single" w:sz="4" w:space="10" w:color="auto"/>
        </w:pBdr>
      </w:pPr>
      <w:r>
        <w:t xml:space="preserve">For example, if XYZ adds a beneficiary on 5 September 2017, Frank will need to provide Inland Revenue with the required information on the additional beneficiary within 30 days, under </w:t>
      </w:r>
      <w:r w:rsidR="00E35366">
        <w:t xml:space="preserve">section </w:t>
      </w:r>
      <w:r>
        <w:t xml:space="preserve">59C. </w:t>
      </w:r>
    </w:p>
    <w:p w:rsidR="00E31650" w:rsidRDefault="00E31650" w:rsidP="002A5769"/>
    <w:p w:rsidR="002A5769" w:rsidRDefault="002A5769" w:rsidP="002A5769"/>
    <w:p w:rsidR="00E31650" w:rsidRPr="00445762" w:rsidRDefault="00E31650" w:rsidP="002A5769">
      <w:pPr>
        <w:rPr>
          <w:i/>
        </w:rPr>
      </w:pPr>
      <w:r w:rsidRPr="00445762">
        <w:rPr>
          <w:i/>
        </w:rPr>
        <w:t xml:space="preserve">Application made outside time limits under </w:t>
      </w:r>
      <w:r w:rsidR="00BA1E20">
        <w:rPr>
          <w:i/>
        </w:rPr>
        <w:t xml:space="preserve">section </w:t>
      </w:r>
      <w:r w:rsidRPr="00445762">
        <w:rPr>
          <w:i/>
        </w:rPr>
        <w:t>59C</w:t>
      </w:r>
    </w:p>
    <w:p w:rsidR="00E31650" w:rsidRDefault="00E31650" w:rsidP="002A5769"/>
    <w:p w:rsidR="00E31650" w:rsidRDefault="00E31650" w:rsidP="002A5769">
      <w:r>
        <w:t xml:space="preserve">If the resident foreign trustee does not apply for registration within the </w:t>
      </w:r>
      <w:r w:rsidR="00E35366">
        <w:t>application period</w:t>
      </w:r>
      <w:r>
        <w:t xml:space="preserve">, </w:t>
      </w:r>
      <w:r w:rsidR="00754901">
        <w:t xml:space="preserve">the trust </w:t>
      </w:r>
      <w:r w:rsidR="00E35366">
        <w:t>can</w:t>
      </w:r>
      <w:r>
        <w:t xml:space="preserve"> qualify for the tax exemption </w:t>
      </w:r>
      <w:r w:rsidR="00E35366">
        <w:t>in future</w:t>
      </w:r>
      <w:r>
        <w:t xml:space="preserve"> if </w:t>
      </w:r>
      <w:r w:rsidR="00754901">
        <w:t>it is</w:t>
      </w:r>
      <w:r>
        <w:t xml:space="preserve"> registered from the beginning of the income year </w:t>
      </w:r>
      <w:r w:rsidR="00E35366">
        <w:t xml:space="preserve">when </w:t>
      </w:r>
      <w:r>
        <w:t>the foreign-sourced income is derived and</w:t>
      </w:r>
      <w:r w:rsidR="00754901">
        <w:t xml:space="preserve"> the trustee</w:t>
      </w:r>
      <w:r>
        <w:t xml:space="preserve"> fulfil</w:t>
      </w:r>
      <w:r w:rsidR="00754901">
        <w:t>s</w:t>
      </w:r>
      <w:r>
        <w:t xml:space="preserve"> their obligations for th</w:t>
      </w:r>
      <w:r w:rsidR="00E35366">
        <w:t>at</w:t>
      </w:r>
      <w:r>
        <w:t xml:space="preserve"> income year</w:t>
      </w:r>
      <w:r w:rsidR="00E60262">
        <w:t>.  A</w:t>
      </w:r>
      <w:r>
        <w:t xml:space="preserve">s is the case for trusts who apply for registration within the timeframe given under </w:t>
      </w:r>
      <w:r w:rsidR="00BA1E20">
        <w:t xml:space="preserve">section </w:t>
      </w:r>
      <w:r>
        <w:t>59C, the trust must have a trust deed.</w:t>
      </w:r>
    </w:p>
    <w:p w:rsidR="00E31650" w:rsidRDefault="00E31650" w:rsidP="002A5769"/>
    <w:p w:rsidR="002A5769" w:rsidRDefault="002A5769">
      <w:pPr>
        <w:jc w:val="left"/>
        <w:rPr>
          <w:b/>
          <w:sz w:val="20"/>
        </w:rPr>
      </w:pPr>
      <w:r>
        <w:br w:type="page"/>
      </w:r>
    </w:p>
    <w:p w:rsidR="00E31650" w:rsidRDefault="00E31650" w:rsidP="002A5769">
      <w:pPr>
        <w:pStyle w:val="Exampleheading"/>
        <w:pBdr>
          <w:top w:val="single" w:sz="4" w:space="10" w:color="auto"/>
          <w:left w:val="single" w:sz="4" w:space="10" w:color="auto"/>
          <w:bottom w:val="single" w:sz="4" w:space="10" w:color="auto"/>
          <w:right w:val="single" w:sz="4" w:space="10" w:color="auto"/>
        </w:pBdr>
      </w:pPr>
      <w:r>
        <w:lastRenderedPageBreak/>
        <w:t>Example</w:t>
      </w:r>
    </w:p>
    <w:p w:rsidR="00E31650" w:rsidRDefault="00E31650" w:rsidP="002A5769">
      <w:pPr>
        <w:pStyle w:val="Exampletext"/>
        <w:pBdr>
          <w:top w:val="single" w:sz="4" w:space="10" w:color="auto"/>
          <w:left w:val="single" w:sz="4" w:space="10" w:color="auto"/>
          <w:bottom w:val="single" w:sz="4" w:space="10" w:color="auto"/>
          <w:right w:val="single" w:sz="4" w:space="10" w:color="auto"/>
        </w:pBdr>
      </w:pPr>
    </w:p>
    <w:p w:rsidR="00E31650" w:rsidRDefault="00E31650" w:rsidP="002A5769">
      <w:pPr>
        <w:pStyle w:val="Exampletext"/>
        <w:pBdr>
          <w:top w:val="single" w:sz="4" w:space="10" w:color="auto"/>
          <w:left w:val="single" w:sz="4" w:space="10" w:color="auto"/>
          <w:bottom w:val="single" w:sz="4" w:space="10" w:color="auto"/>
          <w:right w:val="single" w:sz="4" w:space="10" w:color="auto"/>
        </w:pBdr>
      </w:pPr>
      <w:r>
        <w:t>Tiny Tunes Trust was formed on 1 May 2016, at which time they appointed a New Zealand-resident trustee, Jazz Ltd</w:t>
      </w:r>
      <w:r w:rsidR="00E60262">
        <w:t>.  F</w:t>
      </w:r>
      <w:r>
        <w:t xml:space="preserve">ollowing Royal </w:t>
      </w:r>
      <w:r w:rsidR="007333F0">
        <w:t>a</w:t>
      </w:r>
      <w:r>
        <w:t xml:space="preserve">ssent of the </w:t>
      </w:r>
      <w:r w:rsidR="00BA1E20">
        <w:t>new legislation</w:t>
      </w:r>
      <w:r>
        <w:t xml:space="preserve">, Jazz Ltd has until 30 June 2017 to apply for registration of Tiny Tunes Trust. </w:t>
      </w:r>
    </w:p>
    <w:p w:rsidR="00E31650" w:rsidRDefault="00E31650" w:rsidP="002A5769">
      <w:pPr>
        <w:pStyle w:val="Exampletext"/>
        <w:pBdr>
          <w:top w:val="single" w:sz="4" w:space="10" w:color="auto"/>
          <w:left w:val="single" w:sz="4" w:space="10" w:color="auto"/>
          <w:bottom w:val="single" w:sz="4" w:space="10" w:color="auto"/>
          <w:right w:val="single" w:sz="4" w:space="10" w:color="auto"/>
        </w:pBdr>
      </w:pPr>
    </w:p>
    <w:p w:rsidR="00E31650" w:rsidRDefault="00E35366" w:rsidP="002A5769">
      <w:pPr>
        <w:pStyle w:val="Exampletext"/>
        <w:pBdr>
          <w:top w:val="single" w:sz="4" w:space="10" w:color="auto"/>
          <w:left w:val="single" w:sz="4" w:space="10" w:color="auto"/>
          <w:bottom w:val="single" w:sz="4" w:space="10" w:color="auto"/>
          <w:right w:val="single" w:sz="4" w:space="10" w:color="auto"/>
        </w:pBdr>
      </w:pPr>
      <w:r>
        <w:t xml:space="preserve">However, </w:t>
      </w:r>
      <w:r w:rsidR="00E31650">
        <w:t>Jazz Ltd appl</w:t>
      </w:r>
      <w:r>
        <w:t>ies</w:t>
      </w:r>
      <w:r w:rsidR="00E31650">
        <w:t xml:space="preserve"> for registration of Tiny Tunes Trust </w:t>
      </w:r>
      <w:r>
        <w:t xml:space="preserve">on </w:t>
      </w:r>
      <w:r w:rsidR="00E31650">
        <w:t>1 September 2017</w:t>
      </w:r>
      <w:r w:rsidR="00E60262">
        <w:t>.  F</w:t>
      </w:r>
      <w:r w:rsidR="00E31650">
        <w:t xml:space="preserve">or the income year beginning 1 April 2017, Tiny Tunes Trust will not be eligible under </w:t>
      </w:r>
      <w:r w:rsidR="00BA1E20">
        <w:t xml:space="preserve">section </w:t>
      </w:r>
      <w:r w:rsidR="00E31650">
        <w:t xml:space="preserve">HC 26 for the tax exemption on foreign-sourced trustee income. </w:t>
      </w:r>
    </w:p>
    <w:p w:rsidR="00E31650" w:rsidRDefault="00E31650" w:rsidP="002A5769">
      <w:pPr>
        <w:pStyle w:val="Exampletext"/>
        <w:pBdr>
          <w:top w:val="single" w:sz="4" w:space="10" w:color="auto"/>
          <w:left w:val="single" w:sz="4" w:space="10" w:color="auto"/>
          <w:bottom w:val="single" w:sz="4" w:space="10" w:color="auto"/>
          <w:right w:val="single" w:sz="4" w:space="10" w:color="auto"/>
        </w:pBdr>
      </w:pPr>
    </w:p>
    <w:p w:rsidR="00E31650" w:rsidRDefault="00E31650" w:rsidP="002A5769">
      <w:pPr>
        <w:pStyle w:val="Exampletext"/>
        <w:pBdr>
          <w:top w:val="single" w:sz="4" w:space="10" w:color="auto"/>
          <w:left w:val="single" w:sz="4" w:space="10" w:color="auto"/>
          <w:bottom w:val="single" w:sz="4" w:space="10" w:color="auto"/>
          <w:right w:val="single" w:sz="4" w:space="10" w:color="auto"/>
        </w:pBdr>
      </w:pPr>
      <w:r>
        <w:t xml:space="preserve">If Jazz Ltd applies and completes the registration of Tiny Tunes Trust by 31 April 2018, they </w:t>
      </w:r>
      <w:r w:rsidR="007B1712">
        <w:t xml:space="preserve">will </w:t>
      </w:r>
      <w:r>
        <w:t xml:space="preserve">be eligible for the income exemption on foreign-sourced trustee income if </w:t>
      </w:r>
      <w:r w:rsidR="007333F0">
        <w:t xml:space="preserve">the </w:t>
      </w:r>
      <w:r>
        <w:t xml:space="preserve">conditions </w:t>
      </w:r>
      <w:r w:rsidR="007333F0">
        <w:t>set in</w:t>
      </w:r>
      <w:r>
        <w:t xml:space="preserve"> </w:t>
      </w:r>
      <w:r w:rsidR="00BA1E20">
        <w:t xml:space="preserve">section </w:t>
      </w:r>
      <w:r>
        <w:t>HC 26(</w:t>
      </w:r>
      <w:r w:rsidR="002051F0">
        <w:t>1</w:t>
      </w:r>
      <w:proofErr w:type="gramStart"/>
      <w:r>
        <w:t>)(</w:t>
      </w:r>
      <w:proofErr w:type="gramEnd"/>
      <w:r>
        <w:t>d) are met.</w:t>
      </w:r>
    </w:p>
    <w:p w:rsidR="00E31650" w:rsidRDefault="00E31650" w:rsidP="002A5769"/>
    <w:p w:rsidR="002A5769" w:rsidRDefault="002A5769" w:rsidP="002A5769"/>
    <w:p w:rsidR="00E31650" w:rsidRPr="00445762" w:rsidRDefault="00E31650" w:rsidP="002A5769">
      <w:pPr>
        <w:rPr>
          <w:i/>
        </w:rPr>
      </w:pPr>
      <w:r w:rsidRPr="00445762">
        <w:rPr>
          <w:i/>
        </w:rPr>
        <w:t>Ongoing compliance with obligations</w:t>
      </w:r>
    </w:p>
    <w:p w:rsidR="00E31650" w:rsidRDefault="00E31650" w:rsidP="002A5769"/>
    <w:p w:rsidR="00E31650" w:rsidRDefault="00E31650" w:rsidP="002A5769">
      <w:r>
        <w:t>To qualify for the exemption the trust must meet the registration requirements</w:t>
      </w:r>
      <w:r w:rsidR="00E60262">
        <w:t>.  I</w:t>
      </w:r>
      <w:r>
        <w:t xml:space="preserve">n addition to these, the resident foreign trustee must comply with the requirements under sections 22, 59B, 59C and 59D as they arise </w:t>
      </w:r>
      <w:r w:rsidR="000C0808">
        <w:t xml:space="preserve">in </w:t>
      </w:r>
      <w:r>
        <w:t>the income year.</w:t>
      </w:r>
    </w:p>
    <w:p w:rsidR="00E31650" w:rsidRDefault="00E31650" w:rsidP="002A5769"/>
    <w:p w:rsidR="00E31650" w:rsidRDefault="00E31650" w:rsidP="002A5769">
      <w:r>
        <w:t>Section 22 contains record</w:t>
      </w:r>
      <w:r w:rsidR="000C0808">
        <w:t>-</w:t>
      </w:r>
      <w:r>
        <w:t>keeping requirements</w:t>
      </w:r>
      <w:r w:rsidR="00E60262">
        <w:t>.  S</w:t>
      </w:r>
      <w:r>
        <w:t xml:space="preserve">ection 59B </w:t>
      </w:r>
      <w:r w:rsidR="000C0808">
        <w:t>sets out</w:t>
      </w:r>
      <w:r>
        <w:t xml:space="preserve"> the obligations </w:t>
      </w:r>
      <w:r w:rsidR="000C0808">
        <w:t xml:space="preserve">for </w:t>
      </w:r>
      <w:r>
        <w:t>registering a trust and what information must be provided</w:t>
      </w:r>
      <w:r w:rsidR="000C0808">
        <w:t xml:space="preserve">. (See </w:t>
      </w:r>
      <w:r>
        <w:t xml:space="preserve">the section </w:t>
      </w:r>
      <w:r w:rsidRPr="00A46B21">
        <w:t xml:space="preserve">“Information </w:t>
      </w:r>
      <w:r w:rsidR="007333F0">
        <w:t>required on</w:t>
      </w:r>
      <w:r w:rsidRPr="00A46B21">
        <w:t xml:space="preserve"> registration”</w:t>
      </w:r>
      <w:r w:rsidR="000C0808">
        <w:t xml:space="preserve"> for more details)</w:t>
      </w:r>
      <w:r w:rsidRPr="007828AB">
        <w:t>.</w:t>
      </w:r>
      <w:r>
        <w:t xml:space="preserve"> </w:t>
      </w:r>
    </w:p>
    <w:p w:rsidR="00E31650" w:rsidRDefault="00E31650" w:rsidP="002A5769">
      <w:r>
        <w:br/>
        <w:t>Section 59C specifies the timeframe</w:t>
      </w:r>
      <w:r w:rsidR="000C0808">
        <w:t>s for</w:t>
      </w:r>
      <w:r>
        <w:t xml:space="preserve"> regist</w:t>
      </w:r>
      <w:r w:rsidR="000C0808">
        <w:t>ering</w:t>
      </w:r>
      <w:r>
        <w:t xml:space="preserve"> the trust and updating the details provided at registration. </w:t>
      </w:r>
    </w:p>
    <w:p w:rsidR="00E31650" w:rsidRDefault="00E31650" w:rsidP="002A5769"/>
    <w:p w:rsidR="00E31650" w:rsidRDefault="00E31650" w:rsidP="002A5769">
      <w:r>
        <w:t xml:space="preserve">Obligations </w:t>
      </w:r>
      <w:r w:rsidR="00BA1E20">
        <w:t xml:space="preserve">in relation </w:t>
      </w:r>
      <w:r>
        <w:t>to annual returns are contained in section 59D</w:t>
      </w:r>
      <w:r w:rsidR="00E60262">
        <w:t>.  A</w:t>
      </w:r>
      <w:r>
        <w:t xml:space="preserve">nnual return due dates are discussed in the section “Annual </w:t>
      </w:r>
      <w:r w:rsidR="00BF6181">
        <w:t xml:space="preserve">disclosure </w:t>
      </w:r>
      <w:r>
        <w:t xml:space="preserve">returns and financial statements”. </w:t>
      </w:r>
    </w:p>
    <w:p w:rsidR="00E31650" w:rsidRDefault="00E31650" w:rsidP="002A5769"/>
    <w:p w:rsidR="00E31650" w:rsidRPr="00670DFA" w:rsidRDefault="007333F0" w:rsidP="002A5769">
      <w:pPr>
        <w:pStyle w:val="Heading4"/>
      </w:pPr>
      <w:r>
        <w:t>Non-compliance</w:t>
      </w:r>
      <w:r w:rsidR="00E31650">
        <w:t xml:space="preserve"> when reasonable efforts made</w:t>
      </w:r>
    </w:p>
    <w:p w:rsidR="00E31650" w:rsidRDefault="00E31650" w:rsidP="002A5769"/>
    <w:p w:rsidR="00E31650" w:rsidRDefault="00E31650" w:rsidP="002A5769">
      <w:r>
        <w:t xml:space="preserve">Amended section HC 26 provides discretion for the Commissioner of Inland Revenue to allow the exemption to still apply if the trustee has made an error </w:t>
      </w:r>
      <w:r w:rsidR="000C0808">
        <w:t>in</w:t>
      </w:r>
      <w:r>
        <w:t xml:space="preserve"> registration requirements</w:t>
      </w:r>
      <w:r w:rsidR="00E60262">
        <w:t>.  T</w:t>
      </w:r>
      <w:r>
        <w:t>his is provided for by new subsection (</w:t>
      </w:r>
      <w:r w:rsidRPr="009C5178">
        <w:t>1B</w:t>
      </w:r>
      <w:r>
        <w:t xml:space="preserve">). </w:t>
      </w:r>
    </w:p>
    <w:p w:rsidR="00E31650" w:rsidRDefault="00E31650" w:rsidP="002A5769"/>
    <w:p w:rsidR="00E31650" w:rsidRDefault="00E31650" w:rsidP="002A5769">
      <w:r>
        <w:t xml:space="preserve">If a resident foreign trustee makes an error or </w:t>
      </w:r>
      <w:r w:rsidR="000C0808">
        <w:t>does not</w:t>
      </w:r>
      <w:r>
        <w:t xml:space="preserve"> comply with the requirements </w:t>
      </w:r>
      <w:r w:rsidR="000C0808">
        <w:t>under</w:t>
      </w:r>
      <w:r>
        <w:t xml:space="preserve"> section</w:t>
      </w:r>
      <w:r w:rsidR="000C0808">
        <w:t>s</w:t>
      </w:r>
      <w:r>
        <w:t xml:space="preserve"> 22, 59B, 59C or 59D, the exemption for foreign-sourced trustee income may still apply if the Commissioner </w:t>
      </w:r>
      <w:r w:rsidR="000C0808">
        <w:t xml:space="preserve">is satisfied </w:t>
      </w:r>
      <w:r>
        <w:t xml:space="preserve">that the trustee made reasonable efforts to comply with the requirements and remedied the </w:t>
      </w:r>
      <w:r w:rsidR="000C0808">
        <w:t xml:space="preserve">error </w:t>
      </w:r>
      <w:r>
        <w:t xml:space="preserve">within a reasonable timeframe.  </w:t>
      </w:r>
    </w:p>
    <w:p w:rsidR="00E31650" w:rsidRPr="00670DFA" w:rsidRDefault="00E31650" w:rsidP="002A5769"/>
    <w:p w:rsidR="00E31650" w:rsidRPr="00670DFA" w:rsidRDefault="00E31650" w:rsidP="002A5769">
      <w:pPr>
        <w:pStyle w:val="Heading4"/>
      </w:pPr>
      <w:r>
        <w:t>Repeal of qualifying resident trustee</w:t>
      </w:r>
    </w:p>
    <w:p w:rsidR="00E31650" w:rsidRPr="00670DFA" w:rsidRDefault="00E31650" w:rsidP="002A5769"/>
    <w:p w:rsidR="00E31650" w:rsidRDefault="00E31650" w:rsidP="002A5769">
      <w:r>
        <w:t xml:space="preserve">The previous tax exemption criteria in </w:t>
      </w:r>
      <w:r w:rsidR="00BA1E20">
        <w:t xml:space="preserve">section </w:t>
      </w:r>
      <w:r>
        <w:t xml:space="preserve">HC 26 recognised “qualifying resident trustees” and provided that the exemption would still be available even if a knowledge offence </w:t>
      </w:r>
      <w:r w:rsidR="009C5178">
        <w:t xml:space="preserve">were </w:t>
      </w:r>
      <w:r>
        <w:t>committed</w:t>
      </w:r>
      <w:r w:rsidR="000C0808">
        <w:t>,</w:t>
      </w:r>
      <w:r>
        <w:t xml:space="preserve"> </w:t>
      </w:r>
      <w:r w:rsidR="000C0808">
        <w:t xml:space="preserve">as long as </w:t>
      </w:r>
      <w:r>
        <w:t>one or more resident foreign trustees were qualifying resident trustees</w:t>
      </w:r>
      <w:r w:rsidR="00E60262">
        <w:t>.  A</w:t>
      </w:r>
      <w:r>
        <w:t xml:space="preserve"> </w:t>
      </w:r>
      <w:r w:rsidR="00BA1E20">
        <w:t>“</w:t>
      </w:r>
      <w:r>
        <w:t>qualifying resident trustee</w:t>
      </w:r>
      <w:r w:rsidR="00BA1E20">
        <w:t>”</w:t>
      </w:r>
      <w:r w:rsidR="000C0808">
        <w:t xml:space="preserve"> was</w:t>
      </w:r>
      <w:r>
        <w:t xml:space="preserve"> defined as a member of an approved organisation</w:t>
      </w:r>
      <w:r w:rsidR="007333F0">
        <w:t>,</w:t>
      </w:r>
      <w:r>
        <w:t xml:space="preserve"> or </w:t>
      </w:r>
      <w:r w:rsidR="000C0808">
        <w:t>for a</w:t>
      </w:r>
      <w:r>
        <w:t xml:space="preserve"> trustee </w:t>
      </w:r>
      <w:r w:rsidR="000C0808">
        <w:t xml:space="preserve">that </w:t>
      </w:r>
      <w:r>
        <w:t xml:space="preserve">is not a natural </w:t>
      </w:r>
      <w:proofErr w:type="gramStart"/>
      <w:r>
        <w:t>person,</w:t>
      </w:r>
      <w:proofErr w:type="gramEnd"/>
      <w:r>
        <w:t xml:space="preserve"> a director or person with significant influence over the entity </w:t>
      </w:r>
      <w:r w:rsidR="007333F0">
        <w:t xml:space="preserve">would have to be </w:t>
      </w:r>
      <w:r>
        <w:t xml:space="preserve">a member of an approved organisation. </w:t>
      </w:r>
    </w:p>
    <w:p w:rsidR="00E31650" w:rsidRDefault="00E31650" w:rsidP="002A5769"/>
    <w:p w:rsidR="00E31650" w:rsidRPr="00670DFA" w:rsidRDefault="00E31650" w:rsidP="002A5769">
      <w:r>
        <w:t xml:space="preserve">The concept of a qualifying resident </w:t>
      </w:r>
      <w:proofErr w:type="gramStart"/>
      <w:r>
        <w:t>trustee,</w:t>
      </w:r>
      <w:proofErr w:type="gramEnd"/>
      <w:r>
        <w:t xml:space="preserve"> and the lesser sanctions that applied in these cases have been repealed.</w:t>
      </w:r>
    </w:p>
    <w:p w:rsidR="00E31650" w:rsidRDefault="00E31650" w:rsidP="002A5769"/>
    <w:p w:rsidR="002944DD" w:rsidRPr="00670DFA" w:rsidRDefault="002944DD" w:rsidP="002A5769">
      <w:pPr>
        <w:pStyle w:val="Heading3"/>
      </w:pPr>
      <w:r>
        <w:lastRenderedPageBreak/>
        <w:t>Requirement to register foreign trust</w:t>
      </w:r>
    </w:p>
    <w:p w:rsidR="002944DD" w:rsidRPr="00670DFA" w:rsidRDefault="002944DD" w:rsidP="002A5769"/>
    <w:p w:rsidR="000B6EF5" w:rsidRDefault="002944DD" w:rsidP="002A5769">
      <w:r>
        <w:t xml:space="preserve">Amended section </w:t>
      </w:r>
      <w:proofErr w:type="gramStart"/>
      <w:r>
        <w:t>59B(</w:t>
      </w:r>
      <w:proofErr w:type="gramEnd"/>
      <w:r>
        <w:t>2) provides that resident foreign trustees of a foreign trust must apply to the Commissioner for registration of the foreign trust.</w:t>
      </w:r>
      <w:r w:rsidR="000B6EF5">
        <w:t xml:space="preserve"> </w:t>
      </w:r>
    </w:p>
    <w:p w:rsidR="000B6EF5" w:rsidRDefault="000B6EF5" w:rsidP="002A5769"/>
    <w:p w:rsidR="000B6EF5" w:rsidRDefault="000B6EF5" w:rsidP="002A5769">
      <w:r>
        <w:t xml:space="preserve">Section </w:t>
      </w:r>
      <w:proofErr w:type="gramStart"/>
      <w:r>
        <w:t>59B(</w:t>
      </w:r>
      <w:proofErr w:type="gramEnd"/>
      <w:r>
        <w:t>1) provides that the Commissioner may approve the application for registration of a foreign trust, if the foreign trust has a resident foreign trustee and the application fee has been paid</w:t>
      </w:r>
      <w:r w:rsidR="00E60262">
        <w:t>.  H</w:t>
      </w:r>
      <w:r>
        <w:t xml:space="preserve">owever, other registration requirements must </w:t>
      </w:r>
      <w:r w:rsidR="006671A3">
        <w:t xml:space="preserve">also </w:t>
      </w:r>
      <w:r>
        <w:t xml:space="preserve">be </w:t>
      </w:r>
      <w:r w:rsidR="006671A3">
        <w:t xml:space="preserve">met </w:t>
      </w:r>
      <w:r>
        <w:t xml:space="preserve">before </w:t>
      </w:r>
      <w:r w:rsidR="006671A3">
        <w:t>approval</w:t>
      </w:r>
      <w:r w:rsidR="00E60262">
        <w:t>.  T</w:t>
      </w:r>
      <w:r>
        <w:t xml:space="preserve">hese are set out in sections </w:t>
      </w:r>
      <w:proofErr w:type="gramStart"/>
      <w:r>
        <w:t>59B(</w:t>
      </w:r>
      <w:proofErr w:type="gramEnd"/>
      <w:r>
        <w:t>3) and (4).</w:t>
      </w:r>
    </w:p>
    <w:p w:rsidR="000B6EF5" w:rsidRDefault="000B6EF5" w:rsidP="002A5769"/>
    <w:p w:rsidR="002944DD" w:rsidRPr="006671A3" w:rsidRDefault="000B6EF5" w:rsidP="002A5769">
      <w:pPr>
        <w:rPr>
          <w:color w:val="000000" w:themeColor="text1"/>
        </w:rPr>
      </w:pPr>
      <w:r w:rsidRPr="008B4B29">
        <w:rPr>
          <w:color w:val="000000" w:themeColor="text1"/>
        </w:rPr>
        <w:t>To be eligible for the foreign-sourced income exemption under section HC 26 of the Income Tax Act 2007, a foreign trust must be registered with the Commissioner of Inland Revenue</w:t>
      </w:r>
      <w:r w:rsidR="00E60262">
        <w:rPr>
          <w:color w:val="000000" w:themeColor="text1"/>
        </w:rPr>
        <w:t>.  T</w:t>
      </w:r>
      <w:r w:rsidRPr="008B4B29">
        <w:rPr>
          <w:color w:val="000000" w:themeColor="text1"/>
        </w:rPr>
        <w:t>his is discussed in the section</w:t>
      </w:r>
      <w:r w:rsidR="007333F0">
        <w:rPr>
          <w:color w:val="000000" w:themeColor="text1"/>
        </w:rPr>
        <w:t xml:space="preserve"> above</w:t>
      </w:r>
      <w:r w:rsidRPr="008B4B29">
        <w:rPr>
          <w:color w:val="000000" w:themeColor="text1"/>
        </w:rPr>
        <w:t xml:space="preserve"> </w:t>
      </w:r>
      <w:r w:rsidRPr="006671A3">
        <w:rPr>
          <w:color w:val="000000" w:themeColor="text1"/>
        </w:rPr>
        <w:t>“</w:t>
      </w:r>
      <w:r w:rsidRPr="002A4E44">
        <w:rPr>
          <w:color w:val="000000" w:themeColor="text1"/>
        </w:rPr>
        <w:t>Tax exemption for foreign-soured amounts: resident trustees</w:t>
      </w:r>
      <w:r w:rsidRPr="006671A3">
        <w:rPr>
          <w:color w:val="000000" w:themeColor="text1"/>
        </w:rPr>
        <w:t>”. “</w:t>
      </w:r>
      <w:r w:rsidRPr="002A4E44">
        <w:rPr>
          <w:color w:val="000000" w:themeColor="text1"/>
        </w:rPr>
        <w:t>Tim</w:t>
      </w:r>
      <w:r w:rsidR="007333F0">
        <w:rPr>
          <w:color w:val="000000" w:themeColor="text1"/>
        </w:rPr>
        <w:t>e limits</w:t>
      </w:r>
      <w:r w:rsidRPr="002A4E44">
        <w:rPr>
          <w:color w:val="000000" w:themeColor="text1"/>
        </w:rPr>
        <w:t xml:space="preserve"> for registration</w:t>
      </w:r>
      <w:r w:rsidRPr="006671A3">
        <w:rPr>
          <w:color w:val="000000" w:themeColor="text1"/>
        </w:rPr>
        <w:t xml:space="preserve">” </w:t>
      </w:r>
      <w:r w:rsidR="007333F0">
        <w:rPr>
          <w:color w:val="000000" w:themeColor="text1"/>
        </w:rPr>
        <w:t xml:space="preserve">below </w:t>
      </w:r>
      <w:r w:rsidRPr="006671A3">
        <w:rPr>
          <w:color w:val="000000" w:themeColor="text1"/>
        </w:rPr>
        <w:t>provides further detail on the tim</w:t>
      </w:r>
      <w:r w:rsidR="007333F0">
        <w:rPr>
          <w:color w:val="000000" w:themeColor="text1"/>
        </w:rPr>
        <w:t>eframes</w:t>
      </w:r>
      <w:r w:rsidRPr="006671A3">
        <w:rPr>
          <w:color w:val="000000" w:themeColor="text1"/>
        </w:rPr>
        <w:t xml:space="preserve"> for registration.</w:t>
      </w:r>
    </w:p>
    <w:p w:rsidR="002944DD" w:rsidRPr="00670DFA" w:rsidRDefault="002944DD" w:rsidP="002A5769"/>
    <w:p w:rsidR="002944DD" w:rsidRPr="00670DFA" w:rsidRDefault="002944DD" w:rsidP="002A5769">
      <w:pPr>
        <w:pStyle w:val="Heading4"/>
      </w:pPr>
      <w:r>
        <w:t>Definition of a foreign trust</w:t>
      </w:r>
    </w:p>
    <w:p w:rsidR="002944DD" w:rsidRPr="00670DFA" w:rsidRDefault="002944DD" w:rsidP="002A5769"/>
    <w:p w:rsidR="002944DD" w:rsidRDefault="00CA1437" w:rsidP="002A5769">
      <w:r>
        <w:t>An amendment has been made to section HC 11 in the Income Tax Act which classifies when a trust is a foreign trust</w:t>
      </w:r>
      <w:r w:rsidR="00E60262">
        <w:t>.  T</w:t>
      </w:r>
      <w:r>
        <w:t xml:space="preserve">his section </w:t>
      </w:r>
      <w:r w:rsidR="002944DD">
        <w:t xml:space="preserve">has been amended to </w:t>
      </w:r>
      <w:r w:rsidR="006671A3">
        <w:t>apply</w:t>
      </w:r>
      <w:r w:rsidR="002944DD">
        <w:t xml:space="preserve"> at a </w:t>
      </w:r>
      <w:r w:rsidR="008B4B29">
        <w:t xml:space="preserve">moment </w:t>
      </w:r>
      <w:r w:rsidR="002944DD">
        <w:t xml:space="preserve">in time rather than at </w:t>
      </w:r>
      <w:r>
        <w:t>in relation to a</w:t>
      </w:r>
      <w:r w:rsidR="002944DD">
        <w:t xml:space="preserve"> distribution.  This </w:t>
      </w:r>
      <w:r>
        <w:t>ensures that</w:t>
      </w:r>
      <w:r w:rsidR="002944DD">
        <w:t xml:space="preserve"> it is not necessary for a </w:t>
      </w:r>
      <w:r w:rsidR="008B4B29">
        <w:t xml:space="preserve">foreign trust to have made a </w:t>
      </w:r>
      <w:r w:rsidR="002944DD">
        <w:t xml:space="preserve">distribution before the disclosure obligations apply. </w:t>
      </w:r>
    </w:p>
    <w:p w:rsidR="002944DD" w:rsidRDefault="002944DD" w:rsidP="002A5769"/>
    <w:p w:rsidR="002944DD" w:rsidRPr="00670DFA" w:rsidRDefault="002944DD" w:rsidP="002A5769">
      <w:r>
        <w:t xml:space="preserve">It is important to note that there are existing disclosure obligations regarding foreign trusts established in New Zealand.  </w:t>
      </w:r>
      <w:r w:rsidR="00745F9F">
        <w:t>T</w:t>
      </w:r>
      <w:r>
        <w:t xml:space="preserve">he previous definition of a foreign trust in relation to a distribution does not appear to have caused any significant uncertainty in practice. However, given the more extensive disclosure obligations, and higher compliance requirements for the tax exemption on foreign-sourced trustee income, the definition has been clarified to ensure there is no ambiguity. </w:t>
      </w:r>
    </w:p>
    <w:p w:rsidR="002944DD" w:rsidRDefault="002944DD" w:rsidP="002A5769"/>
    <w:p w:rsidR="002A5769" w:rsidRDefault="002A5769" w:rsidP="002A5769"/>
    <w:p w:rsidR="002944DD" w:rsidRDefault="002944DD" w:rsidP="002A5769">
      <w:pPr>
        <w:pStyle w:val="Exampleheading"/>
        <w:pBdr>
          <w:top w:val="single" w:sz="4" w:space="10" w:color="auto"/>
          <w:left w:val="single" w:sz="4" w:space="10" w:color="auto"/>
          <w:bottom w:val="single" w:sz="4" w:space="10" w:color="auto"/>
          <w:right w:val="single" w:sz="4" w:space="10" w:color="auto"/>
        </w:pBdr>
      </w:pPr>
      <w:r>
        <w:t>Example</w:t>
      </w:r>
    </w:p>
    <w:p w:rsidR="002944DD" w:rsidRDefault="002944DD" w:rsidP="002A5769">
      <w:pPr>
        <w:pStyle w:val="Exampletext"/>
        <w:pBdr>
          <w:top w:val="single" w:sz="4" w:space="10" w:color="auto"/>
          <w:left w:val="single" w:sz="4" w:space="10" w:color="auto"/>
          <w:bottom w:val="single" w:sz="4" w:space="10" w:color="auto"/>
          <w:right w:val="single" w:sz="4" w:space="10" w:color="auto"/>
        </w:pBdr>
      </w:pPr>
    </w:p>
    <w:p w:rsidR="002944DD" w:rsidRDefault="002944DD" w:rsidP="002A5769">
      <w:pPr>
        <w:pStyle w:val="Exampletext"/>
        <w:pBdr>
          <w:top w:val="single" w:sz="4" w:space="10" w:color="auto"/>
          <w:left w:val="single" w:sz="4" w:space="10" w:color="auto"/>
          <w:bottom w:val="single" w:sz="4" w:space="10" w:color="auto"/>
          <w:right w:val="single" w:sz="4" w:space="10" w:color="auto"/>
        </w:pBdr>
      </w:pPr>
      <w:r>
        <w:t>Henry is</w:t>
      </w:r>
      <w:r w:rsidR="007333F0">
        <w:t xml:space="preserve"> a New Zealand resident for tax purposes</w:t>
      </w:r>
      <w:r w:rsidR="00E60262">
        <w:t>.  H</w:t>
      </w:r>
      <w:r w:rsidR="007333F0">
        <w:t>e is</w:t>
      </w:r>
      <w:r>
        <w:t xml:space="preserve"> appointed as a trustee of </w:t>
      </w:r>
      <w:r w:rsidR="007333F0">
        <w:t xml:space="preserve">the </w:t>
      </w:r>
      <w:r>
        <w:t>newly formed</w:t>
      </w:r>
      <w:r w:rsidR="000346C3">
        <w:t xml:space="preserve"> </w:t>
      </w:r>
      <w:r>
        <w:t>MNO Trust</w:t>
      </w:r>
      <w:r w:rsidR="007333F0">
        <w:t>, which</w:t>
      </w:r>
      <w:r>
        <w:t xml:space="preserve"> has one settlor who is resident in the United Kingdom. </w:t>
      </w:r>
    </w:p>
    <w:p w:rsidR="002944DD" w:rsidRDefault="002944DD" w:rsidP="002A5769">
      <w:pPr>
        <w:pStyle w:val="Exampletext"/>
        <w:pBdr>
          <w:top w:val="single" w:sz="4" w:space="10" w:color="auto"/>
          <w:left w:val="single" w:sz="4" w:space="10" w:color="auto"/>
          <w:bottom w:val="single" w:sz="4" w:space="10" w:color="auto"/>
          <w:right w:val="single" w:sz="4" w:space="10" w:color="auto"/>
        </w:pBdr>
      </w:pPr>
    </w:p>
    <w:p w:rsidR="002944DD" w:rsidRDefault="002944DD" w:rsidP="002A5769">
      <w:pPr>
        <w:pStyle w:val="Exampletext"/>
        <w:pBdr>
          <w:top w:val="single" w:sz="4" w:space="10" w:color="auto"/>
          <w:left w:val="single" w:sz="4" w:space="10" w:color="auto"/>
          <w:bottom w:val="single" w:sz="4" w:space="10" w:color="auto"/>
          <w:right w:val="single" w:sz="4" w:space="10" w:color="auto"/>
        </w:pBdr>
      </w:pPr>
      <w:r>
        <w:t>MNO Trust has not made any distributions to beneficiaries of the trust</w:t>
      </w:r>
      <w:r w:rsidR="00E60262">
        <w:t>.  O</w:t>
      </w:r>
      <w:r>
        <w:t>n the date of his appointment as a trustee for MNO Trust, Henry will be required to register MNO Trust under section 59B(2) of the T</w:t>
      </w:r>
      <w:r w:rsidR="00987BDB">
        <w:t>ax Administration Act 1994.</w:t>
      </w:r>
      <w:r>
        <w:t xml:space="preserve"> </w:t>
      </w:r>
    </w:p>
    <w:p w:rsidR="002944DD" w:rsidRDefault="002944DD" w:rsidP="002A5769"/>
    <w:p w:rsidR="002A5769" w:rsidRDefault="002A5769" w:rsidP="002A5769"/>
    <w:p w:rsidR="002944DD" w:rsidRPr="00670DFA" w:rsidRDefault="002944DD" w:rsidP="002A5769">
      <w:pPr>
        <w:pStyle w:val="Heading4"/>
      </w:pPr>
      <w:r>
        <w:t>Resident foreign trustees</w:t>
      </w:r>
    </w:p>
    <w:p w:rsidR="002944DD" w:rsidRDefault="002944DD" w:rsidP="002A5769"/>
    <w:p w:rsidR="00745F9F" w:rsidRDefault="007D2597" w:rsidP="002A5769">
      <w:r>
        <w:t xml:space="preserve">A </w:t>
      </w:r>
      <w:r w:rsidR="000706BD">
        <w:t>r</w:t>
      </w:r>
      <w:r w:rsidR="002944DD">
        <w:t>esident foreign trustee</w:t>
      </w:r>
      <w:r w:rsidR="007333F0">
        <w:t xml:space="preserve"> is</w:t>
      </w:r>
      <w:r w:rsidR="002944DD">
        <w:t xml:space="preserve"> defined in section 3(1) of the Tax Administration Act as</w:t>
      </w:r>
      <w:r w:rsidR="00745F9F">
        <w:t xml:space="preserve"> </w:t>
      </w:r>
      <w:r w:rsidR="002944DD">
        <w:t>a</w:t>
      </w:r>
      <w:r w:rsidR="00A54BD7">
        <w:t xml:space="preserve"> person who</w:t>
      </w:r>
      <w:r w:rsidR="00745F9F">
        <w:t>:</w:t>
      </w:r>
      <w:r w:rsidR="00A54BD7">
        <w:t xml:space="preserve"> </w:t>
      </w:r>
    </w:p>
    <w:p w:rsidR="002A5769" w:rsidRDefault="002A5769" w:rsidP="002A5769"/>
    <w:p w:rsidR="00745F9F" w:rsidRDefault="00A54BD7" w:rsidP="002A5769">
      <w:pPr>
        <w:pStyle w:val="ListParagraph"/>
        <w:numPr>
          <w:ilvl w:val="0"/>
          <w:numId w:val="34"/>
        </w:numPr>
        <w:spacing w:after="140" w:line="240" w:lineRule="auto"/>
        <w:ind w:left="567" w:hanging="567"/>
        <w:contextualSpacing w:val="0"/>
        <w:jc w:val="both"/>
        <w:rPr>
          <w:rFonts w:ascii="Times New Roman" w:hAnsi="Times New Roman" w:cs="Times New Roman"/>
          <w:sz w:val="24"/>
          <w:szCs w:val="24"/>
        </w:rPr>
      </w:pPr>
      <w:r w:rsidRPr="00745F9F">
        <w:rPr>
          <w:rFonts w:ascii="Times New Roman" w:hAnsi="Times New Roman" w:cs="Times New Roman"/>
          <w:sz w:val="24"/>
          <w:szCs w:val="24"/>
        </w:rPr>
        <w:t>acts as a</w:t>
      </w:r>
      <w:r w:rsidR="002944DD" w:rsidRPr="00745F9F">
        <w:rPr>
          <w:rFonts w:ascii="Times New Roman" w:hAnsi="Times New Roman" w:cs="Times New Roman"/>
          <w:sz w:val="24"/>
          <w:szCs w:val="24"/>
        </w:rPr>
        <w:t xml:space="preserve"> trustee of a foreign trust that is not registered as a charitable entity under the Charities Act 2005</w:t>
      </w:r>
      <w:r w:rsidR="00745F9F" w:rsidRPr="00745F9F">
        <w:rPr>
          <w:rFonts w:ascii="Times New Roman" w:hAnsi="Times New Roman" w:cs="Times New Roman"/>
          <w:sz w:val="24"/>
          <w:szCs w:val="24"/>
        </w:rPr>
        <w:t>;</w:t>
      </w:r>
      <w:r w:rsidR="002944DD" w:rsidRPr="00745F9F">
        <w:rPr>
          <w:rFonts w:ascii="Times New Roman" w:hAnsi="Times New Roman" w:cs="Times New Roman"/>
          <w:sz w:val="24"/>
          <w:szCs w:val="24"/>
        </w:rPr>
        <w:t xml:space="preserve"> and </w:t>
      </w:r>
    </w:p>
    <w:p w:rsidR="00745F9F" w:rsidRPr="00745F9F" w:rsidRDefault="002944DD" w:rsidP="002A5769">
      <w:pPr>
        <w:pStyle w:val="ListParagraph"/>
        <w:numPr>
          <w:ilvl w:val="0"/>
          <w:numId w:val="34"/>
        </w:numPr>
        <w:spacing w:line="240" w:lineRule="auto"/>
        <w:ind w:left="567" w:hanging="567"/>
        <w:jc w:val="both"/>
        <w:rPr>
          <w:rFonts w:ascii="Times New Roman" w:hAnsi="Times New Roman" w:cs="Times New Roman"/>
          <w:sz w:val="24"/>
          <w:szCs w:val="24"/>
        </w:rPr>
      </w:pPr>
      <w:proofErr w:type="gramStart"/>
      <w:r w:rsidRPr="00745F9F">
        <w:rPr>
          <w:rFonts w:ascii="Times New Roman" w:hAnsi="Times New Roman" w:cs="Times New Roman"/>
          <w:sz w:val="24"/>
          <w:szCs w:val="24"/>
        </w:rPr>
        <w:t>is</w:t>
      </w:r>
      <w:proofErr w:type="gramEnd"/>
      <w:r w:rsidRPr="00745F9F">
        <w:rPr>
          <w:rFonts w:ascii="Times New Roman" w:hAnsi="Times New Roman" w:cs="Times New Roman"/>
          <w:sz w:val="24"/>
          <w:szCs w:val="24"/>
        </w:rPr>
        <w:t xml:space="preserve"> resident in New Zealand within the meaning</w:t>
      </w:r>
      <w:r w:rsidR="003C7A84" w:rsidRPr="00745F9F">
        <w:rPr>
          <w:rFonts w:ascii="Times New Roman" w:hAnsi="Times New Roman" w:cs="Times New Roman"/>
          <w:sz w:val="24"/>
          <w:szCs w:val="24"/>
        </w:rPr>
        <w:t xml:space="preserve"> of </w:t>
      </w:r>
      <w:r w:rsidR="00BA1E20">
        <w:rPr>
          <w:rFonts w:ascii="Times New Roman" w:hAnsi="Times New Roman" w:cs="Times New Roman"/>
          <w:sz w:val="24"/>
          <w:szCs w:val="24"/>
        </w:rPr>
        <w:t>s</w:t>
      </w:r>
      <w:r w:rsidR="003C7A84" w:rsidRPr="00745F9F">
        <w:rPr>
          <w:rFonts w:ascii="Times New Roman" w:hAnsi="Times New Roman" w:cs="Times New Roman"/>
          <w:sz w:val="24"/>
          <w:szCs w:val="24"/>
        </w:rPr>
        <w:t>ection</w:t>
      </w:r>
      <w:r w:rsidR="00BA1E20">
        <w:rPr>
          <w:rFonts w:ascii="Times New Roman" w:hAnsi="Times New Roman" w:cs="Times New Roman"/>
          <w:sz w:val="24"/>
          <w:szCs w:val="24"/>
        </w:rPr>
        <w:t>s</w:t>
      </w:r>
      <w:r w:rsidR="003C7A84" w:rsidRPr="00745F9F">
        <w:rPr>
          <w:rFonts w:ascii="Times New Roman" w:hAnsi="Times New Roman" w:cs="Times New Roman"/>
          <w:sz w:val="24"/>
          <w:szCs w:val="24"/>
        </w:rPr>
        <w:t xml:space="preserve"> YD 1, YD 2 or YD 3 (excluding section YD 2(2)) of the</w:t>
      </w:r>
      <w:r w:rsidRPr="00745F9F">
        <w:rPr>
          <w:rFonts w:ascii="Times New Roman" w:hAnsi="Times New Roman" w:cs="Times New Roman"/>
          <w:sz w:val="24"/>
          <w:szCs w:val="24"/>
        </w:rPr>
        <w:t xml:space="preserve"> Income Tax Act</w:t>
      </w:r>
      <w:r w:rsidR="003C7A84" w:rsidRPr="00745F9F">
        <w:rPr>
          <w:rFonts w:ascii="Times New Roman" w:hAnsi="Times New Roman" w:cs="Times New Roman"/>
          <w:sz w:val="24"/>
          <w:szCs w:val="24"/>
        </w:rPr>
        <w:t xml:space="preserve"> 2007</w:t>
      </w:r>
      <w:r w:rsidRPr="00745F9F">
        <w:rPr>
          <w:rFonts w:ascii="Times New Roman" w:hAnsi="Times New Roman" w:cs="Times New Roman"/>
          <w:sz w:val="24"/>
          <w:szCs w:val="24"/>
        </w:rPr>
        <w:t xml:space="preserve">. </w:t>
      </w:r>
    </w:p>
    <w:p w:rsidR="002944DD" w:rsidRDefault="002944DD" w:rsidP="002A5769">
      <w:r>
        <w:lastRenderedPageBreak/>
        <w:t>This definition is unchanged from the previous disclosure requirements for foreign trusts</w:t>
      </w:r>
      <w:r w:rsidR="00E60262">
        <w:t>.  A</w:t>
      </w:r>
      <w:r>
        <w:t xml:space="preserve">mendments were made during the select committee stage of the Taxation (Business Tax, Exchange of Information, and Remedial Matters) </w:t>
      </w:r>
      <w:r w:rsidR="00BA1E20">
        <w:t xml:space="preserve">Bill </w:t>
      </w:r>
      <w:r>
        <w:t>to</w:t>
      </w:r>
      <w:r w:rsidR="00433ECC">
        <w:t xml:space="preserve"> ensure the use of</w:t>
      </w:r>
      <w:r>
        <w:t xml:space="preserve"> the same term and provide consistency.</w:t>
      </w:r>
    </w:p>
    <w:p w:rsidR="002944DD" w:rsidRDefault="002944DD" w:rsidP="002A5769"/>
    <w:p w:rsidR="002944DD" w:rsidRDefault="002944DD" w:rsidP="002A5769">
      <w:pPr>
        <w:pStyle w:val="Heading4"/>
      </w:pPr>
      <w:r>
        <w:t>Contact trustee</w:t>
      </w:r>
    </w:p>
    <w:p w:rsidR="002944DD" w:rsidRPr="00C75E31" w:rsidRDefault="002944DD" w:rsidP="002A5769"/>
    <w:p w:rsidR="002944DD" w:rsidRDefault="002944DD" w:rsidP="002A5769">
      <w:r>
        <w:t>It is possible that a foreign trust may have more than one resident foreign trustee</w:t>
      </w:r>
      <w:r w:rsidR="00E60262">
        <w:t>.  S</w:t>
      </w:r>
      <w:r>
        <w:t xml:space="preserve">ection 59B(7) provides that </w:t>
      </w:r>
      <w:r w:rsidR="004F5FC5">
        <w:t xml:space="preserve">if </w:t>
      </w:r>
      <w:r w:rsidR="00A60783">
        <w:t xml:space="preserve">there is more than one resident foreign trustee </w:t>
      </w:r>
      <w:r>
        <w:t xml:space="preserve">each resident foreign trustee is responsible for </w:t>
      </w:r>
      <w:r w:rsidR="004F5FC5">
        <w:t>meeting</w:t>
      </w:r>
      <w:r>
        <w:t xml:space="preserve"> obligations relating to the foreign trust, including registration, disclosure of information, annual returns, financial statements and payment of fees.</w:t>
      </w:r>
    </w:p>
    <w:p w:rsidR="002944DD" w:rsidRDefault="002944DD" w:rsidP="002A5769"/>
    <w:p w:rsidR="00A60783" w:rsidRDefault="002944DD" w:rsidP="002A5769">
      <w:r>
        <w:t>However, the trustee who applies for registration of the foreign trust then becomes responsible for communicating with the Commissioner on matters relating to the trust and is known as the “contact trustee”</w:t>
      </w:r>
      <w:r w:rsidR="00E60262">
        <w:t>.  T</w:t>
      </w:r>
      <w:r w:rsidR="00A60783">
        <w:t xml:space="preserve">he contact trustee is the only trustee that is required to communicate the required information to the Commissioner.  </w:t>
      </w:r>
      <w:r>
        <w:t>This</w:t>
      </w:r>
      <w:r w:rsidR="00A60783">
        <w:t xml:space="preserve"> </w:t>
      </w:r>
      <w:r>
        <w:t xml:space="preserve">is provided for in section </w:t>
      </w:r>
      <w:proofErr w:type="gramStart"/>
      <w:r>
        <w:t>59B(</w:t>
      </w:r>
      <w:proofErr w:type="gramEnd"/>
      <w:r>
        <w:t>3)</w:t>
      </w:r>
      <w:r w:rsidR="00E60262">
        <w:t>.  T</w:t>
      </w:r>
      <w:r w:rsidR="00A60783">
        <w:t xml:space="preserve">his provision allows the resident foreign trustees to </w:t>
      </w:r>
      <w:r w:rsidR="004F5FC5">
        <w:t xml:space="preserve">choose </w:t>
      </w:r>
      <w:r w:rsidR="00A60783">
        <w:t>the contact trustee</w:t>
      </w:r>
      <w:r w:rsidR="004F5FC5">
        <w:t xml:space="preserve"> and avoids duplicat</w:t>
      </w:r>
      <w:r w:rsidR="00AF6B40">
        <w:t>ion of effort and information</w:t>
      </w:r>
      <w:r w:rsidR="004F5FC5">
        <w:t>.</w:t>
      </w:r>
    </w:p>
    <w:p w:rsidR="002944DD" w:rsidRDefault="002944DD" w:rsidP="002A5769"/>
    <w:p w:rsidR="002944DD" w:rsidRDefault="004F5FC5" w:rsidP="002A5769">
      <w:r>
        <w:t>If</w:t>
      </w:r>
      <w:r w:rsidR="002944DD">
        <w:t xml:space="preserve"> the contact trustee </w:t>
      </w:r>
      <w:r>
        <w:t>relinquishes that role</w:t>
      </w:r>
      <w:r w:rsidR="002944DD">
        <w:t xml:space="preserve"> (for example, if they </w:t>
      </w:r>
      <w:r>
        <w:t>are no longer a trustee or</w:t>
      </w:r>
      <w:r w:rsidR="002944DD">
        <w:t xml:space="preserve"> become non-resident), </w:t>
      </w:r>
      <w:r w:rsidR="006358A3">
        <w:t>new sub</w:t>
      </w:r>
      <w:r w:rsidR="002944DD">
        <w:t xml:space="preserve">section </w:t>
      </w:r>
      <w:proofErr w:type="gramStart"/>
      <w:r w:rsidR="002944DD">
        <w:t>59B(</w:t>
      </w:r>
      <w:proofErr w:type="gramEnd"/>
      <w:r w:rsidR="006F04E9">
        <w:t>6</w:t>
      </w:r>
      <w:r w:rsidR="002944DD">
        <w:t xml:space="preserve">) </w:t>
      </w:r>
      <w:r>
        <w:t>requires them to</w:t>
      </w:r>
      <w:r w:rsidR="002944DD">
        <w:t xml:space="preserve"> provide the name and contact details of the new contact trustee and the date on which this trustee will take over</w:t>
      </w:r>
      <w:r w:rsidR="00153134">
        <w:t xml:space="preserve"> the duties of the contact trustee</w:t>
      </w:r>
      <w:r w:rsidR="00E60262">
        <w:t>.  T</w:t>
      </w:r>
      <w:r w:rsidR="002944DD">
        <w:t xml:space="preserve">he </w:t>
      </w:r>
      <w:r w:rsidR="009A0E23">
        <w:t xml:space="preserve">outgoing </w:t>
      </w:r>
      <w:r w:rsidR="002944DD">
        <w:t xml:space="preserve">contact trustee must also </w:t>
      </w:r>
      <w:r w:rsidR="009A0E23">
        <w:t xml:space="preserve">confirm their own contact details or </w:t>
      </w:r>
      <w:r w:rsidR="002944DD">
        <w:t>provide their updated contact details to the Commissioner.</w:t>
      </w:r>
    </w:p>
    <w:p w:rsidR="002944DD" w:rsidRDefault="002944DD" w:rsidP="002A5769"/>
    <w:p w:rsidR="002944DD" w:rsidRDefault="002944DD" w:rsidP="002A5769">
      <w:pPr>
        <w:pStyle w:val="Exampletext"/>
      </w:pPr>
    </w:p>
    <w:p w:rsidR="002944DD" w:rsidRDefault="002944DD" w:rsidP="002A5769">
      <w:pPr>
        <w:pStyle w:val="Exampleheading"/>
        <w:pBdr>
          <w:top w:val="single" w:sz="4" w:space="10" w:color="auto"/>
          <w:left w:val="single" w:sz="4" w:space="10" w:color="auto"/>
          <w:bottom w:val="single" w:sz="4" w:space="10" w:color="auto"/>
          <w:right w:val="single" w:sz="4" w:space="10" w:color="auto"/>
        </w:pBdr>
      </w:pPr>
      <w:r>
        <w:t>Example</w:t>
      </w:r>
    </w:p>
    <w:p w:rsidR="00FB10A5" w:rsidRDefault="00FB10A5" w:rsidP="002A5769">
      <w:pPr>
        <w:pStyle w:val="Exampletext"/>
        <w:pBdr>
          <w:top w:val="single" w:sz="4" w:space="10" w:color="auto"/>
          <w:left w:val="single" w:sz="4" w:space="10" w:color="auto"/>
          <w:bottom w:val="single" w:sz="4" w:space="10" w:color="auto"/>
          <w:right w:val="single" w:sz="4" w:space="10" w:color="auto"/>
        </w:pBdr>
      </w:pPr>
    </w:p>
    <w:p w:rsidR="002944DD" w:rsidRDefault="002944DD" w:rsidP="002A5769">
      <w:pPr>
        <w:pStyle w:val="Exampletext"/>
        <w:pBdr>
          <w:top w:val="single" w:sz="4" w:space="10" w:color="auto"/>
          <w:left w:val="single" w:sz="4" w:space="10" w:color="auto"/>
          <w:bottom w:val="single" w:sz="4" w:space="10" w:color="auto"/>
          <w:right w:val="single" w:sz="4" w:space="10" w:color="auto"/>
        </w:pBdr>
      </w:pPr>
      <w:r>
        <w:t xml:space="preserve">Jazz Ltd is a resident foreign trustee </w:t>
      </w:r>
      <w:r w:rsidR="004F5FC5">
        <w:t xml:space="preserve">and currently the contact trustee </w:t>
      </w:r>
      <w:r>
        <w:t xml:space="preserve">for Tiny </w:t>
      </w:r>
      <w:r w:rsidR="00153134">
        <w:t xml:space="preserve">Tunes </w:t>
      </w:r>
      <w:r>
        <w:t>Trust</w:t>
      </w:r>
      <w:r w:rsidR="00E60262">
        <w:t>.  J</w:t>
      </w:r>
      <w:r>
        <w:t xml:space="preserve">azz Ltd is being wound up and will </w:t>
      </w:r>
      <w:r w:rsidR="004F5FC5">
        <w:t>no longer</w:t>
      </w:r>
      <w:r>
        <w:t xml:space="preserve"> be a trustee</w:t>
      </w:r>
      <w:r w:rsidR="00E60262">
        <w:t>.  T</w:t>
      </w:r>
      <w:r>
        <w:t xml:space="preserve">iny </w:t>
      </w:r>
      <w:r w:rsidR="00153134">
        <w:t xml:space="preserve">Tunes </w:t>
      </w:r>
      <w:r>
        <w:t>Trust has an</w:t>
      </w:r>
      <w:r w:rsidR="004F5FC5">
        <w:t>other</w:t>
      </w:r>
      <w:r>
        <w:t xml:space="preserve"> N</w:t>
      </w:r>
      <w:r w:rsidR="004F5FC5">
        <w:t xml:space="preserve">ew </w:t>
      </w:r>
      <w:r>
        <w:t>Z</w:t>
      </w:r>
      <w:r w:rsidR="004F5FC5">
        <w:t>ealand</w:t>
      </w:r>
      <w:r>
        <w:t xml:space="preserve">-resident trustee, Brass Ltd. </w:t>
      </w:r>
    </w:p>
    <w:p w:rsidR="002944DD" w:rsidRDefault="002944DD" w:rsidP="002A5769">
      <w:pPr>
        <w:pStyle w:val="Exampletext"/>
        <w:pBdr>
          <w:top w:val="single" w:sz="4" w:space="10" w:color="auto"/>
          <w:left w:val="single" w:sz="4" w:space="10" w:color="auto"/>
          <w:bottom w:val="single" w:sz="4" w:space="10" w:color="auto"/>
          <w:right w:val="single" w:sz="4" w:space="10" w:color="auto"/>
        </w:pBdr>
      </w:pPr>
    </w:p>
    <w:p w:rsidR="002944DD" w:rsidRDefault="004F5FC5" w:rsidP="002A5769">
      <w:pPr>
        <w:pStyle w:val="Exampletext"/>
        <w:pBdr>
          <w:top w:val="single" w:sz="4" w:space="10" w:color="auto"/>
          <w:left w:val="single" w:sz="4" w:space="10" w:color="auto"/>
          <w:bottom w:val="single" w:sz="4" w:space="10" w:color="auto"/>
          <w:right w:val="single" w:sz="4" w:space="10" w:color="auto"/>
        </w:pBdr>
      </w:pPr>
      <w:r>
        <w:t xml:space="preserve">Jazz Ltd and Brass Ltd decide on the date that Brass Ltd will become the contact trustee for the trust.  </w:t>
      </w:r>
      <w:r w:rsidR="002944DD">
        <w:t xml:space="preserve">Jazz Ltd informs Inland Revenue that </w:t>
      </w:r>
      <w:r w:rsidR="00BA1E20">
        <w:t xml:space="preserve">it </w:t>
      </w:r>
      <w:r>
        <w:t>will no longer</w:t>
      </w:r>
      <w:r w:rsidR="002944DD">
        <w:t xml:space="preserve"> be the contact trustee for Tiny </w:t>
      </w:r>
      <w:r w:rsidR="00153134">
        <w:t xml:space="preserve">Tunes </w:t>
      </w:r>
      <w:r w:rsidR="002944DD">
        <w:t xml:space="preserve">Trust and that Brass Ltd will </w:t>
      </w:r>
      <w:r>
        <w:t xml:space="preserve">take over the </w:t>
      </w:r>
      <w:r w:rsidR="00AF6B40">
        <w:t>role, and</w:t>
      </w:r>
      <w:r>
        <w:t xml:space="preserve"> the date this will happen</w:t>
      </w:r>
      <w:r w:rsidR="00E60262">
        <w:t>.  J</w:t>
      </w:r>
      <w:r>
        <w:t xml:space="preserve">azz Ltd also </w:t>
      </w:r>
      <w:r w:rsidR="002944DD">
        <w:t xml:space="preserve">confirms </w:t>
      </w:r>
      <w:r>
        <w:t>its own current contact details and advises</w:t>
      </w:r>
      <w:r w:rsidR="002944DD">
        <w:t xml:space="preserve"> the email address</w:t>
      </w:r>
      <w:r>
        <w:t xml:space="preserve"> and</w:t>
      </w:r>
      <w:r w:rsidR="002944DD">
        <w:t xml:space="preserve"> business address of Brass Ltd.</w:t>
      </w:r>
    </w:p>
    <w:p w:rsidR="002944DD" w:rsidRDefault="002944DD" w:rsidP="002A5769"/>
    <w:p w:rsidR="002944DD" w:rsidRDefault="002944DD" w:rsidP="002A5769"/>
    <w:p w:rsidR="00621CF2" w:rsidRDefault="00621CF2" w:rsidP="002A5769">
      <w:pPr>
        <w:pStyle w:val="Heading3"/>
      </w:pPr>
      <w:r>
        <w:t>T</w:t>
      </w:r>
      <w:r w:rsidR="00367E55">
        <w:t>ime limits</w:t>
      </w:r>
      <w:r>
        <w:t xml:space="preserve"> for registration</w:t>
      </w:r>
    </w:p>
    <w:p w:rsidR="00621CF2" w:rsidRDefault="00621CF2" w:rsidP="002A5769"/>
    <w:p w:rsidR="00621CF2" w:rsidRDefault="007D6968" w:rsidP="002A5769">
      <w:r>
        <w:t>The criteria for eligibility for the tax exemption in a</w:t>
      </w:r>
      <w:r w:rsidR="00621CF2">
        <w:t xml:space="preserve">mended section HC 26 of the Income Tax Act 2007 is connected to the time limits for registration </w:t>
      </w:r>
      <w:r w:rsidR="00FF12EB">
        <w:t>set</w:t>
      </w:r>
      <w:r w:rsidR="00621CF2">
        <w:t xml:space="preserve"> in section 59C of the Tax Administration Act 1994.</w:t>
      </w:r>
    </w:p>
    <w:p w:rsidR="00621CF2" w:rsidRDefault="00621CF2" w:rsidP="002A5769"/>
    <w:p w:rsidR="00621CF2" w:rsidRDefault="007D6968" w:rsidP="002A5769">
      <w:r>
        <w:t xml:space="preserve">New section 59C sets out the time limits for </w:t>
      </w:r>
      <w:r w:rsidR="009D0190">
        <w:t>applying to</w:t>
      </w:r>
      <w:r>
        <w:t xml:space="preserve"> regist</w:t>
      </w:r>
      <w:r w:rsidR="009D0190">
        <w:t>er</w:t>
      </w:r>
      <w:r>
        <w:t xml:space="preserve"> the trust and the time limits for updating the information that must be disclosed.  </w:t>
      </w:r>
      <w:r w:rsidR="00621CF2">
        <w:t>There are three different time limits</w:t>
      </w:r>
      <w:r w:rsidR="009D0190">
        <w:t>,</w:t>
      </w:r>
      <w:r>
        <w:t xml:space="preserve"> depending on </w:t>
      </w:r>
      <w:r w:rsidR="009D0190">
        <w:t xml:space="preserve">the trust’s </w:t>
      </w:r>
      <w:r>
        <w:t>category</w:t>
      </w:r>
      <w:r w:rsidR="00621CF2">
        <w:t xml:space="preserve">: </w:t>
      </w:r>
    </w:p>
    <w:p w:rsidR="00FB10A5" w:rsidRDefault="00FB10A5" w:rsidP="002A5769"/>
    <w:p w:rsidR="002A3412" w:rsidRPr="00546091" w:rsidRDefault="009D0190" w:rsidP="002A5769">
      <w:pPr>
        <w:pStyle w:val="ListParagraph"/>
        <w:numPr>
          <w:ilvl w:val="0"/>
          <w:numId w:val="33"/>
        </w:numPr>
        <w:spacing w:after="1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t</w:t>
      </w:r>
      <w:r w:rsidR="002A3412" w:rsidRPr="00546091">
        <w:rPr>
          <w:rFonts w:ascii="Times New Roman" w:hAnsi="Times New Roman" w:cs="Times New Roman"/>
          <w:sz w:val="24"/>
          <w:szCs w:val="24"/>
        </w:rPr>
        <w:t xml:space="preserve">rusts that become required to register </w:t>
      </w:r>
      <w:r w:rsidR="002A3412" w:rsidRPr="00080583">
        <w:rPr>
          <w:rFonts w:ascii="Times New Roman" w:hAnsi="Times New Roman" w:cs="Times New Roman"/>
          <w:b/>
          <w:sz w:val="24"/>
          <w:szCs w:val="24"/>
        </w:rPr>
        <w:t>after</w:t>
      </w:r>
      <w:r w:rsidR="002A3412" w:rsidRPr="00690551">
        <w:rPr>
          <w:rFonts w:ascii="Times New Roman" w:hAnsi="Times New Roman" w:cs="Times New Roman"/>
          <w:sz w:val="24"/>
          <w:szCs w:val="24"/>
        </w:rPr>
        <w:t xml:space="preserve"> </w:t>
      </w:r>
      <w:r w:rsidR="002A3412" w:rsidRPr="00546091">
        <w:rPr>
          <w:rFonts w:ascii="Times New Roman" w:hAnsi="Times New Roman" w:cs="Times New Roman"/>
          <w:sz w:val="24"/>
          <w:szCs w:val="24"/>
        </w:rPr>
        <w:t>the date of enactment (new trusts)</w:t>
      </w:r>
      <w:r w:rsidR="00FE717F">
        <w:rPr>
          <w:rFonts w:ascii="Times New Roman" w:hAnsi="Times New Roman" w:cs="Times New Roman"/>
          <w:sz w:val="24"/>
          <w:szCs w:val="24"/>
        </w:rPr>
        <w:t>;</w:t>
      </w:r>
    </w:p>
    <w:p w:rsidR="00621CF2" w:rsidRPr="00546091" w:rsidRDefault="009D0190" w:rsidP="002A5769">
      <w:pPr>
        <w:pStyle w:val="ListParagraph"/>
        <w:numPr>
          <w:ilvl w:val="0"/>
          <w:numId w:val="33"/>
        </w:numPr>
        <w:spacing w:after="1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t</w:t>
      </w:r>
      <w:r w:rsidR="00621CF2" w:rsidRPr="00546091">
        <w:rPr>
          <w:rFonts w:ascii="Times New Roman" w:hAnsi="Times New Roman" w:cs="Times New Roman"/>
          <w:sz w:val="24"/>
          <w:szCs w:val="24"/>
        </w:rPr>
        <w:t>rusts that become require</w:t>
      </w:r>
      <w:r w:rsidR="007D6968" w:rsidRPr="00546091">
        <w:rPr>
          <w:rFonts w:ascii="Times New Roman" w:hAnsi="Times New Roman" w:cs="Times New Roman"/>
          <w:sz w:val="24"/>
          <w:szCs w:val="24"/>
        </w:rPr>
        <w:t>d</w:t>
      </w:r>
      <w:r w:rsidR="00621CF2" w:rsidRPr="00546091">
        <w:rPr>
          <w:rFonts w:ascii="Times New Roman" w:hAnsi="Times New Roman" w:cs="Times New Roman"/>
          <w:sz w:val="24"/>
          <w:szCs w:val="24"/>
        </w:rPr>
        <w:t xml:space="preserve"> to register </w:t>
      </w:r>
      <w:r w:rsidR="00621CF2" w:rsidRPr="00080583">
        <w:rPr>
          <w:rFonts w:ascii="Times New Roman" w:hAnsi="Times New Roman" w:cs="Times New Roman"/>
          <w:b/>
          <w:sz w:val="24"/>
          <w:szCs w:val="24"/>
        </w:rPr>
        <w:t>on</w:t>
      </w:r>
      <w:r w:rsidR="00621CF2" w:rsidRPr="00546091">
        <w:rPr>
          <w:rFonts w:ascii="Times New Roman" w:hAnsi="Times New Roman" w:cs="Times New Roman"/>
          <w:sz w:val="24"/>
          <w:szCs w:val="24"/>
        </w:rPr>
        <w:t xml:space="preserve"> the date of enactment (</w:t>
      </w:r>
      <w:r>
        <w:rPr>
          <w:rFonts w:ascii="Times New Roman" w:hAnsi="Times New Roman" w:cs="Times New Roman"/>
          <w:sz w:val="24"/>
          <w:szCs w:val="24"/>
        </w:rPr>
        <w:t>that is,</w:t>
      </w:r>
      <w:r w:rsidR="00621CF2" w:rsidRPr="00546091">
        <w:rPr>
          <w:rFonts w:ascii="Times New Roman" w:hAnsi="Times New Roman" w:cs="Times New Roman"/>
          <w:sz w:val="24"/>
          <w:szCs w:val="24"/>
        </w:rPr>
        <w:t xml:space="preserve"> existing foreign trusts with resident foreign trustees at time of enactment)</w:t>
      </w:r>
      <w:r w:rsidR="00FE717F">
        <w:rPr>
          <w:rFonts w:ascii="Times New Roman" w:hAnsi="Times New Roman" w:cs="Times New Roman"/>
          <w:sz w:val="24"/>
          <w:szCs w:val="24"/>
        </w:rPr>
        <w:t>; and</w:t>
      </w:r>
    </w:p>
    <w:p w:rsidR="00621CF2" w:rsidRPr="00546091" w:rsidRDefault="009D0190" w:rsidP="002A5769">
      <w:pPr>
        <w:pStyle w:val="ListParagraph"/>
        <w:numPr>
          <w:ilvl w:val="0"/>
          <w:numId w:val="33"/>
        </w:numPr>
        <w:spacing w:after="0" w:line="240" w:lineRule="auto"/>
        <w:ind w:left="567" w:hanging="56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w:t>
      </w:r>
      <w:r w:rsidR="00621CF2" w:rsidRPr="00546091">
        <w:rPr>
          <w:rFonts w:ascii="Times New Roman" w:hAnsi="Times New Roman" w:cs="Times New Roman"/>
          <w:sz w:val="24"/>
          <w:szCs w:val="24"/>
        </w:rPr>
        <w:t>rusts</w:t>
      </w:r>
      <w:proofErr w:type="gramEnd"/>
      <w:r w:rsidR="00621CF2" w:rsidRPr="00546091">
        <w:rPr>
          <w:rFonts w:ascii="Times New Roman" w:hAnsi="Times New Roman" w:cs="Times New Roman"/>
          <w:sz w:val="24"/>
          <w:szCs w:val="24"/>
        </w:rPr>
        <w:t xml:space="preserve"> where each trustee is a natural person not in the business of providing trustee services. </w:t>
      </w:r>
    </w:p>
    <w:p w:rsidR="002A5769" w:rsidRDefault="002A5769" w:rsidP="002A5769"/>
    <w:p w:rsidR="00621CF2" w:rsidRDefault="002A3412" w:rsidP="002A5769">
      <w:r>
        <w:t xml:space="preserve">Foreign trusts will always </w:t>
      </w:r>
      <w:r w:rsidR="009D0190">
        <w:t>be in</w:t>
      </w:r>
      <w:r>
        <w:t xml:space="preserve"> one of the first two categories, but if they also </w:t>
      </w:r>
      <w:r w:rsidR="009D0190">
        <w:t>fit</w:t>
      </w:r>
      <w:r>
        <w:t xml:space="preserve"> the third category, they may be eligible for a longer registration period.</w:t>
      </w:r>
    </w:p>
    <w:p w:rsidR="002A3412" w:rsidRDefault="002A3412" w:rsidP="002A5769"/>
    <w:p w:rsidR="002A3412" w:rsidRDefault="008D488D" w:rsidP="002A5769">
      <w:r>
        <w:t xml:space="preserve">If a trust becomes required to register </w:t>
      </w:r>
      <w:r w:rsidRPr="005C6E5A">
        <w:rPr>
          <w:b/>
        </w:rPr>
        <w:t>after</w:t>
      </w:r>
      <w:r>
        <w:t xml:space="preserve"> the date of enactment of the Taxation (Business Tax, Exchange of Information, and Remedial Matters) Act 2017, </w:t>
      </w:r>
      <w:r w:rsidR="00751550">
        <w:t xml:space="preserve">new </w:t>
      </w:r>
      <w:r>
        <w:t xml:space="preserve">section </w:t>
      </w:r>
      <w:proofErr w:type="gramStart"/>
      <w:r>
        <w:t>59</w:t>
      </w:r>
      <w:r w:rsidR="00751550">
        <w:t>C</w:t>
      </w:r>
      <w:r>
        <w:t>(</w:t>
      </w:r>
      <w:proofErr w:type="gramEnd"/>
      <w:r>
        <w:t xml:space="preserve">1)(b) provides that the </w:t>
      </w:r>
      <w:r w:rsidR="002A3412">
        <w:t xml:space="preserve">resident foreign trustee </w:t>
      </w:r>
      <w:r w:rsidR="009D0190">
        <w:t xml:space="preserve">has </w:t>
      </w:r>
      <w:r w:rsidR="002A3412">
        <w:t xml:space="preserve">30 days to apply for registration of the foreign trust from the date </w:t>
      </w:r>
      <w:r>
        <w:t xml:space="preserve">the requirement to register </w:t>
      </w:r>
      <w:r w:rsidR="009D0190">
        <w:t>begins</w:t>
      </w:r>
      <w:r>
        <w:t>.</w:t>
      </w:r>
    </w:p>
    <w:p w:rsidR="002A3412" w:rsidRDefault="002A3412" w:rsidP="002A5769"/>
    <w:p w:rsidR="008D488D" w:rsidRDefault="008D488D" w:rsidP="002A5769">
      <w:r>
        <w:t xml:space="preserve">Trusts </w:t>
      </w:r>
      <w:r w:rsidR="001F0CDD">
        <w:t>in this category could include</w:t>
      </w:r>
      <w:r>
        <w:t xml:space="preserve"> a foreign trust that is formed with a resident foreign trustee after the date of Royal </w:t>
      </w:r>
      <w:r w:rsidR="00AF6B40">
        <w:t>a</w:t>
      </w:r>
      <w:r>
        <w:t xml:space="preserve">ssent or an existing foreign trust that does not have a resident foreign trustee until after the date of Royal </w:t>
      </w:r>
      <w:r w:rsidR="00AD7EE3">
        <w:t>a</w:t>
      </w:r>
      <w:r>
        <w:t>ssent</w:t>
      </w:r>
      <w:r w:rsidR="00E60262">
        <w:t>.  T</w:t>
      </w:r>
      <w:r>
        <w:t xml:space="preserve">his means these foreign trusts have 30 days from the date of formation and the appointment of the first resident foreign trustee, respectively, to apply for registration. </w:t>
      </w:r>
    </w:p>
    <w:p w:rsidR="008D488D" w:rsidRDefault="008D488D" w:rsidP="002A5769"/>
    <w:p w:rsidR="002A3412" w:rsidRDefault="002A3412" w:rsidP="002A5769">
      <w:r>
        <w:t>Trustees of foreign trusts in existence</w:t>
      </w:r>
      <w:r w:rsidR="001F0CDD">
        <w:t xml:space="preserve"> with a resident foreign trustee</w:t>
      </w:r>
      <w:r>
        <w:t xml:space="preserve"> at the time that the Taxation (Business Tax, Exchange of Information, and Remedial Matters) Act 2017 received Royal </w:t>
      </w:r>
      <w:r w:rsidR="00AD7EE3">
        <w:t>a</w:t>
      </w:r>
      <w:r>
        <w:t xml:space="preserve">ssent have until 30 June 2017 to apply for registration of the trust.  </w:t>
      </w:r>
      <w:r w:rsidR="001F0CDD">
        <w:t xml:space="preserve">This is provided for in </w:t>
      </w:r>
      <w:r w:rsidR="00751550">
        <w:t xml:space="preserve">new </w:t>
      </w:r>
      <w:r w:rsidR="001F0CDD">
        <w:t xml:space="preserve">section </w:t>
      </w:r>
      <w:proofErr w:type="gramStart"/>
      <w:r w:rsidR="001F0CDD">
        <w:t>59</w:t>
      </w:r>
      <w:r w:rsidR="00751550">
        <w:t>C</w:t>
      </w:r>
      <w:r w:rsidR="001F0CDD">
        <w:t>(</w:t>
      </w:r>
      <w:proofErr w:type="gramEnd"/>
      <w:r w:rsidR="001F0CDD">
        <w:t>1)(a).</w:t>
      </w:r>
    </w:p>
    <w:p w:rsidR="00621CF2" w:rsidRDefault="00621CF2" w:rsidP="002A5769"/>
    <w:p w:rsidR="0053082C" w:rsidRDefault="00621CF2" w:rsidP="002A5769">
      <w:r>
        <w:t>There are differing time limits depending on whether the trust has a resident foreign trustee who is in the business of providing trustee services</w:t>
      </w:r>
      <w:r w:rsidR="00E60262">
        <w:t>.  T</w:t>
      </w:r>
      <w:r>
        <w:t>he previous disclosure requirements extended the time</w:t>
      </w:r>
      <w:r w:rsidR="009D0190">
        <w:t xml:space="preserve"> limit</w:t>
      </w:r>
      <w:r>
        <w:t xml:space="preserve"> if the resident foreign trustee was a new migrant who was not in the business of providing trustee services to allow them an additional two years to meet their obligations</w:t>
      </w:r>
      <w:r w:rsidR="00E60262">
        <w:t>.  T</w:t>
      </w:r>
      <w:r w:rsidR="006B25BD">
        <w:t>he amended disclosure rules extend this concession in recognition of the increased disclosure requirements.</w:t>
      </w:r>
    </w:p>
    <w:p w:rsidR="0053082C" w:rsidRDefault="0053082C" w:rsidP="002A5769"/>
    <w:p w:rsidR="008A7CB1" w:rsidRDefault="0053082C" w:rsidP="002A5769">
      <w:r>
        <w:t xml:space="preserve">New sections 59C(3) and (4) </w:t>
      </w:r>
      <w:r w:rsidR="00D34005">
        <w:t xml:space="preserve">provide that regardless of whether a resident foreign trustee is a </w:t>
      </w:r>
      <w:r w:rsidR="00F75F18">
        <w:t xml:space="preserve">new </w:t>
      </w:r>
      <w:r w:rsidR="00D34005">
        <w:t xml:space="preserve">migrant, the time limit for application </w:t>
      </w:r>
      <w:r w:rsidR="009D0190">
        <w:t>is</w:t>
      </w:r>
      <w:r w:rsidR="00D34005">
        <w:t xml:space="preserve"> extended when all of the trustees of a foreign trust are natural persons not in the business of providing trustee services</w:t>
      </w:r>
      <w:r w:rsidR="008A7CB1">
        <w:t xml:space="preserve"> and none of the resident foreign trustees have been resident foreign trustees before</w:t>
      </w:r>
      <w:r w:rsidR="00E60262">
        <w:t>.  I</w:t>
      </w:r>
      <w:r w:rsidR="008A7CB1">
        <w:t>f a person has already been a resident foreign trustee they should be aware of the obligations that this</w:t>
      </w:r>
      <w:r w:rsidR="008E15B4">
        <w:t xml:space="preserve"> role</w:t>
      </w:r>
      <w:r w:rsidR="008A7CB1">
        <w:t xml:space="preserve"> entails.</w:t>
      </w:r>
    </w:p>
    <w:p w:rsidR="008A7CB1" w:rsidRDefault="008A7CB1" w:rsidP="002A5769"/>
    <w:p w:rsidR="0053082C" w:rsidRDefault="008A7CB1" w:rsidP="002A5769">
      <w:r>
        <w:t xml:space="preserve">If these requirements are met, the time limit for application is extended to four years and 30 days following the first date on which the foreign trust has a resident foreign trustee. </w:t>
      </w:r>
    </w:p>
    <w:p w:rsidR="008E15B4" w:rsidRDefault="008E15B4" w:rsidP="002A5769"/>
    <w:p w:rsidR="002A5769" w:rsidRDefault="002A5769" w:rsidP="002A5769"/>
    <w:p w:rsidR="008E15B4" w:rsidRDefault="008E15B4" w:rsidP="002A5769">
      <w:pPr>
        <w:pStyle w:val="Exampleheading"/>
        <w:pBdr>
          <w:top w:val="single" w:sz="4" w:space="10" w:color="auto"/>
          <w:left w:val="single" w:sz="4" w:space="10" w:color="auto"/>
          <w:bottom w:val="single" w:sz="4" w:space="10" w:color="auto"/>
          <w:right w:val="single" w:sz="4" w:space="10" w:color="auto"/>
        </w:pBdr>
      </w:pPr>
      <w:r>
        <w:t>Example</w:t>
      </w:r>
      <w:r w:rsidR="00FE717F">
        <w:t>:</w:t>
      </w:r>
      <w:r>
        <w:t xml:space="preserve"> </w:t>
      </w:r>
      <w:r w:rsidR="00F83373">
        <w:t>N</w:t>
      </w:r>
      <w:r>
        <w:t xml:space="preserve">on-professional trustees </w:t>
      </w:r>
      <w:r w:rsidR="00F83373">
        <w:t>of existing trusts</w:t>
      </w:r>
    </w:p>
    <w:p w:rsidR="008E15B4" w:rsidRDefault="008E15B4" w:rsidP="002A5769">
      <w:pPr>
        <w:pStyle w:val="Exampletext"/>
        <w:pBdr>
          <w:top w:val="single" w:sz="4" w:space="10" w:color="auto"/>
          <w:left w:val="single" w:sz="4" w:space="10" w:color="auto"/>
          <w:bottom w:val="single" w:sz="4" w:space="10" w:color="auto"/>
          <w:right w:val="single" w:sz="4" w:space="10" w:color="auto"/>
        </w:pBdr>
      </w:pPr>
    </w:p>
    <w:p w:rsidR="00F83373" w:rsidRDefault="008E15B4" w:rsidP="002A5769">
      <w:pPr>
        <w:pStyle w:val="Exampletext"/>
        <w:pBdr>
          <w:top w:val="single" w:sz="4" w:space="10" w:color="auto"/>
          <w:left w:val="single" w:sz="4" w:space="10" w:color="auto"/>
          <w:bottom w:val="single" w:sz="4" w:space="10" w:color="auto"/>
          <w:right w:val="single" w:sz="4" w:space="10" w:color="auto"/>
        </w:pBdr>
      </w:pPr>
      <w:r>
        <w:t>Ralph was appointed as a trustee of his friend Nora’s trust on 13 January 2014</w:t>
      </w:r>
      <w:r w:rsidR="00E60262">
        <w:t>.  N</w:t>
      </w:r>
      <w:r>
        <w:t>ora is the only settlor of this trust and is not a New Zealand resident</w:t>
      </w:r>
      <w:r w:rsidR="00E60262">
        <w:t>.  R</w:t>
      </w:r>
      <w:r w:rsidR="009D0190">
        <w:t xml:space="preserve">alph </w:t>
      </w:r>
      <w:r>
        <w:t>is not in the business of providing trustee services</w:t>
      </w:r>
      <w:r w:rsidR="009D0190">
        <w:t>, and as</w:t>
      </w:r>
      <w:r>
        <w:t xml:space="preserve"> a New Zealand </w:t>
      </w:r>
      <w:r w:rsidR="00F75F18">
        <w:t xml:space="preserve">tax </w:t>
      </w:r>
      <w:r>
        <w:t>resident</w:t>
      </w:r>
      <w:r w:rsidR="00FE717F">
        <w:t>,</w:t>
      </w:r>
      <w:r>
        <w:t xml:space="preserve"> he is a resident foreign trustee</w:t>
      </w:r>
      <w:r w:rsidR="00E60262">
        <w:t>.  U</w:t>
      </w:r>
      <w:r>
        <w:t xml:space="preserve">nder the previous disclosure rules, Ralph was required to disclose particular information to Inland Revenue by </w:t>
      </w:r>
      <w:r w:rsidR="00F83373">
        <w:t xml:space="preserve">12 February 2014.  After Royal </w:t>
      </w:r>
      <w:r w:rsidR="00F75F18">
        <w:t>a</w:t>
      </w:r>
      <w:r w:rsidR="00F83373">
        <w:t xml:space="preserve">ssent of the Taxation (Business Tax, Exchange of Information, and Remedial Matters) </w:t>
      </w:r>
      <w:r w:rsidR="0065203C">
        <w:t>Bill (21 February 2017)</w:t>
      </w:r>
      <w:r w:rsidR="00F83373">
        <w:t xml:space="preserve">, Ralph is now required to apply for registration of Nora’s trust. </w:t>
      </w:r>
    </w:p>
    <w:p w:rsidR="00F83373" w:rsidRDefault="00F83373" w:rsidP="002A5769">
      <w:pPr>
        <w:pStyle w:val="Exampletext"/>
        <w:pBdr>
          <w:top w:val="single" w:sz="4" w:space="10" w:color="auto"/>
          <w:left w:val="single" w:sz="4" w:space="10" w:color="auto"/>
          <w:bottom w:val="single" w:sz="4" w:space="10" w:color="auto"/>
          <w:right w:val="single" w:sz="4" w:space="10" w:color="auto"/>
        </w:pBdr>
      </w:pPr>
    </w:p>
    <w:p w:rsidR="00F83373" w:rsidRDefault="00F83373" w:rsidP="002A5769">
      <w:pPr>
        <w:pStyle w:val="Exampletext"/>
        <w:pBdr>
          <w:top w:val="single" w:sz="4" w:space="10" w:color="auto"/>
          <w:left w:val="single" w:sz="4" w:space="10" w:color="auto"/>
          <w:bottom w:val="single" w:sz="4" w:space="10" w:color="auto"/>
          <w:right w:val="single" w:sz="4" w:space="10" w:color="auto"/>
        </w:pBdr>
      </w:pPr>
      <w:r>
        <w:t>Because Ralph is not in the business of providing trustee services, he is eligible for the grace period provi</w:t>
      </w:r>
      <w:r w:rsidR="00F62ABD">
        <w:t xml:space="preserve">ded for by new section </w:t>
      </w:r>
      <w:proofErr w:type="gramStart"/>
      <w:r w:rsidR="00F62ABD">
        <w:t>59C(</w:t>
      </w:r>
      <w:proofErr w:type="gramEnd"/>
      <w:r w:rsidR="00F62ABD">
        <w:t>3)</w:t>
      </w:r>
      <w:r w:rsidR="00E60262">
        <w:t>.  T</w:t>
      </w:r>
      <w:r>
        <w:t xml:space="preserve">he grace period of four years and 30 days is counted from the date that Ralph became </w:t>
      </w:r>
      <w:r w:rsidR="00E8396B">
        <w:t xml:space="preserve">a resident foreign trustee (13 January 2014).  </w:t>
      </w:r>
      <w:r w:rsidR="009D0190">
        <w:t xml:space="preserve">This means </w:t>
      </w:r>
      <w:r w:rsidR="00E8396B">
        <w:t xml:space="preserve">Ralph has until 12 February 2018 to apply for the registration of Nora’s trust. </w:t>
      </w:r>
    </w:p>
    <w:p w:rsidR="008E15B4" w:rsidRDefault="008E15B4" w:rsidP="002A5769"/>
    <w:p w:rsidR="00621CF2" w:rsidRDefault="00621CF2" w:rsidP="002A5769">
      <w:pPr>
        <w:pStyle w:val="Exampleheading"/>
        <w:pBdr>
          <w:top w:val="single" w:sz="4" w:space="10" w:color="auto"/>
          <w:left w:val="single" w:sz="4" w:space="10" w:color="auto"/>
          <w:bottom w:val="single" w:sz="4" w:space="10" w:color="auto"/>
          <w:right w:val="single" w:sz="4" w:space="10" w:color="auto"/>
        </w:pBdr>
      </w:pPr>
      <w:r>
        <w:lastRenderedPageBreak/>
        <w:t>Example</w:t>
      </w:r>
      <w:r w:rsidR="00FE717F">
        <w:t>:</w:t>
      </w:r>
      <w:r>
        <w:t xml:space="preserve"> </w:t>
      </w:r>
      <w:r w:rsidR="006C68C0">
        <w:t>Professional trustees and newly formed trusts</w:t>
      </w:r>
    </w:p>
    <w:p w:rsidR="00621CF2" w:rsidRDefault="00621CF2" w:rsidP="002A5769">
      <w:pPr>
        <w:pStyle w:val="Exampletext"/>
        <w:pBdr>
          <w:top w:val="single" w:sz="4" w:space="10" w:color="auto"/>
          <w:left w:val="single" w:sz="4" w:space="10" w:color="auto"/>
          <w:bottom w:val="single" w:sz="4" w:space="10" w:color="auto"/>
          <w:right w:val="single" w:sz="4" w:space="10" w:color="auto"/>
        </w:pBdr>
      </w:pPr>
    </w:p>
    <w:p w:rsidR="00621CF2" w:rsidRDefault="004B0814" w:rsidP="002A5769">
      <w:pPr>
        <w:pStyle w:val="Exampletext"/>
        <w:pBdr>
          <w:top w:val="single" w:sz="4" w:space="10" w:color="auto"/>
          <w:left w:val="single" w:sz="4" w:space="10" w:color="auto"/>
          <w:bottom w:val="single" w:sz="4" w:space="10" w:color="auto"/>
          <w:right w:val="single" w:sz="4" w:space="10" w:color="auto"/>
        </w:pBdr>
      </w:pPr>
      <w:r>
        <w:t xml:space="preserve">Consider Frank and XYZ </w:t>
      </w:r>
      <w:r w:rsidR="0065203C">
        <w:t>T</w:t>
      </w:r>
      <w:r>
        <w:t xml:space="preserve">rust again.  </w:t>
      </w:r>
      <w:r w:rsidR="00621CF2">
        <w:t xml:space="preserve">XYZ </w:t>
      </w:r>
      <w:r w:rsidR="0065203C">
        <w:t>T</w:t>
      </w:r>
      <w:r w:rsidR="00621CF2">
        <w:t xml:space="preserve">rust </w:t>
      </w:r>
      <w:r w:rsidR="009D0190">
        <w:t xml:space="preserve">was </w:t>
      </w:r>
      <w:r w:rsidR="00621CF2">
        <w:t>formed on 1 November 2016, and Frank, a New Zealand resident</w:t>
      </w:r>
      <w:r w:rsidR="009D0190">
        <w:t>,</w:t>
      </w:r>
      <w:r w:rsidR="00621CF2">
        <w:t xml:space="preserve"> </w:t>
      </w:r>
      <w:r w:rsidR="009D0190">
        <w:t xml:space="preserve">was </w:t>
      </w:r>
      <w:r w:rsidR="00621CF2">
        <w:t>appointed as a trustee.</w:t>
      </w:r>
    </w:p>
    <w:p w:rsidR="00621CF2" w:rsidRDefault="00621CF2" w:rsidP="002A5769">
      <w:pPr>
        <w:pStyle w:val="Exampletext"/>
        <w:pBdr>
          <w:top w:val="single" w:sz="4" w:space="10" w:color="auto"/>
          <w:left w:val="single" w:sz="4" w:space="10" w:color="auto"/>
          <w:bottom w:val="single" w:sz="4" w:space="10" w:color="auto"/>
          <w:right w:val="single" w:sz="4" w:space="10" w:color="auto"/>
        </w:pBdr>
      </w:pPr>
    </w:p>
    <w:p w:rsidR="00621CF2" w:rsidRDefault="00621CF2" w:rsidP="002A5769">
      <w:pPr>
        <w:pStyle w:val="Exampletext"/>
        <w:pBdr>
          <w:top w:val="single" w:sz="4" w:space="10" w:color="auto"/>
          <w:left w:val="single" w:sz="4" w:space="10" w:color="auto"/>
          <w:bottom w:val="single" w:sz="4" w:space="10" w:color="auto"/>
          <w:right w:val="single" w:sz="4" w:space="10" w:color="auto"/>
        </w:pBdr>
      </w:pPr>
      <w:r>
        <w:t xml:space="preserve">XYZ’s income year corresponds with the New Zealand tax year (31 March balance date). </w:t>
      </w:r>
    </w:p>
    <w:p w:rsidR="00621CF2" w:rsidRDefault="00621CF2" w:rsidP="002A5769">
      <w:pPr>
        <w:pStyle w:val="Exampletext"/>
        <w:pBdr>
          <w:top w:val="single" w:sz="4" w:space="10" w:color="auto"/>
          <w:left w:val="single" w:sz="4" w:space="10" w:color="auto"/>
          <w:bottom w:val="single" w:sz="4" w:space="10" w:color="auto"/>
          <w:right w:val="single" w:sz="4" w:space="10" w:color="auto"/>
        </w:pBdr>
      </w:pPr>
    </w:p>
    <w:p w:rsidR="00621CF2" w:rsidRDefault="00621CF2" w:rsidP="002A5769">
      <w:pPr>
        <w:pStyle w:val="Exampletext"/>
        <w:pBdr>
          <w:top w:val="single" w:sz="4" w:space="10" w:color="auto"/>
          <w:left w:val="single" w:sz="4" w:space="10" w:color="auto"/>
          <w:bottom w:val="single" w:sz="4" w:space="10" w:color="auto"/>
          <w:right w:val="single" w:sz="4" w:space="10" w:color="auto"/>
        </w:pBdr>
      </w:pPr>
      <w:r>
        <w:t xml:space="preserve">XYZ is an existing trust at the date of </w:t>
      </w:r>
      <w:r w:rsidR="00294F55">
        <w:t>R</w:t>
      </w:r>
      <w:r>
        <w:t xml:space="preserve">oyal assent of the Taxation (Business Tax, Exchange of Information, and Remedial Matters) </w:t>
      </w:r>
      <w:r w:rsidR="0065203C">
        <w:t>Bill (21 February 2017)</w:t>
      </w:r>
      <w:r>
        <w:t xml:space="preserve">.  On the day of </w:t>
      </w:r>
      <w:r w:rsidR="00294F55">
        <w:t>R</w:t>
      </w:r>
      <w:r>
        <w:t xml:space="preserve">oyal assent Frank becomes liable to apply for registration of XYZ under section </w:t>
      </w:r>
      <w:proofErr w:type="gramStart"/>
      <w:r>
        <w:t>59B(</w:t>
      </w:r>
      <w:proofErr w:type="gramEnd"/>
      <w:r>
        <w:t>2) of the T</w:t>
      </w:r>
      <w:r w:rsidR="0065203C">
        <w:t>ax Administration Act</w:t>
      </w:r>
      <w:r w:rsidR="00E60262">
        <w:t>.  F</w:t>
      </w:r>
      <w:r>
        <w:t>rank regularly serves as a trustee so the time limit</w:t>
      </w:r>
      <w:r w:rsidR="009D0190">
        <w:t xml:space="preserve"> applying to him</w:t>
      </w:r>
      <w:r>
        <w:t xml:space="preserve"> is </w:t>
      </w:r>
      <w:r w:rsidR="009D0190">
        <w:t>that in</w:t>
      </w:r>
      <w:r w:rsidR="009D0190" w:rsidRPr="009D0190">
        <w:t xml:space="preserve"> </w:t>
      </w:r>
      <w:r w:rsidR="009D0190">
        <w:t>section 59C</w:t>
      </w:r>
      <w:r>
        <w:t xml:space="preserve"> (1</w:t>
      </w:r>
      <w:proofErr w:type="gramStart"/>
      <w:r>
        <w:t>)(</w:t>
      </w:r>
      <w:proofErr w:type="gramEnd"/>
      <w:r>
        <w:t xml:space="preserve">a) </w:t>
      </w:r>
      <w:r w:rsidR="009D0190">
        <w:t xml:space="preserve">– </w:t>
      </w:r>
      <w:r>
        <w:t>30 June 2017.</w:t>
      </w:r>
    </w:p>
    <w:p w:rsidR="00621CF2" w:rsidRDefault="00621CF2" w:rsidP="002A5769"/>
    <w:p w:rsidR="00621CF2" w:rsidRDefault="00621CF2" w:rsidP="002A5769"/>
    <w:p w:rsidR="00C75E31" w:rsidRDefault="00C75E31" w:rsidP="002A5769">
      <w:pPr>
        <w:pStyle w:val="Heading3"/>
      </w:pPr>
      <w:r>
        <w:t xml:space="preserve">Information to be provided at the time of </w:t>
      </w:r>
      <w:r w:rsidR="005900F3">
        <w:t>application</w:t>
      </w:r>
    </w:p>
    <w:p w:rsidR="00C75E31" w:rsidRDefault="00C75E31" w:rsidP="002A5769"/>
    <w:p w:rsidR="009D0190" w:rsidRDefault="00A60783" w:rsidP="002A5769">
      <w:r>
        <w:t>The p</w:t>
      </w:r>
      <w:r w:rsidR="000B6EF5">
        <w:t>revious disclosure rules required resident foreign trustees to disclose certain information on the trust</w:t>
      </w:r>
      <w:r w:rsidR="009D0190">
        <w:t xml:space="preserve">: </w:t>
      </w:r>
    </w:p>
    <w:p w:rsidR="002A5769" w:rsidRDefault="002A5769" w:rsidP="00AC4740"/>
    <w:p w:rsidR="009D0190" w:rsidRPr="009D0190" w:rsidRDefault="000B6EF5" w:rsidP="00AC4740">
      <w:pPr>
        <w:pStyle w:val="ListParagraph"/>
        <w:numPr>
          <w:ilvl w:val="0"/>
          <w:numId w:val="35"/>
        </w:numPr>
        <w:spacing w:after="140" w:line="240" w:lineRule="auto"/>
        <w:ind w:left="567" w:hanging="567"/>
        <w:contextualSpacing w:val="0"/>
        <w:jc w:val="both"/>
      </w:pPr>
      <w:r w:rsidRPr="009D0190">
        <w:rPr>
          <w:rFonts w:ascii="Times New Roman" w:hAnsi="Times New Roman" w:cs="Times New Roman"/>
          <w:sz w:val="24"/>
          <w:szCs w:val="24"/>
        </w:rPr>
        <w:t>the name or other identifying particulars</w:t>
      </w:r>
      <w:r w:rsidR="009D0190" w:rsidRPr="009D0190">
        <w:rPr>
          <w:rFonts w:ascii="Times New Roman" w:hAnsi="Times New Roman" w:cs="Times New Roman"/>
          <w:sz w:val="24"/>
          <w:szCs w:val="24"/>
        </w:rPr>
        <w:t>;</w:t>
      </w:r>
      <w:r w:rsidRPr="009D0190">
        <w:rPr>
          <w:rFonts w:ascii="Times New Roman" w:hAnsi="Times New Roman" w:cs="Times New Roman"/>
          <w:sz w:val="24"/>
          <w:szCs w:val="24"/>
        </w:rPr>
        <w:t xml:space="preserve"> </w:t>
      </w:r>
    </w:p>
    <w:p w:rsidR="009D0190" w:rsidRPr="009D0190" w:rsidRDefault="000B6EF5" w:rsidP="00AC4740">
      <w:pPr>
        <w:pStyle w:val="ListParagraph"/>
        <w:numPr>
          <w:ilvl w:val="0"/>
          <w:numId w:val="35"/>
        </w:numPr>
        <w:spacing w:after="140" w:line="240" w:lineRule="auto"/>
        <w:ind w:left="567" w:hanging="567"/>
        <w:contextualSpacing w:val="0"/>
        <w:jc w:val="both"/>
      </w:pPr>
      <w:r w:rsidRPr="009D0190">
        <w:rPr>
          <w:rFonts w:ascii="Times New Roman" w:hAnsi="Times New Roman" w:cs="Times New Roman"/>
          <w:sz w:val="24"/>
          <w:szCs w:val="24"/>
        </w:rPr>
        <w:t>name and contact details of resident foreign trustees</w:t>
      </w:r>
      <w:r w:rsidR="009D0190" w:rsidRPr="009D0190">
        <w:rPr>
          <w:rFonts w:ascii="Times New Roman" w:hAnsi="Times New Roman" w:cs="Times New Roman"/>
          <w:sz w:val="24"/>
          <w:szCs w:val="24"/>
        </w:rPr>
        <w:t>;</w:t>
      </w:r>
      <w:r w:rsidRPr="009D0190">
        <w:rPr>
          <w:rFonts w:ascii="Times New Roman" w:hAnsi="Times New Roman" w:cs="Times New Roman"/>
          <w:sz w:val="24"/>
          <w:szCs w:val="24"/>
        </w:rPr>
        <w:t xml:space="preserve"> </w:t>
      </w:r>
    </w:p>
    <w:p w:rsidR="009D0190" w:rsidRPr="009D0190" w:rsidRDefault="000B6EF5" w:rsidP="00AC4740">
      <w:pPr>
        <w:pStyle w:val="ListParagraph"/>
        <w:numPr>
          <w:ilvl w:val="0"/>
          <w:numId w:val="35"/>
        </w:numPr>
        <w:spacing w:after="140" w:line="240" w:lineRule="auto"/>
        <w:ind w:left="567" w:hanging="567"/>
        <w:contextualSpacing w:val="0"/>
        <w:jc w:val="both"/>
      </w:pPr>
      <w:r w:rsidRPr="009D0190">
        <w:rPr>
          <w:rFonts w:ascii="Times New Roman" w:hAnsi="Times New Roman" w:cs="Times New Roman"/>
          <w:sz w:val="24"/>
          <w:szCs w:val="24"/>
        </w:rPr>
        <w:t>whether a settlor is resident in the Commonwealth of Australia</w:t>
      </w:r>
      <w:r w:rsidR="009D0190" w:rsidRPr="009D0190">
        <w:rPr>
          <w:rFonts w:ascii="Times New Roman" w:hAnsi="Times New Roman" w:cs="Times New Roman"/>
          <w:sz w:val="24"/>
          <w:szCs w:val="24"/>
        </w:rPr>
        <w:t>;</w:t>
      </w:r>
      <w:r w:rsidRPr="009D0190">
        <w:rPr>
          <w:rFonts w:ascii="Times New Roman" w:hAnsi="Times New Roman" w:cs="Times New Roman"/>
          <w:sz w:val="24"/>
          <w:szCs w:val="24"/>
        </w:rPr>
        <w:t xml:space="preserve"> </w:t>
      </w:r>
    </w:p>
    <w:p w:rsidR="009D0190" w:rsidRPr="009D0190" w:rsidRDefault="000B6EF5" w:rsidP="00AC4740">
      <w:pPr>
        <w:pStyle w:val="ListParagraph"/>
        <w:numPr>
          <w:ilvl w:val="0"/>
          <w:numId w:val="35"/>
        </w:numPr>
        <w:spacing w:after="140" w:line="240" w:lineRule="auto"/>
        <w:ind w:left="567" w:hanging="567"/>
        <w:contextualSpacing w:val="0"/>
        <w:jc w:val="both"/>
      </w:pPr>
      <w:r w:rsidRPr="009D0190">
        <w:rPr>
          <w:rFonts w:ascii="Times New Roman" w:hAnsi="Times New Roman" w:cs="Times New Roman"/>
          <w:sz w:val="24"/>
          <w:szCs w:val="24"/>
        </w:rPr>
        <w:t>details relating to status as a qualifying resident foreign trustee (if applicable)</w:t>
      </w:r>
      <w:r w:rsidR="009D0190" w:rsidRPr="009D0190">
        <w:rPr>
          <w:rFonts w:ascii="Times New Roman" w:hAnsi="Times New Roman" w:cs="Times New Roman"/>
          <w:sz w:val="24"/>
          <w:szCs w:val="24"/>
        </w:rPr>
        <w:t>;</w:t>
      </w:r>
      <w:r w:rsidRPr="009D0190">
        <w:rPr>
          <w:rFonts w:ascii="Times New Roman" w:hAnsi="Times New Roman" w:cs="Times New Roman"/>
          <w:sz w:val="24"/>
          <w:szCs w:val="24"/>
        </w:rPr>
        <w:t xml:space="preserve"> and </w:t>
      </w:r>
    </w:p>
    <w:p w:rsidR="000B6EF5" w:rsidRPr="009D0190" w:rsidRDefault="000B6EF5" w:rsidP="00AC4740">
      <w:pPr>
        <w:pStyle w:val="ListParagraph"/>
        <w:numPr>
          <w:ilvl w:val="0"/>
          <w:numId w:val="35"/>
        </w:numPr>
        <w:spacing w:after="0" w:line="240" w:lineRule="auto"/>
        <w:ind w:left="567" w:hanging="567"/>
        <w:contextualSpacing w:val="0"/>
        <w:jc w:val="both"/>
      </w:pPr>
      <w:proofErr w:type="gramStart"/>
      <w:r w:rsidRPr="009D0190">
        <w:rPr>
          <w:rFonts w:ascii="Times New Roman" w:hAnsi="Times New Roman" w:cs="Times New Roman"/>
          <w:sz w:val="24"/>
          <w:szCs w:val="24"/>
        </w:rPr>
        <w:t>any</w:t>
      </w:r>
      <w:proofErr w:type="gramEnd"/>
      <w:r w:rsidRPr="009D0190">
        <w:rPr>
          <w:rFonts w:ascii="Times New Roman" w:hAnsi="Times New Roman" w:cs="Times New Roman"/>
          <w:sz w:val="24"/>
          <w:szCs w:val="24"/>
        </w:rPr>
        <w:t xml:space="preserve"> details of which resident foreign trustee is appointed as agent for the purposes of compliance with the T</w:t>
      </w:r>
      <w:r w:rsidR="00A22FDF">
        <w:rPr>
          <w:rFonts w:ascii="Times New Roman" w:hAnsi="Times New Roman" w:cs="Times New Roman"/>
          <w:sz w:val="24"/>
          <w:szCs w:val="24"/>
        </w:rPr>
        <w:t xml:space="preserve">ax </w:t>
      </w:r>
      <w:r w:rsidRPr="009D0190">
        <w:rPr>
          <w:rFonts w:ascii="Times New Roman" w:hAnsi="Times New Roman" w:cs="Times New Roman"/>
          <w:sz w:val="24"/>
          <w:szCs w:val="24"/>
        </w:rPr>
        <w:t>A</w:t>
      </w:r>
      <w:r w:rsidR="00A22FDF">
        <w:rPr>
          <w:rFonts w:ascii="Times New Roman" w:hAnsi="Times New Roman" w:cs="Times New Roman"/>
          <w:sz w:val="24"/>
          <w:szCs w:val="24"/>
        </w:rPr>
        <w:t xml:space="preserve">dministration </w:t>
      </w:r>
      <w:r w:rsidRPr="009D0190">
        <w:rPr>
          <w:rFonts w:ascii="Times New Roman" w:hAnsi="Times New Roman" w:cs="Times New Roman"/>
          <w:sz w:val="24"/>
          <w:szCs w:val="24"/>
        </w:rPr>
        <w:t>A</w:t>
      </w:r>
      <w:r w:rsidR="00A22FDF">
        <w:rPr>
          <w:rFonts w:ascii="Times New Roman" w:hAnsi="Times New Roman" w:cs="Times New Roman"/>
          <w:sz w:val="24"/>
          <w:szCs w:val="24"/>
        </w:rPr>
        <w:t>ct 1994</w:t>
      </w:r>
      <w:r w:rsidRPr="009D0190">
        <w:rPr>
          <w:rFonts w:ascii="Times New Roman" w:hAnsi="Times New Roman" w:cs="Times New Roman"/>
          <w:sz w:val="24"/>
          <w:szCs w:val="24"/>
        </w:rPr>
        <w:t xml:space="preserve">. </w:t>
      </w:r>
    </w:p>
    <w:p w:rsidR="00A60783" w:rsidRDefault="00A60783" w:rsidP="002A5769"/>
    <w:p w:rsidR="000B6EF5" w:rsidRDefault="00A60783" w:rsidP="002A5769">
      <w:r>
        <w:t>The amendments in the Taxation (Business Tax, Exchange of Information, and Remedial Matters) Act 2017</w:t>
      </w:r>
      <w:r w:rsidR="006D31BC">
        <w:t xml:space="preserve"> update the information that must be provided at the time of registration, in line with the recommendations of the Government’s April 2016 Inquiry into Foreign Trust Disclosure Rules.</w:t>
      </w:r>
    </w:p>
    <w:p w:rsidR="000B6EF5" w:rsidRPr="00C75E31" w:rsidRDefault="000B6EF5" w:rsidP="002A5769"/>
    <w:p w:rsidR="00C75E31" w:rsidRDefault="00C75E31" w:rsidP="002A5769">
      <w:pPr>
        <w:pStyle w:val="Heading4"/>
      </w:pPr>
      <w:r>
        <w:t>Trust deed</w:t>
      </w:r>
    </w:p>
    <w:p w:rsidR="00C75E31" w:rsidRPr="00C75E31" w:rsidRDefault="00C75E31" w:rsidP="002A5769"/>
    <w:p w:rsidR="00C75E31" w:rsidRDefault="00C75E31" w:rsidP="002A5769">
      <w:r>
        <w:t xml:space="preserve">As a starting point, section </w:t>
      </w:r>
      <w:proofErr w:type="gramStart"/>
      <w:r>
        <w:t>59B(</w:t>
      </w:r>
      <w:proofErr w:type="gramEnd"/>
      <w:r>
        <w:t xml:space="preserve">3)(a) requires that the name of the trust must be provided </w:t>
      </w:r>
      <w:r w:rsidR="009D0190">
        <w:t>on</w:t>
      </w:r>
      <w:r>
        <w:t xml:space="preserve"> application</w:t>
      </w:r>
      <w:r w:rsidR="00E60262">
        <w:t>.  T</w:t>
      </w:r>
      <w:r>
        <w:t>he contact trustee must also provide a copy of the trust deed for the foreign trust (or the functional equivalent, for example,</w:t>
      </w:r>
      <w:r w:rsidR="009D0190">
        <w:t xml:space="preserve"> if</w:t>
      </w:r>
      <w:r>
        <w:t xml:space="preserve"> there is no formal trust deed) along with all amending and supplementary documents (section </w:t>
      </w:r>
      <w:proofErr w:type="gramStart"/>
      <w:r>
        <w:t>59B(</w:t>
      </w:r>
      <w:proofErr w:type="gramEnd"/>
      <w:r>
        <w:t>3)(f)).</w:t>
      </w:r>
    </w:p>
    <w:p w:rsidR="00C75E31" w:rsidRDefault="00C75E31" w:rsidP="002A5769"/>
    <w:p w:rsidR="00C75E31" w:rsidRDefault="00C75E31" w:rsidP="002A5769">
      <w:r>
        <w:t>Note that a will is not a trust deed for the purposes of the foreign trust disclosure rules</w:t>
      </w:r>
      <w:r w:rsidR="00E60262">
        <w:t>.  H</w:t>
      </w:r>
      <w:r>
        <w:t>owever, a trust established under a will (a testamentary trust) will be a trust for these purposes.</w:t>
      </w:r>
    </w:p>
    <w:p w:rsidR="00C75E31" w:rsidRDefault="00C75E31" w:rsidP="002A5769"/>
    <w:p w:rsidR="00C75E31" w:rsidRDefault="00C75E31" w:rsidP="002A5769">
      <w:pPr>
        <w:pStyle w:val="Heading4"/>
      </w:pPr>
      <w:r>
        <w:t>Historic</w:t>
      </w:r>
      <w:r w:rsidR="00407516">
        <w:t>al</w:t>
      </w:r>
      <w:r>
        <w:t xml:space="preserve"> settlements</w:t>
      </w:r>
    </w:p>
    <w:p w:rsidR="00C75E31" w:rsidRPr="00C75E31" w:rsidRDefault="00C75E31" w:rsidP="002A5769"/>
    <w:p w:rsidR="00C75E31" w:rsidRDefault="00407516" w:rsidP="002A5769">
      <w:r>
        <w:t>T</w:t>
      </w:r>
      <w:r w:rsidR="00C75E31">
        <w:t xml:space="preserve">he application must also include details relating to settlements made in relation to the foreign trust (section </w:t>
      </w:r>
      <w:proofErr w:type="gramStart"/>
      <w:r w:rsidR="00C75E31">
        <w:t>59B(</w:t>
      </w:r>
      <w:proofErr w:type="gramEnd"/>
      <w:r w:rsidR="00C75E31">
        <w:t>3)(b)).  These details are the date, amount, nature and settlor of each settlement.</w:t>
      </w:r>
    </w:p>
    <w:p w:rsidR="00263AAA" w:rsidRDefault="00263AAA" w:rsidP="002A5769"/>
    <w:p w:rsidR="00C75E31" w:rsidRDefault="00C75E31" w:rsidP="002A5769">
      <w:r>
        <w:t>Services provided to the trust at below market value are generally considered to be settlements, due to the broad definition of “settlement” used for the trust rules, and must be disclosed.</w:t>
      </w:r>
    </w:p>
    <w:p w:rsidR="00263AAA" w:rsidRDefault="00263AAA" w:rsidP="002A5769"/>
    <w:p w:rsidR="00C75E31" w:rsidRDefault="00C75E31" w:rsidP="002A5769">
      <w:r>
        <w:lastRenderedPageBreak/>
        <w:t>However, information relating to the provision of minor services at less than market value that are incidental to the activities of the trust does not need to be provided</w:t>
      </w:r>
      <w:r w:rsidR="00E60262">
        <w:t>.  T</w:t>
      </w:r>
      <w:r>
        <w:t>his exclusion is intended to reduce compliance costs for trustees</w:t>
      </w:r>
      <w:r w:rsidR="00787741">
        <w:t>,</w:t>
      </w:r>
      <w:r>
        <w:t xml:space="preserve"> and is available to both professional and non-professional trustees.</w:t>
      </w:r>
    </w:p>
    <w:p w:rsidR="00263AAA" w:rsidRDefault="00263AAA" w:rsidP="002A5769"/>
    <w:p w:rsidR="00C75E31" w:rsidRDefault="00C75E31" w:rsidP="002A5769">
      <w:r>
        <w:t>Whether a service is incidental depend</w:t>
      </w:r>
      <w:r w:rsidR="00787741">
        <w:t>s</w:t>
      </w:r>
      <w:r>
        <w:t xml:space="preserve"> on the activities undertaken by the trust and could therefore vary between trusts.</w:t>
      </w:r>
    </w:p>
    <w:p w:rsidR="00263AAA" w:rsidRDefault="00263AAA" w:rsidP="002A5769"/>
    <w:p w:rsidR="002A5769" w:rsidRDefault="002A5769" w:rsidP="002A5769"/>
    <w:p w:rsidR="00C75E31" w:rsidRDefault="00C75E31" w:rsidP="002A5769">
      <w:pPr>
        <w:pStyle w:val="Exampleheading"/>
        <w:pBdr>
          <w:top w:val="single" w:sz="4" w:space="10" w:color="auto"/>
          <w:left w:val="single" w:sz="4" w:space="10" w:color="auto"/>
          <w:bottom w:val="single" w:sz="4" w:space="10" w:color="auto"/>
          <w:right w:val="single" w:sz="4" w:space="10" w:color="auto"/>
        </w:pBdr>
      </w:pPr>
      <w:r>
        <w:t>Example</w:t>
      </w:r>
    </w:p>
    <w:p w:rsidR="002A5769" w:rsidRDefault="002A5769" w:rsidP="002A5769">
      <w:pPr>
        <w:pStyle w:val="Exampletext"/>
        <w:pBdr>
          <w:top w:val="single" w:sz="4" w:space="10" w:color="auto"/>
          <w:left w:val="single" w:sz="4" w:space="10" w:color="auto"/>
          <w:bottom w:val="single" w:sz="4" w:space="10" w:color="auto"/>
          <w:right w:val="single" w:sz="4" w:space="10" w:color="auto"/>
        </w:pBdr>
      </w:pPr>
    </w:p>
    <w:p w:rsidR="00C75E31" w:rsidRDefault="00C75E31" w:rsidP="002A5769">
      <w:pPr>
        <w:pStyle w:val="Exampletext"/>
        <w:pBdr>
          <w:top w:val="single" w:sz="4" w:space="10" w:color="auto"/>
          <w:left w:val="single" w:sz="4" w:space="10" w:color="auto"/>
          <w:bottom w:val="single" w:sz="4" w:space="10" w:color="auto"/>
          <w:right w:val="single" w:sz="4" w:space="10" w:color="auto"/>
        </w:pBdr>
      </w:pPr>
      <w:r>
        <w:t>John’s family trust owns a property which is rented out</w:t>
      </w:r>
      <w:r w:rsidR="00E60262">
        <w:t>.  J</w:t>
      </w:r>
      <w:r>
        <w:t>ohn’s grandson mows the lawn as a favour as he lives nearby</w:t>
      </w:r>
      <w:r w:rsidR="00E60262">
        <w:t>.  T</w:t>
      </w:r>
      <w:r>
        <w:t>his would be incidental to the activities of the trust.</w:t>
      </w:r>
    </w:p>
    <w:p w:rsidR="002A5769" w:rsidRPr="002A5769" w:rsidRDefault="002A5769" w:rsidP="002A5769">
      <w:pPr>
        <w:pStyle w:val="Exampletext"/>
        <w:rPr>
          <w:sz w:val="24"/>
        </w:rPr>
      </w:pPr>
    </w:p>
    <w:p w:rsidR="00C75E31" w:rsidRDefault="00C75E31" w:rsidP="002A5769">
      <w:pPr>
        <w:pStyle w:val="Exampleheading"/>
        <w:pBdr>
          <w:top w:val="single" w:sz="4" w:space="10" w:color="auto"/>
          <w:left w:val="single" w:sz="4" w:space="10" w:color="auto"/>
          <w:bottom w:val="single" w:sz="4" w:space="10" w:color="auto"/>
          <w:right w:val="single" w:sz="4" w:space="10" w:color="auto"/>
        </w:pBdr>
      </w:pPr>
      <w:r>
        <w:t>Example</w:t>
      </w:r>
    </w:p>
    <w:p w:rsidR="002A5769" w:rsidRDefault="002A5769" w:rsidP="002A5769">
      <w:pPr>
        <w:pStyle w:val="Exampletext"/>
        <w:pBdr>
          <w:top w:val="single" w:sz="4" w:space="10" w:color="auto"/>
          <w:left w:val="single" w:sz="4" w:space="10" w:color="auto"/>
          <w:bottom w:val="single" w:sz="4" w:space="10" w:color="auto"/>
          <w:right w:val="single" w:sz="4" w:space="10" w:color="auto"/>
        </w:pBdr>
      </w:pPr>
    </w:p>
    <w:p w:rsidR="00C75E31" w:rsidRDefault="00C75E31" w:rsidP="002A5769">
      <w:pPr>
        <w:pStyle w:val="Exampletext"/>
        <w:pBdr>
          <w:top w:val="single" w:sz="4" w:space="10" w:color="auto"/>
          <w:left w:val="single" w:sz="4" w:space="10" w:color="auto"/>
          <w:bottom w:val="single" w:sz="4" w:space="10" w:color="auto"/>
          <w:right w:val="single" w:sz="4" w:space="10" w:color="auto"/>
        </w:pBdr>
      </w:pPr>
      <w:r>
        <w:t xml:space="preserve">Justin’s trust </w:t>
      </w:r>
      <w:r w:rsidR="00787741">
        <w:t xml:space="preserve">runs </w:t>
      </w:r>
      <w:r>
        <w:t>a lawn mowing business</w:t>
      </w:r>
      <w:r w:rsidR="00E60262">
        <w:t>.  J</w:t>
      </w:r>
      <w:r>
        <w:t>ustin’s daughter Phoebe occasionally helps by mowing lawns</w:t>
      </w:r>
      <w:r w:rsidR="00E60262">
        <w:t>.  T</w:t>
      </w:r>
      <w:r>
        <w:t>his would not be incidental to the activities of the trust.</w:t>
      </w:r>
    </w:p>
    <w:p w:rsidR="00263AAA" w:rsidRDefault="00263AAA" w:rsidP="002A5769"/>
    <w:p w:rsidR="002A5769" w:rsidRDefault="002A5769" w:rsidP="002A5769"/>
    <w:p w:rsidR="00C75E31" w:rsidRDefault="00BD594E" w:rsidP="002A5769">
      <w:r>
        <w:t>As well as</w:t>
      </w:r>
      <w:r w:rsidR="00C75E31">
        <w:t xml:space="preserve"> being incidental to the activities of the trust, to be excluded under section </w:t>
      </w:r>
      <w:proofErr w:type="gramStart"/>
      <w:r w:rsidR="00C75E31">
        <w:t>59B(</w:t>
      </w:r>
      <w:proofErr w:type="gramEnd"/>
      <w:r w:rsidR="00C75E31">
        <w:t>3)(b)</w:t>
      </w:r>
      <w:r w:rsidR="0065203C">
        <w:t>,</w:t>
      </w:r>
      <w:r w:rsidR="00C75E31">
        <w:t xml:space="preserve"> the services must also be minor</w:t>
      </w:r>
      <w:r w:rsidR="00E60262">
        <w:t>.  T</w:t>
      </w:r>
      <w:r w:rsidR="00C75E31">
        <w:t>hat is, the value of the services provided below market value that are incidental to the activities of the trust must also be low</w:t>
      </w:r>
      <w:r w:rsidR="00E60262">
        <w:t>.  T</w:t>
      </w:r>
      <w:r w:rsidR="00C75E31">
        <w:t>his introduces a standard that applies equally to all trusts, without the additional complexities and compliance costs associated with a monetary threshold.</w:t>
      </w:r>
    </w:p>
    <w:p w:rsidR="00263AAA" w:rsidRDefault="00263AAA" w:rsidP="002A5769"/>
    <w:p w:rsidR="00C75E31" w:rsidRDefault="00C75E31" w:rsidP="002A5769">
      <w:r>
        <w:t xml:space="preserve">Section 59B(3)(b) </w:t>
      </w:r>
      <w:r w:rsidR="00BD594E">
        <w:t xml:space="preserve">sets </w:t>
      </w:r>
      <w:r>
        <w:t xml:space="preserve">three different periods for which information on settlements must be provided, depending on whether the resident foreign trustees are in the business of providing trustee services and whether the trust is formed before or after the date of Royal </w:t>
      </w:r>
      <w:r w:rsidR="00294F55">
        <w:t>a</w:t>
      </w:r>
      <w:r>
        <w:t xml:space="preserve">ssent of the Taxation (Business Tax, Exchange of Information, and Remedial Matters) </w:t>
      </w:r>
      <w:r w:rsidR="0065203C">
        <w:t>Bill (21 February 2017)</w:t>
      </w:r>
      <w:r>
        <w:t>.</w:t>
      </w:r>
    </w:p>
    <w:p w:rsidR="00263AAA" w:rsidRDefault="00263AAA" w:rsidP="002A5769"/>
    <w:p w:rsidR="00C75E31" w:rsidRDefault="00C75E31" w:rsidP="002A5769">
      <w:r>
        <w:t xml:space="preserve">If </w:t>
      </w:r>
      <w:r w:rsidRPr="00F8472B">
        <w:rPr>
          <w:b/>
        </w:rPr>
        <w:t>any</w:t>
      </w:r>
      <w:r>
        <w:t xml:space="preserve"> of the trustees are not natural persons or are in the business of providing trustee services, then the period begins with the date of formation of the trust and ends with the application for registration</w:t>
      </w:r>
      <w:r w:rsidR="00E60262">
        <w:t>.  T</w:t>
      </w:r>
      <w:r>
        <w:t>his is because professional trustees, regardless of whether they are the contact trustee, should have adequate records for the trust.</w:t>
      </w:r>
    </w:p>
    <w:p w:rsidR="00263AAA" w:rsidRDefault="00263AAA" w:rsidP="002A5769"/>
    <w:p w:rsidR="00C75E31" w:rsidRDefault="00C75E31" w:rsidP="002A5769">
      <w:r>
        <w:t xml:space="preserve">If </w:t>
      </w:r>
      <w:r w:rsidRPr="00F8472B">
        <w:rPr>
          <w:b/>
        </w:rPr>
        <w:t>all</w:t>
      </w:r>
      <w:r>
        <w:t xml:space="preserve"> of the trustees are natural persons not in the business of providing trustee services, the period is </w:t>
      </w:r>
      <w:r w:rsidR="00294F55">
        <w:t>shorter</w:t>
      </w:r>
      <w:r>
        <w:t xml:space="preserve">. </w:t>
      </w:r>
    </w:p>
    <w:p w:rsidR="00263AAA" w:rsidRDefault="00263AAA" w:rsidP="002A5769"/>
    <w:p w:rsidR="00C75E31" w:rsidRDefault="00C75E31" w:rsidP="002A5769">
      <w:r>
        <w:t xml:space="preserve">For trustees that become required to register a foreign trust on the date of Royal </w:t>
      </w:r>
      <w:r w:rsidR="00294F55">
        <w:t>a</w:t>
      </w:r>
      <w:r>
        <w:t>sse</w:t>
      </w:r>
      <w:r w:rsidR="00294F55">
        <w:t>n</w:t>
      </w:r>
      <w:r>
        <w:t xml:space="preserve">t of the Taxation (Business Tax, Exchange of Information, and Remedial Matters) </w:t>
      </w:r>
      <w:r w:rsidR="0065203C">
        <w:t>Bill (21 February 2017)</w:t>
      </w:r>
      <w:r>
        <w:t xml:space="preserve"> (that is, existing foreign trusts with resident foreign trustees), the trustees must provide information on settlements that date back to the </w:t>
      </w:r>
      <w:r w:rsidRPr="00F8472B">
        <w:rPr>
          <w:b/>
        </w:rPr>
        <w:t>later</w:t>
      </w:r>
      <w:r w:rsidRPr="00E91BD5">
        <w:rPr>
          <w:i/>
        </w:rPr>
        <w:t xml:space="preserve"> </w:t>
      </w:r>
      <w:r>
        <w:t>of the date of the trust’s formation and 30 June 2013.</w:t>
      </w:r>
    </w:p>
    <w:p w:rsidR="00263AAA" w:rsidRDefault="00263AAA" w:rsidP="002A5769"/>
    <w:p w:rsidR="002A5769" w:rsidRDefault="002A5769">
      <w:pPr>
        <w:jc w:val="left"/>
        <w:rPr>
          <w:b/>
          <w:sz w:val="20"/>
        </w:rPr>
      </w:pPr>
      <w:r>
        <w:br w:type="page"/>
      </w:r>
    </w:p>
    <w:p w:rsidR="00C75E31" w:rsidRDefault="00C75E31" w:rsidP="002A5769">
      <w:pPr>
        <w:pStyle w:val="Exampleheading"/>
        <w:pBdr>
          <w:top w:val="single" w:sz="4" w:space="10" w:color="auto"/>
          <w:left w:val="single" w:sz="4" w:space="10" w:color="auto"/>
          <w:bottom w:val="single" w:sz="4" w:space="10" w:color="auto"/>
          <w:right w:val="single" w:sz="4" w:space="10" w:color="auto"/>
        </w:pBdr>
      </w:pPr>
      <w:r>
        <w:lastRenderedPageBreak/>
        <w:t>Example</w:t>
      </w:r>
    </w:p>
    <w:p w:rsidR="00C75E31" w:rsidRDefault="002A5769" w:rsidP="002A5769">
      <w:pPr>
        <w:pStyle w:val="Exampletext"/>
        <w:pBdr>
          <w:top w:val="single" w:sz="4" w:space="10" w:color="auto"/>
          <w:left w:val="single" w:sz="4" w:space="10" w:color="auto"/>
          <w:bottom w:val="single" w:sz="4" w:space="10" w:color="auto"/>
          <w:right w:val="single" w:sz="4" w:space="10" w:color="auto"/>
        </w:pBdr>
      </w:pPr>
      <w:r>
        <w:br/>
      </w:r>
      <w:r w:rsidR="00C75E31">
        <w:t xml:space="preserve">Natalie and Greg’s family trust was formed in April 2016 and Dan, a New Zealand </w:t>
      </w:r>
      <w:r w:rsidR="003152AB">
        <w:t xml:space="preserve">tax </w:t>
      </w:r>
      <w:r w:rsidR="00C75E31">
        <w:t>resident, is appointed one of the trustees</w:t>
      </w:r>
      <w:r w:rsidR="00E60262">
        <w:t>.  A</w:t>
      </w:r>
      <w:r w:rsidR="00C75E31">
        <w:t>ll of the trustees are natural persons not in the business of providing trustee services</w:t>
      </w:r>
      <w:r w:rsidR="00E60262">
        <w:t>.  A</w:t>
      </w:r>
      <w:r w:rsidR="00C75E31">
        <w:t xml:space="preserve">s part of the application for registration of </w:t>
      </w:r>
      <w:r w:rsidR="004E096B">
        <w:t>the</w:t>
      </w:r>
      <w:r w:rsidR="00C75E31">
        <w:t xml:space="preserve"> family trust, Dan must provide details </w:t>
      </w:r>
      <w:r w:rsidR="004E096B">
        <w:t xml:space="preserve">of </w:t>
      </w:r>
      <w:r w:rsidR="00C75E31">
        <w:t>historic</w:t>
      </w:r>
      <w:r w:rsidR="004E096B">
        <w:t>al</w:t>
      </w:r>
      <w:r w:rsidR="00C75E31">
        <w:t xml:space="preserve"> settlements</w:t>
      </w:r>
      <w:r w:rsidR="00E60262">
        <w:t>.  T</w:t>
      </w:r>
      <w:r w:rsidR="00C75E31">
        <w:t>he later of April 2016 and 30 June 2013 is April 2016</w:t>
      </w:r>
      <w:r w:rsidR="004E096B">
        <w:t>, so Dan must provide details of settlements since that date</w:t>
      </w:r>
      <w:r w:rsidR="00C75E31">
        <w:t>.</w:t>
      </w:r>
    </w:p>
    <w:p w:rsidR="00263AAA" w:rsidRPr="002A5769" w:rsidRDefault="00263AAA" w:rsidP="002A5769">
      <w:pPr>
        <w:pStyle w:val="Exampletext"/>
        <w:rPr>
          <w:sz w:val="24"/>
        </w:rPr>
      </w:pPr>
    </w:p>
    <w:p w:rsidR="00C75E31" w:rsidRDefault="00C75E31" w:rsidP="002A5769">
      <w:pPr>
        <w:pStyle w:val="Exampleheading"/>
        <w:pBdr>
          <w:top w:val="single" w:sz="4" w:space="10" w:color="auto"/>
          <w:left w:val="single" w:sz="4" w:space="10" w:color="auto"/>
          <w:bottom w:val="single" w:sz="4" w:space="10" w:color="auto"/>
          <w:right w:val="single" w:sz="4" w:space="10" w:color="auto"/>
        </w:pBdr>
      </w:pPr>
      <w:r>
        <w:t>Example</w:t>
      </w:r>
    </w:p>
    <w:p w:rsidR="002A5769" w:rsidRDefault="002A5769" w:rsidP="002A5769">
      <w:pPr>
        <w:pStyle w:val="Exampletext"/>
        <w:pBdr>
          <w:top w:val="single" w:sz="4" w:space="10" w:color="auto"/>
          <w:left w:val="single" w:sz="4" w:space="10" w:color="auto"/>
          <w:bottom w:val="single" w:sz="4" w:space="10" w:color="auto"/>
          <w:right w:val="single" w:sz="4" w:space="10" w:color="auto"/>
        </w:pBdr>
      </w:pPr>
    </w:p>
    <w:p w:rsidR="00C75E31" w:rsidRDefault="004E096B" w:rsidP="002A5769">
      <w:pPr>
        <w:pStyle w:val="Exampletext"/>
        <w:pBdr>
          <w:top w:val="single" w:sz="4" w:space="10" w:color="auto"/>
          <w:left w:val="single" w:sz="4" w:space="10" w:color="auto"/>
          <w:bottom w:val="single" w:sz="4" w:space="10" w:color="auto"/>
          <w:right w:val="single" w:sz="4" w:space="10" w:color="auto"/>
        </w:pBdr>
      </w:pPr>
      <w:r>
        <w:t xml:space="preserve">Sam </w:t>
      </w:r>
      <w:r w:rsidR="002110BB">
        <w:t>became</w:t>
      </w:r>
      <w:r>
        <w:t xml:space="preserve"> the resident foreign trustee for a </w:t>
      </w:r>
      <w:r w:rsidR="00C75E31">
        <w:t xml:space="preserve">family trust </w:t>
      </w:r>
      <w:r w:rsidR="002110BB">
        <w:t>when it</w:t>
      </w:r>
      <w:r>
        <w:t xml:space="preserve"> was </w:t>
      </w:r>
      <w:r w:rsidR="00C75E31">
        <w:t>formed in August 2012</w:t>
      </w:r>
      <w:r w:rsidR="00E60262">
        <w:t>.  T</w:t>
      </w:r>
      <w:r w:rsidR="00C75E31">
        <w:t>he later of August 2012 and 30 June 2013 is 30 June 2013</w:t>
      </w:r>
      <w:r w:rsidR="00E60262">
        <w:t>.  T</w:t>
      </w:r>
      <w:r w:rsidR="00C75E31">
        <w:t>his means that at the time Sam applies for the trust to be registered, she must provide details on settlements made between 30 June 2013 and the date of her application.</w:t>
      </w:r>
    </w:p>
    <w:p w:rsidR="00263AAA" w:rsidRDefault="00263AAA" w:rsidP="002A5769"/>
    <w:p w:rsidR="002A5769" w:rsidRDefault="002A5769" w:rsidP="002A5769"/>
    <w:p w:rsidR="00C75E31" w:rsidRDefault="00E26452" w:rsidP="002A5769">
      <w:r>
        <w:t>If a</w:t>
      </w:r>
      <w:r w:rsidR="00C75E31">
        <w:t xml:space="preserve"> foreign trust </w:t>
      </w:r>
      <w:r>
        <w:t xml:space="preserve">needs to be registered </w:t>
      </w:r>
      <w:r w:rsidR="00C75E31">
        <w:t xml:space="preserve">after the date of Royal </w:t>
      </w:r>
      <w:r w:rsidR="00B16474">
        <w:t>a</w:t>
      </w:r>
      <w:r w:rsidR="00C75E31">
        <w:t xml:space="preserve">ssent of the Taxation (Business Tax, Exchange of Information, and Remedial Matters) </w:t>
      </w:r>
      <w:r w:rsidR="0065203C">
        <w:t>Bill (21 February 2017)</w:t>
      </w:r>
      <w:r w:rsidR="00C75E31">
        <w:t xml:space="preserve">, the trustee must provide information on settlements that date back to the </w:t>
      </w:r>
      <w:r w:rsidR="00C75E31" w:rsidRPr="00094D4A">
        <w:rPr>
          <w:b/>
        </w:rPr>
        <w:t>later</w:t>
      </w:r>
      <w:r w:rsidR="00C75E31">
        <w:t xml:space="preserve"> of the trust’s formation and four years prior to the date on which a trustee first becomes required to register the foreign trust.  </w:t>
      </w:r>
      <w:r w:rsidR="001F0CDD">
        <w:t xml:space="preserve">Trusts in this category could include a foreign trust that is formed with a resident foreign trustee after the date of Royal </w:t>
      </w:r>
      <w:r w:rsidR="00B16474">
        <w:t>a</w:t>
      </w:r>
      <w:r w:rsidR="001F0CDD">
        <w:t xml:space="preserve">ssent or an existing foreign trust that does not have a resident foreign trustee until after the date of Royal </w:t>
      </w:r>
      <w:r w:rsidR="00B16474">
        <w:t>a</w:t>
      </w:r>
      <w:r w:rsidR="001F0CDD">
        <w:t>ssent.</w:t>
      </w:r>
    </w:p>
    <w:p w:rsidR="00263AAA" w:rsidRDefault="00263AAA" w:rsidP="002A5769"/>
    <w:p w:rsidR="002A5769" w:rsidRDefault="002A5769" w:rsidP="002A5769"/>
    <w:p w:rsidR="00C75E31" w:rsidRPr="00CD6796" w:rsidRDefault="00C75E31" w:rsidP="002A5769">
      <w:pPr>
        <w:pStyle w:val="Exampleheading"/>
        <w:pBdr>
          <w:top w:val="single" w:sz="4" w:space="10" w:color="auto"/>
          <w:left w:val="single" w:sz="4" w:space="10" w:color="auto"/>
          <w:bottom w:val="single" w:sz="4" w:space="10" w:color="auto"/>
          <w:right w:val="single" w:sz="4" w:space="10" w:color="auto"/>
        </w:pBdr>
      </w:pPr>
      <w:r w:rsidRPr="00CD6796">
        <w:t>Example</w:t>
      </w:r>
    </w:p>
    <w:p w:rsidR="002A5769" w:rsidRDefault="002A5769" w:rsidP="002A5769">
      <w:pPr>
        <w:pStyle w:val="Exampletext"/>
        <w:pBdr>
          <w:top w:val="single" w:sz="4" w:space="10" w:color="auto"/>
          <w:left w:val="single" w:sz="4" w:space="10" w:color="auto"/>
          <w:bottom w:val="single" w:sz="4" w:space="10" w:color="auto"/>
          <w:right w:val="single" w:sz="4" w:space="10" w:color="auto"/>
        </w:pBdr>
      </w:pPr>
    </w:p>
    <w:p w:rsidR="00C75E31" w:rsidRDefault="00C75E31" w:rsidP="002A5769">
      <w:pPr>
        <w:pStyle w:val="Exampletext"/>
        <w:pBdr>
          <w:top w:val="single" w:sz="4" w:space="10" w:color="auto"/>
          <w:left w:val="single" w:sz="4" w:space="10" w:color="auto"/>
          <w:bottom w:val="single" w:sz="4" w:space="10" w:color="auto"/>
          <w:right w:val="single" w:sz="4" w:space="10" w:color="auto"/>
        </w:pBdr>
      </w:pPr>
      <w:r w:rsidRPr="00CD6796">
        <w:t>John and Maraina’s family trust is formed</w:t>
      </w:r>
      <w:r w:rsidR="002110BB">
        <w:t xml:space="preserve"> overseas</w:t>
      </w:r>
      <w:r w:rsidRPr="00CD6796">
        <w:t xml:space="preserve"> in</w:t>
      </w:r>
      <w:r>
        <w:t xml:space="preserve"> March 2019, but </w:t>
      </w:r>
      <w:r w:rsidR="002110BB">
        <w:t xml:space="preserve">has </w:t>
      </w:r>
      <w:r>
        <w:t>no resident foreign trustee until December 2023, when Sophie, a New Zealand resident</w:t>
      </w:r>
      <w:r w:rsidR="002110BB">
        <w:t>,</w:t>
      </w:r>
      <w:r>
        <w:t xml:space="preserve"> is appointed to be one of the trustees</w:t>
      </w:r>
      <w:r w:rsidR="00E60262">
        <w:t>.  S</w:t>
      </w:r>
      <w:r>
        <w:t>ophie becomes liable to register John and Maraina’s family trust when she becomes the first resident foreign trustee</w:t>
      </w:r>
      <w:r w:rsidR="00E60262">
        <w:t>.  F</w:t>
      </w:r>
      <w:r>
        <w:t>our years prior to December 2023 is December 2019, which is later than March 2019</w:t>
      </w:r>
      <w:r w:rsidR="00E60262">
        <w:t>.  T</w:t>
      </w:r>
      <w:r>
        <w:t xml:space="preserve">his means that as part of the application for registration Sophie </w:t>
      </w:r>
      <w:r w:rsidR="002110BB">
        <w:t>must</w:t>
      </w:r>
      <w:r>
        <w:t xml:space="preserve"> provide details of settlements made on John and Maraina’s family trust dating back to December 2019, not March 2019 (the date of formation).</w:t>
      </w:r>
    </w:p>
    <w:p w:rsidR="00263AAA" w:rsidRDefault="00263AAA" w:rsidP="002A5769"/>
    <w:p w:rsidR="002A5769" w:rsidRDefault="002A5769" w:rsidP="002A5769"/>
    <w:p w:rsidR="00C75E31" w:rsidRDefault="00C75E31" w:rsidP="002A5769">
      <w:r>
        <w:t xml:space="preserve">The </w:t>
      </w:r>
      <w:r w:rsidR="002110BB">
        <w:t>table below summari</w:t>
      </w:r>
      <w:r w:rsidR="00E26452">
        <w:t>s</w:t>
      </w:r>
      <w:r w:rsidR="002110BB">
        <w:t xml:space="preserve">es the different </w:t>
      </w:r>
      <w:r>
        <w:t>period</w:t>
      </w:r>
      <w:r w:rsidR="002110BB">
        <w:t>s</w:t>
      </w:r>
      <w:r>
        <w:t xml:space="preserve"> </w:t>
      </w:r>
      <w:r w:rsidR="002110BB">
        <w:t xml:space="preserve">for which details of </w:t>
      </w:r>
      <w:r>
        <w:t>historic</w:t>
      </w:r>
      <w:r w:rsidR="002110BB">
        <w:t>al</w:t>
      </w:r>
      <w:r>
        <w:t xml:space="preserve"> settlements must be provided on application</w:t>
      </w:r>
      <w:r w:rsidR="00263AAA">
        <w:t xml:space="preserve"> for registration</w:t>
      </w:r>
      <w:r w:rsidR="002110BB">
        <w:t>.</w:t>
      </w:r>
    </w:p>
    <w:p w:rsidR="00263AAA" w:rsidRDefault="00263AAA" w:rsidP="002A5769"/>
    <w:tbl>
      <w:tblPr>
        <w:tblStyle w:val="TableGrid"/>
        <w:tblW w:w="9403" w:type="dxa"/>
        <w:tblCellMar>
          <w:top w:w="57" w:type="dxa"/>
          <w:left w:w="57" w:type="dxa"/>
          <w:bottom w:w="57" w:type="dxa"/>
          <w:right w:w="57" w:type="dxa"/>
        </w:tblCellMar>
        <w:tblLook w:val="04A0" w:firstRow="1" w:lastRow="0" w:firstColumn="1" w:lastColumn="0" w:noHBand="0" w:noVBand="1"/>
      </w:tblPr>
      <w:tblGrid>
        <w:gridCol w:w="3369"/>
        <w:gridCol w:w="3017"/>
        <w:gridCol w:w="3017"/>
      </w:tblGrid>
      <w:tr w:rsidR="00C75E31" w:rsidRPr="002A5769" w:rsidTr="00AC4740">
        <w:tc>
          <w:tcPr>
            <w:tcW w:w="3369" w:type="dxa"/>
            <w:shd w:val="clear" w:color="auto" w:fill="D9D9D9" w:themeFill="background1" w:themeFillShade="D9"/>
          </w:tcPr>
          <w:p w:rsidR="00C75E31" w:rsidRPr="002A5769" w:rsidRDefault="00C75E31" w:rsidP="002A5769">
            <w:pPr>
              <w:jc w:val="left"/>
              <w:rPr>
                <w:sz w:val="20"/>
                <w:szCs w:val="20"/>
              </w:rPr>
            </w:pPr>
          </w:p>
        </w:tc>
        <w:tc>
          <w:tcPr>
            <w:tcW w:w="3017" w:type="dxa"/>
            <w:shd w:val="clear" w:color="auto" w:fill="D9D9D9" w:themeFill="background1" w:themeFillShade="D9"/>
          </w:tcPr>
          <w:p w:rsidR="00C75E31" w:rsidRPr="002A5769" w:rsidRDefault="00C75E31" w:rsidP="002A5769">
            <w:pPr>
              <w:jc w:val="left"/>
              <w:rPr>
                <w:b/>
                <w:sz w:val="20"/>
                <w:szCs w:val="20"/>
              </w:rPr>
            </w:pPr>
            <w:r w:rsidRPr="002A5769">
              <w:rPr>
                <w:b/>
                <w:sz w:val="20"/>
                <w:szCs w:val="20"/>
              </w:rPr>
              <w:t>Start date</w:t>
            </w:r>
          </w:p>
        </w:tc>
        <w:tc>
          <w:tcPr>
            <w:tcW w:w="3017" w:type="dxa"/>
            <w:shd w:val="clear" w:color="auto" w:fill="D9D9D9" w:themeFill="background1" w:themeFillShade="D9"/>
          </w:tcPr>
          <w:p w:rsidR="00C75E31" w:rsidRPr="002A5769" w:rsidRDefault="00C75E31" w:rsidP="002A5769">
            <w:pPr>
              <w:jc w:val="left"/>
              <w:rPr>
                <w:b/>
                <w:sz w:val="20"/>
                <w:szCs w:val="20"/>
              </w:rPr>
            </w:pPr>
            <w:r w:rsidRPr="002A5769">
              <w:rPr>
                <w:b/>
                <w:sz w:val="20"/>
                <w:szCs w:val="20"/>
              </w:rPr>
              <w:t>End date</w:t>
            </w:r>
          </w:p>
        </w:tc>
      </w:tr>
      <w:tr w:rsidR="00C75E31" w:rsidRPr="002A5769" w:rsidTr="00FA7568">
        <w:tc>
          <w:tcPr>
            <w:tcW w:w="3369" w:type="dxa"/>
          </w:tcPr>
          <w:p w:rsidR="00C75E31" w:rsidRPr="002A5769" w:rsidRDefault="00C75E31" w:rsidP="002A5769">
            <w:pPr>
              <w:jc w:val="left"/>
              <w:rPr>
                <w:b/>
                <w:sz w:val="20"/>
                <w:szCs w:val="20"/>
              </w:rPr>
            </w:pPr>
            <w:r w:rsidRPr="002A5769">
              <w:rPr>
                <w:b/>
                <w:sz w:val="20"/>
                <w:szCs w:val="20"/>
              </w:rPr>
              <w:t>Any of the trustees are not natural persons or are in the business of providing trustee services</w:t>
            </w:r>
            <w:r w:rsidR="0065203C">
              <w:rPr>
                <w:b/>
                <w:sz w:val="20"/>
                <w:szCs w:val="20"/>
              </w:rPr>
              <w:t>.</w:t>
            </w:r>
          </w:p>
        </w:tc>
        <w:tc>
          <w:tcPr>
            <w:tcW w:w="3017" w:type="dxa"/>
          </w:tcPr>
          <w:p w:rsidR="00C75E31" w:rsidRPr="002A5769" w:rsidRDefault="00C75E31" w:rsidP="002A5769">
            <w:pPr>
              <w:jc w:val="left"/>
              <w:rPr>
                <w:sz w:val="20"/>
                <w:szCs w:val="20"/>
              </w:rPr>
            </w:pPr>
            <w:r w:rsidRPr="002A5769">
              <w:rPr>
                <w:sz w:val="20"/>
                <w:szCs w:val="20"/>
              </w:rPr>
              <w:t>Formation of trust</w:t>
            </w:r>
            <w:r w:rsidR="0065203C">
              <w:rPr>
                <w:sz w:val="20"/>
                <w:szCs w:val="20"/>
              </w:rPr>
              <w:t>.</w:t>
            </w:r>
          </w:p>
        </w:tc>
        <w:tc>
          <w:tcPr>
            <w:tcW w:w="3017" w:type="dxa"/>
          </w:tcPr>
          <w:p w:rsidR="00C75E31" w:rsidRPr="002A5769" w:rsidRDefault="00C75E31" w:rsidP="002A5769">
            <w:pPr>
              <w:jc w:val="left"/>
              <w:rPr>
                <w:sz w:val="20"/>
                <w:szCs w:val="20"/>
              </w:rPr>
            </w:pPr>
            <w:r w:rsidRPr="002A5769">
              <w:rPr>
                <w:sz w:val="20"/>
                <w:szCs w:val="20"/>
              </w:rPr>
              <w:t>Date of application for registration</w:t>
            </w:r>
            <w:r w:rsidR="0065203C">
              <w:rPr>
                <w:sz w:val="20"/>
                <w:szCs w:val="20"/>
              </w:rPr>
              <w:t>.</w:t>
            </w:r>
          </w:p>
        </w:tc>
      </w:tr>
      <w:tr w:rsidR="00C75E31" w:rsidRPr="002A5769" w:rsidTr="00FA7568">
        <w:tc>
          <w:tcPr>
            <w:tcW w:w="9403" w:type="dxa"/>
            <w:gridSpan w:val="3"/>
          </w:tcPr>
          <w:p w:rsidR="00C75E31" w:rsidRPr="002A5769" w:rsidRDefault="00C75E31" w:rsidP="002A5769">
            <w:pPr>
              <w:jc w:val="left"/>
              <w:rPr>
                <w:b/>
                <w:sz w:val="20"/>
                <w:szCs w:val="20"/>
              </w:rPr>
            </w:pPr>
            <w:r w:rsidRPr="002A5769">
              <w:rPr>
                <w:b/>
                <w:sz w:val="20"/>
                <w:szCs w:val="20"/>
              </w:rPr>
              <w:t>All trustees are natural persons not in the business of providing trustee services</w:t>
            </w:r>
          </w:p>
        </w:tc>
      </w:tr>
      <w:tr w:rsidR="00C75E31" w:rsidRPr="002A5769" w:rsidTr="00FA7568">
        <w:tc>
          <w:tcPr>
            <w:tcW w:w="3369" w:type="dxa"/>
          </w:tcPr>
          <w:p w:rsidR="00C75E31" w:rsidRPr="002A5769" w:rsidRDefault="00C75E31" w:rsidP="002A5769">
            <w:pPr>
              <w:jc w:val="left"/>
              <w:rPr>
                <w:sz w:val="20"/>
                <w:szCs w:val="20"/>
              </w:rPr>
            </w:pPr>
            <w:r w:rsidRPr="002A5769">
              <w:rPr>
                <w:sz w:val="20"/>
                <w:szCs w:val="20"/>
              </w:rPr>
              <w:t xml:space="preserve">Trustee becomes required to register trust on date of Royal </w:t>
            </w:r>
            <w:r w:rsidR="00E26452" w:rsidRPr="002A5769">
              <w:rPr>
                <w:sz w:val="20"/>
                <w:szCs w:val="20"/>
              </w:rPr>
              <w:t>a</w:t>
            </w:r>
            <w:r w:rsidRPr="002A5769">
              <w:rPr>
                <w:sz w:val="20"/>
                <w:szCs w:val="20"/>
              </w:rPr>
              <w:t xml:space="preserve">ssent </w:t>
            </w:r>
          </w:p>
          <w:p w:rsidR="00C75E31" w:rsidRPr="002A5769" w:rsidRDefault="00C75E31" w:rsidP="002A5769">
            <w:pPr>
              <w:jc w:val="left"/>
              <w:rPr>
                <w:sz w:val="20"/>
                <w:szCs w:val="20"/>
              </w:rPr>
            </w:pPr>
            <w:r w:rsidRPr="002A5769">
              <w:rPr>
                <w:sz w:val="20"/>
                <w:szCs w:val="20"/>
              </w:rPr>
              <w:t>(</w:t>
            </w:r>
            <w:proofErr w:type="gramStart"/>
            <w:r w:rsidRPr="002A5769">
              <w:rPr>
                <w:sz w:val="20"/>
                <w:szCs w:val="20"/>
              </w:rPr>
              <w:t>existing</w:t>
            </w:r>
            <w:proofErr w:type="gramEnd"/>
            <w:r w:rsidRPr="002A5769">
              <w:rPr>
                <w:sz w:val="20"/>
                <w:szCs w:val="20"/>
              </w:rPr>
              <w:t xml:space="preserve"> foreign trusts with resident foreign trustees)</w:t>
            </w:r>
            <w:r w:rsidR="0065203C">
              <w:rPr>
                <w:sz w:val="20"/>
                <w:szCs w:val="20"/>
              </w:rPr>
              <w:t>.</w:t>
            </w:r>
          </w:p>
        </w:tc>
        <w:tc>
          <w:tcPr>
            <w:tcW w:w="3017" w:type="dxa"/>
          </w:tcPr>
          <w:p w:rsidR="00C75E31" w:rsidRPr="002A5769" w:rsidRDefault="00C75E31" w:rsidP="002A5769">
            <w:pPr>
              <w:jc w:val="left"/>
              <w:rPr>
                <w:sz w:val="20"/>
                <w:szCs w:val="20"/>
              </w:rPr>
            </w:pPr>
            <w:r w:rsidRPr="002A5769">
              <w:rPr>
                <w:sz w:val="20"/>
                <w:szCs w:val="20"/>
              </w:rPr>
              <w:t>Later of:</w:t>
            </w:r>
          </w:p>
          <w:p w:rsidR="00C75E31" w:rsidRPr="002A5769" w:rsidRDefault="002110BB" w:rsidP="00FA7568">
            <w:pPr>
              <w:pStyle w:val="ListParagraph"/>
              <w:numPr>
                <w:ilvl w:val="0"/>
                <w:numId w:val="30"/>
              </w:numPr>
              <w:spacing w:after="0" w:line="240" w:lineRule="auto"/>
              <w:ind w:left="317" w:hanging="284"/>
              <w:rPr>
                <w:rFonts w:ascii="Times New Roman" w:hAnsi="Times New Roman" w:cs="Times New Roman"/>
                <w:sz w:val="20"/>
                <w:szCs w:val="20"/>
              </w:rPr>
            </w:pPr>
            <w:r w:rsidRPr="002A5769">
              <w:rPr>
                <w:rFonts w:ascii="Times New Roman" w:hAnsi="Times New Roman" w:cs="Times New Roman"/>
                <w:sz w:val="20"/>
                <w:szCs w:val="20"/>
              </w:rPr>
              <w:t>f</w:t>
            </w:r>
            <w:r w:rsidR="00C75E31" w:rsidRPr="002A5769">
              <w:rPr>
                <w:rFonts w:ascii="Times New Roman" w:hAnsi="Times New Roman" w:cs="Times New Roman"/>
                <w:sz w:val="20"/>
                <w:szCs w:val="20"/>
              </w:rPr>
              <w:t>ormation of trust</w:t>
            </w:r>
          </w:p>
          <w:p w:rsidR="00C75E31" w:rsidRPr="002A5769" w:rsidRDefault="00C75E31" w:rsidP="00FA7568">
            <w:pPr>
              <w:pStyle w:val="ListParagraph"/>
              <w:numPr>
                <w:ilvl w:val="0"/>
                <w:numId w:val="30"/>
              </w:numPr>
              <w:spacing w:after="0" w:line="240" w:lineRule="auto"/>
              <w:ind w:left="317" w:hanging="284"/>
              <w:rPr>
                <w:rFonts w:ascii="Times New Roman" w:hAnsi="Times New Roman" w:cs="Times New Roman"/>
                <w:sz w:val="20"/>
                <w:szCs w:val="20"/>
              </w:rPr>
            </w:pPr>
            <w:r w:rsidRPr="002A5769">
              <w:rPr>
                <w:rFonts w:ascii="Times New Roman" w:hAnsi="Times New Roman" w:cs="Times New Roman"/>
                <w:sz w:val="20"/>
                <w:szCs w:val="20"/>
              </w:rPr>
              <w:t>30 June 2013</w:t>
            </w:r>
            <w:r w:rsidR="0065203C">
              <w:rPr>
                <w:rFonts w:ascii="Times New Roman" w:hAnsi="Times New Roman" w:cs="Times New Roman"/>
                <w:sz w:val="20"/>
                <w:szCs w:val="20"/>
              </w:rPr>
              <w:t>.</w:t>
            </w:r>
          </w:p>
        </w:tc>
        <w:tc>
          <w:tcPr>
            <w:tcW w:w="3017" w:type="dxa"/>
          </w:tcPr>
          <w:p w:rsidR="00C75E31" w:rsidRPr="002A5769" w:rsidRDefault="00C75E31" w:rsidP="002A5769">
            <w:pPr>
              <w:jc w:val="left"/>
              <w:rPr>
                <w:sz w:val="20"/>
                <w:szCs w:val="20"/>
              </w:rPr>
            </w:pPr>
            <w:r w:rsidRPr="002A5769">
              <w:rPr>
                <w:sz w:val="20"/>
                <w:szCs w:val="20"/>
              </w:rPr>
              <w:t>Date of application for registration</w:t>
            </w:r>
            <w:r w:rsidR="0065203C">
              <w:rPr>
                <w:sz w:val="20"/>
                <w:szCs w:val="20"/>
              </w:rPr>
              <w:t>.</w:t>
            </w:r>
          </w:p>
        </w:tc>
      </w:tr>
      <w:tr w:rsidR="00C75E31" w:rsidRPr="002A5769" w:rsidTr="00FA7568">
        <w:tc>
          <w:tcPr>
            <w:tcW w:w="3369" w:type="dxa"/>
          </w:tcPr>
          <w:p w:rsidR="00C75E31" w:rsidRPr="002A5769" w:rsidRDefault="00C75E31" w:rsidP="002A5769">
            <w:pPr>
              <w:jc w:val="left"/>
              <w:rPr>
                <w:sz w:val="20"/>
                <w:szCs w:val="20"/>
              </w:rPr>
            </w:pPr>
            <w:r w:rsidRPr="002A5769">
              <w:rPr>
                <w:sz w:val="20"/>
                <w:szCs w:val="20"/>
              </w:rPr>
              <w:t xml:space="preserve">Trustee becomes required to register trust after date of Royal </w:t>
            </w:r>
            <w:r w:rsidR="00E26452" w:rsidRPr="002A5769">
              <w:rPr>
                <w:sz w:val="20"/>
                <w:szCs w:val="20"/>
              </w:rPr>
              <w:t>a</w:t>
            </w:r>
            <w:r w:rsidRPr="002A5769">
              <w:rPr>
                <w:sz w:val="20"/>
                <w:szCs w:val="20"/>
              </w:rPr>
              <w:t>ssent</w:t>
            </w:r>
          </w:p>
          <w:p w:rsidR="00C75E31" w:rsidRPr="002A5769" w:rsidRDefault="00C75E31" w:rsidP="002A5769">
            <w:pPr>
              <w:jc w:val="left"/>
              <w:rPr>
                <w:sz w:val="20"/>
                <w:szCs w:val="20"/>
              </w:rPr>
            </w:pPr>
            <w:r w:rsidRPr="002A5769">
              <w:rPr>
                <w:sz w:val="20"/>
                <w:szCs w:val="20"/>
              </w:rPr>
              <w:t>(</w:t>
            </w:r>
            <w:proofErr w:type="gramStart"/>
            <w:r w:rsidRPr="002A5769">
              <w:rPr>
                <w:sz w:val="20"/>
                <w:szCs w:val="20"/>
              </w:rPr>
              <w:t>existing</w:t>
            </w:r>
            <w:proofErr w:type="gramEnd"/>
            <w:r w:rsidRPr="002A5769">
              <w:rPr>
                <w:sz w:val="20"/>
                <w:szCs w:val="20"/>
              </w:rPr>
              <w:t xml:space="preserve"> foreign trusts that subsequently </w:t>
            </w:r>
            <w:r w:rsidR="002110BB" w:rsidRPr="002A5769">
              <w:rPr>
                <w:sz w:val="20"/>
                <w:szCs w:val="20"/>
              </w:rPr>
              <w:t xml:space="preserve">appoint </w:t>
            </w:r>
            <w:r w:rsidRPr="002A5769">
              <w:rPr>
                <w:sz w:val="20"/>
                <w:szCs w:val="20"/>
              </w:rPr>
              <w:t xml:space="preserve">their first resident foreign trustee, or new foreign trusts with </w:t>
            </w:r>
            <w:r w:rsidR="00E26452" w:rsidRPr="002A5769">
              <w:rPr>
                <w:sz w:val="20"/>
                <w:szCs w:val="20"/>
              </w:rPr>
              <w:t xml:space="preserve">a </w:t>
            </w:r>
            <w:r w:rsidRPr="002A5769">
              <w:rPr>
                <w:sz w:val="20"/>
                <w:szCs w:val="20"/>
              </w:rPr>
              <w:t>resident foreign trustee)</w:t>
            </w:r>
            <w:r w:rsidR="0065203C">
              <w:rPr>
                <w:sz w:val="20"/>
                <w:szCs w:val="20"/>
              </w:rPr>
              <w:t>.</w:t>
            </w:r>
          </w:p>
        </w:tc>
        <w:tc>
          <w:tcPr>
            <w:tcW w:w="3017" w:type="dxa"/>
          </w:tcPr>
          <w:p w:rsidR="00C75E31" w:rsidRPr="002A5769" w:rsidRDefault="00C75E31" w:rsidP="002A5769">
            <w:pPr>
              <w:jc w:val="left"/>
              <w:rPr>
                <w:sz w:val="20"/>
                <w:szCs w:val="20"/>
              </w:rPr>
            </w:pPr>
            <w:r w:rsidRPr="002A5769">
              <w:rPr>
                <w:sz w:val="20"/>
                <w:szCs w:val="20"/>
              </w:rPr>
              <w:t>Later of:</w:t>
            </w:r>
          </w:p>
          <w:p w:rsidR="00C75E31" w:rsidRPr="002A5769" w:rsidRDefault="002110BB" w:rsidP="00FA7568">
            <w:pPr>
              <w:pStyle w:val="ListParagraph"/>
              <w:numPr>
                <w:ilvl w:val="0"/>
                <w:numId w:val="30"/>
              </w:numPr>
              <w:spacing w:after="0" w:line="240" w:lineRule="auto"/>
              <w:ind w:left="317" w:hanging="284"/>
              <w:rPr>
                <w:rFonts w:ascii="Times New Roman" w:hAnsi="Times New Roman" w:cs="Times New Roman"/>
                <w:sz w:val="20"/>
                <w:szCs w:val="20"/>
              </w:rPr>
            </w:pPr>
            <w:r w:rsidRPr="002A5769">
              <w:rPr>
                <w:rFonts w:ascii="Times New Roman" w:hAnsi="Times New Roman" w:cs="Times New Roman"/>
                <w:sz w:val="20"/>
                <w:szCs w:val="20"/>
              </w:rPr>
              <w:t>f</w:t>
            </w:r>
            <w:r w:rsidR="00C75E31" w:rsidRPr="002A5769">
              <w:rPr>
                <w:rFonts w:ascii="Times New Roman" w:hAnsi="Times New Roman" w:cs="Times New Roman"/>
                <w:sz w:val="20"/>
                <w:szCs w:val="20"/>
              </w:rPr>
              <w:t>ormation of trust</w:t>
            </w:r>
          </w:p>
          <w:p w:rsidR="00C75E31" w:rsidRPr="002A5769" w:rsidRDefault="002110BB" w:rsidP="00FA7568">
            <w:pPr>
              <w:pStyle w:val="ListParagraph"/>
              <w:numPr>
                <w:ilvl w:val="0"/>
                <w:numId w:val="30"/>
              </w:numPr>
              <w:spacing w:after="0" w:line="240" w:lineRule="auto"/>
              <w:ind w:left="317" w:hanging="284"/>
              <w:rPr>
                <w:rFonts w:ascii="Times New Roman" w:hAnsi="Times New Roman" w:cs="Times New Roman"/>
                <w:sz w:val="20"/>
                <w:szCs w:val="20"/>
              </w:rPr>
            </w:pPr>
            <w:proofErr w:type="gramStart"/>
            <w:r w:rsidRPr="002A5769">
              <w:rPr>
                <w:rFonts w:ascii="Times New Roman" w:hAnsi="Times New Roman" w:cs="Times New Roman"/>
                <w:sz w:val="20"/>
                <w:szCs w:val="20"/>
              </w:rPr>
              <w:t>f</w:t>
            </w:r>
            <w:r w:rsidR="00C75E31" w:rsidRPr="002A5769">
              <w:rPr>
                <w:rFonts w:ascii="Times New Roman" w:hAnsi="Times New Roman" w:cs="Times New Roman"/>
                <w:sz w:val="20"/>
                <w:szCs w:val="20"/>
              </w:rPr>
              <w:t>our</w:t>
            </w:r>
            <w:proofErr w:type="gramEnd"/>
            <w:r w:rsidR="00C75E31" w:rsidRPr="002A5769">
              <w:rPr>
                <w:rFonts w:ascii="Times New Roman" w:hAnsi="Times New Roman" w:cs="Times New Roman"/>
                <w:sz w:val="20"/>
                <w:szCs w:val="20"/>
              </w:rPr>
              <w:t xml:space="preserve"> years prior to the first date on which a trustee becomes required to register the trust</w:t>
            </w:r>
            <w:r w:rsidR="0065203C">
              <w:rPr>
                <w:rFonts w:ascii="Times New Roman" w:hAnsi="Times New Roman" w:cs="Times New Roman"/>
                <w:sz w:val="20"/>
                <w:szCs w:val="20"/>
              </w:rPr>
              <w:t>.</w:t>
            </w:r>
          </w:p>
        </w:tc>
        <w:tc>
          <w:tcPr>
            <w:tcW w:w="3017" w:type="dxa"/>
          </w:tcPr>
          <w:p w:rsidR="00C75E31" w:rsidRPr="002A5769" w:rsidRDefault="00C75E31" w:rsidP="002A5769">
            <w:pPr>
              <w:jc w:val="left"/>
              <w:rPr>
                <w:sz w:val="20"/>
                <w:szCs w:val="20"/>
              </w:rPr>
            </w:pPr>
            <w:r w:rsidRPr="002A5769">
              <w:rPr>
                <w:sz w:val="20"/>
                <w:szCs w:val="20"/>
              </w:rPr>
              <w:t>Date of application for registration</w:t>
            </w:r>
            <w:r w:rsidR="0065203C">
              <w:rPr>
                <w:sz w:val="20"/>
                <w:szCs w:val="20"/>
              </w:rPr>
              <w:t>.</w:t>
            </w:r>
          </w:p>
        </w:tc>
      </w:tr>
    </w:tbl>
    <w:p w:rsidR="00C75E31" w:rsidRDefault="00C75E31" w:rsidP="002A5769">
      <w:pPr>
        <w:pStyle w:val="Heading4"/>
      </w:pPr>
      <w:r>
        <w:lastRenderedPageBreak/>
        <w:t>Details about settlors, trustees and</w:t>
      </w:r>
      <w:r w:rsidR="00543178">
        <w:t xml:space="preserve"> beneficiaries</w:t>
      </w:r>
    </w:p>
    <w:p w:rsidR="00263AAA" w:rsidRPr="00263AAA" w:rsidRDefault="00263AAA" w:rsidP="002A5769"/>
    <w:p w:rsidR="00C75E31" w:rsidRDefault="00C75E31" w:rsidP="002A5769">
      <w:r>
        <w:t xml:space="preserve">In addition to information </w:t>
      </w:r>
      <w:r w:rsidR="00C85031">
        <w:t xml:space="preserve">on </w:t>
      </w:r>
      <w:r>
        <w:t>historic</w:t>
      </w:r>
      <w:r w:rsidR="00C85031">
        <w:t>al</w:t>
      </w:r>
      <w:r>
        <w:t xml:space="preserve"> settlements, section 59B(3)(c), (d) and (e) provides that the application must also include information relating to settlors, beneficiaries and trustees, as well as other persons with certain powers.</w:t>
      </w:r>
    </w:p>
    <w:p w:rsidR="009F6DC1" w:rsidRDefault="009F6DC1" w:rsidP="002A5769"/>
    <w:p w:rsidR="009F6DC1" w:rsidRDefault="009F6DC1" w:rsidP="002A5769">
      <w:r>
        <w:t xml:space="preserve">Section </w:t>
      </w:r>
      <w:proofErr w:type="gramStart"/>
      <w:r>
        <w:t>59B(</w:t>
      </w:r>
      <w:proofErr w:type="gramEnd"/>
      <w:r>
        <w:t>3)(c)(ii</w:t>
      </w:r>
      <w:r w:rsidR="004C574F">
        <w:t>)–(</w:t>
      </w:r>
      <w:r>
        <w:t>iii) describes other persons who have specific powers in connection to the trust which allow them to have some control over the trust</w:t>
      </w:r>
      <w:r w:rsidR="00E60262">
        <w:t>.  S</w:t>
      </w:r>
      <w:r>
        <w:t>pecifically these address persons who</w:t>
      </w:r>
      <w:r w:rsidR="004C574F">
        <w:t xml:space="preserve"> have a power to:</w:t>
      </w:r>
      <w:r>
        <w:t xml:space="preserve"> </w:t>
      </w:r>
    </w:p>
    <w:p w:rsidR="00FA7568" w:rsidRDefault="00FA7568" w:rsidP="002A5769"/>
    <w:p w:rsidR="009F6DC1" w:rsidRPr="00BC743D" w:rsidRDefault="009F6DC1" w:rsidP="00AC4740">
      <w:pPr>
        <w:pStyle w:val="ListParagraph"/>
        <w:numPr>
          <w:ilvl w:val="0"/>
          <w:numId w:val="32"/>
        </w:numPr>
        <w:spacing w:after="100" w:line="240" w:lineRule="auto"/>
        <w:ind w:left="567" w:hanging="567"/>
        <w:contextualSpacing w:val="0"/>
        <w:jc w:val="both"/>
        <w:rPr>
          <w:rFonts w:ascii="Times New Roman" w:hAnsi="Times New Roman" w:cs="Times New Roman"/>
          <w:sz w:val="24"/>
        </w:rPr>
      </w:pPr>
      <w:r w:rsidRPr="00BC743D">
        <w:rPr>
          <w:rFonts w:ascii="Times New Roman" w:hAnsi="Times New Roman" w:cs="Times New Roman"/>
          <w:sz w:val="24"/>
        </w:rPr>
        <w:t>appoint or dismiss a trustee, to amend the trust deed, or to add or remove a beneficiary (59B(3)(c)(ii))</w:t>
      </w:r>
      <w:r w:rsidR="004C574F">
        <w:rPr>
          <w:rFonts w:ascii="Times New Roman" w:hAnsi="Times New Roman" w:cs="Times New Roman"/>
          <w:sz w:val="24"/>
        </w:rPr>
        <w:t>;</w:t>
      </w:r>
      <w:r w:rsidRPr="00BC743D">
        <w:rPr>
          <w:rFonts w:ascii="Times New Roman" w:hAnsi="Times New Roman" w:cs="Times New Roman"/>
          <w:sz w:val="24"/>
        </w:rPr>
        <w:t xml:space="preserve"> </w:t>
      </w:r>
    </w:p>
    <w:p w:rsidR="009F6DC1" w:rsidRPr="00BC743D" w:rsidRDefault="009F6DC1" w:rsidP="00AC4740">
      <w:pPr>
        <w:pStyle w:val="ListParagraph"/>
        <w:numPr>
          <w:ilvl w:val="0"/>
          <w:numId w:val="32"/>
        </w:numPr>
        <w:spacing w:after="100" w:line="240" w:lineRule="auto"/>
        <w:ind w:left="567" w:hanging="567"/>
        <w:contextualSpacing w:val="0"/>
        <w:jc w:val="both"/>
        <w:rPr>
          <w:rFonts w:ascii="Times New Roman" w:hAnsi="Times New Roman" w:cs="Times New Roman"/>
          <w:sz w:val="24"/>
        </w:rPr>
      </w:pPr>
      <w:r w:rsidRPr="00BC743D">
        <w:rPr>
          <w:rFonts w:ascii="Times New Roman" w:hAnsi="Times New Roman" w:cs="Times New Roman"/>
          <w:sz w:val="24"/>
        </w:rPr>
        <w:t>control the exercise of one of the powers mentioned above</w:t>
      </w:r>
      <w:r w:rsidR="00AA07A8">
        <w:rPr>
          <w:rFonts w:ascii="Times New Roman" w:hAnsi="Times New Roman" w:cs="Times New Roman"/>
          <w:sz w:val="24"/>
        </w:rPr>
        <w:t xml:space="preserve"> (59B(3)(c)(iii</w:t>
      </w:r>
      <w:r w:rsidR="004316C0">
        <w:rPr>
          <w:rFonts w:ascii="Times New Roman" w:hAnsi="Times New Roman" w:cs="Times New Roman"/>
          <w:sz w:val="24"/>
        </w:rPr>
        <w:t>)</w:t>
      </w:r>
      <w:r w:rsidR="004C574F">
        <w:rPr>
          <w:rFonts w:ascii="Times New Roman" w:hAnsi="Times New Roman" w:cs="Times New Roman"/>
          <w:sz w:val="24"/>
        </w:rPr>
        <w:t xml:space="preserve">; </w:t>
      </w:r>
      <w:r w:rsidR="0082725E">
        <w:rPr>
          <w:rFonts w:ascii="Times New Roman" w:hAnsi="Times New Roman" w:cs="Times New Roman"/>
          <w:sz w:val="24"/>
        </w:rPr>
        <w:t>or</w:t>
      </w:r>
    </w:p>
    <w:p w:rsidR="009F6DC1" w:rsidRPr="00BC743D" w:rsidRDefault="009F6DC1" w:rsidP="00FA7568">
      <w:pPr>
        <w:pStyle w:val="ListParagraph"/>
        <w:numPr>
          <w:ilvl w:val="0"/>
          <w:numId w:val="32"/>
        </w:numPr>
        <w:spacing w:after="0" w:line="240" w:lineRule="auto"/>
        <w:ind w:left="567" w:hanging="567"/>
        <w:contextualSpacing w:val="0"/>
        <w:jc w:val="both"/>
        <w:rPr>
          <w:rFonts w:ascii="Times New Roman" w:hAnsi="Times New Roman" w:cs="Times New Roman"/>
          <w:sz w:val="24"/>
        </w:rPr>
      </w:pPr>
      <w:proofErr w:type="gramStart"/>
      <w:r w:rsidRPr="00BC743D">
        <w:rPr>
          <w:rFonts w:ascii="Times New Roman" w:hAnsi="Times New Roman" w:cs="Times New Roman"/>
          <w:sz w:val="24"/>
        </w:rPr>
        <w:t>control</w:t>
      </w:r>
      <w:proofErr w:type="gramEnd"/>
      <w:r w:rsidRPr="00BC743D">
        <w:rPr>
          <w:rFonts w:ascii="Times New Roman" w:hAnsi="Times New Roman" w:cs="Times New Roman"/>
          <w:sz w:val="24"/>
        </w:rPr>
        <w:t xml:space="preserve"> </w:t>
      </w:r>
      <w:r w:rsidR="00E26452">
        <w:rPr>
          <w:rFonts w:ascii="Times New Roman" w:hAnsi="Times New Roman" w:cs="Times New Roman"/>
          <w:sz w:val="24"/>
        </w:rPr>
        <w:t>a</w:t>
      </w:r>
      <w:r w:rsidR="00E26452" w:rsidRPr="00BC743D">
        <w:rPr>
          <w:rFonts w:ascii="Times New Roman" w:hAnsi="Times New Roman" w:cs="Times New Roman"/>
          <w:sz w:val="24"/>
        </w:rPr>
        <w:t xml:space="preserve"> </w:t>
      </w:r>
      <w:r w:rsidRPr="00BC743D">
        <w:rPr>
          <w:rFonts w:ascii="Times New Roman" w:hAnsi="Times New Roman" w:cs="Times New Roman"/>
          <w:sz w:val="24"/>
        </w:rPr>
        <w:t>trustee in their administration of the trust</w:t>
      </w:r>
      <w:r w:rsidR="00AA07A8">
        <w:rPr>
          <w:rFonts w:ascii="Times New Roman" w:hAnsi="Times New Roman" w:cs="Times New Roman"/>
          <w:sz w:val="24"/>
        </w:rPr>
        <w:t xml:space="preserve"> (59B(3)(c)(iv</w:t>
      </w:r>
      <w:r w:rsidR="004316C0">
        <w:rPr>
          <w:rFonts w:ascii="Times New Roman" w:hAnsi="Times New Roman" w:cs="Times New Roman"/>
          <w:sz w:val="24"/>
        </w:rPr>
        <w:t>)</w:t>
      </w:r>
      <w:r w:rsidRPr="00BC743D">
        <w:rPr>
          <w:rFonts w:ascii="Times New Roman" w:hAnsi="Times New Roman" w:cs="Times New Roman"/>
          <w:sz w:val="24"/>
        </w:rPr>
        <w:t>.</w:t>
      </w:r>
    </w:p>
    <w:p w:rsidR="00FA7568" w:rsidRDefault="00FA7568" w:rsidP="002A5769"/>
    <w:p w:rsidR="009F6DC1" w:rsidRDefault="009F6DC1" w:rsidP="002A5769">
      <w:r>
        <w:t xml:space="preserve">Broadly, these powers are intended to </w:t>
      </w:r>
      <w:r w:rsidR="00BC743D">
        <w:t>cover</w:t>
      </w:r>
      <w:r>
        <w:t xml:space="preserve"> the powers that a “protector” of a trust </w:t>
      </w:r>
      <w:r w:rsidR="00BC743D">
        <w:t xml:space="preserve">might </w:t>
      </w:r>
      <w:r>
        <w:t>have over the administration or control of a trust.</w:t>
      </w:r>
    </w:p>
    <w:p w:rsidR="009F6DC1" w:rsidRDefault="009F6DC1" w:rsidP="002A5769"/>
    <w:p w:rsidR="00C75E31" w:rsidRDefault="00C75E31" w:rsidP="002A5769">
      <w:r>
        <w:t xml:space="preserve">The information </w:t>
      </w:r>
      <w:r w:rsidR="004C574F">
        <w:t>required</w:t>
      </w:r>
      <w:r>
        <w:t xml:space="preserve"> under these sections does not vary depending on whether the trustees are in the business of providing trustee services.</w:t>
      </w:r>
    </w:p>
    <w:p w:rsidR="00263AAA" w:rsidRDefault="00263AAA" w:rsidP="002A5769"/>
    <w:p w:rsidR="00C75E31" w:rsidRDefault="00C75E31" w:rsidP="002A5769">
      <w:r>
        <w:t xml:space="preserve">The information </w:t>
      </w:r>
      <w:r w:rsidR="004C574F">
        <w:t>required</w:t>
      </w:r>
      <w:r>
        <w:t xml:space="preserve"> is summarised </w:t>
      </w:r>
      <w:r w:rsidR="004C574F">
        <w:t>in the table.</w:t>
      </w:r>
    </w:p>
    <w:p w:rsidR="00263AAA" w:rsidRPr="00AC4740" w:rsidRDefault="00263AAA" w:rsidP="002A5769">
      <w:pPr>
        <w:rPr>
          <w:sz w:val="18"/>
          <w:szCs w:val="18"/>
        </w:rPr>
      </w:pPr>
    </w:p>
    <w:p w:rsidR="00FA7568" w:rsidRPr="00AC4740" w:rsidRDefault="00FA7568" w:rsidP="002A5769">
      <w:pPr>
        <w:rPr>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64"/>
        <w:gridCol w:w="4565"/>
      </w:tblGrid>
      <w:tr w:rsidR="00C75E31" w:rsidRPr="00AC4740" w:rsidTr="00AC4740">
        <w:trPr>
          <w:cantSplit/>
        </w:trPr>
        <w:tc>
          <w:tcPr>
            <w:tcW w:w="4564" w:type="dxa"/>
            <w:shd w:val="clear" w:color="auto" w:fill="D9D9D9" w:themeFill="background1" w:themeFillShade="D9"/>
          </w:tcPr>
          <w:p w:rsidR="00C75E31" w:rsidRPr="00AC4740" w:rsidRDefault="00C75E31" w:rsidP="002A5769">
            <w:pPr>
              <w:rPr>
                <w:b/>
                <w:sz w:val="20"/>
                <w:szCs w:val="20"/>
              </w:rPr>
            </w:pPr>
            <w:r w:rsidRPr="00AC4740">
              <w:rPr>
                <w:b/>
                <w:sz w:val="20"/>
                <w:szCs w:val="20"/>
              </w:rPr>
              <w:t>Relevant person</w:t>
            </w:r>
          </w:p>
        </w:tc>
        <w:tc>
          <w:tcPr>
            <w:tcW w:w="4565" w:type="dxa"/>
            <w:shd w:val="clear" w:color="auto" w:fill="D9D9D9" w:themeFill="background1" w:themeFillShade="D9"/>
          </w:tcPr>
          <w:p w:rsidR="00C75E31" w:rsidRPr="00AC4740" w:rsidRDefault="00C75E31" w:rsidP="002A5769">
            <w:pPr>
              <w:rPr>
                <w:b/>
                <w:sz w:val="20"/>
                <w:szCs w:val="20"/>
              </w:rPr>
            </w:pPr>
            <w:r w:rsidRPr="00AC4740">
              <w:rPr>
                <w:b/>
                <w:sz w:val="20"/>
                <w:szCs w:val="20"/>
              </w:rPr>
              <w:t>Information to be provided</w:t>
            </w:r>
          </w:p>
        </w:tc>
      </w:tr>
      <w:tr w:rsidR="00C75E31" w:rsidRPr="00AC4740" w:rsidTr="00AC4740">
        <w:trPr>
          <w:cantSplit/>
        </w:trPr>
        <w:tc>
          <w:tcPr>
            <w:tcW w:w="9129" w:type="dxa"/>
            <w:gridSpan w:val="2"/>
          </w:tcPr>
          <w:p w:rsidR="00C75E31" w:rsidRPr="00AC4740" w:rsidRDefault="00C75E31" w:rsidP="002A5769">
            <w:pPr>
              <w:jc w:val="center"/>
              <w:rPr>
                <w:b/>
                <w:sz w:val="20"/>
                <w:szCs w:val="20"/>
              </w:rPr>
            </w:pPr>
            <w:r w:rsidRPr="00AC4740">
              <w:rPr>
                <w:b/>
                <w:sz w:val="20"/>
                <w:szCs w:val="20"/>
              </w:rPr>
              <w:t>All trusts</w:t>
            </w:r>
          </w:p>
        </w:tc>
      </w:tr>
      <w:tr w:rsidR="00C75E31" w:rsidRPr="00AC4740" w:rsidTr="00AC4740">
        <w:trPr>
          <w:cantSplit/>
        </w:trPr>
        <w:tc>
          <w:tcPr>
            <w:tcW w:w="4564" w:type="dxa"/>
          </w:tcPr>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Each settlor</w:t>
            </w:r>
            <w:r w:rsidR="004C574F" w:rsidRPr="00AC4740">
              <w:rPr>
                <w:rFonts w:ascii="Times New Roman" w:hAnsi="Times New Roman" w:cs="Times New Roman"/>
                <w:sz w:val="20"/>
                <w:szCs w:val="20"/>
              </w:rPr>
              <w:t>,</w:t>
            </w:r>
            <w:r w:rsidRPr="00AC4740">
              <w:rPr>
                <w:rFonts w:ascii="Times New Roman" w:hAnsi="Times New Roman" w:cs="Times New Roman"/>
                <w:sz w:val="20"/>
                <w:szCs w:val="20"/>
              </w:rPr>
              <w:t xml:space="preserve"> excluding persons who only provide minor services at less than market value that are incidental to the activities of the trust (section 59B(3)(c)(i))</w:t>
            </w:r>
            <w:r w:rsidR="0065203C">
              <w:rPr>
                <w:rFonts w:ascii="Times New Roman" w:hAnsi="Times New Roman" w:cs="Times New Roman"/>
                <w:sz w:val="20"/>
                <w:szCs w:val="20"/>
              </w:rPr>
              <w:t>.</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 xml:space="preserve">Each person with a power to appoint or dismiss a trustee, to amend the trust deed, or to add or remove a beneficiary (and each person with a power to control any of these powers) (sections </w:t>
            </w:r>
            <w:proofErr w:type="gramStart"/>
            <w:r w:rsidRPr="00AC4740">
              <w:rPr>
                <w:rFonts w:ascii="Times New Roman" w:hAnsi="Times New Roman" w:cs="Times New Roman"/>
                <w:sz w:val="20"/>
                <w:szCs w:val="20"/>
              </w:rPr>
              <w:t>59B(</w:t>
            </w:r>
            <w:proofErr w:type="gramEnd"/>
            <w:r w:rsidRPr="00AC4740">
              <w:rPr>
                <w:rFonts w:ascii="Times New Roman" w:hAnsi="Times New Roman" w:cs="Times New Roman"/>
                <w:sz w:val="20"/>
                <w:szCs w:val="20"/>
              </w:rPr>
              <w:t>3)(c)(ii) and (iii))</w:t>
            </w:r>
            <w:r w:rsidR="0065203C">
              <w:rPr>
                <w:rFonts w:ascii="Times New Roman" w:hAnsi="Times New Roman" w:cs="Times New Roman"/>
                <w:sz w:val="20"/>
                <w:szCs w:val="20"/>
              </w:rPr>
              <w:t>.</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 xml:space="preserve">Each person with a power to control a trustee in the administration of a trust (section </w:t>
            </w:r>
            <w:proofErr w:type="gramStart"/>
            <w:r w:rsidRPr="00AC4740">
              <w:rPr>
                <w:rFonts w:ascii="Times New Roman" w:hAnsi="Times New Roman" w:cs="Times New Roman"/>
                <w:sz w:val="20"/>
                <w:szCs w:val="20"/>
              </w:rPr>
              <w:t>59B(</w:t>
            </w:r>
            <w:proofErr w:type="gramEnd"/>
            <w:r w:rsidRPr="00AC4740">
              <w:rPr>
                <w:rFonts w:ascii="Times New Roman" w:hAnsi="Times New Roman" w:cs="Times New Roman"/>
                <w:sz w:val="20"/>
                <w:szCs w:val="20"/>
              </w:rPr>
              <w:t>3)(iv))</w:t>
            </w:r>
            <w:r w:rsidR="00331A55">
              <w:rPr>
                <w:rFonts w:ascii="Times New Roman" w:hAnsi="Times New Roman" w:cs="Times New Roman"/>
                <w:sz w:val="20"/>
                <w:szCs w:val="20"/>
              </w:rPr>
              <w:t>.</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 xml:space="preserve">Each trustee (section </w:t>
            </w:r>
            <w:proofErr w:type="gramStart"/>
            <w:r w:rsidRPr="00AC4740">
              <w:rPr>
                <w:rFonts w:ascii="Times New Roman" w:hAnsi="Times New Roman" w:cs="Times New Roman"/>
                <w:sz w:val="20"/>
                <w:szCs w:val="20"/>
              </w:rPr>
              <w:t>59B(</w:t>
            </w:r>
            <w:proofErr w:type="gramEnd"/>
            <w:r w:rsidRPr="00AC4740">
              <w:rPr>
                <w:rFonts w:ascii="Times New Roman" w:hAnsi="Times New Roman" w:cs="Times New Roman"/>
                <w:sz w:val="20"/>
                <w:szCs w:val="20"/>
              </w:rPr>
              <w:t>3)(c)(v))</w:t>
            </w:r>
            <w:r w:rsidR="0065203C">
              <w:rPr>
                <w:rFonts w:ascii="Times New Roman" w:hAnsi="Times New Roman" w:cs="Times New Roman"/>
                <w:sz w:val="20"/>
                <w:szCs w:val="20"/>
              </w:rPr>
              <w:t>.</w:t>
            </w:r>
          </w:p>
        </w:tc>
        <w:tc>
          <w:tcPr>
            <w:tcW w:w="4565" w:type="dxa"/>
          </w:tcPr>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Name</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Email address</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Physical residential or business address</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Jurisdiction of tax residence</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Taxpayer identification number</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Connection with the trust</w:t>
            </w:r>
            <w:r w:rsidR="0065203C">
              <w:rPr>
                <w:rFonts w:ascii="Times New Roman" w:hAnsi="Times New Roman" w:cs="Times New Roman"/>
                <w:sz w:val="20"/>
                <w:szCs w:val="20"/>
              </w:rPr>
              <w:t>.</w:t>
            </w:r>
          </w:p>
        </w:tc>
      </w:tr>
      <w:tr w:rsidR="00C75E31" w:rsidRPr="00AC4740" w:rsidTr="00AC4740">
        <w:trPr>
          <w:cantSplit/>
        </w:trPr>
        <w:tc>
          <w:tcPr>
            <w:tcW w:w="9129" w:type="dxa"/>
            <w:gridSpan w:val="2"/>
          </w:tcPr>
          <w:p w:rsidR="00C75E31" w:rsidRPr="00AC4740" w:rsidRDefault="00C75E31" w:rsidP="002A5769">
            <w:pPr>
              <w:jc w:val="center"/>
              <w:rPr>
                <w:b/>
                <w:sz w:val="20"/>
                <w:szCs w:val="20"/>
              </w:rPr>
            </w:pPr>
            <w:r w:rsidRPr="00AC4740">
              <w:rPr>
                <w:b/>
                <w:sz w:val="20"/>
                <w:szCs w:val="20"/>
              </w:rPr>
              <w:t>Fixed trusts</w:t>
            </w:r>
          </w:p>
        </w:tc>
      </w:tr>
      <w:tr w:rsidR="00C75E31" w:rsidRPr="00AC4740" w:rsidTr="00AC4740">
        <w:trPr>
          <w:cantSplit/>
        </w:trPr>
        <w:tc>
          <w:tcPr>
            <w:tcW w:w="4564" w:type="dxa"/>
          </w:tcPr>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 xml:space="preserve">Each beneficiary who is not a minor (section </w:t>
            </w:r>
            <w:proofErr w:type="gramStart"/>
            <w:r w:rsidRPr="00AC4740">
              <w:rPr>
                <w:rFonts w:ascii="Times New Roman" w:hAnsi="Times New Roman" w:cs="Times New Roman"/>
                <w:sz w:val="20"/>
                <w:szCs w:val="20"/>
              </w:rPr>
              <w:t>59B(</w:t>
            </w:r>
            <w:proofErr w:type="gramEnd"/>
            <w:r w:rsidRPr="00AC4740">
              <w:rPr>
                <w:rFonts w:ascii="Times New Roman" w:hAnsi="Times New Roman" w:cs="Times New Roman"/>
                <w:sz w:val="20"/>
                <w:szCs w:val="20"/>
              </w:rPr>
              <w:t>3)(c)(vi))</w:t>
            </w:r>
            <w:r w:rsidR="0065203C">
              <w:rPr>
                <w:rFonts w:ascii="Times New Roman" w:hAnsi="Times New Roman" w:cs="Times New Roman"/>
                <w:sz w:val="20"/>
                <w:szCs w:val="20"/>
              </w:rPr>
              <w:t>.</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 xml:space="preserve">Each nominee for a beneficiary (section </w:t>
            </w:r>
            <w:proofErr w:type="gramStart"/>
            <w:r w:rsidRPr="00AC4740">
              <w:rPr>
                <w:rFonts w:ascii="Times New Roman" w:hAnsi="Times New Roman" w:cs="Times New Roman"/>
                <w:sz w:val="20"/>
                <w:szCs w:val="20"/>
              </w:rPr>
              <w:t>59B(</w:t>
            </w:r>
            <w:proofErr w:type="gramEnd"/>
            <w:r w:rsidRPr="00AC4740">
              <w:rPr>
                <w:rFonts w:ascii="Times New Roman" w:hAnsi="Times New Roman" w:cs="Times New Roman"/>
                <w:sz w:val="20"/>
                <w:szCs w:val="20"/>
              </w:rPr>
              <w:t>3)(c)(vi))</w:t>
            </w:r>
            <w:r w:rsidR="0065203C">
              <w:rPr>
                <w:rFonts w:ascii="Times New Roman" w:hAnsi="Times New Roman" w:cs="Times New Roman"/>
                <w:sz w:val="20"/>
                <w:szCs w:val="20"/>
              </w:rPr>
              <w:t>.</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 xml:space="preserve">The parent or guardian of each beneficiary who is a minor (section </w:t>
            </w:r>
            <w:proofErr w:type="gramStart"/>
            <w:r w:rsidRPr="00AC4740">
              <w:rPr>
                <w:rFonts w:ascii="Times New Roman" w:hAnsi="Times New Roman" w:cs="Times New Roman"/>
                <w:sz w:val="20"/>
                <w:szCs w:val="20"/>
              </w:rPr>
              <w:t>59B(</w:t>
            </w:r>
            <w:proofErr w:type="gramEnd"/>
            <w:r w:rsidRPr="00AC4740">
              <w:rPr>
                <w:rFonts w:ascii="Times New Roman" w:hAnsi="Times New Roman" w:cs="Times New Roman"/>
                <w:sz w:val="20"/>
                <w:szCs w:val="20"/>
              </w:rPr>
              <w:t>3)(c)(vii))</w:t>
            </w:r>
            <w:r w:rsidR="0065203C">
              <w:rPr>
                <w:rFonts w:ascii="Times New Roman" w:hAnsi="Times New Roman" w:cs="Times New Roman"/>
                <w:sz w:val="20"/>
                <w:szCs w:val="20"/>
              </w:rPr>
              <w:t>.</w:t>
            </w:r>
          </w:p>
        </w:tc>
        <w:tc>
          <w:tcPr>
            <w:tcW w:w="4565" w:type="dxa"/>
          </w:tcPr>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Name</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Email address</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Physical residential or business address</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Jurisdiction of tax residence</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Taxpayer identification number</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Connection with the trust</w:t>
            </w:r>
            <w:r w:rsidR="0065203C">
              <w:rPr>
                <w:rFonts w:ascii="Times New Roman" w:hAnsi="Times New Roman" w:cs="Times New Roman"/>
                <w:sz w:val="20"/>
                <w:szCs w:val="20"/>
              </w:rPr>
              <w:t>.</w:t>
            </w:r>
          </w:p>
        </w:tc>
      </w:tr>
      <w:tr w:rsidR="00C75E31" w:rsidRPr="00AC4740" w:rsidTr="00AC4740">
        <w:trPr>
          <w:cantSplit/>
        </w:trPr>
        <w:tc>
          <w:tcPr>
            <w:tcW w:w="4564" w:type="dxa"/>
          </w:tcPr>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 xml:space="preserve">Each beneficiary who is a minor (section </w:t>
            </w:r>
            <w:proofErr w:type="gramStart"/>
            <w:r w:rsidRPr="00AC4740">
              <w:rPr>
                <w:rFonts w:ascii="Times New Roman" w:hAnsi="Times New Roman" w:cs="Times New Roman"/>
                <w:sz w:val="20"/>
                <w:szCs w:val="20"/>
              </w:rPr>
              <w:t>59B(</w:t>
            </w:r>
            <w:proofErr w:type="gramEnd"/>
            <w:r w:rsidRPr="00AC4740">
              <w:rPr>
                <w:rFonts w:ascii="Times New Roman" w:hAnsi="Times New Roman" w:cs="Times New Roman"/>
                <w:sz w:val="20"/>
                <w:szCs w:val="20"/>
              </w:rPr>
              <w:t>3)(d))</w:t>
            </w:r>
            <w:r w:rsidR="0065203C">
              <w:rPr>
                <w:rFonts w:ascii="Times New Roman" w:hAnsi="Times New Roman" w:cs="Times New Roman"/>
                <w:sz w:val="20"/>
                <w:szCs w:val="20"/>
              </w:rPr>
              <w:t>.</w:t>
            </w:r>
          </w:p>
        </w:tc>
        <w:tc>
          <w:tcPr>
            <w:tcW w:w="4565" w:type="dxa"/>
          </w:tcPr>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Name</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Age</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Taxpayer identification number</w:t>
            </w:r>
            <w:r w:rsidR="0065203C">
              <w:rPr>
                <w:rFonts w:ascii="Times New Roman" w:hAnsi="Times New Roman" w:cs="Times New Roman"/>
                <w:sz w:val="20"/>
                <w:szCs w:val="20"/>
              </w:rPr>
              <w:t>.</w:t>
            </w:r>
          </w:p>
        </w:tc>
      </w:tr>
      <w:tr w:rsidR="00C75E31" w:rsidRPr="00AC4740" w:rsidTr="00AC4740">
        <w:trPr>
          <w:cantSplit/>
        </w:trPr>
        <w:tc>
          <w:tcPr>
            <w:tcW w:w="9129" w:type="dxa"/>
            <w:gridSpan w:val="2"/>
          </w:tcPr>
          <w:p w:rsidR="00C75E31" w:rsidRPr="00AC4740" w:rsidRDefault="00C75E31" w:rsidP="00AC4740">
            <w:pPr>
              <w:keepNext/>
              <w:jc w:val="center"/>
              <w:rPr>
                <w:b/>
                <w:sz w:val="20"/>
                <w:szCs w:val="20"/>
              </w:rPr>
            </w:pPr>
            <w:r w:rsidRPr="00AC4740">
              <w:rPr>
                <w:b/>
                <w:sz w:val="20"/>
                <w:szCs w:val="20"/>
              </w:rPr>
              <w:t>Discretionary trusts</w:t>
            </w:r>
          </w:p>
        </w:tc>
      </w:tr>
      <w:tr w:rsidR="00C75E31" w:rsidRPr="00AC4740" w:rsidTr="00AC4740">
        <w:trPr>
          <w:cantSplit/>
        </w:trPr>
        <w:tc>
          <w:tcPr>
            <w:tcW w:w="4564" w:type="dxa"/>
          </w:tcPr>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 xml:space="preserve">Each beneficiary (section </w:t>
            </w:r>
            <w:proofErr w:type="gramStart"/>
            <w:r w:rsidRPr="00AC4740">
              <w:rPr>
                <w:rFonts w:ascii="Times New Roman" w:hAnsi="Times New Roman" w:cs="Times New Roman"/>
                <w:sz w:val="20"/>
                <w:szCs w:val="20"/>
              </w:rPr>
              <w:t>59B(</w:t>
            </w:r>
            <w:proofErr w:type="gramEnd"/>
            <w:r w:rsidRPr="00AC4740">
              <w:rPr>
                <w:rFonts w:ascii="Times New Roman" w:hAnsi="Times New Roman" w:cs="Times New Roman"/>
                <w:sz w:val="20"/>
                <w:szCs w:val="20"/>
              </w:rPr>
              <w:t>3)(e)</w:t>
            </w:r>
            <w:r w:rsidR="0065203C">
              <w:rPr>
                <w:rFonts w:ascii="Times New Roman" w:hAnsi="Times New Roman" w:cs="Times New Roman"/>
                <w:sz w:val="20"/>
                <w:szCs w:val="20"/>
              </w:rPr>
              <w:t>.</w:t>
            </w:r>
          </w:p>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 xml:space="preserve">Each class of beneficiary (section </w:t>
            </w:r>
            <w:proofErr w:type="gramStart"/>
            <w:r w:rsidRPr="00AC4740">
              <w:rPr>
                <w:rFonts w:ascii="Times New Roman" w:hAnsi="Times New Roman" w:cs="Times New Roman"/>
                <w:sz w:val="20"/>
                <w:szCs w:val="20"/>
              </w:rPr>
              <w:t>59B(</w:t>
            </w:r>
            <w:proofErr w:type="gramEnd"/>
            <w:r w:rsidRPr="00AC4740">
              <w:rPr>
                <w:rFonts w:ascii="Times New Roman" w:hAnsi="Times New Roman" w:cs="Times New Roman"/>
                <w:sz w:val="20"/>
                <w:szCs w:val="20"/>
              </w:rPr>
              <w:t>3)(e)</w:t>
            </w:r>
            <w:r w:rsidR="0065203C">
              <w:rPr>
                <w:rFonts w:ascii="Times New Roman" w:hAnsi="Times New Roman" w:cs="Times New Roman"/>
                <w:sz w:val="20"/>
                <w:szCs w:val="20"/>
              </w:rPr>
              <w:t>.</w:t>
            </w:r>
          </w:p>
        </w:tc>
        <w:tc>
          <w:tcPr>
            <w:tcW w:w="4565" w:type="dxa"/>
          </w:tcPr>
          <w:p w:rsidR="00C75E31" w:rsidRPr="00AC4740" w:rsidRDefault="00C75E31" w:rsidP="00AC4740">
            <w:pPr>
              <w:pStyle w:val="ListParagraph"/>
              <w:numPr>
                <w:ilvl w:val="0"/>
                <w:numId w:val="30"/>
              </w:numPr>
              <w:spacing w:after="0" w:line="240" w:lineRule="auto"/>
              <w:ind w:left="426"/>
              <w:rPr>
                <w:rFonts w:ascii="Times New Roman" w:hAnsi="Times New Roman" w:cs="Times New Roman"/>
                <w:sz w:val="20"/>
                <w:szCs w:val="20"/>
              </w:rPr>
            </w:pPr>
            <w:r w:rsidRPr="00AC4740">
              <w:rPr>
                <w:rFonts w:ascii="Times New Roman" w:hAnsi="Times New Roman" w:cs="Times New Roman"/>
                <w:sz w:val="20"/>
                <w:szCs w:val="20"/>
              </w:rPr>
              <w:t>Details sufficient for the Commissioner to determine when a distribution is made, whether a person is a beneficiary</w:t>
            </w:r>
            <w:r w:rsidR="0065203C">
              <w:rPr>
                <w:rFonts w:ascii="Times New Roman" w:hAnsi="Times New Roman" w:cs="Times New Roman"/>
                <w:sz w:val="20"/>
                <w:szCs w:val="20"/>
              </w:rPr>
              <w:t>.</w:t>
            </w:r>
          </w:p>
        </w:tc>
      </w:tr>
    </w:tbl>
    <w:p w:rsidR="0090697C" w:rsidRDefault="0090697C" w:rsidP="002A5769">
      <w:r>
        <w:lastRenderedPageBreak/>
        <w:t>S</w:t>
      </w:r>
      <w:r w:rsidR="00C75E31">
        <w:t xml:space="preserve">ection </w:t>
      </w:r>
      <w:proofErr w:type="gramStart"/>
      <w:r w:rsidR="00C75E31">
        <w:t>59B(</w:t>
      </w:r>
      <w:proofErr w:type="gramEnd"/>
      <w:r w:rsidR="00C75E31">
        <w:t>3)(c) states that a person’s physical residential or business address must be provided</w:t>
      </w:r>
      <w:r w:rsidR="00E60262">
        <w:t>.  T</w:t>
      </w:r>
      <w:r>
        <w:t>his means:</w:t>
      </w:r>
    </w:p>
    <w:p w:rsidR="00AC4740" w:rsidRDefault="00AC4740" w:rsidP="002A5769"/>
    <w:p w:rsidR="0090697C" w:rsidRPr="0090697C" w:rsidRDefault="0090697C" w:rsidP="00AC4740">
      <w:pPr>
        <w:pStyle w:val="ListParagraph"/>
        <w:numPr>
          <w:ilvl w:val="0"/>
          <w:numId w:val="36"/>
        </w:numPr>
        <w:spacing w:after="140" w:line="240" w:lineRule="auto"/>
        <w:ind w:left="567" w:hanging="567"/>
        <w:contextualSpacing w:val="0"/>
        <w:jc w:val="both"/>
      </w:pPr>
      <w:r w:rsidRPr="0090697C">
        <w:rPr>
          <w:rFonts w:ascii="Times New Roman" w:hAnsi="Times New Roman" w:cs="Times New Roman"/>
          <w:sz w:val="24"/>
          <w:szCs w:val="24"/>
        </w:rPr>
        <w:t>for</w:t>
      </w:r>
      <w:r w:rsidR="00C75E31" w:rsidRPr="0090697C">
        <w:rPr>
          <w:rFonts w:ascii="Times New Roman" w:hAnsi="Times New Roman" w:cs="Times New Roman"/>
          <w:sz w:val="24"/>
          <w:szCs w:val="24"/>
        </w:rPr>
        <w:t xml:space="preserve"> natural person</w:t>
      </w:r>
      <w:r w:rsidRPr="0090697C">
        <w:rPr>
          <w:rFonts w:ascii="Times New Roman" w:hAnsi="Times New Roman" w:cs="Times New Roman"/>
          <w:sz w:val="24"/>
          <w:szCs w:val="24"/>
        </w:rPr>
        <w:t xml:space="preserve">s, </w:t>
      </w:r>
      <w:r w:rsidR="00C75E31" w:rsidRPr="0090697C">
        <w:rPr>
          <w:rFonts w:ascii="Times New Roman" w:hAnsi="Times New Roman" w:cs="Times New Roman"/>
          <w:sz w:val="24"/>
          <w:szCs w:val="24"/>
        </w:rPr>
        <w:t>their physical residential address</w:t>
      </w:r>
      <w:r w:rsidR="00AC4740">
        <w:rPr>
          <w:rFonts w:ascii="Times New Roman" w:hAnsi="Times New Roman" w:cs="Times New Roman"/>
          <w:sz w:val="24"/>
          <w:szCs w:val="24"/>
        </w:rPr>
        <w:t>;</w:t>
      </w:r>
      <w:r w:rsidR="005B64C1">
        <w:rPr>
          <w:rFonts w:ascii="Times New Roman" w:hAnsi="Times New Roman" w:cs="Times New Roman"/>
          <w:sz w:val="24"/>
          <w:szCs w:val="24"/>
        </w:rPr>
        <w:t xml:space="preserve"> and</w:t>
      </w:r>
    </w:p>
    <w:p w:rsidR="00C75E31" w:rsidRPr="0090697C" w:rsidRDefault="0090697C" w:rsidP="00AC4740">
      <w:pPr>
        <w:pStyle w:val="ListParagraph"/>
        <w:numPr>
          <w:ilvl w:val="0"/>
          <w:numId w:val="36"/>
        </w:numPr>
        <w:spacing w:after="0" w:line="240" w:lineRule="auto"/>
        <w:ind w:left="567" w:hanging="567"/>
        <w:contextualSpacing w:val="0"/>
        <w:jc w:val="both"/>
      </w:pPr>
      <w:proofErr w:type="gramStart"/>
      <w:r w:rsidRPr="0090697C">
        <w:rPr>
          <w:rFonts w:ascii="Times New Roman" w:hAnsi="Times New Roman" w:cs="Times New Roman"/>
          <w:sz w:val="24"/>
          <w:szCs w:val="24"/>
        </w:rPr>
        <w:t>f</w:t>
      </w:r>
      <w:r w:rsidR="00C75E31" w:rsidRPr="0090697C">
        <w:rPr>
          <w:rFonts w:ascii="Times New Roman" w:hAnsi="Times New Roman" w:cs="Times New Roman"/>
          <w:sz w:val="24"/>
          <w:szCs w:val="24"/>
        </w:rPr>
        <w:t>or</w:t>
      </w:r>
      <w:proofErr w:type="gramEnd"/>
      <w:r w:rsidR="00C75E31" w:rsidRPr="0090697C">
        <w:rPr>
          <w:rFonts w:ascii="Times New Roman" w:hAnsi="Times New Roman" w:cs="Times New Roman"/>
          <w:sz w:val="24"/>
          <w:szCs w:val="24"/>
        </w:rPr>
        <w:t xml:space="preserve"> non-individuals, the business address (or registered office or servicing address).</w:t>
      </w:r>
    </w:p>
    <w:p w:rsidR="00263AAA" w:rsidRDefault="00263AAA" w:rsidP="002A5769"/>
    <w:p w:rsidR="00C75E31" w:rsidRDefault="0090697C" w:rsidP="002A5769">
      <w:r>
        <w:t>If</w:t>
      </w:r>
      <w:r w:rsidR="00C75E31">
        <w:t xml:space="preserve"> the email address is known to a resident foreign trustee, it must be provided to the Commissioner of Inland Revenue</w:t>
      </w:r>
      <w:r w:rsidR="00E60262">
        <w:t>.  I</w:t>
      </w:r>
      <w:r w:rsidR="00C75E31">
        <w:t>f no email address is available, a contact phone number should be provided instead.</w:t>
      </w:r>
    </w:p>
    <w:p w:rsidR="00263AAA" w:rsidRDefault="00263AAA" w:rsidP="002A5769"/>
    <w:p w:rsidR="00C75E31" w:rsidRDefault="0090697C" w:rsidP="002A5769">
      <w:r>
        <w:t>For</w:t>
      </w:r>
      <w:r w:rsidR="00C75E31">
        <w:t xml:space="preserve"> beneficiaries of fixed trusts who are minors, the trustee must provide full contact details for each minor’s parent or guardian, in addition to limited information about the minor (name, age and taxpayer identification number)</w:t>
      </w:r>
      <w:r w:rsidR="00E60262">
        <w:t>.  A</w:t>
      </w:r>
      <w:r w:rsidR="00C75E31">
        <w:t xml:space="preserve"> minor may not always have a taxpayer identification number</w:t>
      </w:r>
      <w:r>
        <w:t>, but</w:t>
      </w:r>
      <w:r w:rsidR="00C75E31">
        <w:t xml:space="preserve"> if they do have one, it must be provided. </w:t>
      </w:r>
    </w:p>
    <w:p w:rsidR="002027C2" w:rsidRDefault="002027C2" w:rsidP="002A5769"/>
    <w:p w:rsidR="00C75E31" w:rsidRDefault="00C75E31" w:rsidP="002A5769">
      <w:r>
        <w:t>For the purposes of the foreign trust disclosure rules, a “minor” follows the trust tax rules and is a natural person who is under the age of 16</w:t>
      </w:r>
      <w:r w:rsidR="00E60262">
        <w:t>.  W</w:t>
      </w:r>
      <w:r>
        <w:t>hen a minor reaches the age of 16, the contact trustee must update the registration details held by the Commissioner</w:t>
      </w:r>
      <w:r w:rsidR="00E60262">
        <w:t>.  S</w:t>
      </w:r>
      <w:r w:rsidRPr="00A54739">
        <w:t>ee the section “Subsequent changes to information provided on registration” for further information.</w:t>
      </w:r>
      <w:r>
        <w:t xml:space="preserve"> </w:t>
      </w:r>
    </w:p>
    <w:p w:rsidR="00543178" w:rsidRDefault="00543178" w:rsidP="002A5769"/>
    <w:p w:rsidR="00C75E31" w:rsidRDefault="00C75E31" w:rsidP="002A5769">
      <w:pPr>
        <w:pStyle w:val="Heading4"/>
      </w:pPr>
      <w:r>
        <w:t>Signed declaration</w:t>
      </w:r>
    </w:p>
    <w:p w:rsidR="00543178" w:rsidRPr="00543178" w:rsidRDefault="00543178" w:rsidP="002A5769"/>
    <w:p w:rsidR="005B64C1" w:rsidRDefault="00C75E31" w:rsidP="002A5769">
      <w:r>
        <w:t xml:space="preserve">As part of the application process for registering a foreign trust, section </w:t>
      </w:r>
      <w:proofErr w:type="gramStart"/>
      <w:r>
        <w:t>59B(</w:t>
      </w:r>
      <w:proofErr w:type="gramEnd"/>
      <w:r>
        <w:t xml:space="preserve">4)(c) requires the contact trustee </w:t>
      </w:r>
      <w:r w:rsidR="00E26452">
        <w:t xml:space="preserve">to </w:t>
      </w:r>
      <w:r>
        <w:t>provide a signed declaration that each person referred to in section 59B(3)(c)(i)</w:t>
      </w:r>
      <w:r w:rsidR="0090697C">
        <w:t>–</w:t>
      </w:r>
      <w:r>
        <w:t>(vi</w:t>
      </w:r>
      <w:r w:rsidR="00065714">
        <w:t>i</w:t>
      </w:r>
      <w:r>
        <w:t>) has been informed of, and has agreed</w:t>
      </w:r>
      <w:r w:rsidR="009369BF">
        <w:t>,</w:t>
      </w:r>
      <w:r>
        <w:t xml:space="preserve"> to provide</w:t>
      </w:r>
      <w:r w:rsidR="000B17AF" w:rsidRPr="000B17AF">
        <w:rPr>
          <w:rFonts w:eastAsiaTheme="minorHAnsi"/>
          <w:lang w:eastAsia="en-US"/>
        </w:rPr>
        <w:t xml:space="preserve"> </w:t>
      </w:r>
      <w:r w:rsidR="000B17AF" w:rsidRPr="00281378">
        <w:rPr>
          <w:rFonts w:eastAsiaTheme="minorHAnsi"/>
          <w:lang w:eastAsia="en-US"/>
        </w:rPr>
        <w:t xml:space="preserve">information necessary for compliance with the requirements relating to the provision of information </w:t>
      </w:r>
      <w:r w:rsidR="00615651">
        <w:rPr>
          <w:rFonts w:eastAsiaTheme="minorHAnsi"/>
          <w:lang w:eastAsia="en-US"/>
        </w:rPr>
        <w:t>regarding</w:t>
      </w:r>
      <w:r w:rsidR="000B17AF" w:rsidRPr="00281378">
        <w:rPr>
          <w:rFonts w:eastAsiaTheme="minorHAnsi"/>
          <w:lang w:eastAsia="en-US"/>
        </w:rPr>
        <w:t xml:space="preserve"> the trust and persons connected with the trust imposed by</w:t>
      </w:r>
      <w:r w:rsidR="005B64C1">
        <w:t>:</w:t>
      </w:r>
    </w:p>
    <w:p w:rsidR="005B64C1" w:rsidRDefault="005B64C1" w:rsidP="002A5769"/>
    <w:p w:rsidR="005B64C1" w:rsidRPr="005E537E" w:rsidRDefault="00C75E31" w:rsidP="009369BF">
      <w:pPr>
        <w:pStyle w:val="ListParagraph"/>
        <w:numPr>
          <w:ilvl w:val="0"/>
          <w:numId w:val="36"/>
        </w:numPr>
        <w:spacing w:after="140" w:line="240" w:lineRule="auto"/>
        <w:ind w:left="567" w:hanging="567"/>
        <w:contextualSpacing w:val="0"/>
        <w:jc w:val="both"/>
      </w:pPr>
      <w:r w:rsidRPr="009369BF">
        <w:rPr>
          <w:rFonts w:ascii="Times New Roman" w:hAnsi="Times New Roman" w:cs="Times New Roman"/>
          <w:sz w:val="24"/>
          <w:szCs w:val="24"/>
        </w:rPr>
        <w:t>the Tax Administration Act 1994</w:t>
      </w:r>
      <w:r w:rsidR="005B64C1" w:rsidRPr="009369BF">
        <w:rPr>
          <w:rFonts w:ascii="Times New Roman" w:hAnsi="Times New Roman" w:cs="Times New Roman"/>
          <w:sz w:val="24"/>
          <w:szCs w:val="24"/>
        </w:rPr>
        <w:t>;</w:t>
      </w:r>
      <w:r w:rsidRPr="009369BF">
        <w:rPr>
          <w:rFonts w:ascii="Times New Roman" w:hAnsi="Times New Roman" w:cs="Times New Roman"/>
          <w:sz w:val="24"/>
          <w:szCs w:val="24"/>
        </w:rPr>
        <w:t xml:space="preserve"> and</w:t>
      </w:r>
    </w:p>
    <w:p w:rsidR="005B64C1" w:rsidRPr="005E537E" w:rsidRDefault="00C75E31" w:rsidP="009369BF">
      <w:pPr>
        <w:pStyle w:val="ListParagraph"/>
        <w:numPr>
          <w:ilvl w:val="0"/>
          <w:numId w:val="36"/>
        </w:numPr>
        <w:spacing w:after="140" w:line="240" w:lineRule="auto"/>
        <w:ind w:left="567" w:hanging="567"/>
        <w:contextualSpacing w:val="0"/>
        <w:jc w:val="both"/>
      </w:pPr>
      <w:r w:rsidRPr="009369BF">
        <w:rPr>
          <w:rFonts w:ascii="Times New Roman" w:hAnsi="Times New Roman" w:cs="Times New Roman"/>
          <w:sz w:val="24"/>
          <w:szCs w:val="24"/>
        </w:rPr>
        <w:t>the Anti-Money Laundering and Counter Financing of Terrorism Act 2009</w:t>
      </w:r>
      <w:r w:rsidR="005B64C1" w:rsidRPr="009369BF">
        <w:rPr>
          <w:rFonts w:ascii="Times New Roman" w:hAnsi="Times New Roman" w:cs="Times New Roman"/>
          <w:sz w:val="24"/>
          <w:szCs w:val="24"/>
        </w:rPr>
        <w:t>;</w:t>
      </w:r>
      <w:r w:rsidRPr="009369BF">
        <w:rPr>
          <w:rFonts w:ascii="Times New Roman" w:hAnsi="Times New Roman" w:cs="Times New Roman"/>
          <w:sz w:val="24"/>
          <w:szCs w:val="24"/>
        </w:rPr>
        <w:t xml:space="preserve"> and</w:t>
      </w:r>
    </w:p>
    <w:p w:rsidR="00C75E31" w:rsidRPr="005E537E" w:rsidRDefault="00C75E31" w:rsidP="009369BF">
      <w:pPr>
        <w:pStyle w:val="ListParagraph"/>
        <w:numPr>
          <w:ilvl w:val="0"/>
          <w:numId w:val="36"/>
        </w:numPr>
        <w:spacing w:after="0" w:line="240" w:lineRule="auto"/>
        <w:ind w:left="567" w:hanging="567"/>
        <w:contextualSpacing w:val="0"/>
        <w:jc w:val="both"/>
      </w:pPr>
      <w:proofErr w:type="gramStart"/>
      <w:r w:rsidRPr="009369BF">
        <w:rPr>
          <w:rFonts w:ascii="Times New Roman" w:hAnsi="Times New Roman" w:cs="Times New Roman"/>
          <w:sz w:val="24"/>
          <w:szCs w:val="24"/>
        </w:rPr>
        <w:t>all</w:t>
      </w:r>
      <w:proofErr w:type="gramEnd"/>
      <w:r w:rsidRPr="009369BF">
        <w:rPr>
          <w:rFonts w:ascii="Times New Roman" w:hAnsi="Times New Roman" w:cs="Times New Roman"/>
          <w:sz w:val="24"/>
          <w:szCs w:val="24"/>
        </w:rPr>
        <w:t xml:space="preserve"> regulations made </w:t>
      </w:r>
      <w:r w:rsidR="0090697C" w:rsidRPr="009369BF">
        <w:rPr>
          <w:rFonts w:ascii="Times New Roman" w:hAnsi="Times New Roman" w:cs="Times New Roman"/>
          <w:sz w:val="24"/>
          <w:szCs w:val="24"/>
        </w:rPr>
        <w:t>under these Acts</w:t>
      </w:r>
      <w:r w:rsidRPr="009369BF">
        <w:rPr>
          <w:rFonts w:ascii="Times New Roman" w:hAnsi="Times New Roman" w:cs="Times New Roman"/>
          <w:sz w:val="24"/>
          <w:szCs w:val="24"/>
        </w:rPr>
        <w:t xml:space="preserve">. </w:t>
      </w:r>
    </w:p>
    <w:p w:rsidR="00543178" w:rsidRPr="00D73AD1" w:rsidRDefault="00543178" w:rsidP="002A5769"/>
    <w:p w:rsidR="00C75E31" w:rsidRDefault="00C75E31" w:rsidP="002A5769">
      <w:r w:rsidRPr="00F7548C">
        <w:t xml:space="preserve">As part of this declaration, the contact trustee must obtain the </w:t>
      </w:r>
      <w:r w:rsidR="00F7548C" w:rsidRPr="00F7548C">
        <w:t xml:space="preserve">agreement </w:t>
      </w:r>
      <w:r w:rsidRPr="00F7548C">
        <w:t>of all specified persons</w:t>
      </w:r>
      <w:r w:rsidR="00E60262">
        <w:t>.  I</w:t>
      </w:r>
      <w:r w:rsidR="00D36D70">
        <w:t>f</w:t>
      </w:r>
      <w:r w:rsidR="00D36D70" w:rsidRPr="00F7548C">
        <w:t xml:space="preserve"> </w:t>
      </w:r>
      <w:r w:rsidRPr="00F7548C">
        <w:t xml:space="preserve">a person is incapacitated, their legal guardian, personal representative or power of attorney </w:t>
      </w:r>
      <w:r w:rsidR="00D36D70">
        <w:t>must</w:t>
      </w:r>
      <w:r w:rsidR="00D36D70" w:rsidRPr="00F7548C">
        <w:t xml:space="preserve"> </w:t>
      </w:r>
      <w:r w:rsidR="00526FBA">
        <w:t>provide the agreement</w:t>
      </w:r>
      <w:r w:rsidRPr="00F7548C">
        <w:t xml:space="preserve"> on their behalf.</w:t>
      </w:r>
      <w:r w:rsidR="00526FBA">
        <w:t xml:space="preserve"> </w:t>
      </w:r>
    </w:p>
    <w:p w:rsidR="00526FBA" w:rsidRDefault="00526FBA" w:rsidP="002A5769"/>
    <w:p w:rsidR="00526FBA" w:rsidRDefault="00526FBA" w:rsidP="002A5769">
      <w:r>
        <w:t xml:space="preserve">Resident foreign trustees may feel more confident that they have satisfied their statutory obligations by obtaining the signatures of the relevant persons as proof of their agreement.  </w:t>
      </w:r>
    </w:p>
    <w:p w:rsidR="00543178" w:rsidRDefault="00543178" w:rsidP="002A5769"/>
    <w:p w:rsidR="00C75E31" w:rsidRDefault="00C75E31" w:rsidP="002A5769">
      <w:r>
        <w:t>Th</w:t>
      </w:r>
      <w:r w:rsidR="00D6300A">
        <w:t>e</w:t>
      </w:r>
      <w:r>
        <w:t xml:space="preserve"> </w:t>
      </w:r>
      <w:r w:rsidR="00D6300A">
        <w:t xml:space="preserve">declaration </w:t>
      </w:r>
      <w:r>
        <w:t xml:space="preserve">was a specific recommendation of the </w:t>
      </w:r>
      <w:r w:rsidRPr="00447C1E">
        <w:t>Government Inquiry into Foreign Trust Disclosure Rules</w:t>
      </w:r>
      <w:r>
        <w:rPr>
          <w:i/>
        </w:rPr>
        <w:t xml:space="preserve"> </w:t>
      </w:r>
      <w:r>
        <w:t>and ensures that all persons have turned their minds to the relevant laws and regulations that they will need to comply with.</w:t>
      </w:r>
    </w:p>
    <w:p w:rsidR="00543178" w:rsidRDefault="00543178" w:rsidP="002A5769"/>
    <w:p w:rsidR="00C75E31" w:rsidRDefault="00D36D70" w:rsidP="002A5769">
      <w:r>
        <w:t>If any of the</w:t>
      </w:r>
      <w:r w:rsidR="00C75E31">
        <w:t xml:space="preserve"> persons specified in section </w:t>
      </w:r>
      <w:proofErr w:type="gramStart"/>
      <w:r w:rsidR="00C75E31">
        <w:t>59B(</w:t>
      </w:r>
      <w:proofErr w:type="gramEnd"/>
      <w:r w:rsidR="00C75E31">
        <w:t>3)(c)(i)</w:t>
      </w:r>
      <w:r w:rsidR="00E26452">
        <w:t>–</w:t>
      </w:r>
      <w:r w:rsidR="00C75E31">
        <w:t>(vi</w:t>
      </w:r>
      <w:r w:rsidR="00065714">
        <w:t>i</w:t>
      </w:r>
      <w:r w:rsidR="00C75E31">
        <w:t>) are deceased, section 59B(4)(a) provides that in the signed declaration, the cont</w:t>
      </w:r>
      <w:r w:rsidR="00526FBA">
        <w:t xml:space="preserve">act trustee should state that the agreement </w:t>
      </w:r>
      <w:r w:rsidR="00C75E31">
        <w:t xml:space="preserve">cannot be obtained as the person is deceased.  </w:t>
      </w:r>
    </w:p>
    <w:p w:rsidR="00543178" w:rsidRDefault="00543178" w:rsidP="002A5769"/>
    <w:p w:rsidR="00AC4740" w:rsidRDefault="00AC4740">
      <w:pPr>
        <w:jc w:val="left"/>
      </w:pPr>
      <w:r>
        <w:br w:type="page"/>
      </w:r>
    </w:p>
    <w:p w:rsidR="00C75E31" w:rsidRDefault="00C75E31" w:rsidP="002A5769">
      <w:r>
        <w:lastRenderedPageBreak/>
        <w:t xml:space="preserve">If a person cannot be located, section </w:t>
      </w:r>
      <w:proofErr w:type="gramStart"/>
      <w:r>
        <w:t>59B(</w:t>
      </w:r>
      <w:proofErr w:type="gramEnd"/>
      <w:r>
        <w:t xml:space="preserve">4)(b) </w:t>
      </w:r>
      <w:r w:rsidR="00526FBA">
        <w:t xml:space="preserve">provides that </w:t>
      </w:r>
      <w:r>
        <w:t>the contact trustee should include in the signed declaration an outline of their attempts to find the person.</w:t>
      </w:r>
    </w:p>
    <w:p w:rsidR="00543178" w:rsidRDefault="00543178" w:rsidP="002A5769"/>
    <w:p w:rsidR="00543178" w:rsidRDefault="001E2A4C" w:rsidP="002A5769">
      <w:r w:rsidRPr="001E2A4C">
        <w:t>If incorrect information is disclosed to Inland Revenue as part of the registration or ongoing disclosure processes, including as part of the signed declaration, the resident foreign trustee could have penalties imposed under Part 9 of the Tax Administration Act 1994</w:t>
      </w:r>
      <w:r w:rsidR="00E60262">
        <w:t>.  F</w:t>
      </w:r>
      <w:r w:rsidRPr="001E2A4C">
        <w:t>or example, knowledge offences apply for knowingly providing incorrect information required under tax laws</w:t>
      </w:r>
      <w:r w:rsidR="00E60262">
        <w:t>.  E</w:t>
      </w:r>
      <w:r w:rsidRPr="001E2A4C">
        <w:t>vasion offences may also apply</w:t>
      </w:r>
      <w:r w:rsidR="000706BD">
        <w:t>.</w:t>
      </w:r>
    </w:p>
    <w:p w:rsidR="00ED4E6C" w:rsidRDefault="00ED4E6C" w:rsidP="002A5769"/>
    <w:p w:rsidR="00C75E31" w:rsidRDefault="00C75E31" w:rsidP="002A5769">
      <w:pPr>
        <w:pStyle w:val="Heading3"/>
      </w:pPr>
      <w:r>
        <w:t>Subsequent changes to information provided on registration</w:t>
      </w:r>
    </w:p>
    <w:p w:rsidR="00543178" w:rsidRPr="00543178" w:rsidRDefault="00543178" w:rsidP="002A5769"/>
    <w:p w:rsidR="00C75E31" w:rsidRDefault="00C75E31" w:rsidP="002A5769">
      <w:r>
        <w:t xml:space="preserve">Following the registration of a foreign trust, if there are any changes to the information provided on registration as set out in section 59B(3), section 59B(5) </w:t>
      </w:r>
      <w:r w:rsidR="00D36D70">
        <w:t>requires</w:t>
      </w:r>
      <w:r>
        <w:t xml:space="preserve"> the contact trustee </w:t>
      </w:r>
      <w:r w:rsidR="00D36D70">
        <w:t xml:space="preserve">to </w:t>
      </w:r>
      <w:r>
        <w:t xml:space="preserve">inform the Commissioner of Inland Revenue of the changes and provide a signed declaration required under section 59B(4) </w:t>
      </w:r>
      <w:r w:rsidR="00D36D70">
        <w:t>for</w:t>
      </w:r>
      <w:r>
        <w:t xml:space="preserve"> the alteration or addition.</w:t>
      </w:r>
    </w:p>
    <w:p w:rsidR="00543178" w:rsidRDefault="00543178" w:rsidP="002A5769"/>
    <w:p w:rsidR="00C75E31" w:rsidRPr="008772D6" w:rsidRDefault="00C75E31" w:rsidP="002A5769">
      <w:r>
        <w:t xml:space="preserve">New section 59C(2) </w:t>
      </w:r>
      <w:r w:rsidR="00E26452">
        <w:t xml:space="preserve">requires </w:t>
      </w:r>
      <w:r>
        <w:t xml:space="preserve">the contact trustee </w:t>
      </w:r>
      <w:r w:rsidR="00E26452">
        <w:t xml:space="preserve">to </w:t>
      </w:r>
      <w:r>
        <w:t>provide this updated information to the Commissioner of Inland Revenue within 30 days of becoming aware of the change.</w:t>
      </w:r>
    </w:p>
    <w:p w:rsidR="00C75E31" w:rsidRDefault="00C75E31" w:rsidP="002A5769"/>
    <w:p w:rsidR="00AC4740" w:rsidRDefault="00AC4740" w:rsidP="002A5769"/>
    <w:p w:rsidR="00C75E31" w:rsidRDefault="00C75E31" w:rsidP="00AC4740">
      <w:pPr>
        <w:pStyle w:val="Exampleheading"/>
        <w:pBdr>
          <w:top w:val="single" w:sz="4" w:space="10" w:color="auto"/>
          <w:left w:val="single" w:sz="4" w:space="10" w:color="auto"/>
          <w:bottom w:val="single" w:sz="4" w:space="10" w:color="auto"/>
          <w:right w:val="single" w:sz="4" w:space="10" w:color="auto"/>
        </w:pBdr>
      </w:pPr>
      <w:r>
        <w:t>Example</w:t>
      </w:r>
    </w:p>
    <w:p w:rsidR="00AC4740" w:rsidRDefault="00AC4740" w:rsidP="00AC4740">
      <w:pPr>
        <w:pStyle w:val="Exampletext"/>
        <w:pBdr>
          <w:top w:val="single" w:sz="4" w:space="10" w:color="auto"/>
          <w:left w:val="single" w:sz="4" w:space="10" w:color="auto"/>
          <w:bottom w:val="single" w:sz="4" w:space="10" w:color="auto"/>
          <w:right w:val="single" w:sz="4" w:space="10" w:color="auto"/>
        </w:pBdr>
      </w:pPr>
    </w:p>
    <w:p w:rsidR="00C75E31" w:rsidRDefault="00C75E31" w:rsidP="00AC4740">
      <w:pPr>
        <w:pStyle w:val="Exampletext"/>
        <w:pBdr>
          <w:top w:val="single" w:sz="4" w:space="10" w:color="auto"/>
          <w:left w:val="single" w:sz="4" w:space="10" w:color="auto"/>
          <w:bottom w:val="single" w:sz="4" w:space="10" w:color="auto"/>
          <w:right w:val="single" w:sz="4" w:space="10" w:color="auto"/>
        </w:pBdr>
      </w:pPr>
      <w:r>
        <w:t xml:space="preserve">The Troy Trust is a </w:t>
      </w:r>
      <w:r w:rsidR="00E26452">
        <w:t xml:space="preserve">registered </w:t>
      </w:r>
      <w:r>
        <w:t>foreign trust</w:t>
      </w:r>
      <w:r w:rsidR="00E60262">
        <w:t>.  A</w:t>
      </w:r>
      <w:r w:rsidR="00E26452">
        <w:t>fter</w:t>
      </w:r>
      <w:r>
        <w:t xml:space="preserve"> registration, Ed becomes a settlor</w:t>
      </w:r>
      <w:r w:rsidR="00E60262">
        <w:t>.  T</w:t>
      </w:r>
      <w:r>
        <w:t>he contact trustee must provide to the Commissioner of Inland Revenue, Ed’s details including his email address, physical residential address, where he is tax resident and his taxpayer identification number</w:t>
      </w:r>
      <w:r w:rsidR="00E60262">
        <w:t>.  T</w:t>
      </w:r>
      <w:r>
        <w:t>he contact trustee must also provide a</w:t>
      </w:r>
      <w:r w:rsidR="001D687A">
        <w:t>n updated</w:t>
      </w:r>
      <w:r>
        <w:t xml:space="preserve"> signed declaration </w:t>
      </w:r>
      <w:r w:rsidR="001D687A">
        <w:t>that</w:t>
      </w:r>
      <w:r>
        <w:t xml:space="preserve"> Ed </w:t>
      </w:r>
      <w:r w:rsidRPr="008772D6">
        <w:t xml:space="preserve">has been informed of, and has agreed to provide information necessary for compliance with, the requirements relating to the provision of information relating to the trust and persons connected with the trust imposed by the Tax Administration Act 1994, and the Anti-Money Laundering and Counter Financing of Terrorism Act 2009 and all regulations made </w:t>
      </w:r>
      <w:r w:rsidR="00B457EE">
        <w:t>under these Acts.</w:t>
      </w:r>
    </w:p>
    <w:p w:rsidR="00543178" w:rsidRDefault="00543178" w:rsidP="002A5769"/>
    <w:p w:rsidR="00AC4740" w:rsidRDefault="00AC4740" w:rsidP="002A5769"/>
    <w:p w:rsidR="00C75E31" w:rsidRDefault="00C75E31" w:rsidP="002A5769">
      <w:pPr>
        <w:pStyle w:val="Heading3"/>
      </w:pPr>
      <w:r>
        <w:t xml:space="preserve">Annual </w:t>
      </w:r>
      <w:r w:rsidR="00D36D70">
        <w:t xml:space="preserve">disclosure </w:t>
      </w:r>
      <w:r>
        <w:t>returns and financial statements</w:t>
      </w:r>
    </w:p>
    <w:p w:rsidR="00543178" w:rsidRPr="00543178" w:rsidRDefault="00543178" w:rsidP="002A5769"/>
    <w:p w:rsidR="00C75E31" w:rsidRDefault="00C75E31" w:rsidP="002A5769">
      <w:r>
        <w:t xml:space="preserve">An ongoing requirement for the contact trustee following the registration of a foreign trust is </w:t>
      </w:r>
      <w:r w:rsidR="00D36D70">
        <w:t xml:space="preserve">to prepare </w:t>
      </w:r>
      <w:r>
        <w:t xml:space="preserve">an annual return for the foreign trust and </w:t>
      </w:r>
      <w:r w:rsidR="00D36D70">
        <w:t xml:space="preserve">send it </w:t>
      </w:r>
      <w:r>
        <w:t>to the Commissioner of Inland Revenue</w:t>
      </w:r>
      <w:r w:rsidR="00E60262">
        <w:t>.  T</w:t>
      </w:r>
      <w:r>
        <w:t xml:space="preserve">his is </w:t>
      </w:r>
      <w:r w:rsidR="00D36D70">
        <w:t>set out</w:t>
      </w:r>
      <w:r>
        <w:t xml:space="preserve"> in new section 59D.</w:t>
      </w:r>
    </w:p>
    <w:p w:rsidR="00543178" w:rsidRDefault="00543178" w:rsidP="002A5769"/>
    <w:p w:rsidR="00C75E31" w:rsidRDefault="00C75E31" w:rsidP="002A5769">
      <w:r>
        <w:t xml:space="preserve">Section </w:t>
      </w:r>
      <w:proofErr w:type="gramStart"/>
      <w:r>
        <w:t>59D(</w:t>
      </w:r>
      <w:proofErr w:type="gramEnd"/>
      <w:r>
        <w:t xml:space="preserve">2) </w:t>
      </w:r>
      <w:r w:rsidR="00D36D70">
        <w:t xml:space="preserve">states </w:t>
      </w:r>
      <w:r>
        <w:t>that the annual return must be in a form prescribed by the Commissioner of Inland Revenue and must include the following</w:t>
      </w:r>
      <w:r w:rsidR="00D36D70">
        <w:t>.</w:t>
      </w:r>
    </w:p>
    <w:p w:rsidR="00543178" w:rsidRDefault="00543178" w:rsidP="002A5769"/>
    <w:tbl>
      <w:tblPr>
        <w:tblStyle w:val="TableGrid"/>
        <w:tblW w:w="9327" w:type="dxa"/>
        <w:tblCellMar>
          <w:top w:w="57" w:type="dxa"/>
          <w:left w:w="57" w:type="dxa"/>
          <w:bottom w:w="57" w:type="dxa"/>
          <w:right w:w="57" w:type="dxa"/>
        </w:tblCellMar>
        <w:tblLook w:val="04A0" w:firstRow="1" w:lastRow="0" w:firstColumn="1" w:lastColumn="0" w:noHBand="0" w:noVBand="1"/>
      </w:tblPr>
      <w:tblGrid>
        <w:gridCol w:w="4176"/>
        <w:gridCol w:w="5151"/>
      </w:tblGrid>
      <w:tr w:rsidR="00C75E31" w:rsidRPr="00AC4740" w:rsidTr="0008706C">
        <w:trPr>
          <w:cantSplit/>
          <w:tblHeader/>
        </w:trPr>
        <w:tc>
          <w:tcPr>
            <w:tcW w:w="4176" w:type="dxa"/>
            <w:shd w:val="clear" w:color="auto" w:fill="D9D9D9" w:themeFill="background1" w:themeFillShade="D9"/>
          </w:tcPr>
          <w:p w:rsidR="00C75E31" w:rsidRPr="00AC4740" w:rsidRDefault="00C75E31" w:rsidP="00AC4740">
            <w:pPr>
              <w:pStyle w:val="ListParagraph"/>
              <w:spacing w:after="0" w:line="240" w:lineRule="auto"/>
              <w:ind w:left="0"/>
              <w:contextualSpacing w:val="0"/>
              <w:rPr>
                <w:rFonts w:ascii="Times New Roman" w:hAnsi="Times New Roman" w:cs="Times New Roman"/>
                <w:b/>
                <w:sz w:val="20"/>
                <w:szCs w:val="20"/>
              </w:rPr>
            </w:pPr>
            <w:r w:rsidRPr="00AC4740">
              <w:rPr>
                <w:rFonts w:ascii="Times New Roman" w:hAnsi="Times New Roman" w:cs="Times New Roman"/>
                <w:b/>
                <w:sz w:val="20"/>
                <w:szCs w:val="20"/>
              </w:rPr>
              <w:t>Information</w:t>
            </w:r>
          </w:p>
        </w:tc>
        <w:tc>
          <w:tcPr>
            <w:tcW w:w="5151" w:type="dxa"/>
            <w:shd w:val="clear" w:color="auto" w:fill="D9D9D9" w:themeFill="background1" w:themeFillShade="D9"/>
          </w:tcPr>
          <w:p w:rsidR="00C75E31" w:rsidRPr="00AC4740" w:rsidRDefault="00C75E31" w:rsidP="00AC4740">
            <w:pPr>
              <w:pStyle w:val="ListParagraph"/>
              <w:spacing w:after="0" w:line="240" w:lineRule="auto"/>
              <w:ind w:left="0"/>
              <w:contextualSpacing w:val="0"/>
              <w:rPr>
                <w:rFonts w:ascii="Times New Roman" w:hAnsi="Times New Roman" w:cs="Times New Roman"/>
                <w:b/>
                <w:sz w:val="20"/>
                <w:szCs w:val="20"/>
              </w:rPr>
            </w:pPr>
            <w:r w:rsidRPr="00AC4740">
              <w:rPr>
                <w:rFonts w:ascii="Times New Roman" w:hAnsi="Times New Roman" w:cs="Times New Roman"/>
                <w:b/>
                <w:sz w:val="20"/>
                <w:szCs w:val="20"/>
              </w:rPr>
              <w:t>Detail</w:t>
            </w:r>
          </w:p>
        </w:tc>
      </w:tr>
      <w:tr w:rsidR="00C75E31" w:rsidRPr="00AC4740" w:rsidTr="00AC4740">
        <w:trPr>
          <w:cantSplit/>
        </w:trPr>
        <w:tc>
          <w:tcPr>
            <w:tcW w:w="4176" w:type="dxa"/>
          </w:tcPr>
          <w:p w:rsidR="00C75E31" w:rsidRPr="00AC4740" w:rsidRDefault="00C75E31" w:rsidP="00AC4740">
            <w:pPr>
              <w:pStyle w:val="ListParagraph"/>
              <w:spacing w:after="0" w:line="240" w:lineRule="auto"/>
              <w:ind w:left="0"/>
              <w:contextualSpacing w:val="0"/>
              <w:rPr>
                <w:rFonts w:ascii="Times New Roman" w:hAnsi="Times New Roman" w:cs="Times New Roman"/>
                <w:sz w:val="20"/>
                <w:szCs w:val="20"/>
              </w:rPr>
            </w:pPr>
            <w:r w:rsidRPr="00AC4740">
              <w:rPr>
                <w:rFonts w:ascii="Times New Roman" w:hAnsi="Times New Roman" w:cs="Times New Roman"/>
                <w:sz w:val="20"/>
                <w:szCs w:val="20"/>
              </w:rPr>
              <w:t xml:space="preserve">Financial statements for the trust for the return year (section </w:t>
            </w:r>
            <w:proofErr w:type="gramStart"/>
            <w:r w:rsidRPr="00AC4740">
              <w:rPr>
                <w:rFonts w:ascii="Times New Roman" w:hAnsi="Times New Roman" w:cs="Times New Roman"/>
                <w:sz w:val="20"/>
                <w:szCs w:val="20"/>
              </w:rPr>
              <w:t>59D(</w:t>
            </w:r>
            <w:proofErr w:type="gramEnd"/>
            <w:r w:rsidRPr="00AC4740">
              <w:rPr>
                <w:rFonts w:ascii="Times New Roman" w:hAnsi="Times New Roman" w:cs="Times New Roman"/>
                <w:sz w:val="20"/>
                <w:szCs w:val="20"/>
              </w:rPr>
              <w:t>2)(a))</w:t>
            </w:r>
            <w:r w:rsidR="00BC5242">
              <w:rPr>
                <w:rFonts w:ascii="Times New Roman" w:hAnsi="Times New Roman" w:cs="Times New Roman"/>
                <w:sz w:val="20"/>
                <w:szCs w:val="20"/>
              </w:rPr>
              <w:t>.</w:t>
            </w:r>
          </w:p>
        </w:tc>
        <w:tc>
          <w:tcPr>
            <w:tcW w:w="5151" w:type="dxa"/>
          </w:tcPr>
          <w:p w:rsidR="00C75E31" w:rsidRPr="00AC4740" w:rsidRDefault="00C75E31" w:rsidP="00AC4740">
            <w:pPr>
              <w:pStyle w:val="ListParagraph"/>
              <w:spacing w:after="0" w:line="240" w:lineRule="auto"/>
              <w:ind w:left="0"/>
              <w:contextualSpacing w:val="0"/>
              <w:rPr>
                <w:rFonts w:ascii="Times New Roman" w:hAnsi="Times New Roman" w:cs="Times New Roman"/>
                <w:sz w:val="20"/>
                <w:szCs w:val="20"/>
              </w:rPr>
            </w:pPr>
            <w:r w:rsidRPr="00AC4740">
              <w:rPr>
                <w:rFonts w:ascii="Times New Roman" w:hAnsi="Times New Roman" w:cs="Times New Roman"/>
                <w:sz w:val="20"/>
                <w:szCs w:val="20"/>
              </w:rPr>
              <w:t>If the trustee prepares financial statements or is required to prepare financial statements</w:t>
            </w:r>
            <w:r w:rsidR="00BC5242">
              <w:rPr>
                <w:rFonts w:ascii="Times New Roman" w:hAnsi="Times New Roman" w:cs="Times New Roman"/>
                <w:sz w:val="20"/>
                <w:szCs w:val="20"/>
              </w:rPr>
              <w:t>.</w:t>
            </w:r>
          </w:p>
        </w:tc>
      </w:tr>
      <w:tr w:rsidR="00C75E31" w:rsidRPr="00AC4740" w:rsidTr="00AC4740">
        <w:trPr>
          <w:cantSplit/>
        </w:trPr>
        <w:tc>
          <w:tcPr>
            <w:tcW w:w="4176" w:type="dxa"/>
          </w:tcPr>
          <w:p w:rsidR="00C75E31" w:rsidRPr="00AC4740" w:rsidRDefault="00C75E31" w:rsidP="00AC4740">
            <w:pPr>
              <w:pStyle w:val="ListParagraph"/>
              <w:spacing w:after="0" w:line="240" w:lineRule="auto"/>
              <w:ind w:left="0"/>
              <w:contextualSpacing w:val="0"/>
              <w:rPr>
                <w:rFonts w:ascii="Times New Roman" w:hAnsi="Times New Roman" w:cs="Times New Roman"/>
                <w:sz w:val="20"/>
                <w:szCs w:val="20"/>
              </w:rPr>
            </w:pPr>
            <w:r w:rsidRPr="00AC4740">
              <w:rPr>
                <w:rFonts w:ascii="Times New Roman" w:hAnsi="Times New Roman" w:cs="Times New Roman"/>
                <w:sz w:val="20"/>
                <w:szCs w:val="20"/>
              </w:rPr>
              <w:t xml:space="preserve">Settlements made on the trust in the return year, excluding the provision of minor services incidental to the activities of the trust (section </w:t>
            </w:r>
            <w:proofErr w:type="gramStart"/>
            <w:r w:rsidRPr="00AC4740">
              <w:rPr>
                <w:rFonts w:ascii="Times New Roman" w:hAnsi="Times New Roman" w:cs="Times New Roman"/>
                <w:sz w:val="20"/>
                <w:szCs w:val="20"/>
              </w:rPr>
              <w:t>59D(</w:t>
            </w:r>
            <w:proofErr w:type="gramEnd"/>
            <w:r w:rsidRPr="00AC4740">
              <w:rPr>
                <w:rFonts w:ascii="Times New Roman" w:hAnsi="Times New Roman" w:cs="Times New Roman"/>
                <w:sz w:val="20"/>
                <w:szCs w:val="20"/>
              </w:rPr>
              <w:t>2)(b) and (c))</w:t>
            </w:r>
            <w:r w:rsidR="00BC5242">
              <w:rPr>
                <w:rFonts w:ascii="Times New Roman" w:hAnsi="Times New Roman" w:cs="Times New Roman"/>
                <w:sz w:val="20"/>
                <w:szCs w:val="20"/>
              </w:rPr>
              <w:t>.</w:t>
            </w:r>
          </w:p>
        </w:tc>
        <w:tc>
          <w:tcPr>
            <w:tcW w:w="5151" w:type="dxa"/>
          </w:tcPr>
          <w:p w:rsidR="00C75E31" w:rsidRPr="00AC4740" w:rsidRDefault="00C75E31" w:rsidP="00AC4740">
            <w:pPr>
              <w:rPr>
                <w:sz w:val="20"/>
                <w:szCs w:val="20"/>
              </w:rPr>
            </w:pPr>
            <w:r w:rsidRPr="00AC4740">
              <w:rPr>
                <w:sz w:val="20"/>
                <w:szCs w:val="20"/>
              </w:rPr>
              <w:t>Each settlement</w:t>
            </w:r>
            <w:r w:rsidR="00D36D70" w:rsidRPr="00AC4740">
              <w:rPr>
                <w:sz w:val="20"/>
                <w:szCs w:val="20"/>
              </w:rPr>
              <w:t>:</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date</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nature</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amount</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settlor’s name</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settl</w:t>
            </w:r>
            <w:r w:rsidR="00C75E31" w:rsidRPr="00AC4740">
              <w:rPr>
                <w:rFonts w:ascii="Times New Roman" w:hAnsi="Times New Roman" w:cs="Times New Roman"/>
                <w:sz w:val="20"/>
                <w:szCs w:val="20"/>
              </w:rPr>
              <w:t>or’s email address</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settlor’s physical residential or business address</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settlor’s jurisdiction of tax residence</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proofErr w:type="gramStart"/>
            <w:r w:rsidRPr="00AC4740">
              <w:rPr>
                <w:rFonts w:ascii="Times New Roman" w:hAnsi="Times New Roman" w:cs="Times New Roman"/>
                <w:sz w:val="20"/>
                <w:szCs w:val="20"/>
              </w:rPr>
              <w:t>settl</w:t>
            </w:r>
            <w:r w:rsidR="00C75E31" w:rsidRPr="00AC4740">
              <w:rPr>
                <w:rFonts w:ascii="Times New Roman" w:hAnsi="Times New Roman" w:cs="Times New Roman"/>
                <w:sz w:val="20"/>
                <w:szCs w:val="20"/>
              </w:rPr>
              <w:t>or’s</w:t>
            </w:r>
            <w:proofErr w:type="gramEnd"/>
            <w:r w:rsidR="00C75E31" w:rsidRPr="00AC4740">
              <w:rPr>
                <w:rFonts w:ascii="Times New Roman" w:hAnsi="Times New Roman" w:cs="Times New Roman"/>
                <w:sz w:val="20"/>
                <w:szCs w:val="20"/>
              </w:rPr>
              <w:t xml:space="preserve"> taxpayer identification number</w:t>
            </w:r>
            <w:r w:rsidR="00BC5242">
              <w:rPr>
                <w:rFonts w:ascii="Times New Roman" w:hAnsi="Times New Roman" w:cs="Times New Roman"/>
                <w:sz w:val="20"/>
                <w:szCs w:val="20"/>
              </w:rPr>
              <w:t>.</w:t>
            </w:r>
          </w:p>
        </w:tc>
      </w:tr>
      <w:tr w:rsidR="00C75E31" w:rsidRPr="00AC4740" w:rsidTr="00AC4740">
        <w:trPr>
          <w:cantSplit/>
        </w:trPr>
        <w:tc>
          <w:tcPr>
            <w:tcW w:w="4176" w:type="dxa"/>
          </w:tcPr>
          <w:p w:rsidR="00C75E31" w:rsidRPr="00AC4740" w:rsidRDefault="00C75E31" w:rsidP="00AC4740">
            <w:pPr>
              <w:pStyle w:val="ListParagraph"/>
              <w:spacing w:after="0" w:line="240" w:lineRule="auto"/>
              <w:ind w:left="0"/>
              <w:contextualSpacing w:val="0"/>
              <w:rPr>
                <w:rFonts w:ascii="Times New Roman" w:hAnsi="Times New Roman" w:cs="Times New Roman"/>
                <w:sz w:val="20"/>
                <w:szCs w:val="20"/>
              </w:rPr>
            </w:pPr>
            <w:r w:rsidRPr="00AC4740">
              <w:rPr>
                <w:rFonts w:ascii="Times New Roman" w:hAnsi="Times New Roman" w:cs="Times New Roman"/>
                <w:sz w:val="20"/>
                <w:szCs w:val="20"/>
              </w:rPr>
              <w:lastRenderedPageBreak/>
              <w:t xml:space="preserve">Distributions to beneficiaries made during the return year (section </w:t>
            </w:r>
            <w:proofErr w:type="gramStart"/>
            <w:r w:rsidRPr="00AC4740">
              <w:rPr>
                <w:rFonts w:ascii="Times New Roman" w:hAnsi="Times New Roman" w:cs="Times New Roman"/>
                <w:sz w:val="20"/>
                <w:szCs w:val="20"/>
              </w:rPr>
              <w:t>59D(</w:t>
            </w:r>
            <w:proofErr w:type="gramEnd"/>
            <w:r w:rsidRPr="00AC4740">
              <w:rPr>
                <w:rFonts w:ascii="Times New Roman" w:hAnsi="Times New Roman" w:cs="Times New Roman"/>
                <w:sz w:val="20"/>
                <w:szCs w:val="20"/>
              </w:rPr>
              <w:t>2)(d) and (e))</w:t>
            </w:r>
            <w:r w:rsidR="00BC5242">
              <w:rPr>
                <w:rFonts w:ascii="Times New Roman" w:hAnsi="Times New Roman" w:cs="Times New Roman"/>
                <w:sz w:val="20"/>
                <w:szCs w:val="20"/>
              </w:rPr>
              <w:t>.</w:t>
            </w:r>
          </w:p>
        </w:tc>
        <w:tc>
          <w:tcPr>
            <w:tcW w:w="5151" w:type="dxa"/>
          </w:tcPr>
          <w:p w:rsidR="00C75E31" w:rsidRPr="00AC4740" w:rsidRDefault="00C75E31" w:rsidP="00AC4740">
            <w:pPr>
              <w:pStyle w:val="ListParagraph"/>
              <w:spacing w:after="0" w:line="240" w:lineRule="auto"/>
              <w:ind w:left="0"/>
              <w:contextualSpacing w:val="0"/>
              <w:rPr>
                <w:rFonts w:ascii="Times New Roman" w:hAnsi="Times New Roman" w:cs="Times New Roman"/>
                <w:sz w:val="20"/>
                <w:szCs w:val="20"/>
              </w:rPr>
            </w:pPr>
            <w:r w:rsidRPr="00AC4740">
              <w:rPr>
                <w:rFonts w:ascii="Times New Roman" w:hAnsi="Times New Roman" w:cs="Times New Roman"/>
                <w:sz w:val="20"/>
                <w:szCs w:val="20"/>
              </w:rPr>
              <w:t>Each distribution</w:t>
            </w:r>
            <w:r w:rsidR="00D36D70" w:rsidRPr="00AC4740">
              <w:rPr>
                <w:rFonts w:ascii="Times New Roman" w:hAnsi="Times New Roman" w:cs="Times New Roman"/>
                <w:sz w:val="20"/>
                <w:szCs w:val="20"/>
              </w:rPr>
              <w:t>:</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date</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amount</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nature</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beneficiary’s name</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beneficiary’s email address</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beneficiary’s physical residential address</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beneficiary’s jurisdiction of tax residence</w:t>
            </w:r>
          </w:p>
          <w:p w:rsidR="00C75E31"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proofErr w:type="gramStart"/>
            <w:r w:rsidRPr="00AC4740">
              <w:rPr>
                <w:rFonts w:ascii="Times New Roman" w:hAnsi="Times New Roman" w:cs="Times New Roman"/>
                <w:sz w:val="20"/>
                <w:szCs w:val="20"/>
              </w:rPr>
              <w:t>beneficiary’s</w:t>
            </w:r>
            <w:proofErr w:type="gramEnd"/>
            <w:r w:rsidRPr="00AC4740">
              <w:rPr>
                <w:rFonts w:ascii="Times New Roman" w:hAnsi="Times New Roman" w:cs="Times New Roman"/>
                <w:sz w:val="20"/>
                <w:szCs w:val="20"/>
              </w:rPr>
              <w:t xml:space="preserve"> taxpayer identific</w:t>
            </w:r>
            <w:r w:rsidR="00C75E31" w:rsidRPr="00AC4740">
              <w:rPr>
                <w:rFonts w:ascii="Times New Roman" w:hAnsi="Times New Roman" w:cs="Times New Roman"/>
                <w:sz w:val="20"/>
                <w:szCs w:val="20"/>
              </w:rPr>
              <w:t>ation number</w:t>
            </w:r>
            <w:r w:rsidR="00BC5242">
              <w:rPr>
                <w:rFonts w:ascii="Times New Roman" w:hAnsi="Times New Roman" w:cs="Times New Roman"/>
                <w:sz w:val="20"/>
                <w:szCs w:val="20"/>
              </w:rPr>
              <w:t>.</w:t>
            </w:r>
          </w:p>
          <w:p w:rsidR="00AC4740" w:rsidRPr="00AC4740" w:rsidRDefault="00AC4740" w:rsidP="00AC4740">
            <w:pPr>
              <w:pStyle w:val="ListParagraph"/>
              <w:spacing w:after="0" w:line="240" w:lineRule="auto"/>
              <w:ind w:left="360"/>
              <w:contextualSpacing w:val="0"/>
              <w:rPr>
                <w:rFonts w:ascii="Times New Roman" w:hAnsi="Times New Roman" w:cs="Times New Roman"/>
                <w:sz w:val="20"/>
                <w:szCs w:val="20"/>
              </w:rPr>
            </w:pPr>
          </w:p>
          <w:p w:rsidR="00C75E31" w:rsidRPr="00AC4740" w:rsidRDefault="00D36D70" w:rsidP="00AC4740">
            <w:pPr>
              <w:rPr>
                <w:sz w:val="20"/>
                <w:szCs w:val="20"/>
              </w:rPr>
            </w:pPr>
            <w:r w:rsidRPr="00AC4740">
              <w:rPr>
                <w:sz w:val="20"/>
                <w:szCs w:val="20"/>
              </w:rPr>
              <w:t xml:space="preserve">If </w:t>
            </w:r>
            <w:r w:rsidR="00C75E31" w:rsidRPr="00AC4740">
              <w:rPr>
                <w:sz w:val="20"/>
                <w:szCs w:val="20"/>
              </w:rPr>
              <w:t>the beneficiary is a minor</w:t>
            </w:r>
            <w:r w:rsidRPr="00AC4740">
              <w:rPr>
                <w:sz w:val="20"/>
                <w:szCs w:val="20"/>
              </w:rPr>
              <w:t>:</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minor’s age</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minor’s jurisdiction of tax residence</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minor’s taxpayer identification number</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parent or guardian’s name</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parent or guardian’s email address</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parent or guardian’s physical residential address</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r w:rsidRPr="00AC4740">
              <w:rPr>
                <w:rFonts w:ascii="Times New Roman" w:hAnsi="Times New Roman" w:cs="Times New Roman"/>
                <w:sz w:val="20"/>
                <w:szCs w:val="20"/>
              </w:rPr>
              <w:t>parent or guardian’s jurisdiction of tax residence</w:t>
            </w:r>
          </w:p>
          <w:p w:rsidR="00C75E31" w:rsidRPr="00AC4740" w:rsidRDefault="00D36D70" w:rsidP="00AC4740">
            <w:pPr>
              <w:pStyle w:val="ListParagraph"/>
              <w:numPr>
                <w:ilvl w:val="0"/>
                <w:numId w:val="30"/>
              </w:numPr>
              <w:spacing w:after="0" w:line="240" w:lineRule="auto"/>
              <w:ind w:left="360"/>
              <w:contextualSpacing w:val="0"/>
              <w:rPr>
                <w:rFonts w:ascii="Times New Roman" w:hAnsi="Times New Roman" w:cs="Times New Roman"/>
                <w:sz w:val="20"/>
                <w:szCs w:val="20"/>
              </w:rPr>
            </w:pPr>
            <w:proofErr w:type="gramStart"/>
            <w:r w:rsidRPr="00AC4740">
              <w:rPr>
                <w:rFonts w:ascii="Times New Roman" w:hAnsi="Times New Roman" w:cs="Times New Roman"/>
                <w:sz w:val="20"/>
                <w:szCs w:val="20"/>
              </w:rPr>
              <w:t>parent</w:t>
            </w:r>
            <w:proofErr w:type="gramEnd"/>
            <w:r w:rsidRPr="00AC4740">
              <w:rPr>
                <w:rFonts w:ascii="Times New Roman" w:hAnsi="Times New Roman" w:cs="Times New Roman"/>
                <w:sz w:val="20"/>
                <w:szCs w:val="20"/>
              </w:rPr>
              <w:t xml:space="preserve"> or gu</w:t>
            </w:r>
            <w:r w:rsidR="00C75E31" w:rsidRPr="00AC4740">
              <w:rPr>
                <w:rFonts w:ascii="Times New Roman" w:hAnsi="Times New Roman" w:cs="Times New Roman"/>
                <w:sz w:val="20"/>
                <w:szCs w:val="20"/>
              </w:rPr>
              <w:t>ardian’s taxpayer identification number</w:t>
            </w:r>
            <w:r w:rsidR="00BC5242">
              <w:rPr>
                <w:rFonts w:ascii="Times New Roman" w:hAnsi="Times New Roman" w:cs="Times New Roman"/>
                <w:sz w:val="20"/>
                <w:szCs w:val="20"/>
              </w:rPr>
              <w:t>.</w:t>
            </w:r>
          </w:p>
        </w:tc>
      </w:tr>
    </w:tbl>
    <w:p w:rsidR="00C75E31" w:rsidRDefault="00C75E31" w:rsidP="002A5769">
      <w:pPr>
        <w:pStyle w:val="ListParagraph"/>
        <w:spacing w:line="240" w:lineRule="auto"/>
      </w:pPr>
    </w:p>
    <w:p w:rsidR="00C75E31" w:rsidRDefault="00C75E31" w:rsidP="002A5769">
      <w:r>
        <w:t xml:space="preserve">At the time of registration, the contact trustee for a foreign trust must provide information about settlements made </w:t>
      </w:r>
      <w:r w:rsidR="00D36D70">
        <w:t>on</w:t>
      </w:r>
      <w:r>
        <w:t xml:space="preserve"> the trust </w:t>
      </w:r>
      <w:r w:rsidR="00D36D70">
        <w:t>before</w:t>
      </w:r>
      <w:r>
        <w:t xml:space="preserve"> the trust’s registration</w:t>
      </w:r>
      <w:r w:rsidR="00E60262">
        <w:t>.  T</w:t>
      </w:r>
      <w:r>
        <w:t xml:space="preserve">o ensure that the information held by the Commissioner of Inland Revenue is kept up to date, subsequent settlements must be reported </w:t>
      </w:r>
      <w:r w:rsidR="006F1F0C">
        <w:t>in</w:t>
      </w:r>
      <w:r>
        <w:t xml:space="preserve"> the annual return</w:t>
      </w:r>
      <w:r w:rsidR="00E60262">
        <w:t>.  C</w:t>
      </w:r>
      <w:r>
        <w:t>onsistent with the disclosure of historic</w:t>
      </w:r>
      <w:r w:rsidR="00D36D70">
        <w:t>al</w:t>
      </w:r>
      <w:r>
        <w:t xml:space="preserve"> settlements, information relating to the provision of minor services at less than market value that are incidental to the activities of the trust does not need to be provided</w:t>
      </w:r>
      <w:r w:rsidR="00E60262">
        <w:t>.  A</w:t>
      </w:r>
      <w:r w:rsidR="006F1F0C">
        <w:t>lso see</w:t>
      </w:r>
      <w:r>
        <w:t xml:space="preserve"> the section “Information </w:t>
      </w:r>
      <w:r w:rsidR="00144C77">
        <w:t>required on</w:t>
      </w:r>
      <w:r>
        <w:t xml:space="preserve"> registration”.</w:t>
      </w:r>
    </w:p>
    <w:p w:rsidR="00543178" w:rsidRDefault="00543178" w:rsidP="002A5769"/>
    <w:p w:rsidR="00C75E31" w:rsidRDefault="00C75E31" w:rsidP="002A5769">
      <w:r>
        <w:t xml:space="preserve">Likewise, detailed information about distributions made during the return year need to be </w:t>
      </w:r>
      <w:r w:rsidR="00144C77">
        <w:t>included in</w:t>
      </w:r>
      <w:r>
        <w:t xml:space="preserve"> the annual return</w:t>
      </w:r>
      <w:r w:rsidR="00E60262">
        <w:t>.  T</w:t>
      </w:r>
      <w:r>
        <w:t>his includes identifying information about beneficiaries, in line with the information provided at the time of registration.</w:t>
      </w:r>
    </w:p>
    <w:p w:rsidR="00543178" w:rsidRDefault="00543178" w:rsidP="002A5769"/>
    <w:p w:rsidR="00C75E31" w:rsidRDefault="00C75E31" w:rsidP="002A5769">
      <w:pPr>
        <w:pStyle w:val="Heading4"/>
      </w:pPr>
      <w:r>
        <w:t>Financial statements</w:t>
      </w:r>
    </w:p>
    <w:p w:rsidR="00543178" w:rsidRPr="00543178" w:rsidRDefault="00543178" w:rsidP="002A5769"/>
    <w:p w:rsidR="00C75E31" w:rsidRDefault="00C75E31" w:rsidP="002A5769">
      <w:r>
        <w:t xml:space="preserve">As noted above, section 59D(2)(a) </w:t>
      </w:r>
      <w:r w:rsidR="00144C77">
        <w:t xml:space="preserve">requires </w:t>
      </w:r>
      <w:r>
        <w:t>that if the trustee of a foreign trust prepares financial statements or is required to prepare financial statements, these must be provided with the annual return</w:t>
      </w:r>
      <w:r w:rsidR="00E60262">
        <w:t>.  T</w:t>
      </w:r>
      <w:r>
        <w:t>he intent is that even if a trust does not prepare financial statements for other purposes, they must prepare financial statements in order to meet their obligations under the foreign trust disclosure requirements.</w:t>
      </w:r>
    </w:p>
    <w:p w:rsidR="00543178" w:rsidRDefault="00543178" w:rsidP="002A5769"/>
    <w:p w:rsidR="00C75E31" w:rsidRDefault="00C75E31" w:rsidP="002A5769">
      <w:r>
        <w:t>An Order in Council will be made under section 21C of the Tax Administration Act 1994 to specify the minimum standards for financial statements for foreign trusts</w:t>
      </w:r>
      <w:r w:rsidR="00E60262">
        <w:t>.  T</w:t>
      </w:r>
      <w:r>
        <w:t xml:space="preserve">he Order in Council will make it clear for foreign trusts, including those </w:t>
      </w:r>
      <w:r w:rsidR="00144C77">
        <w:t xml:space="preserve">that </w:t>
      </w:r>
      <w:r>
        <w:t>do not ordinarily prepare financial statements, what information must be provided.</w:t>
      </w:r>
    </w:p>
    <w:p w:rsidR="00543178" w:rsidRDefault="00543178" w:rsidP="002A5769"/>
    <w:p w:rsidR="00C75E31" w:rsidRDefault="00C75E31" w:rsidP="002A5769">
      <w:pPr>
        <w:pStyle w:val="Heading4"/>
      </w:pPr>
      <w:r>
        <w:t>Due dates</w:t>
      </w:r>
    </w:p>
    <w:p w:rsidR="001545F0" w:rsidRDefault="001545F0" w:rsidP="002A5769"/>
    <w:p w:rsidR="00C75E31" w:rsidRDefault="00C75E31" w:rsidP="002A5769">
      <w:r>
        <w:t xml:space="preserve">Section 59D(3) </w:t>
      </w:r>
      <w:r w:rsidR="00144C77">
        <w:t xml:space="preserve">requires </w:t>
      </w:r>
      <w:r>
        <w:t xml:space="preserve">the annual return, including the financial statements, </w:t>
      </w:r>
      <w:r w:rsidR="00144C77">
        <w:t xml:space="preserve">to </w:t>
      </w:r>
      <w:r>
        <w:t xml:space="preserve">be filed with the Commissioner of Inland Revenue within six months after the trust’s balance date, or </w:t>
      </w:r>
      <w:r w:rsidR="006F1F0C">
        <w:t xml:space="preserve">by </w:t>
      </w:r>
      <w:r>
        <w:t xml:space="preserve">30 September if the trust does not have a balance date (which </w:t>
      </w:r>
      <w:r w:rsidR="006F1F0C">
        <w:t>is</w:t>
      </w:r>
      <w:r>
        <w:t xml:space="preserve"> six months </w:t>
      </w:r>
      <w:r w:rsidR="006F1F0C">
        <w:t xml:space="preserve">after </w:t>
      </w:r>
      <w:r>
        <w:t>the end of the tax year)</w:t>
      </w:r>
      <w:r w:rsidR="00E60262">
        <w:t>.  T</w:t>
      </w:r>
      <w:r>
        <w:t xml:space="preserve">his </w:t>
      </w:r>
      <w:r w:rsidR="00D479F8">
        <w:t xml:space="preserve">should </w:t>
      </w:r>
      <w:r w:rsidR="00144C77">
        <w:t>allow</w:t>
      </w:r>
      <w:r>
        <w:t xml:space="preserve"> resident foreign trustees adequate time to gather required </w:t>
      </w:r>
      <w:r>
        <w:lastRenderedPageBreak/>
        <w:t xml:space="preserve">documentation and meet their obligations, as it is acknowledged that much of the </w:t>
      </w:r>
      <w:r w:rsidR="00144C77">
        <w:t xml:space="preserve">information </w:t>
      </w:r>
      <w:r>
        <w:t>may be held overseas.</w:t>
      </w:r>
    </w:p>
    <w:p w:rsidR="001545F0" w:rsidRDefault="001545F0" w:rsidP="002A5769"/>
    <w:p w:rsidR="001545F0" w:rsidRDefault="001545F0" w:rsidP="002A5769">
      <w:r>
        <w:t xml:space="preserve">Annual returns must be provided for every year that includes a period which the foreign trust is registered, or is required </w:t>
      </w:r>
      <w:r w:rsidR="00393CCA">
        <w:t xml:space="preserve">to register </w:t>
      </w:r>
      <w:r>
        <w:t>under section 59</w:t>
      </w:r>
      <w:r w:rsidR="00393CCA">
        <w:t>B</w:t>
      </w:r>
      <w:r w:rsidR="00E60262">
        <w:t>.  H</w:t>
      </w:r>
      <w:r w:rsidR="00393CCA">
        <w:t xml:space="preserve">owever, a transitional rule in 59D(1)(c) </w:t>
      </w:r>
      <w:r w:rsidR="00144C77">
        <w:t>allows</w:t>
      </w:r>
      <w:r w:rsidR="00393CCA">
        <w:t xml:space="preserve"> resident foreign trustees who become liable to register a trust on the date of enactment, to file returns </w:t>
      </w:r>
      <w:r w:rsidR="00144C77">
        <w:t xml:space="preserve">only </w:t>
      </w:r>
      <w:r w:rsidR="00393CCA">
        <w:t>for years that begin after 31 March 2017.</w:t>
      </w:r>
    </w:p>
    <w:p w:rsidR="00543178" w:rsidRDefault="00543178" w:rsidP="002A5769"/>
    <w:p w:rsidR="00C75E31" w:rsidRPr="003403AF" w:rsidRDefault="00C75E31" w:rsidP="002A5769">
      <w:r w:rsidRPr="00A46B21">
        <w:t>No additional time is provided to non-professional trustees, or those with tax agents.</w:t>
      </w:r>
    </w:p>
    <w:p w:rsidR="00543178" w:rsidRDefault="00543178" w:rsidP="002A5769"/>
    <w:p w:rsidR="00C75E31" w:rsidRDefault="00C75E31" w:rsidP="002A5769">
      <w:pPr>
        <w:pStyle w:val="Heading3"/>
      </w:pPr>
      <w:r>
        <w:t>Fees</w:t>
      </w:r>
    </w:p>
    <w:p w:rsidR="00543178" w:rsidRPr="00543178" w:rsidRDefault="00543178" w:rsidP="002A5769"/>
    <w:p w:rsidR="00C75E31" w:rsidRDefault="00C75E31" w:rsidP="002A5769">
      <w:r>
        <w:t xml:space="preserve">At the time an application for registration is lodged or an annual return is filed, a resident foreign trust must pay the registration fee </w:t>
      </w:r>
      <w:r w:rsidR="00144C77">
        <w:t xml:space="preserve">or </w:t>
      </w:r>
      <w:r>
        <w:t>annual return fee, as prescribed in sections 59B(2) and 59D(1).</w:t>
      </w:r>
    </w:p>
    <w:p w:rsidR="00543178" w:rsidRDefault="00543178" w:rsidP="002A5769"/>
    <w:p w:rsidR="00543178" w:rsidRDefault="00C75E31" w:rsidP="002A5769">
      <w:r>
        <w:t>The fees are set out in new section 59E</w:t>
      </w:r>
      <w:r w:rsidR="00E60262">
        <w:t>.  S</w:t>
      </w:r>
      <w:r>
        <w:t xml:space="preserve">ection </w:t>
      </w:r>
      <w:proofErr w:type="gramStart"/>
      <w:r>
        <w:t>59E(</w:t>
      </w:r>
      <w:proofErr w:type="gramEnd"/>
      <w:r>
        <w:t xml:space="preserve">1) provides that the Governor-General may, from time to time, make regulations prescribing either of these fees. </w:t>
      </w:r>
    </w:p>
    <w:p w:rsidR="00543178" w:rsidRDefault="00543178" w:rsidP="002A5769"/>
    <w:p w:rsidR="00C75E31" w:rsidRDefault="00C75E31" w:rsidP="002A5769">
      <w:r>
        <w:t xml:space="preserve">However, until the first regulation has been made under section </w:t>
      </w:r>
      <w:proofErr w:type="gramStart"/>
      <w:r>
        <w:t>59E(</w:t>
      </w:r>
      <w:proofErr w:type="gramEnd"/>
      <w:r>
        <w:t>1), the fees are set at:</w:t>
      </w:r>
    </w:p>
    <w:p w:rsidR="00AC4740" w:rsidRDefault="00AC4740" w:rsidP="002A5769"/>
    <w:p w:rsidR="00C75E31" w:rsidRPr="00543178" w:rsidRDefault="00C75E31" w:rsidP="00AC4740">
      <w:pPr>
        <w:pStyle w:val="ListParagraph"/>
        <w:numPr>
          <w:ilvl w:val="0"/>
          <w:numId w:val="30"/>
        </w:numPr>
        <w:spacing w:after="140" w:line="240" w:lineRule="auto"/>
        <w:ind w:left="567" w:hanging="567"/>
        <w:contextualSpacing w:val="0"/>
        <w:jc w:val="both"/>
        <w:rPr>
          <w:rFonts w:ascii="Times New Roman" w:hAnsi="Times New Roman" w:cs="Times New Roman"/>
          <w:sz w:val="24"/>
          <w:szCs w:val="24"/>
        </w:rPr>
      </w:pPr>
      <w:r w:rsidRPr="00543178">
        <w:rPr>
          <w:rFonts w:ascii="Times New Roman" w:hAnsi="Times New Roman" w:cs="Times New Roman"/>
          <w:sz w:val="24"/>
          <w:szCs w:val="24"/>
        </w:rPr>
        <w:t>$270 (including goods and services tax) for an application for the registration of a foreign trust;</w:t>
      </w:r>
      <w:r w:rsidR="00144C77">
        <w:rPr>
          <w:rFonts w:ascii="Times New Roman" w:hAnsi="Times New Roman" w:cs="Times New Roman"/>
          <w:sz w:val="24"/>
          <w:szCs w:val="24"/>
        </w:rPr>
        <w:t xml:space="preserve"> and</w:t>
      </w:r>
    </w:p>
    <w:p w:rsidR="00C75E31" w:rsidRPr="00543178" w:rsidRDefault="00C75E31" w:rsidP="00AC4740">
      <w:pPr>
        <w:pStyle w:val="ListParagraph"/>
        <w:numPr>
          <w:ilvl w:val="0"/>
          <w:numId w:val="30"/>
        </w:numPr>
        <w:spacing w:after="0" w:line="240" w:lineRule="auto"/>
        <w:ind w:left="567" w:hanging="567"/>
        <w:contextualSpacing w:val="0"/>
        <w:jc w:val="both"/>
        <w:rPr>
          <w:rFonts w:ascii="Times New Roman" w:hAnsi="Times New Roman" w:cs="Times New Roman"/>
          <w:sz w:val="24"/>
          <w:szCs w:val="24"/>
        </w:rPr>
      </w:pPr>
      <w:r w:rsidRPr="00543178">
        <w:rPr>
          <w:rFonts w:ascii="Times New Roman" w:hAnsi="Times New Roman" w:cs="Times New Roman"/>
          <w:sz w:val="24"/>
          <w:szCs w:val="24"/>
        </w:rPr>
        <w:t>$50 (including goods and services tax) for an annual return for a foreign trust and a return year.</w:t>
      </w:r>
    </w:p>
    <w:p w:rsidR="00AC4740" w:rsidRDefault="00AC4740" w:rsidP="002A5769"/>
    <w:p w:rsidR="00C75E31" w:rsidRDefault="00C75E31" w:rsidP="002A5769">
      <w:r>
        <w:t>A number of concessions have been introduced into the foreign trust disclosure rules for non-professional trustees</w:t>
      </w:r>
      <w:r w:rsidR="00E60262">
        <w:t>.  I</w:t>
      </w:r>
      <w:r>
        <w:t>n line with other concessions relating to the period for registration and the provision of historic</w:t>
      </w:r>
      <w:r w:rsidR="00812BD7">
        <w:t>al</w:t>
      </w:r>
      <w:r>
        <w:t xml:space="preserve"> settlements, section 59E(5) </w:t>
      </w:r>
      <w:r w:rsidR="00144C77">
        <w:t xml:space="preserve">allows </w:t>
      </w:r>
      <w:r>
        <w:t>an exemption from both the registration fee and annual return fee for resident foreign trustees who are natural persons not in the business of providing trustee services</w:t>
      </w:r>
      <w:r w:rsidR="00E60262">
        <w:t>.  T</w:t>
      </w:r>
      <w:r w:rsidRPr="00A46B21">
        <w:t xml:space="preserve">o be eligible for this exemption, </w:t>
      </w:r>
      <w:r w:rsidRPr="00DC04F7">
        <w:rPr>
          <w:b/>
        </w:rPr>
        <w:t>all</w:t>
      </w:r>
      <w:r w:rsidRPr="00A46B21">
        <w:t xml:space="preserve"> resident foreign trustees of the foreign trust must be natural persons not in the business of providing trustee services. </w:t>
      </w:r>
      <w:r>
        <w:t xml:space="preserve"> </w:t>
      </w:r>
    </w:p>
    <w:p w:rsidR="00BB56AE" w:rsidRPr="00670DFA" w:rsidRDefault="00BB56AE" w:rsidP="002A5769"/>
    <w:p w:rsidR="00927C1A" w:rsidRDefault="00927C1A" w:rsidP="002A5769">
      <w:pPr>
        <w:pStyle w:val="Heading3"/>
      </w:pPr>
      <w:r>
        <w:t>Information sharing with other agencies</w:t>
      </w:r>
    </w:p>
    <w:p w:rsidR="00BB56AE" w:rsidRDefault="00BB56AE" w:rsidP="002A5769"/>
    <w:p w:rsidR="00726947" w:rsidRDefault="00726947" w:rsidP="002A5769">
      <w:pPr>
        <w:pStyle w:val="Heading4"/>
      </w:pPr>
      <w:r>
        <w:t>Information sharing with domestic enforcement agencies</w:t>
      </w:r>
    </w:p>
    <w:p w:rsidR="00726947" w:rsidRDefault="00726947" w:rsidP="002A5769"/>
    <w:p w:rsidR="00927C1A" w:rsidRDefault="00927C1A" w:rsidP="002A5769">
      <w:r>
        <w:t xml:space="preserve">Section 81 of the Tax Administration Act </w:t>
      </w:r>
      <w:r w:rsidR="00E66112">
        <w:t xml:space="preserve">1994 </w:t>
      </w:r>
      <w:r>
        <w:t>has been amended to add a new subsection 81(</w:t>
      </w:r>
      <w:r w:rsidR="006366A4">
        <w:t>4</w:t>
      </w:r>
      <w:proofErr w:type="gramStart"/>
      <w:r w:rsidR="006366A4">
        <w:t>)(</w:t>
      </w:r>
      <w:proofErr w:type="gramEnd"/>
      <w:r w:rsidR="000706BD">
        <w:t>z</w:t>
      </w:r>
      <w:r w:rsidR="006366A4">
        <w:t>)</w:t>
      </w:r>
      <w:r w:rsidR="00E60262">
        <w:t>.  S</w:t>
      </w:r>
      <w:r w:rsidR="00B041A9">
        <w:t>ection 81(4) contains exceptions to the tax secrecy rules and allows Inland Revenue to share specified information.</w:t>
      </w:r>
    </w:p>
    <w:p w:rsidR="00B041A9" w:rsidRDefault="00B041A9" w:rsidP="002A5769"/>
    <w:p w:rsidR="001D2E83" w:rsidRDefault="00B041A9" w:rsidP="002A5769">
      <w:r>
        <w:t>New subsection 81(4</w:t>
      </w:r>
      <w:proofErr w:type="gramStart"/>
      <w:r>
        <w:t>)(</w:t>
      </w:r>
      <w:proofErr w:type="gramEnd"/>
      <w:r w:rsidR="000706BD">
        <w:t>z</w:t>
      </w:r>
      <w:r>
        <w:t>) specifically allows Inland Revenue to share information r</w:t>
      </w:r>
      <w:r w:rsidR="00017192">
        <w:t xml:space="preserve">elating to the registration or the absence of registration </w:t>
      </w:r>
      <w:r w:rsidR="004B7D25">
        <w:t xml:space="preserve">of </w:t>
      </w:r>
      <w:r w:rsidR="00017192">
        <w:t>a foreign trust with the Department of Internal Affairs</w:t>
      </w:r>
      <w:r w:rsidR="001D2E83">
        <w:t xml:space="preserve"> </w:t>
      </w:r>
      <w:r w:rsidR="00017192">
        <w:t>and the</w:t>
      </w:r>
      <w:r w:rsidR="001D2E83">
        <w:t xml:space="preserve"> New Zealand</w:t>
      </w:r>
      <w:r w:rsidR="00017192">
        <w:t xml:space="preserve"> Police. </w:t>
      </w:r>
      <w:r w:rsidR="001E140A">
        <w:t xml:space="preserve"> This will enable Inland Revenue to share its register of foreign trusts with </w:t>
      </w:r>
      <w:r w:rsidR="005B64C1">
        <w:t xml:space="preserve">the </w:t>
      </w:r>
      <w:r w:rsidR="001E140A">
        <w:t>D</w:t>
      </w:r>
      <w:r w:rsidR="005B64C1">
        <w:t xml:space="preserve">epartment of Internal Affairs </w:t>
      </w:r>
      <w:r w:rsidR="001E140A">
        <w:t xml:space="preserve">and the </w:t>
      </w:r>
      <w:r w:rsidR="001D2E83">
        <w:t xml:space="preserve">New Zealand </w:t>
      </w:r>
      <w:r w:rsidR="001E140A">
        <w:t>Police</w:t>
      </w:r>
      <w:r w:rsidR="00E60262">
        <w:t>.  T</w:t>
      </w:r>
      <w:r w:rsidR="00CF3D2C">
        <w:t xml:space="preserve">his </w:t>
      </w:r>
      <w:r w:rsidR="00F85057">
        <w:t>follows</w:t>
      </w:r>
      <w:r w:rsidR="00CF3D2C">
        <w:t xml:space="preserve"> a </w:t>
      </w:r>
      <w:r w:rsidR="00F85057">
        <w:t xml:space="preserve">specific </w:t>
      </w:r>
      <w:r w:rsidR="00CF3D2C">
        <w:t>recommendation o</w:t>
      </w:r>
      <w:r w:rsidR="001D2E83">
        <w:t>f the Government Inquiry into Foreign Trust Disclosure Rules.</w:t>
      </w:r>
    </w:p>
    <w:p w:rsidR="001D2E83" w:rsidRDefault="001D2E83" w:rsidP="002A5769"/>
    <w:p w:rsidR="005B64C1" w:rsidRDefault="005B64C1">
      <w:pPr>
        <w:jc w:val="left"/>
      </w:pPr>
      <w:r>
        <w:br w:type="page"/>
      </w:r>
    </w:p>
    <w:p w:rsidR="001E140A" w:rsidRDefault="001D2E83" w:rsidP="002A5769">
      <w:r>
        <w:lastRenderedPageBreak/>
        <w:t>In addition, information collected under the amended disclosure rules will be shared with the Overseas Investment Office</w:t>
      </w:r>
      <w:r w:rsidR="00FA7213">
        <w:t xml:space="preserve"> once an agreement is in place</w:t>
      </w:r>
      <w:r>
        <w:t>.</w:t>
      </w:r>
    </w:p>
    <w:p w:rsidR="00017192" w:rsidRDefault="00017192" w:rsidP="002A5769"/>
    <w:p w:rsidR="00726947" w:rsidRDefault="00726947" w:rsidP="002A5769">
      <w:pPr>
        <w:pStyle w:val="Heading4"/>
      </w:pPr>
      <w:r>
        <w:t xml:space="preserve">Information sharing with tax treaty partners </w:t>
      </w:r>
    </w:p>
    <w:p w:rsidR="00726947" w:rsidRDefault="00726947" w:rsidP="002A5769"/>
    <w:p w:rsidR="00017192" w:rsidRDefault="000F632B" w:rsidP="002A5769">
      <w:r>
        <w:t>Inland Revenue is also able to share information</w:t>
      </w:r>
      <w:r w:rsidR="00905F28">
        <w:t xml:space="preserve"> internationally</w:t>
      </w:r>
      <w:r>
        <w:t xml:space="preserve"> with its tax treaty partners under exchange of information arrangements (</w:t>
      </w:r>
      <w:r w:rsidR="004B7D25">
        <w:t>double tax agreements, tax information exchange agreement</w:t>
      </w:r>
      <w:r>
        <w:t>s, and the Multilateral Convention on Mutual Administrative Assistance in Tax Matters)</w:t>
      </w:r>
      <w:r w:rsidR="00E60262">
        <w:t>.  I</w:t>
      </w:r>
      <w:r>
        <w:t>nland Revenue can provide information in relation to foreign trusts to other tax authorities under exchange of information agreements</w:t>
      </w:r>
      <w:r w:rsidR="00905F28">
        <w:t xml:space="preserve"> if relevant parties (</w:t>
      </w:r>
      <w:r w:rsidR="004B7D25">
        <w:t>for example,</w:t>
      </w:r>
      <w:r w:rsidR="00905F28">
        <w:t xml:space="preserve"> settlors and beneficiaries) are resident in th</w:t>
      </w:r>
      <w:r w:rsidR="00426C89">
        <w:t>o</w:t>
      </w:r>
      <w:r w:rsidR="00905F28">
        <w:t>se jurisdictions</w:t>
      </w:r>
      <w:r>
        <w:t xml:space="preserve">. </w:t>
      </w:r>
    </w:p>
    <w:p w:rsidR="000F632B" w:rsidRDefault="000F632B" w:rsidP="002A5769"/>
    <w:p w:rsidR="00726947" w:rsidRDefault="00726947" w:rsidP="002A5769">
      <w:r>
        <w:t xml:space="preserve">However, it is important to note that Inland Revenue is not obligated to send foreign trust information to jurisdictions with which it has a tax treaty if it believes there is a risk in how that information will be used or disclosed. </w:t>
      </w:r>
    </w:p>
    <w:p w:rsidR="00726947" w:rsidRDefault="00726947" w:rsidP="002A5769"/>
    <w:p w:rsidR="00726947" w:rsidRDefault="00726947" w:rsidP="002A5769">
      <w:r>
        <w:t xml:space="preserve">Exchange of information articles in tax treaties contain restrictions on what the information exchanged can be used for.  These articles provide that a </w:t>
      </w:r>
      <w:r w:rsidR="004B7D25">
        <w:t xml:space="preserve">jurisdiction </w:t>
      </w:r>
      <w:r>
        <w:t xml:space="preserve">is not obligated to supply information which would disclose any trade, business, industrial, commercial or professional secret or trade process, or </w:t>
      </w:r>
      <w:r w:rsidR="004B7D25">
        <w:t xml:space="preserve">any </w:t>
      </w:r>
      <w:r>
        <w:t xml:space="preserve">information </w:t>
      </w:r>
      <w:r w:rsidR="004B7D25">
        <w:t xml:space="preserve">if its </w:t>
      </w:r>
      <w:r>
        <w:t xml:space="preserve">disclosure would be contrary to public policy. </w:t>
      </w:r>
    </w:p>
    <w:p w:rsidR="00726947" w:rsidRDefault="00726947" w:rsidP="002A5769"/>
    <w:p w:rsidR="00927C1A" w:rsidRDefault="00726947" w:rsidP="002A5769">
      <w:r>
        <w:t>Further, exchanged information can only be disclosed to specific persons, and can only be used by those persons for specified purposes.</w:t>
      </w:r>
    </w:p>
    <w:p w:rsidR="00726947" w:rsidRDefault="00726947" w:rsidP="002A5769"/>
    <w:p w:rsidR="00C75E31" w:rsidRDefault="00C75E31" w:rsidP="002A5769">
      <w:pPr>
        <w:pStyle w:val="Heading3"/>
      </w:pPr>
      <w:r>
        <w:t>Consequential amendments</w:t>
      </w:r>
    </w:p>
    <w:p w:rsidR="00543178" w:rsidRPr="00543178" w:rsidRDefault="00543178" w:rsidP="002A5769"/>
    <w:p w:rsidR="00C75E31" w:rsidRDefault="00C75E31" w:rsidP="002A5769">
      <w:r>
        <w:t xml:space="preserve">A number of sections have been repealed or amended. </w:t>
      </w:r>
    </w:p>
    <w:p w:rsidR="00543178" w:rsidRDefault="00543178" w:rsidP="002A5769"/>
    <w:p w:rsidR="00C75E31" w:rsidRDefault="00C75E31" w:rsidP="002A5769">
      <w:r>
        <w:t>In the Income Tax Act 2007, sections HC 26</w:t>
      </w:r>
      <w:r w:rsidR="00907CBD">
        <w:t xml:space="preserve">(2), </w:t>
      </w:r>
      <w:r>
        <w:t>(3), and (4) have been repealed as section HC 26 has been substantially rewritten.</w:t>
      </w:r>
    </w:p>
    <w:p w:rsidR="00543178" w:rsidRDefault="00543178" w:rsidP="002A5769"/>
    <w:p w:rsidR="00C75E31" w:rsidRDefault="00C75E31" w:rsidP="002A5769">
      <w:r>
        <w:t>The definitions of “settlement” and “settlor” have been repealed from section 3</w:t>
      </w:r>
      <w:r w:rsidR="00543178">
        <w:t>(1)</w:t>
      </w:r>
      <w:r>
        <w:t xml:space="preserve"> of the Tax Administration Act 1994</w:t>
      </w:r>
      <w:r w:rsidR="00E60262">
        <w:t>.  T</w:t>
      </w:r>
      <w:r>
        <w:t>hey are identical to the definitions provided in section YA 1 of the Income Tax Act 2007, so a specific definition is not necessary due to the operation of section 3(2) of the Tax Administration Act 1994.</w:t>
      </w:r>
    </w:p>
    <w:p w:rsidR="00543178" w:rsidRDefault="00543178" w:rsidP="002A5769"/>
    <w:p w:rsidR="00C75E31" w:rsidRPr="000A269D" w:rsidRDefault="00C75E31" w:rsidP="002A5769">
      <w:r>
        <w:t>The definition of “qualifying resident foreign trustee” has also been repealed as it was a feature of the previous foreign trust disclosure rules that was not retained.</w:t>
      </w:r>
    </w:p>
    <w:p w:rsidR="00D90911" w:rsidRDefault="00D90911" w:rsidP="002A5769"/>
    <w:bookmarkEnd w:id="0"/>
    <w:p w:rsidR="00670F9B" w:rsidRPr="00670DFA" w:rsidRDefault="00670F9B" w:rsidP="002A5769"/>
    <w:sectPr w:rsidR="00670F9B" w:rsidRPr="00670DFA" w:rsidSect="00FB10A5">
      <w:footerReference w:type="even" r:id="rId9"/>
      <w:footerReference w:type="default" r:id="rId10"/>
      <w:footerReference w:type="first" r:id="rId11"/>
      <w:type w:val="nextColumn"/>
      <w:pgSz w:w="11906" w:h="16838" w:code="9"/>
      <w:pgMar w:top="1134" w:right="1418" w:bottom="1134" w:left="1418"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86" w:rsidRDefault="00F25186">
      <w:r>
        <w:separator/>
      </w:r>
    </w:p>
  </w:endnote>
  <w:endnote w:type="continuationSeparator" w:id="0">
    <w:p w:rsidR="00F25186" w:rsidRDefault="00F2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69" w:rsidRDefault="002A5769"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E841AA">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69" w:rsidRDefault="002A5769"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E841AA">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69" w:rsidRDefault="002A5769" w:rsidP="00F92496">
    <w:pPr>
      <w:jc w:val="center"/>
    </w:pPr>
    <w:r>
      <w:rPr>
        <w:rStyle w:val="PageNumber"/>
      </w:rPr>
      <w:fldChar w:fldCharType="begin"/>
    </w:r>
    <w:r>
      <w:rPr>
        <w:rStyle w:val="PageNumber"/>
      </w:rPr>
      <w:instrText xml:space="preserve"> PAGE </w:instrText>
    </w:r>
    <w:r>
      <w:rPr>
        <w:rStyle w:val="PageNumber"/>
      </w:rPr>
      <w:fldChar w:fldCharType="separate"/>
    </w:r>
    <w:r w:rsidR="00E841A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86" w:rsidRDefault="00F25186">
      <w:r>
        <w:separator/>
      </w:r>
    </w:p>
  </w:footnote>
  <w:footnote w:type="continuationSeparator" w:id="0">
    <w:p w:rsidR="00F25186" w:rsidRDefault="00F25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8AF8F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6">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7">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8">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9">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10">
    <w:nsid w:val="04904A6E"/>
    <w:multiLevelType w:val="hybridMultilevel"/>
    <w:tmpl w:val="02D05912"/>
    <w:lvl w:ilvl="0" w:tplc="F2E6EB38">
      <w:start w:val="1"/>
      <w:numFmt w:val="bullet"/>
      <w:lvlText w:val=""/>
      <w:lvlJc w:val="left"/>
      <w:pPr>
        <w:tabs>
          <w:tab w:val="num" w:pos="283"/>
        </w:tabs>
        <w:ind w:left="283" w:hanging="283"/>
      </w:pPr>
      <w:rPr>
        <w:rFonts w:ascii="Symbol" w:hAnsi="Symbol" w:hint="default"/>
        <w:sz w:val="21"/>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12">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13">
    <w:nsid w:val="10676216"/>
    <w:multiLevelType w:val="singleLevel"/>
    <w:tmpl w:val="5C36E62A"/>
    <w:lvl w:ilvl="0">
      <w:start w:val="1"/>
      <w:numFmt w:val="bullet"/>
      <w:lvlText w:val=""/>
      <w:lvlJc w:val="left"/>
      <w:pPr>
        <w:tabs>
          <w:tab w:val="num" w:pos="567"/>
        </w:tabs>
        <w:ind w:left="567" w:hanging="567"/>
      </w:pPr>
      <w:rPr>
        <w:rFonts w:ascii="Symbol" w:hAnsi="Symbol" w:hint="default"/>
        <w:b w:val="0"/>
        <w:i w:val="0"/>
      </w:rPr>
    </w:lvl>
  </w:abstractNum>
  <w:abstractNum w:abstractNumId="14">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15">
    <w:nsid w:val="1382183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17943DFD"/>
    <w:multiLevelType w:val="hybridMultilevel"/>
    <w:tmpl w:val="9C981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9F86B31"/>
    <w:multiLevelType w:val="hybridMultilevel"/>
    <w:tmpl w:val="25628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EE040EF"/>
    <w:multiLevelType w:val="hybridMultilevel"/>
    <w:tmpl w:val="9F948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2E60171"/>
    <w:multiLevelType w:val="singleLevel"/>
    <w:tmpl w:val="C2163BE4"/>
    <w:lvl w:ilvl="0">
      <w:start w:val="1"/>
      <w:numFmt w:val="bullet"/>
      <w:lvlText w:val=""/>
      <w:lvlJc w:val="left"/>
      <w:pPr>
        <w:tabs>
          <w:tab w:val="num" w:pos="1134"/>
        </w:tabs>
        <w:ind w:left="1134" w:hanging="567"/>
      </w:pPr>
      <w:rPr>
        <w:rFonts w:ascii="Wingdings" w:hAnsi="Wingdings" w:hint="default"/>
      </w:rPr>
    </w:lvl>
  </w:abstractNum>
  <w:abstractNum w:abstractNumId="21">
    <w:nsid w:val="29A019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23">
    <w:nsid w:val="33267FFD"/>
    <w:multiLevelType w:val="hybridMultilevel"/>
    <w:tmpl w:val="C2E43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43222DE"/>
    <w:multiLevelType w:val="singleLevel"/>
    <w:tmpl w:val="E4A63E30"/>
    <w:lvl w:ilvl="0">
      <w:start w:val="1"/>
      <w:numFmt w:val="decimal"/>
      <w:lvlText w:val="6.%1"/>
      <w:lvlJc w:val="left"/>
      <w:pPr>
        <w:tabs>
          <w:tab w:val="num" w:pos="851"/>
        </w:tabs>
        <w:ind w:left="851" w:hanging="851"/>
      </w:pPr>
      <w:rPr>
        <w:rFonts w:hint="default"/>
      </w:rPr>
    </w:lvl>
  </w:abstractNum>
  <w:abstractNum w:abstractNumId="25">
    <w:nsid w:val="35972FF1"/>
    <w:multiLevelType w:val="hybridMultilevel"/>
    <w:tmpl w:val="CDAE0618"/>
    <w:lvl w:ilvl="0" w:tplc="B6428B4C">
      <w:start w:val="1"/>
      <w:numFmt w:val="decimal"/>
      <w:lvlText w:val="4.%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27">
    <w:nsid w:val="38FE376B"/>
    <w:multiLevelType w:val="singleLevel"/>
    <w:tmpl w:val="3E42CD4E"/>
    <w:lvl w:ilvl="0">
      <w:start w:val="1"/>
      <w:numFmt w:val="decimal"/>
      <w:lvlText w:val="17.%1"/>
      <w:lvlJc w:val="left"/>
      <w:pPr>
        <w:tabs>
          <w:tab w:val="num" w:pos="992"/>
        </w:tabs>
        <w:ind w:left="992" w:hanging="992"/>
      </w:pPr>
    </w:lvl>
  </w:abstractNum>
  <w:abstractNum w:abstractNumId="28">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29">
    <w:nsid w:val="402056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40385FB6"/>
    <w:multiLevelType w:val="hybridMultilevel"/>
    <w:tmpl w:val="15941E36"/>
    <w:lvl w:ilvl="0" w:tplc="3C144AC8">
      <w:start w:val="1"/>
      <w:numFmt w:val="bullet"/>
      <w:lvlText w:val=""/>
      <w:lvlJc w:val="left"/>
      <w:pPr>
        <w:tabs>
          <w:tab w:val="num" w:pos="720"/>
        </w:tabs>
        <w:ind w:left="720" w:hanging="360"/>
      </w:pPr>
      <w:rPr>
        <w:rFonts w:ascii="Symbol" w:hAnsi="Symbol" w:hint="default"/>
      </w:rPr>
    </w:lvl>
    <w:lvl w:ilvl="1" w:tplc="6736F252">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46864BCC"/>
    <w:multiLevelType w:val="hybridMultilevel"/>
    <w:tmpl w:val="B96CE2B4"/>
    <w:lvl w:ilvl="0" w:tplc="CB0ADE2E">
      <w:start w:val="1"/>
      <w:numFmt w:val="bullet"/>
      <w:lvlText w:val=""/>
      <w:lvlJc w:val="left"/>
      <w:pPr>
        <w:tabs>
          <w:tab w:val="num" w:pos="567"/>
        </w:tabs>
        <w:ind w:left="1418" w:hanging="567"/>
      </w:pPr>
      <w:rPr>
        <w:rFonts w:ascii="Symbol" w:hAnsi="Symbol" w:hint="default"/>
        <w:b w:val="0"/>
        <w:i w:val="0"/>
        <w:sz w:val="20"/>
        <w:szCs w:val="20"/>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2">
    <w:nsid w:val="4A9E4C39"/>
    <w:multiLevelType w:val="hybridMultilevel"/>
    <w:tmpl w:val="AB0211D8"/>
    <w:lvl w:ilvl="0" w:tplc="297848DC">
      <w:start w:val="1"/>
      <w:numFmt w:val="decimal"/>
      <w:lvlText w:val="5.%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4F70518E"/>
    <w:multiLevelType w:val="singleLevel"/>
    <w:tmpl w:val="CAAA5C7C"/>
    <w:lvl w:ilvl="0">
      <w:start w:val="1"/>
      <w:numFmt w:val="bullet"/>
      <w:lvlText w:val=""/>
      <w:lvlJc w:val="left"/>
      <w:pPr>
        <w:tabs>
          <w:tab w:val="num" w:pos="1418"/>
        </w:tabs>
        <w:ind w:left="1418" w:hanging="567"/>
      </w:pPr>
      <w:rPr>
        <w:rFonts w:ascii="Symbol" w:hAnsi="Symbol" w:hint="default"/>
        <w:sz w:val="21"/>
      </w:rPr>
    </w:lvl>
  </w:abstractNum>
  <w:abstractNum w:abstractNumId="34">
    <w:nsid w:val="50B4453A"/>
    <w:multiLevelType w:val="hybridMultilevel"/>
    <w:tmpl w:val="2FBC840E"/>
    <w:lvl w:ilvl="0" w:tplc="9C7E218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D886D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008540F"/>
    <w:multiLevelType w:val="hybridMultilevel"/>
    <w:tmpl w:val="FD4E2A30"/>
    <w:lvl w:ilvl="0" w:tplc="F8928102">
      <w:start w:val="1"/>
      <w:numFmt w:val="decimal"/>
      <w:lvlText w:val="7.%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64AA0ACC"/>
    <w:multiLevelType w:val="hybridMultilevel"/>
    <w:tmpl w:val="DCD2E360"/>
    <w:lvl w:ilvl="0" w:tplc="173E0E94">
      <w:start w:val="1"/>
      <w:numFmt w:val="bullet"/>
      <w:lvlText w:val=""/>
      <w:lvlJc w:val="left"/>
      <w:pPr>
        <w:tabs>
          <w:tab w:val="num" w:pos="357"/>
        </w:tabs>
        <w:ind w:left="357" w:hanging="357"/>
      </w:pPr>
      <w:rPr>
        <w:rFonts w:ascii="Symbol" w:hAnsi="Symbol" w:hint="default"/>
      </w:rPr>
    </w:lvl>
    <w:lvl w:ilvl="1" w:tplc="9C34DEC6" w:tentative="1">
      <w:start w:val="1"/>
      <w:numFmt w:val="bullet"/>
      <w:lvlText w:val="o"/>
      <w:lvlJc w:val="left"/>
      <w:pPr>
        <w:tabs>
          <w:tab w:val="num" w:pos="1440"/>
        </w:tabs>
        <w:ind w:left="1440" w:hanging="360"/>
      </w:pPr>
      <w:rPr>
        <w:rFonts w:ascii="Courier New" w:hAnsi="Courier New" w:cs="Courier New" w:hint="default"/>
      </w:rPr>
    </w:lvl>
    <w:lvl w:ilvl="2" w:tplc="DDD6E854" w:tentative="1">
      <w:start w:val="1"/>
      <w:numFmt w:val="bullet"/>
      <w:lvlText w:val=""/>
      <w:lvlJc w:val="left"/>
      <w:pPr>
        <w:tabs>
          <w:tab w:val="num" w:pos="2160"/>
        </w:tabs>
        <w:ind w:left="2160" w:hanging="360"/>
      </w:pPr>
      <w:rPr>
        <w:rFonts w:ascii="Wingdings" w:hAnsi="Wingdings" w:hint="default"/>
      </w:rPr>
    </w:lvl>
    <w:lvl w:ilvl="3" w:tplc="6DDAD34C" w:tentative="1">
      <w:start w:val="1"/>
      <w:numFmt w:val="bullet"/>
      <w:lvlText w:val=""/>
      <w:lvlJc w:val="left"/>
      <w:pPr>
        <w:tabs>
          <w:tab w:val="num" w:pos="2880"/>
        </w:tabs>
        <w:ind w:left="2880" w:hanging="360"/>
      </w:pPr>
      <w:rPr>
        <w:rFonts w:ascii="Symbol" w:hAnsi="Symbol" w:hint="default"/>
      </w:rPr>
    </w:lvl>
    <w:lvl w:ilvl="4" w:tplc="90AE0E52" w:tentative="1">
      <w:start w:val="1"/>
      <w:numFmt w:val="bullet"/>
      <w:lvlText w:val="o"/>
      <w:lvlJc w:val="left"/>
      <w:pPr>
        <w:tabs>
          <w:tab w:val="num" w:pos="3600"/>
        </w:tabs>
        <w:ind w:left="3600" w:hanging="360"/>
      </w:pPr>
      <w:rPr>
        <w:rFonts w:ascii="Courier New" w:hAnsi="Courier New" w:cs="Courier New" w:hint="default"/>
      </w:rPr>
    </w:lvl>
    <w:lvl w:ilvl="5" w:tplc="C16E3A94" w:tentative="1">
      <w:start w:val="1"/>
      <w:numFmt w:val="bullet"/>
      <w:lvlText w:val=""/>
      <w:lvlJc w:val="left"/>
      <w:pPr>
        <w:tabs>
          <w:tab w:val="num" w:pos="4320"/>
        </w:tabs>
        <w:ind w:left="4320" w:hanging="360"/>
      </w:pPr>
      <w:rPr>
        <w:rFonts w:ascii="Wingdings" w:hAnsi="Wingdings" w:hint="default"/>
      </w:rPr>
    </w:lvl>
    <w:lvl w:ilvl="6" w:tplc="B6DED284" w:tentative="1">
      <w:start w:val="1"/>
      <w:numFmt w:val="bullet"/>
      <w:lvlText w:val=""/>
      <w:lvlJc w:val="left"/>
      <w:pPr>
        <w:tabs>
          <w:tab w:val="num" w:pos="5040"/>
        </w:tabs>
        <w:ind w:left="5040" w:hanging="360"/>
      </w:pPr>
      <w:rPr>
        <w:rFonts w:ascii="Symbol" w:hAnsi="Symbol" w:hint="default"/>
      </w:rPr>
    </w:lvl>
    <w:lvl w:ilvl="7" w:tplc="B4026752" w:tentative="1">
      <w:start w:val="1"/>
      <w:numFmt w:val="bullet"/>
      <w:lvlText w:val="o"/>
      <w:lvlJc w:val="left"/>
      <w:pPr>
        <w:tabs>
          <w:tab w:val="num" w:pos="5760"/>
        </w:tabs>
        <w:ind w:left="5760" w:hanging="360"/>
      </w:pPr>
      <w:rPr>
        <w:rFonts w:ascii="Courier New" w:hAnsi="Courier New" w:cs="Courier New" w:hint="default"/>
      </w:rPr>
    </w:lvl>
    <w:lvl w:ilvl="8" w:tplc="3AFC3AEA" w:tentative="1">
      <w:start w:val="1"/>
      <w:numFmt w:val="bullet"/>
      <w:lvlText w:val=""/>
      <w:lvlJc w:val="left"/>
      <w:pPr>
        <w:tabs>
          <w:tab w:val="num" w:pos="6480"/>
        </w:tabs>
        <w:ind w:left="6480" w:hanging="360"/>
      </w:pPr>
      <w:rPr>
        <w:rFonts w:ascii="Wingdings" w:hAnsi="Wingdings" w:hint="default"/>
      </w:rPr>
    </w:lvl>
  </w:abstractNum>
  <w:abstractNum w:abstractNumId="38">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39">
    <w:nsid w:val="69646DE6"/>
    <w:multiLevelType w:val="hybridMultilevel"/>
    <w:tmpl w:val="D0DAF958"/>
    <w:lvl w:ilvl="0" w:tplc="9C7E218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4302E79"/>
    <w:multiLevelType w:val="hybridMultilevel"/>
    <w:tmpl w:val="0C94E84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1">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abstractNum w:abstractNumId="42">
    <w:nsid w:val="77A714F8"/>
    <w:multiLevelType w:val="singleLevel"/>
    <w:tmpl w:val="3CEC8266"/>
    <w:lvl w:ilvl="0">
      <w:start w:val="1"/>
      <w:numFmt w:val="bullet"/>
      <w:lvlText w:val=""/>
      <w:lvlJc w:val="left"/>
      <w:pPr>
        <w:tabs>
          <w:tab w:val="num" w:pos="360"/>
        </w:tabs>
        <w:ind w:left="284" w:hanging="284"/>
      </w:pPr>
      <w:rPr>
        <w:rFonts w:ascii="Symbol" w:hAnsi="Symbol" w:hint="default"/>
        <w:b w:val="0"/>
        <w:i w:val="0"/>
        <w:sz w:val="20"/>
      </w:rPr>
    </w:lvl>
  </w:abstractNum>
  <w:num w:numId="1">
    <w:abstractNumId w:val="29"/>
  </w:num>
  <w:num w:numId="2">
    <w:abstractNumId w:val="15"/>
  </w:num>
  <w:num w:numId="3">
    <w:abstractNumId w:val="21"/>
  </w:num>
  <w:num w:numId="4">
    <w:abstractNumId w:val="13"/>
  </w:num>
  <w:num w:numId="5">
    <w:abstractNumId w:val="35"/>
  </w:num>
  <w:num w:numId="6">
    <w:abstractNumId w:val="13"/>
  </w:num>
  <w:num w:numId="7">
    <w:abstractNumId w:val="14"/>
  </w:num>
  <w:num w:numId="8">
    <w:abstractNumId w:val="28"/>
  </w:num>
  <w:num w:numId="9">
    <w:abstractNumId w:val="22"/>
  </w:num>
  <w:num w:numId="10">
    <w:abstractNumId w:val="27"/>
  </w:num>
  <w:num w:numId="11">
    <w:abstractNumId w:val="38"/>
  </w:num>
  <w:num w:numId="12">
    <w:abstractNumId w:val="33"/>
  </w:num>
  <w:num w:numId="13">
    <w:abstractNumId w:val="13"/>
  </w:num>
  <w:num w:numId="14">
    <w:abstractNumId w:val="10"/>
  </w:num>
  <w:num w:numId="15">
    <w:abstractNumId w:val="41"/>
  </w:num>
  <w:num w:numId="16">
    <w:abstractNumId w:val="11"/>
  </w:num>
  <w:num w:numId="17">
    <w:abstractNumId w:val="37"/>
  </w:num>
  <w:num w:numId="18">
    <w:abstractNumId w:val="18"/>
  </w:num>
  <w:num w:numId="19">
    <w:abstractNumId w:val="26"/>
  </w:num>
  <w:num w:numId="20">
    <w:abstractNumId w:val="0"/>
  </w:num>
  <w:num w:numId="21">
    <w:abstractNumId w:val="20"/>
  </w:num>
  <w:num w:numId="22">
    <w:abstractNumId w:val="42"/>
  </w:num>
  <w:num w:numId="23">
    <w:abstractNumId w:val="12"/>
  </w:num>
  <w:num w:numId="24">
    <w:abstractNumId w:val="25"/>
  </w:num>
  <w:num w:numId="25">
    <w:abstractNumId w:val="32"/>
  </w:num>
  <w:num w:numId="26">
    <w:abstractNumId w:val="24"/>
  </w:num>
  <w:num w:numId="27">
    <w:abstractNumId w:val="36"/>
  </w:num>
  <w:num w:numId="28">
    <w:abstractNumId w:val="30"/>
  </w:num>
  <w:num w:numId="29">
    <w:abstractNumId w:val="31"/>
  </w:num>
  <w:num w:numId="30">
    <w:abstractNumId w:val="39"/>
  </w:num>
  <w:num w:numId="31">
    <w:abstractNumId w:val="40"/>
  </w:num>
  <w:num w:numId="32">
    <w:abstractNumId w:val="16"/>
  </w:num>
  <w:num w:numId="33">
    <w:abstractNumId w:val="34"/>
  </w:num>
  <w:num w:numId="34">
    <w:abstractNumId w:val="19"/>
  </w:num>
  <w:num w:numId="35">
    <w:abstractNumId w:val="23"/>
  </w:num>
  <w:num w:numId="36">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31"/>
    <w:rsid w:val="000034E4"/>
    <w:rsid w:val="000061DE"/>
    <w:rsid w:val="0000643E"/>
    <w:rsid w:val="00010634"/>
    <w:rsid w:val="00013243"/>
    <w:rsid w:val="0001457A"/>
    <w:rsid w:val="000152EB"/>
    <w:rsid w:val="00017192"/>
    <w:rsid w:val="0001760E"/>
    <w:rsid w:val="00020711"/>
    <w:rsid w:val="00020822"/>
    <w:rsid w:val="00020AFD"/>
    <w:rsid w:val="0002221A"/>
    <w:rsid w:val="00022798"/>
    <w:rsid w:val="00025BE7"/>
    <w:rsid w:val="00033EED"/>
    <w:rsid w:val="000346C3"/>
    <w:rsid w:val="0003488D"/>
    <w:rsid w:val="00035DBF"/>
    <w:rsid w:val="00042C14"/>
    <w:rsid w:val="00047717"/>
    <w:rsid w:val="000521CA"/>
    <w:rsid w:val="0005341D"/>
    <w:rsid w:val="00053E45"/>
    <w:rsid w:val="00054716"/>
    <w:rsid w:val="00055509"/>
    <w:rsid w:val="000613C8"/>
    <w:rsid w:val="000618E3"/>
    <w:rsid w:val="00065714"/>
    <w:rsid w:val="00065FE0"/>
    <w:rsid w:val="00066057"/>
    <w:rsid w:val="000706BD"/>
    <w:rsid w:val="000715D0"/>
    <w:rsid w:val="000759A2"/>
    <w:rsid w:val="00080583"/>
    <w:rsid w:val="00080DB2"/>
    <w:rsid w:val="000820DD"/>
    <w:rsid w:val="0008360C"/>
    <w:rsid w:val="000840FE"/>
    <w:rsid w:val="0008706C"/>
    <w:rsid w:val="000921B6"/>
    <w:rsid w:val="00092A59"/>
    <w:rsid w:val="00094D4A"/>
    <w:rsid w:val="000A1493"/>
    <w:rsid w:val="000A232E"/>
    <w:rsid w:val="000A4D6B"/>
    <w:rsid w:val="000A7611"/>
    <w:rsid w:val="000B17AF"/>
    <w:rsid w:val="000B4ED6"/>
    <w:rsid w:val="000B5A0C"/>
    <w:rsid w:val="000B6CE9"/>
    <w:rsid w:val="000B6EF5"/>
    <w:rsid w:val="000C0808"/>
    <w:rsid w:val="000C0A59"/>
    <w:rsid w:val="000C668D"/>
    <w:rsid w:val="000C7390"/>
    <w:rsid w:val="000D41C2"/>
    <w:rsid w:val="000D7C85"/>
    <w:rsid w:val="000D7FED"/>
    <w:rsid w:val="000E0216"/>
    <w:rsid w:val="000E1A56"/>
    <w:rsid w:val="000E3A2A"/>
    <w:rsid w:val="000E53E8"/>
    <w:rsid w:val="000E66A3"/>
    <w:rsid w:val="000E689D"/>
    <w:rsid w:val="000F1790"/>
    <w:rsid w:val="000F3256"/>
    <w:rsid w:val="000F4B2D"/>
    <w:rsid w:val="000F5374"/>
    <w:rsid w:val="000F61A7"/>
    <w:rsid w:val="000F632B"/>
    <w:rsid w:val="000F6464"/>
    <w:rsid w:val="000F7647"/>
    <w:rsid w:val="00102934"/>
    <w:rsid w:val="00105D25"/>
    <w:rsid w:val="00106525"/>
    <w:rsid w:val="00110357"/>
    <w:rsid w:val="00111AF4"/>
    <w:rsid w:val="0011207E"/>
    <w:rsid w:val="001129D7"/>
    <w:rsid w:val="001145E7"/>
    <w:rsid w:val="001157AB"/>
    <w:rsid w:val="00115983"/>
    <w:rsid w:val="00120245"/>
    <w:rsid w:val="001202D8"/>
    <w:rsid w:val="0012047F"/>
    <w:rsid w:val="00122B95"/>
    <w:rsid w:val="001305AB"/>
    <w:rsid w:val="001312DC"/>
    <w:rsid w:val="00131F15"/>
    <w:rsid w:val="00132BA4"/>
    <w:rsid w:val="00134A41"/>
    <w:rsid w:val="001361DD"/>
    <w:rsid w:val="00136F70"/>
    <w:rsid w:val="00137DE3"/>
    <w:rsid w:val="00143FA0"/>
    <w:rsid w:val="00144C77"/>
    <w:rsid w:val="001453C8"/>
    <w:rsid w:val="00146187"/>
    <w:rsid w:val="00151282"/>
    <w:rsid w:val="00151C88"/>
    <w:rsid w:val="001521EC"/>
    <w:rsid w:val="00152DCB"/>
    <w:rsid w:val="00153134"/>
    <w:rsid w:val="001545F0"/>
    <w:rsid w:val="001550F6"/>
    <w:rsid w:val="00160D23"/>
    <w:rsid w:val="00160FA6"/>
    <w:rsid w:val="001619FA"/>
    <w:rsid w:val="00161AA8"/>
    <w:rsid w:val="001648F1"/>
    <w:rsid w:val="00167247"/>
    <w:rsid w:val="0017081C"/>
    <w:rsid w:val="00172990"/>
    <w:rsid w:val="00174A1C"/>
    <w:rsid w:val="00180D47"/>
    <w:rsid w:val="001827F0"/>
    <w:rsid w:val="001870D3"/>
    <w:rsid w:val="00193B6E"/>
    <w:rsid w:val="001958BF"/>
    <w:rsid w:val="001B0369"/>
    <w:rsid w:val="001B48DF"/>
    <w:rsid w:val="001B4B6B"/>
    <w:rsid w:val="001B4FE5"/>
    <w:rsid w:val="001B60AF"/>
    <w:rsid w:val="001B7B4B"/>
    <w:rsid w:val="001C37BE"/>
    <w:rsid w:val="001C3FAB"/>
    <w:rsid w:val="001C679B"/>
    <w:rsid w:val="001C6CDC"/>
    <w:rsid w:val="001D04B9"/>
    <w:rsid w:val="001D10E7"/>
    <w:rsid w:val="001D2E83"/>
    <w:rsid w:val="001D5078"/>
    <w:rsid w:val="001D687A"/>
    <w:rsid w:val="001E140A"/>
    <w:rsid w:val="001E2A4C"/>
    <w:rsid w:val="001E4616"/>
    <w:rsid w:val="001E555D"/>
    <w:rsid w:val="001E5865"/>
    <w:rsid w:val="001E6E11"/>
    <w:rsid w:val="001F0CDD"/>
    <w:rsid w:val="001F1F14"/>
    <w:rsid w:val="001F6E22"/>
    <w:rsid w:val="001F7A6C"/>
    <w:rsid w:val="001F7FD8"/>
    <w:rsid w:val="002027C2"/>
    <w:rsid w:val="002051F0"/>
    <w:rsid w:val="002110BB"/>
    <w:rsid w:val="00211E2F"/>
    <w:rsid w:val="002126FE"/>
    <w:rsid w:val="00213DDB"/>
    <w:rsid w:val="0021502B"/>
    <w:rsid w:val="00230529"/>
    <w:rsid w:val="00233778"/>
    <w:rsid w:val="002355C6"/>
    <w:rsid w:val="002402F3"/>
    <w:rsid w:val="002416AB"/>
    <w:rsid w:val="00241C53"/>
    <w:rsid w:val="002429FA"/>
    <w:rsid w:val="00244E87"/>
    <w:rsid w:val="00245D35"/>
    <w:rsid w:val="00246BBE"/>
    <w:rsid w:val="00247EAF"/>
    <w:rsid w:val="00252436"/>
    <w:rsid w:val="00253B19"/>
    <w:rsid w:val="002552F3"/>
    <w:rsid w:val="0025561F"/>
    <w:rsid w:val="002577DA"/>
    <w:rsid w:val="00263AAA"/>
    <w:rsid w:val="002645D8"/>
    <w:rsid w:val="00264DC2"/>
    <w:rsid w:val="002650E4"/>
    <w:rsid w:val="00267BAE"/>
    <w:rsid w:val="00270E0D"/>
    <w:rsid w:val="00272A39"/>
    <w:rsid w:val="00274F48"/>
    <w:rsid w:val="00280070"/>
    <w:rsid w:val="00285AED"/>
    <w:rsid w:val="0029427E"/>
    <w:rsid w:val="002944DD"/>
    <w:rsid w:val="00294F55"/>
    <w:rsid w:val="00296585"/>
    <w:rsid w:val="00296873"/>
    <w:rsid w:val="00296F48"/>
    <w:rsid w:val="00297BF3"/>
    <w:rsid w:val="002A2A43"/>
    <w:rsid w:val="002A3412"/>
    <w:rsid w:val="002A403D"/>
    <w:rsid w:val="002A4E44"/>
    <w:rsid w:val="002A5769"/>
    <w:rsid w:val="002B0BFC"/>
    <w:rsid w:val="002B2224"/>
    <w:rsid w:val="002B2BC8"/>
    <w:rsid w:val="002B631E"/>
    <w:rsid w:val="002C167F"/>
    <w:rsid w:val="002C33E4"/>
    <w:rsid w:val="002C35E2"/>
    <w:rsid w:val="002C4F59"/>
    <w:rsid w:val="002C4F7D"/>
    <w:rsid w:val="002C6914"/>
    <w:rsid w:val="002C6E37"/>
    <w:rsid w:val="002D592D"/>
    <w:rsid w:val="002D5C99"/>
    <w:rsid w:val="002E6264"/>
    <w:rsid w:val="002F1050"/>
    <w:rsid w:val="002F1979"/>
    <w:rsid w:val="002F4990"/>
    <w:rsid w:val="002F5D1B"/>
    <w:rsid w:val="00301C4D"/>
    <w:rsid w:val="0030383F"/>
    <w:rsid w:val="003104EC"/>
    <w:rsid w:val="00311AB8"/>
    <w:rsid w:val="00312C16"/>
    <w:rsid w:val="00314334"/>
    <w:rsid w:val="003144F1"/>
    <w:rsid w:val="003152AB"/>
    <w:rsid w:val="003175AA"/>
    <w:rsid w:val="003234DC"/>
    <w:rsid w:val="00331584"/>
    <w:rsid w:val="00331833"/>
    <w:rsid w:val="00331A55"/>
    <w:rsid w:val="00333745"/>
    <w:rsid w:val="003345E7"/>
    <w:rsid w:val="00336CEB"/>
    <w:rsid w:val="00341950"/>
    <w:rsid w:val="003440FF"/>
    <w:rsid w:val="0035123F"/>
    <w:rsid w:val="003538F9"/>
    <w:rsid w:val="00354619"/>
    <w:rsid w:val="00357E34"/>
    <w:rsid w:val="0036085C"/>
    <w:rsid w:val="003659E4"/>
    <w:rsid w:val="00367E55"/>
    <w:rsid w:val="00370250"/>
    <w:rsid w:val="003748A2"/>
    <w:rsid w:val="00386DE1"/>
    <w:rsid w:val="0038745F"/>
    <w:rsid w:val="00392649"/>
    <w:rsid w:val="00393CCA"/>
    <w:rsid w:val="003A0000"/>
    <w:rsid w:val="003A2466"/>
    <w:rsid w:val="003A39DE"/>
    <w:rsid w:val="003A7BF3"/>
    <w:rsid w:val="003B412E"/>
    <w:rsid w:val="003B42AF"/>
    <w:rsid w:val="003B58E3"/>
    <w:rsid w:val="003B6938"/>
    <w:rsid w:val="003C23D9"/>
    <w:rsid w:val="003C339D"/>
    <w:rsid w:val="003C50B9"/>
    <w:rsid w:val="003C7A84"/>
    <w:rsid w:val="003E1BDC"/>
    <w:rsid w:val="003F14A8"/>
    <w:rsid w:val="003F152B"/>
    <w:rsid w:val="003F180F"/>
    <w:rsid w:val="003F3B3C"/>
    <w:rsid w:val="003F6B9E"/>
    <w:rsid w:val="003F6FB8"/>
    <w:rsid w:val="00402AD2"/>
    <w:rsid w:val="004035E4"/>
    <w:rsid w:val="00403D60"/>
    <w:rsid w:val="00407516"/>
    <w:rsid w:val="00410E4D"/>
    <w:rsid w:val="00411C8A"/>
    <w:rsid w:val="00415DD2"/>
    <w:rsid w:val="00416157"/>
    <w:rsid w:val="00416605"/>
    <w:rsid w:val="00426BA8"/>
    <w:rsid w:val="00426C89"/>
    <w:rsid w:val="004313DF"/>
    <w:rsid w:val="004316C0"/>
    <w:rsid w:val="00433ECC"/>
    <w:rsid w:val="0043594C"/>
    <w:rsid w:val="00436C4D"/>
    <w:rsid w:val="00441408"/>
    <w:rsid w:val="00445554"/>
    <w:rsid w:val="00445CC8"/>
    <w:rsid w:val="004468C0"/>
    <w:rsid w:val="00447C1E"/>
    <w:rsid w:val="00450431"/>
    <w:rsid w:val="004535FD"/>
    <w:rsid w:val="00454D1C"/>
    <w:rsid w:val="00455773"/>
    <w:rsid w:val="0045718A"/>
    <w:rsid w:val="00457BE9"/>
    <w:rsid w:val="00463658"/>
    <w:rsid w:val="0046590D"/>
    <w:rsid w:val="00466490"/>
    <w:rsid w:val="004675F0"/>
    <w:rsid w:val="004708CD"/>
    <w:rsid w:val="004740FA"/>
    <w:rsid w:val="004744F8"/>
    <w:rsid w:val="00476124"/>
    <w:rsid w:val="00477498"/>
    <w:rsid w:val="00477751"/>
    <w:rsid w:val="0048339D"/>
    <w:rsid w:val="00485089"/>
    <w:rsid w:val="00485DC9"/>
    <w:rsid w:val="004919F0"/>
    <w:rsid w:val="004A0A40"/>
    <w:rsid w:val="004A15A3"/>
    <w:rsid w:val="004A35DB"/>
    <w:rsid w:val="004A3970"/>
    <w:rsid w:val="004A3FE9"/>
    <w:rsid w:val="004A41C1"/>
    <w:rsid w:val="004A4B95"/>
    <w:rsid w:val="004B0814"/>
    <w:rsid w:val="004B3FAE"/>
    <w:rsid w:val="004B4C96"/>
    <w:rsid w:val="004B5309"/>
    <w:rsid w:val="004B6B22"/>
    <w:rsid w:val="004B7D25"/>
    <w:rsid w:val="004C4FFD"/>
    <w:rsid w:val="004C574F"/>
    <w:rsid w:val="004D174C"/>
    <w:rsid w:val="004D465F"/>
    <w:rsid w:val="004D7880"/>
    <w:rsid w:val="004E02D5"/>
    <w:rsid w:val="004E096B"/>
    <w:rsid w:val="004E0BB2"/>
    <w:rsid w:val="004E1587"/>
    <w:rsid w:val="004E29F6"/>
    <w:rsid w:val="004E2D30"/>
    <w:rsid w:val="004E3508"/>
    <w:rsid w:val="004E781C"/>
    <w:rsid w:val="004F0169"/>
    <w:rsid w:val="004F2FEB"/>
    <w:rsid w:val="004F35AF"/>
    <w:rsid w:val="004F3FF4"/>
    <w:rsid w:val="004F5FC5"/>
    <w:rsid w:val="004F6CE5"/>
    <w:rsid w:val="004F7936"/>
    <w:rsid w:val="00501301"/>
    <w:rsid w:val="00501DC9"/>
    <w:rsid w:val="00502FCC"/>
    <w:rsid w:val="00503606"/>
    <w:rsid w:val="005040ED"/>
    <w:rsid w:val="00504168"/>
    <w:rsid w:val="00505635"/>
    <w:rsid w:val="00506252"/>
    <w:rsid w:val="00507235"/>
    <w:rsid w:val="00507FFA"/>
    <w:rsid w:val="005118A0"/>
    <w:rsid w:val="00512F6D"/>
    <w:rsid w:val="00513353"/>
    <w:rsid w:val="005141F3"/>
    <w:rsid w:val="005146F5"/>
    <w:rsid w:val="00522148"/>
    <w:rsid w:val="00524592"/>
    <w:rsid w:val="00524EDD"/>
    <w:rsid w:val="00526FBA"/>
    <w:rsid w:val="005271EE"/>
    <w:rsid w:val="005276F0"/>
    <w:rsid w:val="00530085"/>
    <w:rsid w:val="0053082C"/>
    <w:rsid w:val="005313B5"/>
    <w:rsid w:val="00531F36"/>
    <w:rsid w:val="00532203"/>
    <w:rsid w:val="00532B43"/>
    <w:rsid w:val="005353F8"/>
    <w:rsid w:val="00536055"/>
    <w:rsid w:val="00536A33"/>
    <w:rsid w:val="00541862"/>
    <w:rsid w:val="00542BDC"/>
    <w:rsid w:val="00543178"/>
    <w:rsid w:val="00543F0E"/>
    <w:rsid w:val="0054477B"/>
    <w:rsid w:val="0054555A"/>
    <w:rsid w:val="00546091"/>
    <w:rsid w:val="00546B4F"/>
    <w:rsid w:val="00555CDE"/>
    <w:rsid w:val="00556F13"/>
    <w:rsid w:val="00560976"/>
    <w:rsid w:val="005626E0"/>
    <w:rsid w:val="0056487E"/>
    <w:rsid w:val="00565B16"/>
    <w:rsid w:val="0057335B"/>
    <w:rsid w:val="00574217"/>
    <w:rsid w:val="0057720D"/>
    <w:rsid w:val="00577A7D"/>
    <w:rsid w:val="0058200E"/>
    <w:rsid w:val="00582060"/>
    <w:rsid w:val="005900F3"/>
    <w:rsid w:val="00590622"/>
    <w:rsid w:val="00590ED6"/>
    <w:rsid w:val="0059127A"/>
    <w:rsid w:val="005912A8"/>
    <w:rsid w:val="00591CC0"/>
    <w:rsid w:val="005926B7"/>
    <w:rsid w:val="00596E6D"/>
    <w:rsid w:val="005A1BEC"/>
    <w:rsid w:val="005A70C0"/>
    <w:rsid w:val="005B25AD"/>
    <w:rsid w:val="005B300D"/>
    <w:rsid w:val="005B64C1"/>
    <w:rsid w:val="005C051F"/>
    <w:rsid w:val="005C3A0C"/>
    <w:rsid w:val="005C4598"/>
    <w:rsid w:val="005C56EA"/>
    <w:rsid w:val="005C6E5A"/>
    <w:rsid w:val="005C7BFF"/>
    <w:rsid w:val="005D0580"/>
    <w:rsid w:val="005D2356"/>
    <w:rsid w:val="005D24CC"/>
    <w:rsid w:val="005D652F"/>
    <w:rsid w:val="005E11E4"/>
    <w:rsid w:val="005E3CFA"/>
    <w:rsid w:val="005E4B2F"/>
    <w:rsid w:val="005E505F"/>
    <w:rsid w:val="005E537E"/>
    <w:rsid w:val="005F0FAF"/>
    <w:rsid w:val="005F1468"/>
    <w:rsid w:val="005F3C75"/>
    <w:rsid w:val="005F5349"/>
    <w:rsid w:val="005F619B"/>
    <w:rsid w:val="005F6F3C"/>
    <w:rsid w:val="005F79B3"/>
    <w:rsid w:val="0060224A"/>
    <w:rsid w:val="00602953"/>
    <w:rsid w:val="00607131"/>
    <w:rsid w:val="00607177"/>
    <w:rsid w:val="006123A7"/>
    <w:rsid w:val="0061552A"/>
    <w:rsid w:val="00615651"/>
    <w:rsid w:val="006164E6"/>
    <w:rsid w:val="006169E2"/>
    <w:rsid w:val="00616EC1"/>
    <w:rsid w:val="00617654"/>
    <w:rsid w:val="00617CA9"/>
    <w:rsid w:val="00620A73"/>
    <w:rsid w:val="00621CF2"/>
    <w:rsid w:val="00625501"/>
    <w:rsid w:val="00625B3A"/>
    <w:rsid w:val="00626E79"/>
    <w:rsid w:val="0063216E"/>
    <w:rsid w:val="0063232A"/>
    <w:rsid w:val="00633EEF"/>
    <w:rsid w:val="00633F09"/>
    <w:rsid w:val="00634BD4"/>
    <w:rsid w:val="006358A3"/>
    <w:rsid w:val="006366A4"/>
    <w:rsid w:val="00636738"/>
    <w:rsid w:val="00636989"/>
    <w:rsid w:val="0064178E"/>
    <w:rsid w:val="00642173"/>
    <w:rsid w:val="00643C6D"/>
    <w:rsid w:val="00646F5F"/>
    <w:rsid w:val="0064751A"/>
    <w:rsid w:val="00650421"/>
    <w:rsid w:val="0065203C"/>
    <w:rsid w:val="006542AB"/>
    <w:rsid w:val="0065542F"/>
    <w:rsid w:val="00656D3D"/>
    <w:rsid w:val="00657AA6"/>
    <w:rsid w:val="0066117E"/>
    <w:rsid w:val="00661D45"/>
    <w:rsid w:val="006650FB"/>
    <w:rsid w:val="00665CFF"/>
    <w:rsid w:val="006671A3"/>
    <w:rsid w:val="00667CD1"/>
    <w:rsid w:val="00670619"/>
    <w:rsid w:val="00670DFA"/>
    <w:rsid w:val="00670F9B"/>
    <w:rsid w:val="00673043"/>
    <w:rsid w:val="00675168"/>
    <w:rsid w:val="006753D2"/>
    <w:rsid w:val="0067693A"/>
    <w:rsid w:val="00676C3E"/>
    <w:rsid w:val="00682755"/>
    <w:rsid w:val="00683DE8"/>
    <w:rsid w:val="006859DA"/>
    <w:rsid w:val="00686272"/>
    <w:rsid w:val="00687B9B"/>
    <w:rsid w:val="00690551"/>
    <w:rsid w:val="00691B85"/>
    <w:rsid w:val="00691E4C"/>
    <w:rsid w:val="00691EEB"/>
    <w:rsid w:val="0069364F"/>
    <w:rsid w:val="00695B7A"/>
    <w:rsid w:val="00697054"/>
    <w:rsid w:val="006971DF"/>
    <w:rsid w:val="006A15AA"/>
    <w:rsid w:val="006A26ED"/>
    <w:rsid w:val="006B2156"/>
    <w:rsid w:val="006B25BD"/>
    <w:rsid w:val="006B4190"/>
    <w:rsid w:val="006B62D8"/>
    <w:rsid w:val="006C1E67"/>
    <w:rsid w:val="006C1EBC"/>
    <w:rsid w:val="006C5C71"/>
    <w:rsid w:val="006C607C"/>
    <w:rsid w:val="006C66D9"/>
    <w:rsid w:val="006C68C0"/>
    <w:rsid w:val="006D31BC"/>
    <w:rsid w:val="006D4A9D"/>
    <w:rsid w:val="006E6730"/>
    <w:rsid w:val="006F04E9"/>
    <w:rsid w:val="006F05D7"/>
    <w:rsid w:val="006F1CAE"/>
    <w:rsid w:val="006F1F0C"/>
    <w:rsid w:val="006F36E0"/>
    <w:rsid w:val="0070662A"/>
    <w:rsid w:val="00711177"/>
    <w:rsid w:val="00711934"/>
    <w:rsid w:val="00712887"/>
    <w:rsid w:val="00713C16"/>
    <w:rsid w:val="00715E14"/>
    <w:rsid w:val="007242FD"/>
    <w:rsid w:val="00725358"/>
    <w:rsid w:val="00726947"/>
    <w:rsid w:val="0072761D"/>
    <w:rsid w:val="007333F0"/>
    <w:rsid w:val="00733799"/>
    <w:rsid w:val="00736776"/>
    <w:rsid w:val="00744847"/>
    <w:rsid w:val="00745F9F"/>
    <w:rsid w:val="00747FE0"/>
    <w:rsid w:val="00751550"/>
    <w:rsid w:val="00752298"/>
    <w:rsid w:val="0075298F"/>
    <w:rsid w:val="00754901"/>
    <w:rsid w:val="00757CF2"/>
    <w:rsid w:val="007619F7"/>
    <w:rsid w:val="00763AEE"/>
    <w:rsid w:val="00765348"/>
    <w:rsid w:val="00765FBD"/>
    <w:rsid w:val="007712D9"/>
    <w:rsid w:val="007718D4"/>
    <w:rsid w:val="00772E15"/>
    <w:rsid w:val="00773121"/>
    <w:rsid w:val="00773B70"/>
    <w:rsid w:val="00775DC1"/>
    <w:rsid w:val="00777BB6"/>
    <w:rsid w:val="00777FE1"/>
    <w:rsid w:val="00780C4C"/>
    <w:rsid w:val="007828AB"/>
    <w:rsid w:val="00783B88"/>
    <w:rsid w:val="0078743A"/>
    <w:rsid w:val="00787741"/>
    <w:rsid w:val="007A4380"/>
    <w:rsid w:val="007A508D"/>
    <w:rsid w:val="007A5931"/>
    <w:rsid w:val="007A7A06"/>
    <w:rsid w:val="007B1712"/>
    <w:rsid w:val="007B29DC"/>
    <w:rsid w:val="007B30B7"/>
    <w:rsid w:val="007B51CD"/>
    <w:rsid w:val="007B61F8"/>
    <w:rsid w:val="007B6EDE"/>
    <w:rsid w:val="007B7B70"/>
    <w:rsid w:val="007C012A"/>
    <w:rsid w:val="007C06FF"/>
    <w:rsid w:val="007C7F18"/>
    <w:rsid w:val="007D0BDF"/>
    <w:rsid w:val="007D1E48"/>
    <w:rsid w:val="007D2597"/>
    <w:rsid w:val="007D2A0F"/>
    <w:rsid w:val="007D6549"/>
    <w:rsid w:val="007D6968"/>
    <w:rsid w:val="007E0503"/>
    <w:rsid w:val="007E2DFE"/>
    <w:rsid w:val="007E42A1"/>
    <w:rsid w:val="007E638D"/>
    <w:rsid w:val="007F0F3A"/>
    <w:rsid w:val="007F334F"/>
    <w:rsid w:val="007F5AA3"/>
    <w:rsid w:val="008011D4"/>
    <w:rsid w:val="0080175D"/>
    <w:rsid w:val="00802098"/>
    <w:rsid w:val="00802747"/>
    <w:rsid w:val="00803AFD"/>
    <w:rsid w:val="0080466A"/>
    <w:rsid w:val="008129BF"/>
    <w:rsid w:val="00812BD7"/>
    <w:rsid w:val="0082250A"/>
    <w:rsid w:val="008248A2"/>
    <w:rsid w:val="0082573D"/>
    <w:rsid w:val="00826CE7"/>
    <w:rsid w:val="0082725E"/>
    <w:rsid w:val="008343B0"/>
    <w:rsid w:val="0083554D"/>
    <w:rsid w:val="008379D0"/>
    <w:rsid w:val="008436DD"/>
    <w:rsid w:val="00844755"/>
    <w:rsid w:val="00846ED5"/>
    <w:rsid w:val="00850356"/>
    <w:rsid w:val="00851524"/>
    <w:rsid w:val="00853813"/>
    <w:rsid w:val="00854538"/>
    <w:rsid w:val="0085500B"/>
    <w:rsid w:val="00860659"/>
    <w:rsid w:val="0086144E"/>
    <w:rsid w:val="00864272"/>
    <w:rsid w:val="00871114"/>
    <w:rsid w:val="00872C00"/>
    <w:rsid w:val="0087421A"/>
    <w:rsid w:val="0088419A"/>
    <w:rsid w:val="008901BD"/>
    <w:rsid w:val="008912A7"/>
    <w:rsid w:val="0089247D"/>
    <w:rsid w:val="00892F41"/>
    <w:rsid w:val="00894B47"/>
    <w:rsid w:val="00897340"/>
    <w:rsid w:val="00897357"/>
    <w:rsid w:val="008A7CB1"/>
    <w:rsid w:val="008A7CBF"/>
    <w:rsid w:val="008A7D3D"/>
    <w:rsid w:val="008B10C9"/>
    <w:rsid w:val="008B2303"/>
    <w:rsid w:val="008B4B29"/>
    <w:rsid w:val="008B4EA9"/>
    <w:rsid w:val="008B5493"/>
    <w:rsid w:val="008B663F"/>
    <w:rsid w:val="008B6A2D"/>
    <w:rsid w:val="008B6A36"/>
    <w:rsid w:val="008B7F9C"/>
    <w:rsid w:val="008C1F47"/>
    <w:rsid w:val="008C69DB"/>
    <w:rsid w:val="008D488D"/>
    <w:rsid w:val="008D5149"/>
    <w:rsid w:val="008D794F"/>
    <w:rsid w:val="008E10B0"/>
    <w:rsid w:val="008E15B4"/>
    <w:rsid w:val="008E2D4B"/>
    <w:rsid w:val="008E450F"/>
    <w:rsid w:val="008F52C1"/>
    <w:rsid w:val="008F58AD"/>
    <w:rsid w:val="008F6628"/>
    <w:rsid w:val="00904328"/>
    <w:rsid w:val="00905DF2"/>
    <w:rsid w:val="00905F28"/>
    <w:rsid w:val="0090697C"/>
    <w:rsid w:val="00907CBD"/>
    <w:rsid w:val="00911830"/>
    <w:rsid w:val="00911D25"/>
    <w:rsid w:val="009127B9"/>
    <w:rsid w:val="0091570D"/>
    <w:rsid w:val="009163AC"/>
    <w:rsid w:val="00917CF9"/>
    <w:rsid w:val="00920DFD"/>
    <w:rsid w:val="00922ABD"/>
    <w:rsid w:val="0092301B"/>
    <w:rsid w:val="009273FD"/>
    <w:rsid w:val="00927C1A"/>
    <w:rsid w:val="00931404"/>
    <w:rsid w:val="009334B5"/>
    <w:rsid w:val="00935540"/>
    <w:rsid w:val="009369BF"/>
    <w:rsid w:val="00947696"/>
    <w:rsid w:val="00947EE5"/>
    <w:rsid w:val="0095158E"/>
    <w:rsid w:val="009548C7"/>
    <w:rsid w:val="00956D65"/>
    <w:rsid w:val="00957AE5"/>
    <w:rsid w:val="00960CD1"/>
    <w:rsid w:val="009632CA"/>
    <w:rsid w:val="00963A74"/>
    <w:rsid w:val="00963D76"/>
    <w:rsid w:val="0096599D"/>
    <w:rsid w:val="00983821"/>
    <w:rsid w:val="00987BDB"/>
    <w:rsid w:val="00995DCE"/>
    <w:rsid w:val="009A0E23"/>
    <w:rsid w:val="009A62D3"/>
    <w:rsid w:val="009B016C"/>
    <w:rsid w:val="009B3893"/>
    <w:rsid w:val="009B7DE1"/>
    <w:rsid w:val="009C3101"/>
    <w:rsid w:val="009C5178"/>
    <w:rsid w:val="009C5FBE"/>
    <w:rsid w:val="009C7915"/>
    <w:rsid w:val="009C7DA0"/>
    <w:rsid w:val="009D0190"/>
    <w:rsid w:val="009D02E3"/>
    <w:rsid w:val="009D24E6"/>
    <w:rsid w:val="009D651F"/>
    <w:rsid w:val="009D7F21"/>
    <w:rsid w:val="009E217D"/>
    <w:rsid w:val="009E258B"/>
    <w:rsid w:val="009E3867"/>
    <w:rsid w:val="009E56D8"/>
    <w:rsid w:val="009F1996"/>
    <w:rsid w:val="009F387B"/>
    <w:rsid w:val="009F6DC1"/>
    <w:rsid w:val="00A01A4C"/>
    <w:rsid w:val="00A02E50"/>
    <w:rsid w:val="00A16536"/>
    <w:rsid w:val="00A16A0E"/>
    <w:rsid w:val="00A16A17"/>
    <w:rsid w:val="00A17D38"/>
    <w:rsid w:val="00A22FDF"/>
    <w:rsid w:val="00A23AC0"/>
    <w:rsid w:val="00A27BF9"/>
    <w:rsid w:val="00A31C1F"/>
    <w:rsid w:val="00A32B96"/>
    <w:rsid w:val="00A32BB5"/>
    <w:rsid w:val="00A37650"/>
    <w:rsid w:val="00A40D29"/>
    <w:rsid w:val="00A46B21"/>
    <w:rsid w:val="00A50970"/>
    <w:rsid w:val="00A54BD7"/>
    <w:rsid w:val="00A557F5"/>
    <w:rsid w:val="00A558F4"/>
    <w:rsid w:val="00A564AF"/>
    <w:rsid w:val="00A60783"/>
    <w:rsid w:val="00A61DCA"/>
    <w:rsid w:val="00A62577"/>
    <w:rsid w:val="00A62E26"/>
    <w:rsid w:val="00A6470B"/>
    <w:rsid w:val="00A650E9"/>
    <w:rsid w:val="00A65654"/>
    <w:rsid w:val="00A65B11"/>
    <w:rsid w:val="00A737E1"/>
    <w:rsid w:val="00A7387E"/>
    <w:rsid w:val="00A7540A"/>
    <w:rsid w:val="00A759EB"/>
    <w:rsid w:val="00A824C3"/>
    <w:rsid w:val="00A82744"/>
    <w:rsid w:val="00A83F4A"/>
    <w:rsid w:val="00A8571E"/>
    <w:rsid w:val="00A91F9C"/>
    <w:rsid w:val="00A966F0"/>
    <w:rsid w:val="00AA07A8"/>
    <w:rsid w:val="00AA3141"/>
    <w:rsid w:val="00AA7419"/>
    <w:rsid w:val="00AB656B"/>
    <w:rsid w:val="00AB7613"/>
    <w:rsid w:val="00AB7782"/>
    <w:rsid w:val="00AB7CCC"/>
    <w:rsid w:val="00AC1BF4"/>
    <w:rsid w:val="00AC4740"/>
    <w:rsid w:val="00AC478A"/>
    <w:rsid w:val="00AD6183"/>
    <w:rsid w:val="00AD7EE3"/>
    <w:rsid w:val="00AE0226"/>
    <w:rsid w:val="00AE135C"/>
    <w:rsid w:val="00AE5764"/>
    <w:rsid w:val="00AE74FB"/>
    <w:rsid w:val="00AE768B"/>
    <w:rsid w:val="00AF028C"/>
    <w:rsid w:val="00AF2600"/>
    <w:rsid w:val="00AF57FE"/>
    <w:rsid w:val="00AF6B40"/>
    <w:rsid w:val="00B02098"/>
    <w:rsid w:val="00B041A9"/>
    <w:rsid w:val="00B04CEE"/>
    <w:rsid w:val="00B056B8"/>
    <w:rsid w:val="00B05D9A"/>
    <w:rsid w:val="00B10609"/>
    <w:rsid w:val="00B16474"/>
    <w:rsid w:val="00B2524A"/>
    <w:rsid w:val="00B2716E"/>
    <w:rsid w:val="00B300E9"/>
    <w:rsid w:val="00B3100E"/>
    <w:rsid w:val="00B32A3D"/>
    <w:rsid w:val="00B34CCF"/>
    <w:rsid w:val="00B350C3"/>
    <w:rsid w:val="00B43745"/>
    <w:rsid w:val="00B43933"/>
    <w:rsid w:val="00B457EE"/>
    <w:rsid w:val="00B506B9"/>
    <w:rsid w:val="00B5154A"/>
    <w:rsid w:val="00B53948"/>
    <w:rsid w:val="00B53ED5"/>
    <w:rsid w:val="00B5450E"/>
    <w:rsid w:val="00B55084"/>
    <w:rsid w:val="00B55A74"/>
    <w:rsid w:val="00B57395"/>
    <w:rsid w:val="00B603BA"/>
    <w:rsid w:val="00B61EB7"/>
    <w:rsid w:val="00B63061"/>
    <w:rsid w:val="00B63807"/>
    <w:rsid w:val="00B653A2"/>
    <w:rsid w:val="00B659A8"/>
    <w:rsid w:val="00B67D38"/>
    <w:rsid w:val="00B71708"/>
    <w:rsid w:val="00B76CC5"/>
    <w:rsid w:val="00B83AE4"/>
    <w:rsid w:val="00B86B52"/>
    <w:rsid w:val="00B90B5E"/>
    <w:rsid w:val="00B9173A"/>
    <w:rsid w:val="00B95B8B"/>
    <w:rsid w:val="00BA100C"/>
    <w:rsid w:val="00BA1AB7"/>
    <w:rsid w:val="00BA1E20"/>
    <w:rsid w:val="00BA2DD1"/>
    <w:rsid w:val="00BA49AB"/>
    <w:rsid w:val="00BA504E"/>
    <w:rsid w:val="00BA51E1"/>
    <w:rsid w:val="00BB2467"/>
    <w:rsid w:val="00BB3297"/>
    <w:rsid w:val="00BB56AE"/>
    <w:rsid w:val="00BB6343"/>
    <w:rsid w:val="00BC065D"/>
    <w:rsid w:val="00BC08ED"/>
    <w:rsid w:val="00BC153C"/>
    <w:rsid w:val="00BC47A9"/>
    <w:rsid w:val="00BC5242"/>
    <w:rsid w:val="00BC743D"/>
    <w:rsid w:val="00BD12E2"/>
    <w:rsid w:val="00BD2646"/>
    <w:rsid w:val="00BD594E"/>
    <w:rsid w:val="00BD5C19"/>
    <w:rsid w:val="00BD7908"/>
    <w:rsid w:val="00BE06A7"/>
    <w:rsid w:val="00BE680B"/>
    <w:rsid w:val="00BE69BD"/>
    <w:rsid w:val="00BE70BA"/>
    <w:rsid w:val="00BF1584"/>
    <w:rsid w:val="00BF548E"/>
    <w:rsid w:val="00BF6181"/>
    <w:rsid w:val="00BF6774"/>
    <w:rsid w:val="00BF763C"/>
    <w:rsid w:val="00C006FC"/>
    <w:rsid w:val="00C01332"/>
    <w:rsid w:val="00C01F32"/>
    <w:rsid w:val="00C02B73"/>
    <w:rsid w:val="00C0632E"/>
    <w:rsid w:val="00C14254"/>
    <w:rsid w:val="00C2032F"/>
    <w:rsid w:val="00C20C28"/>
    <w:rsid w:val="00C20F0F"/>
    <w:rsid w:val="00C21BC7"/>
    <w:rsid w:val="00C22231"/>
    <w:rsid w:val="00C22D54"/>
    <w:rsid w:val="00C2312D"/>
    <w:rsid w:val="00C30F1E"/>
    <w:rsid w:val="00C31638"/>
    <w:rsid w:val="00C3250B"/>
    <w:rsid w:val="00C35FD6"/>
    <w:rsid w:val="00C36260"/>
    <w:rsid w:val="00C36F1D"/>
    <w:rsid w:val="00C378A0"/>
    <w:rsid w:val="00C37D97"/>
    <w:rsid w:val="00C37FC5"/>
    <w:rsid w:val="00C4055F"/>
    <w:rsid w:val="00C422BC"/>
    <w:rsid w:val="00C43DB1"/>
    <w:rsid w:val="00C4646A"/>
    <w:rsid w:val="00C478DD"/>
    <w:rsid w:val="00C56AE1"/>
    <w:rsid w:val="00C60D00"/>
    <w:rsid w:val="00C63488"/>
    <w:rsid w:val="00C66EF4"/>
    <w:rsid w:val="00C70FAC"/>
    <w:rsid w:val="00C7187F"/>
    <w:rsid w:val="00C73733"/>
    <w:rsid w:val="00C75E31"/>
    <w:rsid w:val="00C816AC"/>
    <w:rsid w:val="00C85031"/>
    <w:rsid w:val="00C867FC"/>
    <w:rsid w:val="00C86F21"/>
    <w:rsid w:val="00C87070"/>
    <w:rsid w:val="00C9076F"/>
    <w:rsid w:val="00C90A24"/>
    <w:rsid w:val="00C9289F"/>
    <w:rsid w:val="00C93D77"/>
    <w:rsid w:val="00C95016"/>
    <w:rsid w:val="00C9607D"/>
    <w:rsid w:val="00CA093E"/>
    <w:rsid w:val="00CA1437"/>
    <w:rsid w:val="00CA1514"/>
    <w:rsid w:val="00CA2F25"/>
    <w:rsid w:val="00CA4C97"/>
    <w:rsid w:val="00CB183F"/>
    <w:rsid w:val="00CB3B52"/>
    <w:rsid w:val="00CB5A89"/>
    <w:rsid w:val="00CB7EFD"/>
    <w:rsid w:val="00CC2DB1"/>
    <w:rsid w:val="00CC3F64"/>
    <w:rsid w:val="00CC6D66"/>
    <w:rsid w:val="00CD0D78"/>
    <w:rsid w:val="00CD125E"/>
    <w:rsid w:val="00CD349E"/>
    <w:rsid w:val="00CD627D"/>
    <w:rsid w:val="00CD66AC"/>
    <w:rsid w:val="00CD719E"/>
    <w:rsid w:val="00CD7EC8"/>
    <w:rsid w:val="00CE042B"/>
    <w:rsid w:val="00CE1272"/>
    <w:rsid w:val="00CE3CD4"/>
    <w:rsid w:val="00CF3D2C"/>
    <w:rsid w:val="00CF478F"/>
    <w:rsid w:val="00CF5C26"/>
    <w:rsid w:val="00CF60BE"/>
    <w:rsid w:val="00D0134A"/>
    <w:rsid w:val="00D02DE3"/>
    <w:rsid w:val="00D02F61"/>
    <w:rsid w:val="00D0492A"/>
    <w:rsid w:val="00D05041"/>
    <w:rsid w:val="00D06447"/>
    <w:rsid w:val="00D07AD0"/>
    <w:rsid w:val="00D07C48"/>
    <w:rsid w:val="00D113DE"/>
    <w:rsid w:val="00D11E33"/>
    <w:rsid w:val="00D16440"/>
    <w:rsid w:val="00D236C9"/>
    <w:rsid w:val="00D24940"/>
    <w:rsid w:val="00D321C9"/>
    <w:rsid w:val="00D34005"/>
    <w:rsid w:val="00D36D70"/>
    <w:rsid w:val="00D4036E"/>
    <w:rsid w:val="00D41445"/>
    <w:rsid w:val="00D414D1"/>
    <w:rsid w:val="00D42194"/>
    <w:rsid w:val="00D43AF4"/>
    <w:rsid w:val="00D45FFB"/>
    <w:rsid w:val="00D4679A"/>
    <w:rsid w:val="00D46E97"/>
    <w:rsid w:val="00D479F8"/>
    <w:rsid w:val="00D5468A"/>
    <w:rsid w:val="00D55596"/>
    <w:rsid w:val="00D55D20"/>
    <w:rsid w:val="00D57748"/>
    <w:rsid w:val="00D6300A"/>
    <w:rsid w:val="00D6358B"/>
    <w:rsid w:val="00D676FB"/>
    <w:rsid w:val="00D71E05"/>
    <w:rsid w:val="00D73BD4"/>
    <w:rsid w:val="00D75AE4"/>
    <w:rsid w:val="00D77EF3"/>
    <w:rsid w:val="00D833C9"/>
    <w:rsid w:val="00D83F1C"/>
    <w:rsid w:val="00D83FDE"/>
    <w:rsid w:val="00D90911"/>
    <w:rsid w:val="00D910DA"/>
    <w:rsid w:val="00D93424"/>
    <w:rsid w:val="00D93DC9"/>
    <w:rsid w:val="00D9787E"/>
    <w:rsid w:val="00DA1663"/>
    <w:rsid w:val="00DA2694"/>
    <w:rsid w:val="00DB08C2"/>
    <w:rsid w:val="00DB1F10"/>
    <w:rsid w:val="00DB2119"/>
    <w:rsid w:val="00DB31F6"/>
    <w:rsid w:val="00DB38C8"/>
    <w:rsid w:val="00DB3F90"/>
    <w:rsid w:val="00DB41F1"/>
    <w:rsid w:val="00DB42AC"/>
    <w:rsid w:val="00DB5397"/>
    <w:rsid w:val="00DC04F7"/>
    <w:rsid w:val="00DC23E4"/>
    <w:rsid w:val="00DD1947"/>
    <w:rsid w:val="00DD1E7A"/>
    <w:rsid w:val="00DD3FFF"/>
    <w:rsid w:val="00DD5236"/>
    <w:rsid w:val="00DD5444"/>
    <w:rsid w:val="00DD5886"/>
    <w:rsid w:val="00DD6DEC"/>
    <w:rsid w:val="00DE2EF7"/>
    <w:rsid w:val="00DE5D6C"/>
    <w:rsid w:val="00DE79FD"/>
    <w:rsid w:val="00DF1EC4"/>
    <w:rsid w:val="00DF29D6"/>
    <w:rsid w:val="00DF4D0E"/>
    <w:rsid w:val="00DF4E94"/>
    <w:rsid w:val="00DF627A"/>
    <w:rsid w:val="00DF6E83"/>
    <w:rsid w:val="00E02C61"/>
    <w:rsid w:val="00E039E5"/>
    <w:rsid w:val="00E03BC1"/>
    <w:rsid w:val="00E043ED"/>
    <w:rsid w:val="00E155AD"/>
    <w:rsid w:val="00E17569"/>
    <w:rsid w:val="00E17C3F"/>
    <w:rsid w:val="00E2312D"/>
    <w:rsid w:val="00E2436B"/>
    <w:rsid w:val="00E2484F"/>
    <w:rsid w:val="00E25D67"/>
    <w:rsid w:val="00E26452"/>
    <w:rsid w:val="00E26FC8"/>
    <w:rsid w:val="00E31650"/>
    <w:rsid w:val="00E317AA"/>
    <w:rsid w:val="00E3497A"/>
    <w:rsid w:val="00E35366"/>
    <w:rsid w:val="00E40632"/>
    <w:rsid w:val="00E4519A"/>
    <w:rsid w:val="00E535B3"/>
    <w:rsid w:val="00E53B5D"/>
    <w:rsid w:val="00E53D45"/>
    <w:rsid w:val="00E56E0A"/>
    <w:rsid w:val="00E60262"/>
    <w:rsid w:val="00E626FE"/>
    <w:rsid w:val="00E62A0F"/>
    <w:rsid w:val="00E66112"/>
    <w:rsid w:val="00E70954"/>
    <w:rsid w:val="00E72AA0"/>
    <w:rsid w:val="00E73731"/>
    <w:rsid w:val="00E763FF"/>
    <w:rsid w:val="00E809FA"/>
    <w:rsid w:val="00E80F3F"/>
    <w:rsid w:val="00E82E30"/>
    <w:rsid w:val="00E8396B"/>
    <w:rsid w:val="00E841AA"/>
    <w:rsid w:val="00E84F93"/>
    <w:rsid w:val="00E855F2"/>
    <w:rsid w:val="00E8743E"/>
    <w:rsid w:val="00E93C4E"/>
    <w:rsid w:val="00E9422A"/>
    <w:rsid w:val="00E95328"/>
    <w:rsid w:val="00E95CD7"/>
    <w:rsid w:val="00E97237"/>
    <w:rsid w:val="00E97BA3"/>
    <w:rsid w:val="00EA1EA9"/>
    <w:rsid w:val="00EA5D44"/>
    <w:rsid w:val="00EA6BDF"/>
    <w:rsid w:val="00EA6D34"/>
    <w:rsid w:val="00EB0F19"/>
    <w:rsid w:val="00EB1820"/>
    <w:rsid w:val="00EB5BB2"/>
    <w:rsid w:val="00EC1217"/>
    <w:rsid w:val="00EC587F"/>
    <w:rsid w:val="00ED2AB3"/>
    <w:rsid w:val="00ED3FC7"/>
    <w:rsid w:val="00ED4AAA"/>
    <w:rsid w:val="00ED4E6C"/>
    <w:rsid w:val="00ED5920"/>
    <w:rsid w:val="00ED5DB5"/>
    <w:rsid w:val="00EE0A85"/>
    <w:rsid w:val="00EE2149"/>
    <w:rsid w:val="00EE2F0F"/>
    <w:rsid w:val="00EE3590"/>
    <w:rsid w:val="00EE3CE8"/>
    <w:rsid w:val="00EE3D41"/>
    <w:rsid w:val="00EE55ED"/>
    <w:rsid w:val="00EF3D91"/>
    <w:rsid w:val="00EF59AE"/>
    <w:rsid w:val="00F03C3D"/>
    <w:rsid w:val="00F041B5"/>
    <w:rsid w:val="00F05B16"/>
    <w:rsid w:val="00F07274"/>
    <w:rsid w:val="00F12B22"/>
    <w:rsid w:val="00F12F91"/>
    <w:rsid w:val="00F20FEC"/>
    <w:rsid w:val="00F21C4C"/>
    <w:rsid w:val="00F25186"/>
    <w:rsid w:val="00F25D77"/>
    <w:rsid w:val="00F33142"/>
    <w:rsid w:val="00F35050"/>
    <w:rsid w:val="00F363D9"/>
    <w:rsid w:val="00F40137"/>
    <w:rsid w:val="00F4387B"/>
    <w:rsid w:val="00F44BF5"/>
    <w:rsid w:val="00F47A56"/>
    <w:rsid w:val="00F50DB6"/>
    <w:rsid w:val="00F54315"/>
    <w:rsid w:val="00F574D3"/>
    <w:rsid w:val="00F60B32"/>
    <w:rsid w:val="00F62ABD"/>
    <w:rsid w:val="00F64DC4"/>
    <w:rsid w:val="00F70FC2"/>
    <w:rsid w:val="00F7113E"/>
    <w:rsid w:val="00F74808"/>
    <w:rsid w:val="00F74CBB"/>
    <w:rsid w:val="00F74EBF"/>
    <w:rsid w:val="00F7548C"/>
    <w:rsid w:val="00F75F18"/>
    <w:rsid w:val="00F772D4"/>
    <w:rsid w:val="00F80C29"/>
    <w:rsid w:val="00F83373"/>
    <w:rsid w:val="00F8472B"/>
    <w:rsid w:val="00F85057"/>
    <w:rsid w:val="00F86315"/>
    <w:rsid w:val="00F86F85"/>
    <w:rsid w:val="00F91F59"/>
    <w:rsid w:val="00F92496"/>
    <w:rsid w:val="00F95703"/>
    <w:rsid w:val="00F95AF3"/>
    <w:rsid w:val="00F969BF"/>
    <w:rsid w:val="00FA2D4D"/>
    <w:rsid w:val="00FA5833"/>
    <w:rsid w:val="00FA6EF3"/>
    <w:rsid w:val="00FA7213"/>
    <w:rsid w:val="00FA7568"/>
    <w:rsid w:val="00FB10A5"/>
    <w:rsid w:val="00FB2266"/>
    <w:rsid w:val="00FB2FDA"/>
    <w:rsid w:val="00FC0602"/>
    <w:rsid w:val="00FC2FE0"/>
    <w:rsid w:val="00FC36F8"/>
    <w:rsid w:val="00FC4B34"/>
    <w:rsid w:val="00FC7502"/>
    <w:rsid w:val="00FD1F4D"/>
    <w:rsid w:val="00FE1813"/>
    <w:rsid w:val="00FE28C4"/>
    <w:rsid w:val="00FE648E"/>
    <w:rsid w:val="00FE717F"/>
    <w:rsid w:val="00FE72C7"/>
    <w:rsid w:val="00FF12EB"/>
    <w:rsid w:val="00FF149A"/>
    <w:rsid w:val="00FF22F0"/>
    <w:rsid w:val="00FF53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2E26"/>
    <w:pPr>
      <w:jc w:val="both"/>
    </w:pPr>
  </w:style>
  <w:style w:type="paragraph" w:styleId="Heading1">
    <w:name w:val="heading 1"/>
    <w:basedOn w:val="Normal"/>
    <w:next w:val="Normal"/>
    <w:link w:val="Heading1Char"/>
    <w:qFormat/>
    <w:pPr>
      <w:keepNext/>
      <w:pBdr>
        <w:bottom w:val="single" w:sz="4" w:space="6" w:color="auto"/>
      </w:pBdr>
      <w:outlineLvl w:val="0"/>
    </w:pPr>
    <w:rPr>
      <w:b/>
      <w:caps/>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650"/>
    <w:rPr>
      <w:b/>
      <w:caps/>
      <w:sz w:val="24"/>
      <w:lang w:val="en-NZ" w:eastAsia="en-AU" w:bidi="ar-SA"/>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paragraph" w:customStyle="1" w:styleId="List1">
    <w:name w:val="List 1"/>
    <w:basedOn w:val="Normal"/>
    <w:uiPriority w:val="1"/>
    <w:qFormat/>
    <w:pPr>
      <w:tabs>
        <w:tab w:val="num" w:pos="567"/>
      </w:tabs>
      <w:ind w:left="567" w:hanging="567"/>
    </w:p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
    <w:name w:val="Example heading"/>
    <w:basedOn w:val="Normal"/>
    <w:next w:val="Exampletext"/>
    <w:link w:val="ExampleheadingChar"/>
    <w:uiPriority w:val="3"/>
    <w:qFormat/>
    <w:rsid w:val="00A62E26"/>
    <w:rPr>
      <w:b/>
      <w:sz w:val="20"/>
    </w:rPr>
  </w:style>
  <w:style w:type="paragraph" w:customStyle="1" w:styleId="Exampletext">
    <w:name w:val="Example text"/>
    <w:basedOn w:val="Exampleheading"/>
    <w:uiPriority w:val="3"/>
    <w:qFormat/>
    <w:rsid w:val="00957AE5"/>
    <w:rPr>
      <w:b w:val="0"/>
    </w:rPr>
  </w:style>
  <w:style w:type="character" w:customStyle="1" w:styleId="ExampleheadingChar">
    <w:name w:val="Example heading Char"/>
    <w:basedOn w:val="DefaultParagraphFont"/>
    <w:link w:val="Exampleheading"/>
    <w:uiPriority w:val="3"/>
    <w:rsid w:val="00A62E26"/>
    <w:rPr>
      <w:b/>
      <w:sz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39"/>
    <w:rsid w:val="008C1F4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link w:val="CommentTextChar"/>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ListParagraph">
    <w:name w:val="List Paragraph"/>
    <w:basedOn w:val="Normal"/>
    <w:uiPriority w:val="34"/>
    <w:qFormat/>
    <w:rsid w:val="00C75E31"/>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C75E31"/>
    <w:rPr>
      <w:sz w:val="20"/>
    </w:rPr>
  </w:style>
  <w:style w:type="paragraph" w:styleId="BodyText">
    <w:name w:val="Body Text"/>
    <w:basedOn w:val="Normal"/>
    <w:link w:val="BodyTextChar"/>
    <w:uiPriority w:val="99"/>
    <w:rsid w:val="006A15AA"/>
    <w:rPr>
      <w:szCs w:val="20"/>
      <w:lang w:val="en-GB" w:eastAsia="en-AU"/>
    </w:rPr>
  </w:style>
  <w:style w:type="character" w:customStyle="1" w:styleId="BodyTextChar">
    <w:name w:val="Body Text Char"/>
    <w:basedOn w:val="DefaultParagraphFont"/>
    <w:link w:val="BodyText"/>
    <w:uiPriority w:val="99"/>
    <w:rsid w:val="006A15AA"/>
    <w:rPr>
      <w:szCs w:val="20"/>
      <w:lang w:val="en-GB" w:eastAsia="en-AU"/>
    </w:rPr>
  </w:style>
  <w:style w:type="paragraph" w:customStyle="1" w:styleId="text5">
    <w:name w:val="text5"/>
    <w:basedOn w:val="Normal"/>
    <w:rsid w:val="00BB56AE"/>
    <w:pPr>
      <w:spacing w:before="83" w:after="216" w:line="288" w:lineRule="atLeast"/>
      <w:jc w:val="left"/>
    </w:pPr>
  </w:style>
  <w:style w:type="paragraph" w:styleId="Revision">
    <w:name w:val="Revision"/>
    <w:hidden/>
    <w:uiPriority w:val="99"/>
    <w:semiHidden/>
    <w:rsid w:val="00D83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2E26"/>
    <w:pPr>
      <w:jc w:val="both"/>
    </w:pPr>
  </w:style>
  <w:style w:type="paragraph" w:styleId="Heading1">
    <w:name w:val="heading 1"/>
    <w:basedOn w:val="Normal"/>
    <w:next w:val="Normal"/>
    <w:link w:val="Heading1Char"/>
    <w:qFormat/>
    <w:pPr>
      <w:keepNext/>
      <w:pBdr>
        <w:bottom w:val="single" w:sz="4" w:space="6" w:color="auto"/>
      </w:pBdr>
      <w:outlineLvl w:val="0"/>
    </w:pPr>
    <w:rPr>
      <w:b/>
      <w:caps/>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650"/>
    <w:rPr>
      <w:b/>
      <w:caps/>
      <w:sz w:val="24"/>
      <w:lang w:val="en-NZ" w:eastAsia="en-AU" w:bidi="ar-SA"/>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paragraph" w:customStyle="1" w:styleId="List1">
    <w:name w:val="List 1"/>
    <w:basedOn w:val="Normal"/>
    <w:uiPriority w:val="1"/>
    <w:qFormat/>
    <w:pPr>
      <w:tabs>
        <w:tab w:val="num" w:pos="567"/>
      </w:tabs>
      <w:ind w:left="567" w:hanging="567"/>
    </w:p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
    <w:name w:val="Example heading"/>
    <w:basedOn w:val="Normal"/>
    <w:next w:val="Exampletext"/>
    <w:link w:val="ExampleheadingChar"/>
    <w:uiPriority w:val="3"/>
    <w:qFormat/>
    <w:rsid w:val="00A62E26"/>
    <w:rPr>
      <w:b/>
      <w:sz w:val="20"/>
    </w:rPr>
  </w:style>
  <w:style w:type="paragraph" w:customStyle="1" w:styleId="Exampletext">
    <w:name w:val="Example text"/>
    <w:basedOn w:val="Exampleheading"/>
    <w:uiPriority w:val="3"/>
    <w:qFormat/>
    <w:rsid w:val="00957AE5"/>
    <w:rPr>
      <w:b w:val="0"/>
    </w:rPr>
  </w:style>
  <w:style w:type="character" w:customStyle="1" w:styleId="ExampleheadingChar">
    <w:name w:val="Example heading Char"/>
    <w:basedOn w:val="DefaultParagraphFont"/>
    <w:link w:val="Exampleheading"/>
    <w:uiPriority w:val="3"/>
    <w:rsid w:val="00A62E26"/>
    <w:rPr>
      <w:b/>
      <w:sz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39"/>
    <w:rsid w:val="008C1F4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link w:val="CommentTextChar"/>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ListParagraph">
    <w:name w:val="List Paragraph"/>
    <w:basedOn w:val="Normal"/>
    <w:uiPriority w:val="34"/>
    <w:qFormat/>
    <w:rsid w:val="00C75E31"/>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C75E31"/>
    <w:rPr>
      <w:sz w:val="20"/>
    </w:rPr>
  </w:style>
  <w:style w:type="paragraph" w:styleId="BodyText">
    <w:name w:val="Body Text"/>
    <w:basedOn w:val="Normal"/>
    <w:link w:val="BodyTextChar"/>
    <w:uiPriority w:val="99"/>
    <w:rsid w:val="006A15AA"/>
    <w:rPr>
      <w:szCs w:val="20"/>
      <w:lang w:val="en-GB" w:eastAsia="en-AU"/>
    </w:rPr>
  </w:style>
  <w:style w:type="character" w:customStyle="1" w:styleId="BodyTextChar">
    <w:name w:val="Body Text Char"/>
    <w:basedOn w:val="DefaultParagraphFont"/>
    <w:link w:val="BodyText"/>
    <w:uiPriority w:val="99"/>
    <w:rsid w:val="006A15AA"/>
    <w:rPr>
      <w:szCs w:val="20"/>
      <w:lang w:val="en-GB" w:eastAsia="en-AU"/>
    </w:rPr>
  </w:style>
  <w:style w:type="paragraph" w:customStyle="1" w:styleId="text5">
    <w:name w:val="text5"/>
    <w:basedOn w:val="Normal"/>
    <w:rsid w:val="00BB56AE"/>
    <w:pPr>
      <w:spacing w:before="83" w:after="216" w:line="288" w:lineRule="atLeast"/>
      <w:jc w:val="left"/>
    </w:pPr>
  </w:style>
  <w:style w:type="paragraph" w:styleId="Revision">
    <w:name w:val="Revision"/>
    <w:hidden/>
    <w:uiPriority w:val="99"/>
    <w:semiHidden/>
    <w:rsid w:val="00D8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17D5-C769-4D46-8B44-E34DB197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8141</Words>
  <Characters>43842</Characters>
  <Application>Microsoft Office Word</Application>
  <DocSecurity>0</DocSecurity>
  <Lines>1043</Lines>
  <Paragraphs>402</Paragraphs>
  <ScaleCrop>false</ScaleCrop>
  <HeadingPairs>
    <vt:vector size="2" baseType="variant">
      <vt:variant>
        <vt:lpstr>Title</vt:lpstr>
      </vt:variant>
      <vt:variant>
        <vt:i4>1</vt:i4>
      </vt:variant>
    </vt:vector>
  </HeadingPairs>
  <TitlesOfParts>
    <vt:vector size="1" baseType="lpstr">
      <vt:lpstr>Special report on foreign trust disclosure rules</vt:lpstr>
    </vt:vector>
  </TitlesOfParts>
  <Company>Inland Revenue</Company>
  <LinksUpToDate>false</LinksUpToDate>
  <CharactersWithSpaces>51581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foreign trust disclosure rules</dc:title>
  <dc:creator>Policy and Strategy</dc:creator>
  <dc:description>Published 27 March 2017</dc:description>
  <cp:lastModifiedBy>J Gillion</cp:lastModifiedBy>
  <cp:revision>2</cp:revision>
  <dcterms:created xsi:type="dcterms:W3CDTF">2017-03-26T22:12:00Z</dcterms:created>
  <dcterms:modified xsi:type="dcterms:W3CDTF">2017-03-26T22:13:00Z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