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CD666F" w:rsidRDefault="007C737B" w:rsidP="007C737B">
      <w:pPr>
        <w:pStyle w:val="RISheading"/>
        <w:jc w:val="center"/>
        <w:rPr>
          <w:w w:val="100"/>
          <w:sz w:val="32"/>
          <w:szCs w:val="32"/>
          <w:lang w:val="en-NZ"/>
        </w:rPr>
      </w:pPr>
      <w:bookmarkStart w:id="0" w:name="_Regulatory_Impact_Statement"/>
      <w:bookmarkStart w:id="1" w:name="_Toc244580362"/>
      <w:bookmarkStart w:id="2" w:name="_Toc244587038"/>
      <w:bookmarkStart w:id="3" w:name="_Toc244857272"/>
      <w:bookmarkStart w:id="4" w:name="_Toc244912537"/>
      <w:bookmarkStart w:id="5" w:name="_Toc244916994"/>
      <w:bookmarkEnd w:id="0"/>
      <w:r w:rsidRPr="00CD666F">
        <w:rPr>
          <w:w w:val="100"/>
          <w:sz w:val="32"/>
          <w:szCs w:val="32"/>
          <w:lang w:val="en-NZ"/>
        </w:rPr>
        <w:t>Regulatory Impact Statement</w:t>
      </w:r>
      <w:bookmarkEnd w:id="1"/>
      <w:bookmarkEnd w:id="2"/>
      <w:bookmarkEnd w:id="3"/>
      <w:bookmarkEnd w:id="4"/>
      <w:bookmarkEnd w:id="5"/>
    </w:p>
    <w:p w:rsidR="000545DC" w:rsidRPr="00CD666F" w:rsidRDefault="001A2895" w:rsidP="004342F0">
      <w:pPr>
        <w:pStyle w:val="RISheading"/>
        <w:rPr>
          <w:spacing w:val="0"/>
          <w:w w:val="100"/>
          <w:lang w:val="en-NZ"/>
        </w:rPr>
      </w:pPr>
      <w:bookmarkStart w:id="6" w:name="_GoBack"/>
      <w:r w:rsidRPr="00CD666F">
        <w:rPr>
          <w:spacing w:val="0"/>
          <w:w w:val="100"/>
          <w:lang w:val="en-NZ"/>
        </w:rPr>
        <w:t>Bright-line test for sales of residential property</w:t>
      </w:r>
      <w:bookmarkEnd w:id="6"/>
    </w:p>
    <w:p w:rsidR="000545DC" w:rsidRPr="00CD666F" w:rsidRDefault="001C6912" w:rsidP="004342F0">
      <w:pPr>
        <w:pStyle w:val="RISheading"/>
        <w:rPr>
          <w:spacing w:val="0"/>
          <w:w w:val="100"/>
          <w:lang w:val="en-NZ"/>
        </w:rPr>
      </w:pPr>
      <w:r w:rsidRPr="00CD666F">
        <w:rPr>
          <w:spacing w:val="0"/>
          <w:w w:val="100"/>
          <w:lang w:val="en-NZ"/>
        </w:rPr>
        <w:t xml:space="preserve">Agency </w:t>
      </w:r>
      <w:r w:rsidR="000545DC" w:rsidRPr="00CD666F">
        <w:rPr>
          <w:spacing w:val="0"/>
          <w:w w:val="100"/>
          <w:lang w:val="en-NZ"/>
        </w:rPr>
        <w:t xml:space="preserve">Disclosure Statement </w:t>
      </w:r>
    </w:p>
    <w:p w:rsidR="000545DC" w:rsidRPr="00CD666F" w:rsidRDefault="000545DC" w:rsidP="009A23EE">
      <w:pPr>
        <w:pStyle w:val="ListParagraph"/>
        <w:ind w:left="0" w:right="170"/>
        <w:contextualSpacing w:val="0"/>
        <w:rPr>
          <w:rFonts w:ascii="Times New Roman" w:hAnsi="Times New Roman"/>
          <w:sz w:val="24"/>
          <w:szCs w:val="24"/>
        </w:rPr>
      </w:pPr>
      <w:proofErr w:type="gramStart"/>
      <w:r w:rsidRPr="00CD666F">
        <w:rPr>
          <w:rFonts w:ascii="Times New Roman" w:hAnsi="Times New Roman"/>
          <w:sz w:val="24"/>
          <w:szCs w:val="24"/>
        </w:rPr>
        <w:t xml:space="preserve">This Regulatory Impact Statement </w:t>
      </w:r>
      <w:r w:rsidR="00CC25A2" w:rsidRPr="00CD666F">
        <w:rPr>
          <w:rFonts w:ascii="Times New Roman" w:hAnsi="Times New Roman"/>
          <w:sz w:val="24"/>
          <w:szCs w:val="24"/>
        </w:rPr>
        <w:t xml:space="preserve">(RIS) </w:t>
      </w:r>
      <w:r w:rsidRPr="00CD666F">
        <w:rPr>
          <w:rFonts w:ascii="Times New Roman" w:hAnsi="Times New Roman"/>
          <w:sz w:val="24"/>
          <w:szCs w:val="24"/>
        </w:rPr>
        <w:t xml:space="preserve">has been prepared by </w:t>
      </w:r>
      <w:r w:rsidR="009F7B9A" w:rsidRPr="00CD666F">
        <w:rPr>
          <w:rFonts w:ascii="Times New Roman" w:hAnsi="Times New Roman"/>
          <w:sz w:val="24"/>
          <w:szCs w:val="24"/>
        </w:rPr>
        <w:t>Inland Revenue</w:t>
      </w:r>
      <w:proofErr w:type="gramEnd"/>
      <w:r w:rsidR="009A23EE" w:rsidRPr="00CD666F">
        <w:rPr>
          <w:rFonts w:ascii="Times New Roman" w:hAnsi="Times New Roman"/>
          <w:sz w:val="24"/>
          <w:szCs w:val="24"/>
        </w:rPr>
        <w:t>.</w:t>
      </w:r>
    </w:p>
    <w:p w:rsidR="004342F0" w:rsidRPr="00CD666F" w:rsidRDefault="004342F0" w:rsidP="009A23EE">
      <w:pPr>
        <w:pStyle w:val="ListParagraph"/>
        <w:ind w:left="0" w:right="170"/>
        <w:contextualSpacing w:val="0"/>
        <w:rPr>
          <w:rFonts w:ascii="Times New Roman" w:hAnsi="Times New Roman"/>
          <w:sz w:val="24"/>
          <w:szCs w:val="24"/>
        </w:rPr>
      </w:pPr>
    </w:p>
    <w:p w:rsidR="00E6379C" w:rsidRPr="00CD666F" w:rsidRDefault="00E6379C" w:rsidP="00E6379C">
      <w:pPr>
        <w:rPr>
          <w:rFonts w:ascii="Times New Roman" w:hAnsi="Times New Roman"/>
          <w:sz w:val="24"/>
          <w:szCs w:val="24"/>
          <w:lang w:val="en-NZ"/>
        </w:rPr>
      </w:pPr>
      <w:r w:rsidRPr="00CD666F">
        <w:rPr>
          <w:rFonts w:ascii="Times New Roman" w:hAnsi="Times New Roman"/>
          <w:sz w:val="24"/>
          <w:szCs w:val="24"/>
          <w:lang w:val="en-NZ"/>
        </w:rPr>
        <w:t>It provides an analysis of options for the detailed design and implementation of the proposed “bright-line test”.</w:t>
      </w:r>
    </w:p>
    <w:p w:rsidR="004C4D83" w:rsidRPr="00CD666F" w:rsidRDefault="00063042" w:rsidP="004C0492">
      <w:pPr>
        <w:rPr>
          <w:rFonts w:ascii="Times New Roman" w:hAnsi="Times New Roman"/>
          <w:sz w:val="24"/>
          <w:szCs w:val="24"/>
          <w:lang w:val="en-NZ"/>
        </w:rPr>
      </w:pPr>
      <w:r w:rsidRPr="00CD666F">
        <w:rPr>
          <w:rFonts w:ascii="Times New Roman" w:hAnsi="Times New Roman"/>
          <w:sz w:val="24"/>
          <w:szCs w:val="24"/>
          <w:lang w:val="en-NZ"/>
        </w:rPr>
        <w:t xml:space="preserve">On 14 May 2015, the Government announced plans to introduce a bright-line test to help buttress the current “intention test” in the current land sale rules. </w:t>
      </w:r>
      <w:r w:rsidR="00E6379C"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The “intention test” makes gains from the sale of land taxable when bought with an intention of resale. This “intention test” is difficult to </w:t>
      </w:r>
      <w:r w:rsidR="007E5680" w:rsidRPr="00CD666F">
        <w:rPr>
          <w:rFonts w:ascii="Times New Roman" w:hAnsi="Times New Roman"/>
          <w:sz w:val="24"/>
          <w:szCs w:val="24"/>
          <w:lang w:val="en-NZ"/>
        </w:rPr>
        <w:t xml:space="preserve">enforce due to its subjectivity. </w:t>
      </w:r>
      <w:r w:rsidR="00B819F6" w:rsidRPr="00CD666F">
        <w:rPr>
          <w:rFonts w:ascii="Times New Roman" w:hAnsi="Times New Roman"/>
          <w:sz w:val="24"/>
          <w:szCs w:val="24"/>
          <w:lang w:val="en-NZ"/>
        </w:rPr>
        <w:t>This test</w:t>
      </w:r>
      <w:r w:rsidR="007E5680" w:rsidRPr="00CD666F">
        <w:rPr>
          <w:rFonts w:ascii="Times New Roman" w:hAnsi="Times New Roman"/>
          <w:sz w:val="24"/>
          <w:szCs w:val="24"/>
          <w:lang w:val="en-NZ"/>
        </w:rPr>
        <w:t xml:space="preserve"> is particularly difficult to enforce</w:t>
      </w:r>
      <w:r w:rsidRPr="00CD666F">
        <w:rPr>
          <w:rFonts w:ascii="Times New Roman" w:hAnsi="Times New Roman"/>
          <w:sz w:val="24"/>
          <w:szCs w:val="24"/>
          <w:lang w:val="en-NZ"/>
        </w:rPr>
        <w:t xml:space="preserve"> in relation to residential property</w:t>
      </w:r>
      <w:r w:rsidR="00E72A35" w:rsidRPr="00CD666F">
        <w:rPr>
          <w:rFonts w:ascii="Times New Roman" w:hAnsi="Times New Roman"/>
          <w:sz w:val="24"/>
          <w:szCs w:val="24"/>
          <w:lang w:val="en-NZ"/>
        </w:rPr>
        <w:t xml:space="preserve"> because of its high volume and churn</w:t>
      </w:r>
      <w:r w:rsidR="004C0492" w:rsidRPr="00CD666F">
        <w:rPr>
          <w:rFonts w:ascii="Times New Roman" w:hAnsi="Times New Roman"/>
          <w:sz w:val="24"/>
          <w:szCs w:val="24"/>
          <w:lang w:val="en-NZ"/>
        </w:rPr>
        <w:t>.</w:t>
      </w:r>
    </w:p>
    <w:p w:rsidR="000E2248" w:rsidRPr="00CD666F" w:rsidRDefault="00E6379C" w:rsidP="009A23EE">
      <w:pPr>
        <w:pStyle w:val="ListParagraph"/>
        <w:ind w:left="0" w:right="170"/>
        <w:contextualSpacing w:val="0"/>
        <w:rPr>
          <w:rFonts w:ascii="Times New Roman" w:hAnsi="Times New Roman"/>
          <w:sz w:val="24"/>
          <w:szCs w:val="24"/>
        </w:rPr>
      </w:pPr>
      <w:r w:rsidRPr="00CD666F">
        <w:rPr>
          <w:rFonts w:ascii="Times New Roman" w:hAnsi="Times New Roman"/>
          <w:sz w:val="24"/>
          <w:szCs w:val="24"/>
        </w:rPr>
        <w:t xml:space="preserve">This analysis </w:t>
      </w:r>
      <w:proofErr w:type="gramStart"/>
      <w:r w:rsidRPr="00CD666F">
        <w:rPr>
          <w:rFonts w:ascii="Times New Roman" w:hAnsi="Times New Roman"/>
          <w:sz w:val="24"/>
          <w:szCs w:val="24"/>
        </w:rPr>
        <w:t>was informed</w:t>
      </w:r>
      <w:proofErr w:type="gramEnd"/>
      <w:r w:rsidRPr="00CD666F">
        <w:rPr>
          <w:rFonts w:ascii="Times New Roman" w:hAnsi="Times New Roman"/>
          <w:sz w:val="24"/>
          <w:szCs w:val="24"/>
        </w:rPr>
        <w:t xml:space="preserve"> by public feedback on proposals contained in the officials’ issues paper </w:t>
      </w:r>
      <w:r w:rsidR="006D43DE" w:rsidRPr="00CD666F">
        <w:rPr>
          <w:rFonts w:ascii="Times New Roman" w:hAnsi="Times New Roman"/>
          <w:i/>
          <w:sz w:val="24"/>
          <w:szCs w:val="24"/>
        </w:rPr>
        <w:t>Bright-line test for sales of residential property</w:t>
      </w:r>
      <w:r w:rsidRPr="00CD666F">
        <w:rPr>
          <w:rFonts w:ascii="Times New Roman" w:hAnsi="Times New Roman"/>
          <w:i/>
          <w:sz w:val="24"/>
          <w:szCs w:val="24"/>
        </w:rPr>
        <w:t>,</w:t>
      </w:r>
      <w:r w:rsidRPr="00CD666F">
        <w:rPr>
          <w:rFonts w:ascii="Times New Roman" w:hAnsi="Times New Roman"/>
          <w:sz w:val="24"/>
          <w:szCs w:val="24"/>
        </w:rPr>
        <w:t xml:space="preserve"> which was released on </w:t>
      </w:r>
      <w:r w:rsidR="00E60DAB" w:rsidRPr="00CD666F">
        <w:rPr>
          <w:rFonts w:ascii="Times New Roman" w:hAnsi="Times New Roman"/>
          <w:sz w:val="24"/>
          <w:szCs w:val="24"/>
        </w:rPr>
        <w:t>29 June 2015</w:t>
      </w:r>
      <w:r w:rsidR="006D43DE" w:rsidRPr="00CD666F">
        <w:rPr>
          <w:rFonts w:ascii="Times New Roman" w:hAnsi="Times New Roman"/>
          <w:sz w:val="24"/>
          <w:szCs w:val="24"/>
        </w:rPr>
        <w:t xml:space="preserve">. </w:t>
      </w:r>
      <w:r w:rsidR="002169DC" w:rsidRPr="00CD666F">
        <w:rPr>
          <w:rFonts w:ascii="Times New Roman" w:hAnsi="Times New Roman"/>
          <w:sz w:val="24"/>
          <w:szCs w:val="24"/>
        </w:rPr>
        <w:t xml:space="preserve">Fourteen </w:t>
      </w:r>
      <w:r w:rsidR="006D43DE" w:rsidRPr="00CD666F">
        <w:rPr>
          <w:rFonts w:ascii="Times New Roman" w:hAnsi="Times New Roman"/>
          <w:sz w:val="24"/>
          <w:szCs w:val="24"/>
        </w:rPr>
        <w:t xml:space="preserve">submissions </w:t>
      </w:r>
      <w:proofErr w:type="gramStart"/>
      <w:r w:rsidR="006D43DE" w:rsidRPr="00CD666F">
        <w:rPr>
          <w:rFonts w:ascii="Times New Roman" w:hAnsi="Times New Roman"/>
          <w:sz w:val="24"/>
          <w:szCs w:val="24"/>
        </w:rPr>
        <w:t>were received</w:t>
      </w:r>
      <w:proofErr w:type="gramEnd"/>
      <w:r w:rsidR="006D43DE" w:rsidRPr="00CD666F">
        <w:rPr>
          <w:rFonts w:ascii="Times New Roman" w:hAnsi="Times New Roman"/>
          <w:sz w:val="24"/>
          <w:szCs w:val="24"/>
        </w:rPr>
        <w:t xml:space="preserve"> on the issues paper. Submissions generally focused on the design of the bright-line test and raised concerns regarding the complexity of the rules and departures from existing land sale rules. Several changes </w:t>
      </w:r>
      <w:proofErr w:type="gramStart"/>
      <w:r w:rsidR="006D43DE" w:rsidRPr="00CD666F">
        <w:rPr>
          <w:rFonts w:ascii="Times New Roman" w:hAnsi="Times New Roman"/>
          <w:sz w:val="24"/>
          <w:szCs w:val="24"/>
        </w:rPr>
        <w:t>have been made</w:t>
      </w:r>
      <w:proofErr w:type="gramEnd"/>
      <w:r w:rsidR="006D43DE" w:rsidRPr="00CD666F">
        <w:rPr>
          <w:rFonts w:ascii="Times New Roman" w:hAnsi="Times New Roman"/>
          <w:sz w:val="24"/>
          <w:szCs w:val="24"/>
        </w:rPr>
        <w:t xml:space="preserve"> to the design of the bright-line</w:t>
      </w:r>
      <w:r w:rsidR="00A01A80" w:rsidRPr="00CD666F">
        <w:rPr>
          <w:rFonts w:ascii="Times New Roman" w:hAnsi="Times New Roman"/>
          <w:sz w:val="24"/>
          <w:szCs w:val="24"/>
        </w:rPr>
        <w:t xml:space="preserve"> test</w:t>
      </w:r>
      <w:r w:rsidR="006D43DE" w:rsidRPr="00CD666F">
        <w:rPr>
          <w:rFonts w:ascii="Times New Roman" w:hAnsi="Times New Roman"/>
          <w:sz w:val="24"/>
          <w:szCs w:val="24"/>
        </w:rPr>
        <w:t xml:space="preserve"> in response to submissions</w:t>
      </w:r>
      <w:r w:rsidR="00A01A80" w:rsidRPr="00CD666F">
        <w:rPr>
          <w:rFonts w:ascii="Times New Roman" w:hAnsi="Times New Roman"/>
          <w:sz w:val="24"/>
          <w:szCs w:val="24"/>
        </w:rPr>
        <w:t>,</w:t>
      </w:r>
      <w:r w:rsidR="006D43DE" w:rsidRPr="00CD666F">
        <w:rPr>
          <w:rFonts w:ascii="Times New Roman" w:hAnsi="Times New Roman"/>
          <w:sz w:val="24"/>
          <w:szCs w:val="24"/>
        </w:rPr>
        <w:t xml:space="preserve"> and to provide greater clarity in the rules. </w:t>
      </w:r>
    </w:p>
    <w:p w:rsidR="000E2248" w:rsidRPr="00CD666F" w:rsidRDefault="000E2248" w:rsidP="009A23EE">
      <w:pPr>
        <w:pStyle w:val="ListParagraph"/>
        <w:ind w:left="0" w:right="170"/>
        <w:contextualSpacing w:val="0"/>
        <w:rPr>
          <w:rFonts w:ascii="Times New Roman" w:hAnsi="Times New Roman"/>
          <w:sz w:val="24"/>
          <w:szCs w:val="24"/>
        </w:rPr>
      </w:pPr>
    </w:p>
    <w:p w:rsidR="002169DC" w:rsidRPr="00CD666F" w:rsidRDefault="002169DC" w:rsidP="002169DC">
      <w:pPr>
        <w:rPr>
          <w:rFonts w:ascii="Times New Roman" w:hAnsi="Times New Roman"/>
          <w:sz w:val="24"/>
          <w:szCs w:val="24"/>
          <w:lang w:val="en-NZ"/>
        </w:rPr>
      </w:pPr>
      <w:r w:rsidRPr="00CD666F">
        <w:rPr>
          <w:rFonts w:ascii="Times New Roman" w:hAnsi="Times New Roman"/>
          <w:sz w:val="24"/>
          <w:szCs w:val="24"/>
          <w:lang w:val="en-NZ"/>
        </w:rPr>
        <w:t>Exact figures for the fiscal and compliance cost impacts are not available because Inland Revenue does not currently have accurate data on the types and levels of land sales occurring or how much is collected currently from the land sale rules.</w:t>
      </w:r>
      <w:r w:rsidR="00061383" w:rsidRPr="00CD666F">
        <w:rPr>
          <w:rFonts w:ascii="Times New Roman" w:hAnsi="Times New Roman"/>
          <w:sz w:val="24"/>
          <w:szCs w:val="24"/>
          <w:lang w:val="en-NZ"/>
        </w:rPr>
        <w:t xml:space="preserve"> The data for these areas </w:t>
      </w:r>
      <w:proofErr w:type="gramStart"/>
      <w:r w:rsidR="00061383" w:rsidRPr="00CD666F">
        <w:rPr>
          <w:rFonts w:ascii="Times New Roman" w:hAnsi="Times New Roman"/>
          <w:sz w:val="24"/>
          <w:szCs w:val="24"/>
          <w:lang w:val="en-NZ"/>
        </w:rPr>
        <w:t>is expected</w:t>
      </w:r>
      <w:proofErr w:type="gramEnd"/>
      <w:r w:rsidR="00061383" w:rsidRPr="00CD666F">
        <w:rPr>
          <w:rFonts w:ascii="Times New Roman" w:hAnsi="Times New Roman"/>
          <w:sz w:val="24"/>
          <w:szCs w:val="24"/>
          <w:lang w:val="en-NZ"/>
        </w:rPr>
        <w:t xml:space="preserve"> to improve as new information disclosure requirements for property come into force and Inland Revenue implements a new form to better monitor taxable land sales.</w:t>
      </w:r>
    </w:p>
    <w:p w:rsidR="004C4D83" w:rsidRPr="00CD666F" w:rsidRDefault="004C4D83" w:rsidP="009A23EE">
      <w:pPr>
        <w:pStyle w:val="ListParagraph"/>
        <w:ind w:left="0" w:right="170"/>
        <w:contextualSpacing w:val="0"/>
        <w:rPr>
          <w:rFonts w:ascii="Times New Roman" w:hAnsi="Times New Roman"/>
          <w:sz w:val="24"/>
          <w:szCs w:val="24"/>
        </w:rPr>
      </w:pPr>
      <w:r w:rsidRPr="00CD666F">
        <w:rPr>
          <w:rFonts w:ascii="Times New Roman" w:hAnsi="Times New Roman"/>
          <w:sz w:val="24"/>
          <w:szCs w:val="24"/>
        </w:rPr>
        <w:t xml:space="preserve">The options identified would not impair private property rights, restrict market competition, </w:t>
      </w:r>
      <w:proofErr w:type="gramStart"/>
      <w:r w:rsidRPr="00CD666F">
        <w:rPr>
          <w:rFonts w:ascii="Times New Roman" w:hAnsi="Times New Roman"/>
          <w:sz w:val="24"/>
          <w:szCs w:val="24"/>
        </w:rPr>
        <w:t>reduce</w:t>
      </w:r>
      <w:proofErr w:type="gramEnd"/>
      <w:r w:rsidRPr="00CD666F">
        <w:rPr>
          <w:rFonts w:ascii="Times New Roman" w:hAnsi="Times New Roman"/>
          <w:sz w:val="24"/>
          <w:szCs w:val="24"/>
        </w:rPr>
        <w:t xml:space="preserve"> incentives on businesses to innovate and invest, or override fundamental common law principles. </w:t>
      </w:r>
    </w:p>
    <w:p w:rsidR="004C4D83" w:rsidRPr="00CD666F" w:rsidRDefault="004C4D83" w:rsidP="009A23EE">
      <w:pPr>
        <w:pStyle w:val="ListParagraph"/>
        <w:ind w:left="0" w:right="170"/>
        <w:contextualSpacing w:val="0"/>
        <w:rPr>
          <w:rFonts w:ascii="Times New Roman" w:hAnsi="Times New Roman"/>
          <w:sz w:val="24"/>
          <w:szCs w:val="24"/>
        </w:rPr>
      </w:pPr>
    </w:p>
    <w:p w:rsidR="00085660" w:rsidRPr="00CD666F" w:rsidRDefault="002169DC" w:rsidP="0038328C">
      <w:pPr>
        <w:pStyle w:val="ListParagraph"/>
        <w:ind w:left="0" w:right="170"/>
        <w:contextualSpacing w:val="0"/>
        <w:rPr>
          <w:rFonts w:ascii="Times New Roman" w:hAnsi="Times New Roman"/>
          <w:sz w:val="24"/>
          <w:szCs w:val="24"/>
        </w:rPr>
      </w:pPr>
      <w:r w:rsidRPr="00CD666F">
        <w:rPr>
          <w:rFonts w:ascii="Times New Roman" w:hAnsi="Times New Roman"/>
          <w:sz w:val="24"/>
          <w:szCs w:val="24"/>
        </w:rPr>
        <w:t xml:space="preserve">The </w:t>
      </w:r>
      <w:proofErr w:type="gramStart"/>
      <w:r w:rsidRPr="00CD666F">
        <w:rPr>
          <w:rFonts w:ascii="Times New Roman" w:hAnsi="Times New Roman"/>
          <w:sz w:val="24"/>
          <w:szCs w:val="24"/>
        </w:rPr>
        <w:t>o</w:t>
      </w:r>
      <w:r w:rsidR="004C4D83" w:rsidRPr="00CD666F">
        <w:rPr>
          <w:rFonts w:ascii="Times New Roman" w:hAnsi="Times New Roman"/>
          <w:sz w:val="24"/>
          <w:szCs w:val="24"/>
        </w:rPr>
        <w:t xml:space="preserve">ptions which introduce a bright-line </w:t>
      </w:r>
      <w:r w:rsidR="00987D6B" w:rsidRPr="00CD666F">
        <w:rPr>
          <w:rFonts w:ascii="Times New Roman" w:hAnsi="Times New Roman"/>
          <w:sz w:val="24"/>
          <w:szCs w:val="24"/>
        </w:rPr>
        <w:t>test</w:t>
      </w:r>
      <w:proofErr w:type="gramEnd"/>
      <w:r w:rsidR="00987D6B" w:rsidRPr="00CD666F">
        <w:rPr>
          <w:rFonts w:ascii="Times New Roman" w:hAnsi="Times New Roman"/>
          <w:sz w:val="24"/>
          <w:szCs w:val="24"/>
        </w:rPr>
        <w:t xml:space="preserve"> </w:t>
      </w:r>
      <w:r w:rsidR="004C4D83" w:rsidRPr="00CD666F">
        <w:rPr>
          <w:rFonts w:ascii="Times New Roman" w:hAnsi="Times New Roman"/>
          <w:sz w:val="24"/>
          <w:szCs w:val="24"/>
        </w:rPr>
        <w:t xml:space="preserve">will impose additional costs on businesses when they have sales subject to the bright-line </w:t>
      </w:r>
      <w:r w:rsidR="00987D6B" w:rsidRPr="00CD666F">
        <w:rPr>
          <w:rFonts w:ascii="Times New Roman" w:hAnsi="Times New Roman"/>
          <w:sz w:val="24"/>
          <w:szCs w:val="24"/>
        </w:rPr>
        <w:t xml:space="preserve">test </w:t>
      </w:r>
      <w:r w:rsidR="004C4D83" w:rsidRPr="00CD666F">
        <w:rPr>
          <w:rFonts w:ascii="Times New Roman" w:hAnsi="Times New Roman"/>
          <w:sz w:val="24"/>
          <w:szCs w:val="24"/>
        </w:rPr>
        <w:t xml:space="preserve">which would not otherwise have been taxable. We consider that this impact is likely to be minor, and is potentially balanced out by the reduced compliance costs for those who would otherwise have been caught by the “intention test” but the bright-line </w:t>
      </w:r>
      <w:r w:rsidR="00987D6B" w:rsidRPr="00CD666F">
        <w:rPr>
          <w:rFonts w:ascii="Times New Roman" w:hAnsi="Times New Roman"/>
          <w:sz w:val="24"/>
          <w:szCs w:val="24"/>
        </w:rPr>
        <w:t xml:space="preserve">test </w:t>
      </w:r>
      <w:r w:rsidR="004C4D83" w:rsidRPr="00CD666F">
        <w:rPr>
          <w:rFonts w:ascii="Times New Roman" w:hAnsi="Times New Roman"/>
          <w:sz w:val="24"/>
          <w:szCs w:val="24"/>
        </w:rPr>
        <w:t xml:space="preserve">makes this position clearer. </w:t>
      </w:r>
    </w:p>
    <w:p w:rsidR="0038328C" w:rsidRPr="00CD666F" w:rsidRDefault="0038328C" w:rsidP="0038328C">
      <w:pPr>
        <w:pStyle w:val="ListParagraph"/>
        <w:ind w:left="0" w:right="170"/>
        <w:contextualSpacing w:val="0"/>
        <w:rPr>
          <w:rFonts w:ascii="Times New Roman" w:hAnsi="Times New Roman"/>
          <w:sz w:val="24"/>
          <w:szCs w:val="24"/>
        </w:rPr>
      </w:pPr>
    </w:p>
    <w:p w:rsidR="00085660" w:rsidRPr="00CD666F" w:rsidRDefault="00085660" w:rsidP="009A23EE">
      <w:pPr>
        <w:pStyle w:val="Text"/>
        <w:spacing w:before="0" w:after="0" w:line="240" w:lineRule="auto"/>
        <w:ind w:right="170"/>
        <w:rPr>
          <w:rFonts w:ascii="Times New Roman" w:hAnsi="Times New Roman"/>
          <w:sz w:val="24"/>
          <w:szCs w:val="24"/>
          <w:lang w:val="en-NZ"/>
        </w:rPr>
      </w:pPr>
    </w:p>
    <w:p w:rsidR="00385EC1" w:rsidRPr="00CD666F" w:rsidRDefault="00385EC1" w:rsidP="009A23EE">
      <w:pPr>
        <w:pStyle w:val="Text"/>
        <w:spacing w:before="0" w:after="0" w:line="240" w:lineRule="auto"/>
        <w:ind w:right="170"/>
        <w:rPr>
          <w:rFonts w:ascii="Times New Roman" w:hAnsi="Times New Roman"/>
          <w:sz w:val="24"/>
          <w:szCs w:val="24"/>
          <w:lang w:val="en-NZ"/>
        </w:rPr>
      </w:pPr>
    </w:p>
    <w:p w:rsidR="00085660" w:rsidRPr="00CD666F" w:rsidRDefault="00085660" w:rsidP="009A23EE">
      <w:pPr>
        <w:pStyle w:val="Text"/>
        <w:spacing w:before="0" w:after="0" w:line="240" w:lineRule="auto"/>
        <w:ind w:right="170"/>
        <w:rPr>
          <w:rFonts w:ascii="Times New Roman" w:hAnsi="Times New Roman"/>
          <w:sz w:val="24"/>
          <w:szCs w:val="24"/>
          <w:lang w:val="en-NZ"/>
        </w:rPr>
      </w:pPr>
    </w:p>
    <w:p w:rsidR="00085660" w:rsidRPr="00CD666F" w:rsidRDefault="005B5A92" w:rsidP="004342F0">
      <w:pPr>
        <w:pStyle w:val="Text"/>
        <w:tabs>
          <w:tab w:val="left" w:pos="567"/>
        </w:tabs>
        <w:spacing w:before="0" w:after="0" w:line="240" w:lineRule="auto"/>
        <w:ind w:right="170"/>
        <w:rPr>
          <w:rFonts w:ascii="Times New Roman" w:hAnsi="Times New Roman"/>
          <w:sz w:val="24"/>
          <w:szCs w:val="24"/>
          <w:lang w:val="en-NZ"/>
        </w:rPr>
      </w:pPr>
      <w:r w:rsidRPr="00CD666F">
        <w:rPr>
          <w:rFonts w:ascii="Times New Roman" w:hAnsi="Times New Roman"/>
          <w:sz w:val="24"/>
          <w:szCs w:val="24"/>
          <w:lang w:val="en-NZ"/>
        </w:rPr>
        <w:t>Peter Frawley</w:t>
      </w:r>
    </w:p>
    <w:p w:rsidR="009F7B9A" w:rsidRPr="00CD666F" w:rsidRDefault="005B5A92" w:rsidP="004342F0">
      <w:pPr>
        <w:pStyle w:val="Text"/>
        <w:tabs>
          <w:tab w:val="left" w:pos="567"/>
        </w:tabs>
        <w:spacing w:before="0" w:after="0" w:line="240" w:lineRule="auto"/>
        <w:ind w:right="170"/>
        <w:rPr>
          <w:rFonts w:ascii="Times New Roman" w:hAnsi="Times New Roman"/>
          <w:sz w:val="24"/>
          <w:szCs w:val="24"/>
          <w:lang w:val="en-NZ"/>
        </w:rPr>
      </w:pPr>
      <w:r w:rsidRPr="00CD666F">
        <w:rPr>
          <w:rFonts w:ascii="Times New Roman" w:hAnsi="Times New Roman"/>
          <w:sz w:val="24"/>
          <w:szCs w:val="24"/>
          <w:lang w:val="en-NZ"/>
        </w:rPr>
        <w:t>Policy Manager</w:t>
      </w:r>
      <w:r w:rsidR="005A62E6" w:rsidRPr="00CD666F">
        <w:rPr>
          <w:rFonts w:ascii="Times New Roman" w:hAnsi="Times New Roman"/>
          <w:sz w:val="24"/>
          <w:szCs w:val="24"/>
          <w:lang w:val="en-NZ"/>
        </w:rPr>
        <w:t>, Policy and Strategy</w:t>
      </w:r>
    </w:p>
    <w:p w:rsidR="001C6912" w:rsidRPr="00CD666F" w:rsidRDefault="001C6912" w:rsidP="004342F0">
      <w:pPr>
        <w:pStyle w:val="Text"/>
        <w:tabs>
          <w:tab w:val="left" w:pos="567"/>
        </w:tabs>
        <w:spacing w:before="0" w:after="0" w:line="240" w:lineRule="auto"/>
        <w:ind w:right="170"/>
        <w:rPr>
          <w:rFonts w:ascii="Times New Roman" w:hAnsi="Times New Roman"/>
          <w:sz w:val="24"/>
          <w:szCs w:val="24"/>
          <w:lang w:val="en-NZ"/>
        </w:rPr>
      </w:pPr>
      <w:r w:rsidRPr="00CD666F">
        <w:rPr>
          <w:rFonts w:ascii="Times New Roman" w:hAnsi="Times New Roman"/>
          <w:sz w:val="24"/>
          <w:szCs w:val="24"/>
          <w:lang w:val="en-NZ"/>
        </w:rPr>
        <w:t>Inland Revenue</w:t>
      </w:r>
    </w:p>
    <w:p w:rsidR="000545DC" w:rsidRPr="00CD666F"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CD666F" w:rsidRDefault="002C27EF" w:rsidP="004342F0">
      <w:pPr>
        <w:pStyle w:val="Text"/>
        <w:tabs>
          <w:tab w:val="left" w:pos="567"/>
        </w:tabs>
        <w:spacing w:before="0" w:after="0" w:line="240" w:lineRule="auto"/>
        <w:ind w:right="170"/>
        <w:rPr>
          <w:rFonts w:ascii="Times New Roman" w:hAnsi="Times New Roman"/>
          <w:sz w:val="24"/>
          <w:szCs w:val="24"/>
          <w:lang w:val="en-NZ"/>
        </w:rPr>
      </w:pPr>
      <w:r w:rsidRPr="00CD666F">
        <w:rPr>
          <w:rFonts w:ascii="Times New Roman" w:hAnsi="Times New Roman"/>
          <w:sz w:val="24"/>
          <w:szCs w:val="24"/>
          <w:lang w:val="en-NZ"/>
        </w:rPr>
        <w:t>7 August 2015</w:t>
      </w:r>
    </w:p>
    <w:p w:rsidR="00034D23" w:rsidRPr="00CD666F" w:rsidRDefault="00034D23" w:rsidP="004342F0">
      <w:pPr>
        <w:pStyle w:val="Text"/>
        <w:tabs>
          <w:tab w:val="left" w:pos="567"/>
        </w:tabs>
        <w:spacing w:before="0" w:after="0" w:line="240" w:lineRule="auto"/>
        <w:ind w:right="170"/>
        <w:rPr>
          <w:rFonts w:ascii="Times New Roman" w:hAnsi="Times New Roman"/>
          <w:sz w:val="24"/>
          <w:szCs w:val="24"/>
          <w:lang w:val="en-NZ"/>
        </w:rPr>
        <w:sectPr w:rsidR="00034D23" w:rsidRPr="00CD666F" w:rsidSect="006474EE">
          <w:footerReference w:type="even" r:id="rId9"/>
          <w:pgSz w:w="11907" w:h="16840" w:code="9"/>
          <w:pgMar w:top="1134" w:right="1418" w:bottom="1134" w:left="1418" w:header="567" w:footer="567" w:gutter="0"/>
          <w:pgNumType w:start="1"/>
          <w:cols w:space="720"/>
          <w:docGrid w:linePitch="360"/>
        </w:sectPr>
      </w:pPr>
    </w:p>
    <w:p w:rsidR="000545DC" w:rsidRPr="00CD666F" w:rsidRDefault="001C6912" w:rsidP="004342F0">
      <w:pPr>
        <w:pStyle w:val="RISheading"/>
        <w:rPr>
          <w:spacing w:val="0"/>
          <w:w w:val="100"/>
          <w:lang w:val="en-NZ"/>
        </w:rPr>
      </w:pPr>
      <w:bookmarkStart w:id="7" w:name="_Toc244580363"/>
      <w:bookmarkStart w:id="8" w:name="_Toc244587039"/>
      <w:bookmarkStart w:id="9" w:name="_Toc244857273"/>
      <w:bookmarkStart w:id="10" w:name="_Toc244912538"/>
      <w:bookmarkStart w:id="11" w:name="_Toc244916995"/>
      <w:r w:rsidRPr="00CD666F">
        <w:rPr>
          <w:spacing w:val="0"/>
          <w:w w:val="100"/>
          <w:lang w:val="en-NZ"/>
        </w:rPr>
        <w:lastRenderedPageBreak/>
        <w:t>STATUS QUO AND PROBLEM DEFINITION</w:t>
      </w:r>
      <w:bookmarkEnd w:id="7"/>
      <w:bookmarkEnd w:id="8"/>
      <w:bookmarkEnd w:id="9"/>
      <w:bookmarkEnd w:id="10"/>
      <w:bookmarkEnd w:id="11"/>
    </w:p>
    <w:p w:rsidR="005C7104" w:rsidRPr="00CD666F" w:rsidRDefault="005C7104"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Government is concerned with high house prices, particularly in the Auckland area.  Property speculation </w:t>
      </w:r>
      <w:proofErr w:type="gramStart"/>
      <w:r w:rsidRPr="00CD666F">
        <w:rPr>
          <w:rFonts w:ascii="Times New Roman" w:hAnsi="Times New Roman"/>
          <w:sz w:val="24"/>
          <w:szCs w:val="24"/>
          <w:lang w:val="en-NZ"/>
        </w:rPr>
        <w:t>is seen</w:t>
      </w:r>
      <w:proofErr w:type="gramEnd"/>
      <w:r w:rsidRPr="00CD666F">
        <w:rPr>
          <w:rFonts w:ascii="Times New Roman" w:hAnsi="Times New Roman"/>
          <w:sz w:val="24"/>
          <w:szCs w:val="24"/>
          <w:lang w:val="en-NZ"/>
        </w:rPr>
        <w:t xml:space="preserve"> as one of a number of causes of the current prices.  Other possible causes, both on the supply and demand sides, </w:t>
      </w:r>
      <w:proofErr w:type="gramStart"/>
      <w:r w:rsidRPr="00CD666F">
        <w:rPr>
          <w:rFonts w:ascii="Times New Roman" w:hAnsi="Times New Roman"/>
          <w:sz w:val="24"/>
          <w:szCs w:val="24"/>
          <w:lang w:val="en-NZ"/>
        </w:rPr>
        <w:t>are being separately considered</w:t>
      </w:r>
      <w:proofErr w:type="gramEnd"/>
      <w:r w:rsidRPr="00CD666F">
        <w:rPr>
          <w:rFonts w:ascii="Times New Roman" w:hAnsi="Times New Roman"/>
          <w:sz w:val="24"/>
          <w:szCs w:val="24"/>
          <w:lang w:val="en-NZ"/>
        </w:rPr>
        <w:t>.  The attractiveness of property speculation, w</w:t>
      </w:r>
      <w:r w:rsidR="0055611A" w:rsidRPr="00CD666F">
        <w:rPr>
          <w:rFonts w:ascii="Times New Roman" w:hAnsi="Times New Roman"/>
          <w:sz w:val="24"/>
          <w:szCs w:val="24"/>
          <w:lang w:val="en-NZ"/>
        </w:rPr>
        <w:t>hen compared with other forms of investment</w:t>
      </w:r>
      <w:r w:rsidRPr="00CD666F">
        <w:rPr>
          <w:rFonts w:ascii="Times New Roman" w:hAnsi="Times New Roman"/>
          <w:sz w:val="24"/>
          <w:szCs w:val="24"/>
          <w:lang w:val="en-NZ"/>
        </w:rPr>
        <w:t xml:space="preserve"> increase</w:t>
      </w:r>
      <w:r w:rsidR="0055611A" w:rsidRPr="00CD666F">
        <w:rPr>
          <w:rFonts w:ascii="Times New Roman" w:hAnsi="Times New Roman"/>
          <w:sz w:val="24"/>
          <w:szCs w:val="24"/>
          <w:lang w:val="en-NZ"/>
        </w:rPr>
        <w:t>,</w:t>
      </w:r>
      <w:r w:rsidRPr="00CD666F">
        <w:rPr>
          <w:rFonts w:ascii="Times New Roman" w:hAnsi="Times New Roman"/>
          <w:sz w:val="24"/>
          <w:szCs w:val="24"/>
          <w:lang w:val="en-NZ"/>
        </w:rPr>
        <w:t xml:space="preserve"> if the gains </w:t>
      </w:r>
      <w:proofErr w:type="gramStart"/>
      <w:r w:rsidRPr="00CD666F">
        <w:rPr>
          <w:rFonts w:ascii="Times New Roman" w:hAnsi="Times New Roman"/>
          <w:sz w:val="24"/>
          <w:szCs w:val="24"/>
          <w:lang w:val="en-NZ"/>
        </w:rPr>
        <w:t>are able to</w:t>
      </w:r>
      <w:proofErr w:type="gramEnd"/>
      <w:r w:rsidRPr="00CD666F">
        <w:rPr>
          <w:rFonts w:ascii="Times New Roman" w:hAnsi="Times New Roman"/>
          <w:sz w:val="24"/>
          <w:szCs w:val="24"/>
          <w:lang w:val="en-NZ"/>
        </w:rPr>
        <w:t xml:space="preserve"> be realised untaxed, when gains fro</w:t>
      </w:r>
      <w:r w:rsidR="00034D23" w:rsidRPr="00CD666F">
        <w:rPr>
          <w:rFonts w:ascii="Times New Roman" w:hAnsi="Times New Roman"/>
          <w:sz w:val="24"/>
          <w:szCs w:val="24"/>
          <w:lang w:val="en-NZ"/>
        </w:rPr>
        <w:t>m other investments are taxed.</w:t>
      </w:r>
    </w:p>
    <w:p w:rsidR="005C7104" w:rsidRPr="00CD666F" w:rsidRDefault="005C7104" w:rsidP="005C7104">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spacing w:after="0" w:line="240" w:lineRule="auto"/>
        <w:ind w:left="0" w:firstLine="0"/>
        <w:rPr>
          <w:rFonts w:ascii="Times New Roman" w:hAnsi="Times New Roman"/>
          <w:b/>
          <w:i/>
          <w:sz w:val="24"/>
          <w:szCs w:val="24"/>
          <w:lang w:val="en-NZ"/>
        </w:rPr>
      </w:pPr>
      <w:r w:rsidRPr="00CD666F">
        <w:rPr>
          <w:rFonts w:ascii="Times New Roman" w:hAnsi="Times New Roman"/>
          <w:b/>
          <w:i/>
          <w:sz w:val="24"/>
          <w:szCs w:val="24"/>
          <w:lang w:val="en-NZ"/>
        </w:rPr>
        <w:t>Residential property churn</w:t>
      </w:r>
    </w:p>
    <w:p w:rsidR="00C759CC" w:rsidRPr="00CD666F" w:rsidRDefault="00C759CC" w:rsidP="00C759CC">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There is significant churn</w:t>
      </w:r>
      <w:r w:rsidR="00D507AD" w:rsidRPr="00CD666F">
        <w:rPr>
          <w:rFonts w:ascii="Times New Roman" w:hAnsi="Times New Roman"/>
          <w:sz w:val="24"/>
          <w:szCs w:val="24"/>
          <w:lang w:val="en-NZ"/>
        </w:rPr>
        <w:t xml:space="preserve"> and </w:t>
      </w:r>
      <w:proofErr w:type="gramStart"/>
      <w:r w:rsidR="00D507AD" w:rsidRPr="00CD666F">
        <w:rPr>
          <w:rFonts w:ascii="Times New Roman" w:hAnsi="Times New Roman"/>
          <w:sz w:val="24"/>
          <w:szCs w:val="24"/>
          <w:lang w:val="en-NZ"/>
        </w:rPr>
        <w:t>short term</w:t>
      </w:r>
      <w:proofErr w:type="gramEnd"/>
      <w:r w:rsidR="00D507AD" w:rsidRPr="00CD666F">
        <w:rPr>
          <w:rFonts w:ascii="Times New Roman" w:hAnsi="Times New Roman"/>
          <w:sz w:val="24"/>
          <w:szCs w:val="24"/>
          <w:lang w:val="en-NZ"/>
        </w:rPr>
        <w:t xml:space="preserve"> speculation in</w:t>
      </w:r>
      <w:r w:rsidRPr="00CD666F">
        <w:rPr>
          <w:rFonts w:ascii="Times New Roman" w:hAnsi="Times New Roman"/>
          <w:sz w:val="24"/>
          <w:szCs w:val="24"/>
          <w:lang w:val="en-NZ"/>
        </w:rPr>
        <w:t xml:space="preserve"> residential property, particularly in Auckland</w:t>
      </w:r>
      <w:r w:rsidR="005E45F6" w:rsidRPr="00CD666F">
        <w:rPr>
          <w:rFonts w:ascii="Times New Roman" w:hAnsi="Times New Roman"/>
          <w:sz w:val="24"/>
          <w:szCs w:val="24"/>
          <w:lang w:val="en-NZ"/>
        </w:rPr>
        <w:t>.</w:t>
      </w:r>
    </w:p>
    <w:p w:rsidR="00C759CC" w:rsidRPr="00CD666F" w:rsidRDefault="00C759CC" w:rsidP="00C759CC">
      <w:pPr>
        <w:pStyle w:val="Bullet-list"/>
        <w:spacing w:after="0" w:line="240" w:lineRule="auto"/>
        <w:rPr>
          <w:rFonts w:ascii="Times New Roman" w:hAnsi="Times New Roman"/>
          <w:sz w:val="24"/>
          <w:szCs w:val="24"/>
          <w:lang w:val="en-NZ"/>
        </w:rPr>
      </w:pPr>
    </w:p>
    <w:p w:rsidR="00C759CC" w:rsidRPr="00CD666F" w:rsidRDefault="00C759CC" w:rsidP="00C759CC">
      <w:pPr>
        <w:pStyle w:val="Bullet-list"/>
        <w:spacing w:after="0" w:line="240" w:lineRule="auto"/>
        <w:ind w:left="454"/>
        <w:rPr>
          <w:rFonts w:ascii="Times New Roman" w:hAnsi="Times New Roman"/>
          <w:b/>
          <w:sz w:val="24"/>
          <w:szCs w:val="24"/>
          <w:lang w:val="en-NZ"/>
        </w:rPr>
      </w:pPr>
      <w:r w:rsidRPr="00CD666F">
        <w:rPr>
          <w:rFonts w:ascii="Times New Roman" w:hAnsi="Times New Roman"/>
          <w:b/>
          <w:sz w:val="24"/>
          <w:szCs w:val="24"/>
          <w:lang w:val="en-NZ"/>
        </w:rPr>
        <w:t>Share of Auckland dwelling sales within 1, 2, and 3 years</w:t>
      </w:r>
    </w:p>
    <w:p w:rsidR="00C759CC" w:rsidRPr="00CD666F" w:rsidRDefault="00C759CC" w:rsidP="00C759CC">
      <w:pPr>
        <w:pStyle w:val="Bullet-list"/>
        <w:spacing w:after="0" w:line="240" w:lineRule="auto"/>
        <w:rPr>
          <w:rFonts w:ascii="Times New Roman" w:hAnsi="Times New Roman"/>
          <w:sz w:val="24"/>
          <w:szCs w:val="24"/>
          <w:lang w:val="en-NZ"/>
        </w:rPr>
      </w:pPr>
    </w:p>
    <w:tbl>
      <w:tblPr>
        <w:tblStyle w:val="TableGrid"/>
        <w:tblW w:w="0" w:type="auto"/>
        <w:tblInd w:w="284" w:type="dxa"/>
        <w:tblLook w:val="04A0" w:firstRow="1" w:lastRow="0" w:firstColumn="1" w:lastColumn="0" w:noHBand="0" w:noVBand="1"/>
      </w:tblPr>
      <w:tblGrid>
        <w:gridCol w:w="2245"/>
        <w:gridCol w:w="2244"/>
        <w:gridCol w:w="2241"/>
        <w:gridCol w:w="2273"/>
      </w:tblGrid>
      <w:tr w:rsidR="00C759CC" w:rsidRPr="00CD666F" w:rsidTr="00C759CC">
        <w:tc>
          <w:tcPr>
            <w:tcW w:w="2321"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 xml:space="preserve">Sold within </w:t>
            </w:r>
          </w:p>
        </w:tc>
        <w:tc>
          <w:tcPr>
            <w:tcW w:w="2322"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Share of sales</w:t>
            </w:r>
          </w:p>
        </w:tc>
        <w:tc>
          <w:tcPr>
            <w:tcW w:w="2322"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proofErr w:type="spellStart"/>
            <w:r w:rsidRPr="00CD666F">
              <w:rPr>
                <w:rFonts w:ascii="Times New Roman" w:hAnsi="Times New Roman"/>
                <w:b/>
                <w:sz w:val="24"/>
                <w:szCs w:val="24"/>
                <w:lang w:val="en-NZ"/>
              </w:rPr>
              <w:t>Std</w:t>
            </w:r>
            <w:proofErr w:type="spellEnd"/>
            <w:r w:rsidRPr="00CD666F">
              <w:rPr>
                <w:rFonts w:ascii="Times New Roman" w:hAnsi="Times New Roman"/>
                <w:b/>
                <w:sz w:val="24"/>
                <w:szCs w:val="24"/>
                <w:lang w:val="en-NZ"/>
              </w:rPr>
              <w:t xml:space="preserve"> error</w:t>
            </w:r>
          </w:p>
        </w:tc>
        <w:tc>
          <w:tcPr>
            <w:tcW w:w="2322"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Confidence interval</w:t>
            </w:r>
          </w:p>
        </w:tc>
      </w:tr>
      <w:tr w:rsidR="00C759CC" w:rsidRPr="00CD666F" w:rsidTr="00C759CC">
        <w:tc>
          <w:tcPr>
            <w:tcW w:w="2321"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1 Year</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8.4%</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0.2%</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8.0%-8.7%</w:t>
            </w:r>
          </w:p>
        </w:tc>
      </w:tr>
      <w:tr w:rsidR="00C759CC" w:rsidRPr="00CD666F" w:rsidTr="00C759CC">
        <w:tc>
          <w:tcPr>
            <w:tcW w:w="2321"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2 Years</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17.4%</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0.3%</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6.9%-17.9%</w:t>
            </w:r>
          </w:p>
        </w:tc>
      </w:tr>
      <w:tr w:rsidR="00C759CC" w:rsidRPr="00CD666F" w:rsidTr="00C759CC">
        <w:tc>
          <w:tcPr>
            <w:tcW w:w="2321" w:type="dxa"/>
          </w:tcPr>
          <w:p w:rsidR="00C759CC" w:rsidRPr="00CD666F" w:rsidRDefault="00C759CC" w:rsidP="00C759CC">
            <w:pPr>
              <w:pStyle w:val="Bullet-list"/>
              <w:spacing w:after="0" w:line="240" w:lineRule="auto"/>
              <w:ind w:left="0" w:firstLine="0"/>
              <w:rPr>
                <w:rFonts w:ascii="Times New Roman" w:hAnsi="Times New Roman"/>
                <w:b/>
                <w:sz w:val="24"/>
                <w:szCs w:val="24"/>
                <w:lang w:val="en-NZ"/>
              </w:rPr>
            </w:pPr>
            <w:r w:rsidRPr="00CD666F">
              <w:rPr>
                <w:rFonts w:ascii="Times New Roman" w:hAnsi="Times New Roman"/>
                <w:b/>
                <w:sz w:val="24"/>
                <w:szCs w:val="24"/>
                <w:lang w:val="en-NZ"/>
              </w:rPr>
              <w:t>3 Years</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26.1%</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0.3%</w:t>
            </w:r>
          </w:p>
        </w:tc>
        <w:tc>
          <w:tcPr>
            <w:tcW w:w="2322" w:type="dxa"/>
          </w:tcPr>
          <w:p w:rsidR="00C759CC" w:rsidRPr="00CD666F" w:rsidRDefault="00C759CC" w:rsidP="00C759CC">
            <w:pPr>
              <w:pStyle w:val="Bullet-list"/>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25.5%-26.7%</w:t>
            </w:r>
          </w:p>
        </w:tc>
      </w:tr>
    </w:tbl>
    <w:p w:rsidR="00C759CC" w:rsidRPr="00CD666F" w:rsidRDefault="00C759CC" w:rsidP="00C759CC">
      <w:pPr>
        <w:pStyle w:val="Bullet-list"/>
        <w:spacing w:after="0" w:line="240" w:lineRule="auto"/>
        <w:ind w:left="454"/>
        <w:rPr>
          <w:rFonts w:ascii="Times New Roman" w:hAnsi="Times New Roman"/>
          <w:b/>
          <w:i/>
          <w:sz w:val="24"/>
          <w:szCs w:val="24"/>
          <w:lang w:val="en-NZ"/>
        </w:rPr>
      </w:pPr>
      <w:r w:rsidRPr="00CD666F">
        <w:rPr>
          <w:rFonts w:ascii="Times New Roman" w:hAnsi="Times New Roman"/>
          <w:b/>
          <w:i/>
          <w:sz w:val="24"/>
          <w:szCs w:val="24"/>
          <w:lang w:val="en-NZ"/>
        </w:rPr>
        <w:t xml:space="preserve">Source: MBIE analysis of </w:t>
      </w:r>
      <w:proofErr w:type="spellStart"/>
      <w:r w:rsidRPr="00CD666F">
        <w:rPr>
          <w:rFonts w:ascii="Times New Roman" w:hAnsi="Times New Roman"/>
          <w:b/>
          <w:i/>
          <w:sz w:val="24"/>
          <w:szCs w:val="24"/>
          <w:lang w:val="en-NZ"/>
        </w:rPr>
        <w:t>Corelogic</w:t>
      </w:r>
      <w:proofErr w:type="spellEnd"/>
      <w:r w:rsidRPr="00CD666F">
        <w:rPr>
          <w:rFonts w:ascii="Times New Roman" w:hAnsi="Times New Roman"/>
          <w:b/>
          <w:i/>
          <w:sz w:val="24"/>
          <w:szCs w:val="24"/>
          <w:lang w:val="en-NZ"/>
        </w:rPr>
        <w:t xml:space="preserve"> data</w:t>
      </w:r>
    </w:p>
    <w:p w:rsidR="00C759CC" w:rsidRPr="00CD666F" w:rsidRDefault="00C759CC" w:rsidP="00C759CC">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In addition to this, there is evidence of particularly fast churn for new titles and developments in Auckland.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The evidence suggests, from 2009-2013 59% of all new titles were disposed of within a year and 29% of new developments in North Auckland were traded within 3 months.</w:t>
      </w:r>
    </w:p>
    <w:p w:rsidR="00C759CC" w:rsidRPr="00CD666F" w:rsidRDefault="00C759CC" w:rsidP="005C7104">
      <w:pPr>
        <w:pStyle w:val="Bullet-list"/>
        <w:spacing w:after="0" w:line="240" w:lineRule="auto"/>
        <w:ind w:left="0" w:firstLine="0"/>
        <w:rPr>
          <w:rFonts w:ascii="Times New Roman" w:hAnsi="Times New Roman"/>
          <w:sz w:val="24"/>
          <w:szCs w:val="24"/>
          <w:lang w:val="en-NZ"/>
        </w:rPr>
      </w:pPr>
    </w:p>
    <w:p w:rsidR="00C759CC" w:rsidRPr="00CD666F" w:rsidRDefault="00C759CC" w:rsidP="005C7104">
      <w:pPr>
        <w:pStyle w:val="Bullet-list"/>
        <w:spacing w:after="0" w:line="240" w:lineRule="auto"/>
        <w:ind w:left="0" w:firstLine="0"/>
        <w:rPr>
          <w:rFonts w:ascii="Times New Roman" w:hAnsi="Times New Roman"/>
          <w:b/>
          <w:i/>
          <w:sz w:val="24"/>
          <w:szCs w:val="24"/>
          <w:lang w:val="en-NZ"/>
        </w:rPr>
      </w:pPr>
      <w:r w:rsidRPr="00CD666F">
        <w:rPr>
          <w:rFonts w:ascii="Times New Roman" w:hAnsi="Times New Roman"/>
          <w:b/>
          <w:i/>
          <w:sz w:val="24"/>
          <w:szCs w:val="24"/>
          <w:lang w:val="en-NZ"/>
        </w:rPr>
        <w:t>Income tax compliance</w:t>
      </w:r>
    </w:p>
    <w:p w:rsidR="00C759CC" w:rsidRPr="00CD666F" w:rsidRDefault="00C759CC" w:rsidP="005C7104">
      <w:pPr>
        <w:pStyle w:val="Bullet-list"/>
        <w:spacing w:after="0" w:line="240" w:lineRule="auto"/>
        <w:ind w:left="0" w:firstLine="0"/>
        <w:rPr>
          <w:rFonts w:ascii="Times New Roman" w:hAnsi="Times New Roman"/>
          <w:sz w:val="24"/>
          <w:szCs w:val="24"/>
          <w:lang w:val="en-NZ"/>
        </w:rPr>
      </w:pPr>
    </w:p>
    <w:p w:rsidR="005C7104" w:rsidRPr="00CD666F" w:rsidRDefault="005C7104"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Income Tax Act 2007 contains provisions that impose income tax on certain property transactions.</w:t>
      </w:r>
      <w:r w:rsidR="00C759CC"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C759CC" w:rsidRPr="00CD666F">
        <w:rPr>
          <w:rFonts w:ascii="Times New Roman" w:hAnsi="Times New Roman"/>
          <w:sz w:val="24"/>
          <w:szCs w:val="24"/>
          <w:lang w:val="en-NZ"/>
        </w:rPr>
        <w:t>The key provision that imposes income tax on property transactions is section CB 6, which taxes land bought with an intention or purpose of disposal.</w:t>
      </w:r>
    </w:p>
    <w:p w:rsidR="00C759CC" w:rsidRPr="00CD666F" w:rsidRDefault="00C759CC" w:rsidP="00C759CC">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This “intention test” is difficult to enforce as it relies on a judgement about a taxpayer’s subjective intention.</w:t>
      </w:r>
      <w:r w:rsidR="00A17A61" w:rsidRPr="00CD666F">
        <w:rPr>
          <w:rFonts w:ascii="Times New Roman" w:hAnsi="Times New Roman"/>
          <w:sz w:val="24"/>
          <w:szCs w:val="24"/>
          <w:lang w:val="en-NZ"/>
        </w:rPr>
        <w:t xml:space="preserve"> In </w:t>
      </w:r>
      <w:proofErr w:type="gramStart"/>
      <w:r w:rsidR="00A17A61" w:rsidRPr="00CD666F">
        <w:rPr>
          <w:rFonts w:ascii="Times New Roman" w:hAnsi="Times New Roman"/>
          <w:sz w:val="24"/>
          <w:szCs w:val="24"/>
          <w:lang w:val="en-NZ"/>
        </w:rPr>
        <w:t>addition</w:t>
      </w:r>
      <w:proofErr w:type="gramEnd"/>
      <w:r w:rsidR="00A17A61" w:rsidRPr="00CD666F">
        <w:rPr>
          <w:rFonts w:ascii="Times New Roman" w:hAnsi="Times New Roman"/>
          <w:sz w:val="24"/>
          <w:szCs w:val="24"/>
          <w:lang w:val="en-NZ"/>
        </w:rPr>
        <w:t xml:space="preserve"> the high volume of transactions in residential property creates additional difficulties in enforcing the “intention test”. </w:t>
      </w:r>
      <w:r w:rsidRPr="00CD666F">
        <w:rPr>
          <w:rFonts w:ascii="Times New Roman" w:hAnsi="Times New Roman"/>
          <w:sz w:val="24"/>
          <w:szCs w:val="24"/>
          <w:lang w:val="en-NZ"/>
        </w:rPr>
        <w:t xml:space="preserve"> Investigators in Inland Revenue report this means that the scale of transactions has to be close to that of a business before they can be certain that </w:t>
      </w:r>
      <w:r w:rsidR="00A730AA" w:rsidRPr="00CD666F">
        <w:rPr>
          <w:rFonts w:ascii="Times New Roman" w:hAnsi="Times New Roman"/>
          <w:sz w:val="24"/>
          <w:szCs w:val="24"/>
          <w:lang w:val="en-NZ"/>
        </w:rPr>
        <w:t>the land sale rules apply.</w:t>
      </w:r>
    </w:p>
    <w:p w:rsidR="00C759CC" w:rsidRPr="00CD666F" w:rsidRDefault="00C759CC" w:rsidP="00C759CC">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As a result, investigations by Inland Revenue suggest that many people whose gains from the sale of land are taxable are not returning this income.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The Government is concerned about this non-compliance.</w:t>
      </w:r>
    </w:p>
    <w:p w:rsidR="00C759CC" w:rsidRPr="00CD666F" w:rsidRDefault="00C759CC" w:rsidP="00C759CC">
      <w:pPr>
        <w:pStyle w:val="Bullet-list"/>
        <w:spacing w:after="0" w:line="240" w:lineRule="auto"/>
        <w:rPr>
          <w:rFonts w:ascii="Times New Roman" w:hAnsi="Times New Roman"/>
          <w:sz w:val="24"/>
          <w:szCs w:val="24"/>
          <w:lang w:val="en-NZ"/>
        </w:rPr>
      </w:pPr>
    </w:p>
    <w:p w:rsidR="00C759CC" w:rsidRPr="00CD666F" w:rsidRDefault="00C759CC" w:rsidP="00C759CC">
      <w:pPr>
        <w:pStyle w:val="Bullet-list"/>
        <w:spacing w:after="0" w:line="240" w:lineRule="auto"/>
        <w:ind w:left="0" w:firstLine="0"/>
        <w:rPr>
          <w:rFonts w:ascii="Times New Roman" w:hAnsi="Times New Roman"/>
          <w:b/>
          <w:i/>
          <w:sz w:val="24"/>
          <w:szCs w:val="24"/>
          <w:lang w:val="en-NZ"/>
        </w:rPr>
      </w:pPr>
      <w:r w:rsidRPr="00CD666F">
        <w:rPr>
          <w:rFonts w:ascii="Times New Roman" w:hAnsi="Times New Roman"/>
          <w:b/>
          <w:i/>
          <w:sz w:val="24"/>
          <w:szCs w:val="24"/>
          <w:lang w:val="en-NZ"/>
        </w:rPr>
        <w:t>Bright-line test</w:t>
      </w:r>
    </w:p>
    <w:p w:rsidR="00C759CC" w:rsidRPr="00CD666F" w:rsidRDefault="00C759CC" w:rsidP="00C759CC">
      <w:pPr>
        <w:pStyle w:val="Bullet-list"/>
        <w:spacing w:after="0" w:line="240" w:lineRule="auto"/>
        <w:ind w:left="0" w:firstLine="0"/>
        <w:rPr>
          <w:rFonts w:ascii="Times New Roman" w:hAnsi="Times New Roman"/>
          <w:sz w:val="24"/>
          <w:szCs w:val="24"/>
          <w:lang w:val="en-NZ"/>
        </w:rPr>
      </w:pPr>
    </w:p>
    <w:p w:rsidR="00A730AA" w:rsidRPr="00CD666F" w:rsidRDefault="00A730AA" w:rsidP="00A730AA">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To address these concerns, the Government, as part of Budget 2015, announced a series of measures aimed at providing clearer tax rules </w:t>
      </w:r>
      <w:r w:rsidR="00D26600" w:rsidRPr="00CD666F">
        <w:rPr>
          <w:rFonts w:ascii="Times New Roman" w:hAnsi="Times New Roman"/>
          <w:sz w:val="24"/>
          <w:szCs w:val="24"/>
          <w:lang w:val="en-NZ"/>
        </w:rPr>
        <w:t>for</w:t>
      </w:r>
      <w:r w:rsidRPr="00CD666F">
        <w:rPr>
          <w:rFonts w:ascii="Times New Roman" w:hAnsi="Times New Roman"/>
          <w:sz w:val="24"/>
          <w:szCs w:val="24"/>
          <w:lang w:val="en-NZ"/>
        </w:rPr>
        <w:t xml:space="preserve"> property transactions and providing </w:t>
      </w:r>
      <w:proofErr w:type="gramStart"/>
      <w:r w:rsidRPr="00CD666F">
        <w:rPr>
          <w:rFonts w:ascii="Times New Roman" w:hAnsi="Times New Roman"/>
          <w:sz w:val="24"/>
          <w:szCs w:val="24"/>
          <w:lang w:val="en-NZ"/>
        </w:rPr>
        <w:t>more useful information</w:t>
      </w:r>
      <w:proofErr w:type="gramEnd"/>
      <w:r w:rsidRPr="00CD666F">
        <w:rPr>
          <w:rFonts w:ascii="Times New Roman" w:hAnsi="Times New Roman"/>
          <w:sz w:val="24"/>
          <w:szCs w:val="24"/>
          <w:lang w:val="en-NZ"/>
        </w:rPr>
        <w:t xml:space="preserve"> to Inland Revenue to assist in its enforcement of those rules.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There was also increased funding to Inland Revenue to investigate people who may not be correctly returning income from taxable property sales.  The main change is the introduction of a “bright-line” test that will, in general terms, make the disposal of residential property taxable if the property is bought and sold within a two-year window (subject to certain </w:t>
      </w:r>
      <w:r w:rsidR="00621DEB" w:rsidRPr="00CD666F">
        <w:rPr>
          <w:rFonts w:ascii="Times New Roman" w:hAnsi="Times New Roman"/>
          <w:sz w:val="24"/>
          <w:szCs w:val="24"/>
          <w:lang w:val="en-NZ"/>
        </w:rPr>
        <w:t>exceptions</w:t>
      </w:r>
      <w:r w:rsidR="00034D23" w:rsidRPr="00CD666F">
        <w:rPr>
          <w:rFonts w:ascii="Times New Roman" w:hAnsi="Times New Roman"/>
          <w:sz w:val="24"/>
          <w:szCs w:val="24"/>
          <w:lang w:val="en-NZ"/>
        </w:rPr>
        <w:t>).</w:t>
      </w:r>
    </w:p>
    <w:p w:rsidR="00A730AA" w:rsidRPr="00CD666F" w:rsidRDefault="00A730AA" w:rsidP="00A730AA">
      <w:pPr>
        <w:pStyle w:val="Bullet-list"/>
        <w:spacing w:after="0" w:line="240" w:lineRule="auto"/>
        <w:ind w:left="0" w:firstLine="0"/>
        <w:rPr>
          <w:rFonts w:ascii="Times New Roman" w:hAnsi="Times New Roman"/>
          <w:sz w:val="24"/>
          <w:szCs w:val="24"/>
          <w:lang w:val="en-NZ"/>
        </w:rPr>
      </w:pPr>
    </w:p>
    <w:p w:rsidR="00C759CC" w:rsidRPr="00CD666F" w:rsidRDefault="00C759CC" w:rsidP="00C759CC">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bright-line test </w:t>
      </w:r>
      <w:proofErr w:type="gramStart"/>
      <w:r w:rsidRPr="00CD666F">
        <w:rPr>
          <w:rFonts w:ascii="Times New Roman" w:hAnsi="Times New Roman"/>
          <w:sz w:val="24"/>
          <w:szCs w:val="24"/>
          <w:lang w:val="en-NZ"/>
        </w:rPr>
        <w:t>was seen</w:t>
      </w:r>
      <w:proofErr w:type="gramEnd"/>
      <w:r w:rsidRPr="00CD666F">
        <w:rPr>
          <w:rFonts w:ascii="Times New Roman" w:hAnsi="Times New Roman"/>
          <w:sz w:val="24"/>
          <w:szCs w:val="24"/>
          <w:lang w:val="en-NZ"/>
        </w:rPr>
        <w:t xml:space="preserve"> as a way to deal with the issue of property speculation in the short-term and to help buttress the “intention test”.</w:t>
      </w:r>
    </w:p>
    <w:p w:rsidR="005C7104" w:rsidRPr="00CD666F" w:rsidRDefault="005C7104" w:rsidP="005C7104">
      <w:pPr>
        <w:pStyle w:val="Bullet-list"/>
        <w:spacing w:after="0" w:line="240" w:lineRule="auto"/>
        <w:ind w:left="0" w:firstLine="0"/>
        <w:rPr>
          <w:rFonts w:ascii="Times New Roman" w:hAnsi="Times New Roman"/>
          <w:sz w:val="24"/>
          <w:szCs w:val="24"/>
          <w:lang w:val="en-NZ"/>
        </w:rPr>
      </w:pPr>
    </w:p>
    <w:p w:rsidR="005C7104" w:rsidRPr="00CD666F" w:rsidRDefault="005C7104"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In order to </w:t>
      </w:r>
      <w:r w:rsidR="00A730AA" w:rsidRPr="00CD666F">
        <w:rPr>
          <w:rFonts w:ascii="Times New Roman" w:hAnsi="Times New Roman"/>
          <w:sz w:val="24"/>
          <w:szCs w:val="24"/>
          <w:lang w:val="en-NZ"/>
        </w:rPr>
        <w:t>provide more useful information to</w:t>
      </w:r>
      <w:r w:rsidRPr="00CD666F">
        <w:rPr>
          <w:rFonts w:ascii="Times New Roman" w:hAnsi="Times New Roman"/>
          <w:sz w:val="24"/>
          <w:szCs w:val="24"/>
          <w:lang w:val="en-NZ"/>
        </w:rPr>
        <w:t xml:space="preserve"> Inland Revenue</w:t>
      </w:r>
      <w:r w:rsidR="00E6379C" w:rsidRPr="00CD666F">
        <w:rPr>
          <w:rFonts w:ascii="Times New Roman" w:hAnsi="Times New Roman"/>
          <w:sz w:val="24"/>
          <w:szCs w:val="24"/>
          <w:lang w:val="en-NZ"/>
        </w:rPr>
        <w:t xml:space="preserve"> </w:t>
      </w:r>
      <w:r w:rsidRPr="00CD666F">
        <w:rPr>
          <w:rFonts w:ascii="Times New Roman" w:hAnsi="Times New Roman"/>
          <w:sz w:val="24"/>
          <w:szCs w:val="24"/>
          <w:lang w:val="en-NZ"/>
        </w:rPr>
        <w:t>to enforce the tax laws, two further changes were announced:</w:t>
      </w:r>
    </w:p>
    <w:p w:rsidR="00063042" w:rsidRPr="00CD666F" w:rsidRDefault="00063042" w:rsidP="00063042">
      <w:pPr>
        <w:pStyle w:val="Bullet-list"/>
        <w:spacing w:after="0" w:line="240" w:lineRule="auto"/>
        <w:rPr>
          <w:rFonts w:ascii="Times New Roman" w:hAnsi="Times New Roman"/>
          <w:sz w:val="24"/>
          <w:szCs w:val="24"/>
          <w:lang w:val="en-NZ"/>
        </w:rPr>
      </w:pPr>
    </w:p>
    <w:p w:rsidR="00063042" w:rsidRPr="00CD666F" w:rsidRDefault="00063042" w:rsidP="00063042">
      <w:pPr>
        <w:pStyle w:val="Bullet-list"/>
        <w:numPr>
          <w:ilvl w:val="0"/>
          <w:numId w:val="7"/>
        </w:numPr>
        <w:spacing w:after="0" w:line="240" w:lineRule="auto"/>
        <w:rPr>
          <w:rFonts w:ascii="Times New Roman" w:hAnsi="Times New Roman"/>
          <w:sz w:val="24"/>
          <w:szCs w:val="24"/>
          <w:lang w:val="en-NZ"/>
        </w:rPr>
      </w:pPr>
      <w:r w:rsidRPr="00CD666F">
        <w:rPr>
          <w:rFonts w:ascii="Times New Roman" w:hAnsi="Times New Roman"/>
          <w:sz w:val="24"/>
          <w:szCs w:val="24"/>
          <w:lang w:val="en-NZ"/>
        </w:rPr>
        <w:t>Vendors and purchasers will</w:t>
      </w:r>
      <w:r w:rsidR="006F01D3" w:rsidRPr="00CD666F">
        <w:rPr>
          <w:rFonts w:ascii="Times New Roman" w:hAnsi="Times New Roman"/>
          <w:sz w:val="24"/>
          <w:szCs w:val="24"/>
          <w:lang w:val="en-NZ"/>
        </w:rPr>
        <w:t xml:space="preserve"> generally</w:t>
      </w:r>
      <w:r w:rsidRPr="00CD666F">
        <w:rPr>
          <w:rFonts w:ascii="Times New Roman" w:hAnsi="Times New Roman"/>
          <w:sz w:val="24"/>
          <w:szCs w:val="24"/>
          <w:lang w:val="en-NZ"/>
        </w:rPr>
        <w:t xml:space="preserve"> be required to provide their IRD numbers (and, if they are tax residents of another </w:t>
      </w:r>
      <w:proofErr w:type="gramStart"/>
      <w:r w:rsidRPr="00CD666F">
        <w:rPr>
          <w:rFonts w:ascii="Times New Roman" w:hAnsi="Times New Roman"/>
          <w:sz w:val="24"/>
          <w:szCs w:val="24"/>
          <w:lang w:val="en-NZ"/>
        </w:rPr>
        <w:t>jurisdiction, also</w:t>
      </w:r>
      <w:proofErr w:type="gramEnd"/>
      <w:r w:rsidRPr="00CD666F">
        <w:rPr>
          <w:rFonts w:ascii="Times New Roman" w:hAnsi="Times New Roman"/>
          <w:sz w:val="24"/>
          <w:szCs w:val="24"/>
          <w:lang w:val="en-NZ"/>
        </w:rPr>
        <w:t xml:space="preserve"> provide their foreign tax identification nu</w:t>
      </w:r>
      <w:r w:rsidR="00034D23" w:rsidRPr="00CD666F">
        <w:rPr>
          <w:rFonts w:ascii="Times New Roman" w:hAnsi="Times New Roman"/>
          <w:sz w:val="24"/>
          <w:szCs w:val="24"/>
          <w:lang w:val="en-NZ"/>
        </w:rPr>
        <w:t>mber) at the time of transfer.</w:t>
      </w:r>
    </w:p>
    <w:p w:rsidR="00063042" w:rsidRPr="00CD666F" w:rsidRDefault="00063042" w:rsidP="00063042">
      <w:pPr>
        <w:pStyle w:val="Bullet-list"/>
        <w:spacing w:after="0" w:line="240" w:lineRule="auto"/>
        <w:ind w:left="0" w:firstLine="0"/>
        <w:rPr>
          <w:rFonts w:ascii="Times New Roman" w:hAnsi="Times New Roman"/>
          <w:sz w:val="24"/>
          <w:szCs w:val="24"/>
          <w:lang w:val="en-NZ"/>
        </w:rPr>
      </w:pPr>
    </w:p>
    <w:p w:rsidR="00063042" w:rsidRPr="00CD666F" w:rsidRDefault="00063042" w:rsidP="00063042">
      <w:pPr>
        <w:pStyle w:val="Bullet-list"/>
        <w:numPr>
          <w:ilvl w:val="0"/>
          <w:numId w:val="7"/>
        </w:numPr>
        <w:spacing w:after="0" w:line="240" w:lineRule="auto"/>
        <w:rPr>
          <w:rFonts w:ascii="Times New Roman" w:hAnsi="Times New Roman"/>
          <w:sz w:val="24"/>
          <w:szCs w:val="24"/>
          <w:lang w:val="en-NZ"/>
        </w:rPr>
      </w:pPr>
      <w:r w:rsidRPr="00CD666F">
        <w:rPr>
          <w:rFonts w:ascii="Times New Roman" w:hAnsi="Times New Roman"/>
          <w:sz w:val="24"/>
          <w:szCs w:val="24"/>
          <w:lang w:val="en-NZ"/>
        </w:rPr>
        <w:t>The second proposal is that an offshore person will be required to provide evidence of a New Zealand bank account as a prerequisi</w:t>
      </w:r>
      <w:r w:rsidR="006B384B" w:rsidRPr="00CD666F">
        <w:rPr>
          <w:rFonts w:ascii="Times New Roman" w:hAnsi="Times New Roman"/>
          <w:sz w:val="24"/>
          <w:szCs w:val="24"/>
          <w:lang w:val="en-NZ"/>
        </w:rPr>
        <w:t>te to obtaining an IRD number.</w:t>
      </w:r>
    </w:p>
    <w:p w:rsidR="00063042" w:rsidRPr="00CD666F" w:rsidRDefault="00063042" w:rsidP="00063042">
      <w:pPr>
        <w:pStyle w:val="Bullet-list"/>
        <w:spacing w:after="0" w:line="240" w:lineRule="auto"/>
        <w:rPr>
          <w:rFonts w:ascii="Times New Roman" w:hAnsi="Times New Roman"/>
          <w:sz w:val="24"/>
          <w:szCs w:val="24"/>
          <w:lang w:val="en-NZ"/>
        </w:rPr>
      </w:pPr>
    </w:p>
    <w:p w:rsidR="00987D6B" w:rsidRPr="00CD666F" w:rsidRDefault="00987D6B" w:rsidP="00FF1517">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These changes were canvassed in the regulatory impact statements </w:t>
      </w:r>
      <w:r w:rsidR="00FF1517" w:rsidRPr="00CD666F">
        <w:rPr>
          <w:rFonts w:ascii="Times New Roman" w:hAnsi="Times New Roman"/>
          <w:i/>
          <w:sz w:val="24"/>
          <w:szCs w:val="24"/>
          <w:lang w:val="en-NZ"/>
        </w:rPr>
        <w:t>Sellers and purchasers of real property required to supply their IRD numbers and tax information numbers</w:t>
      </w:r>
      <w:r w:rsidR="00FF1517" w:rsidRPr="00CD666F">
        <w:rPr>
          <w:rFonts w:ascii="Times New Roman" w:hAnsi="Times New Roman"/>
          <w:sz w:val="24"/>
          <w:szCs w:val="24"/>
          <w:lang w:val="en-NZ"/>
        </w:rPr>
        <w:t xml:space="preserve">, and </w:t>
      </w:r>
      <w:proofErr w:type="gramStart"/>
      <w:r w:rsidR="00FF1517" w:rsidRPr="00CD666F">
        <w:rPr>
          <w:rFonts w:ascii="Times New Roman" w:hAnsi="Times New Roman"/>
          <w:i/>
          <w:sz w:val="24"/>
          <w:szCs w:val="24"/>
          <w:lang w:val="en-NZ"/>
        </w:rPr>
        <w:t>Requiring</w:t>
      </w:r>
      <w:proofErr w:type="gramEnd"/>
      <w:r w:rsidR="00FF1517" w:rsidRPr="00CD666F">
        <w:rPr>
          <w:rFonts w:ascii="Times New Roman" w:hAnsi="Times New Roman"/>
          <w:i/>
          <w:sz w:val="24"/>
          <w:szCs w:val="24"/>
          <w:lang w:val="en-NZ"/>
        </w:rPr>
        <w:t xml:space="preserve"> non-resident IRD number applicant to have a New Zealand bank account.</w:t>
      </w:r>
    </w:p>
    <w:p w:rsidR="00987D6B" w:rsidRPr="00CD666F" w:rsidRDefault="00987D6B" w:rsidP="005C7104">
      <w:pPr>
        <w:pStyle w:val="Bullet-list"/>
        <w:spacing w:after="0" w:line="240" w:lineRule="auto"/>
        <w:ind w:left="0" w:firstLine="0"/>
        <w:rPr>
          <w:rFonts w:ascii="Times New Roman" w:hAnsi="Times New Roman"/>
          <w:sz w:val="24"/>
          <w:szCs w:val="24"/>
          <w:lang w:val="en-NZ"/>
        </w:rPr>
      </w:pPr>
    </w:p>
    <w:p w:rsidR="005C7104" w:rsidRPr="00CD666F" w:rsidRDefault="005C7104"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This </w:t>
      </w:r>
      <w:r w:rsidR="00CC25A2" w:rsidRPr="00CD666F">
        <w:rPr>
          <w:rFonts w:ascii="Times New Roman" w:hAnsi="Times New Roman"/>
          <w:sz w:val="24"/>
          <w:szCs w:val="24"/>
          <w:lang w:val="en-NZ"/>
        </w:rPr>
        <w:t>RIS</w:t>
      </w:r>
      <w:r w:rsidRPr="00CD666F">
        <w:rPr>
          <w:rFonts w:ascii="Times New Roman" w:hAnsi="Times New Roman"/>
          <w:sz w:val="24"/>
          <w:szCs w:val="24"/>
          <w:lang w:val="en-NZ"/>
        </w:rPr>
        <w:t xml:space="preserve"> deals with the</w:t>
      </w:r>
      <w:r w:rsidR="005872CC" w:rsidRPr="00CD666F">
        <w:rPr>
          <w:rFonts w:ascii="Times New Roman" w:hAnsi="Times New Roman"/>
          <w:sz w:val="24"/>
          <w:szCs w:val="24"/>
          <w:lang w:val="en-NZ"/>
        </w:rPr>
        <w:t xml:space="preserve"> </w:t>
      </w:r>
      <w:r w:rsidR="0055611A" w:rsidRPr="00CD666F">
        <w:rPr>
          <w:rFonts w:ascii="Times New Roman" w:hAnsi="Times New Roman"/>
          <w:sz w:val="24"/>
          <w:szCs w:val="24"/>
          <w:lang w:val="en-NZ"/>
        </w:rPr>
        <w:t>main change</w:t>
      </w:r>
      <w:r w:rsidRPr="00CD666F">
        <w:rPr>
          <w:rFonts w:ascii="Times New Roman" w:hAnsi="Times New Roman"/>
          <w:sz w:val="24"/>
          <w:szCs w:val="24"/>
          <w:lang w:val="en-NZ"/>
        </w:rPr>
        <w:t xml:space="preserve">: the </w:t>
      </w:r>
      <w:r w:rsidR="005872CC" w:rsidRPr="00CD666F">
        <w:rPr>
          <w:rFonts w:ascii="Times New Roman" w:hAnsi="Times New Roman"/>
          <w:sz w:val="24"/>
          <w:szCs w:val="24"/>
          <w:lang w:val="en-NZ"/>
        </w:rPr>
        <w:t>bright-line test</w:t>
      </w:r>
      <w:r w:rsidRPr="00CD666F">
        <w:rPr>
          <w:rFonts w:ascii="Times New Roman" w:hAnsi="Times New Roman"/>
          <w:sz w:val="24"/>
          <w:szCs w:val="24"/>
          <w:lang w:val="en-NZ"/>
        </w:rPr>
        <w:t xml:space="preserve">.  </w:t>
      </w:r>
      <w:r w:rsidR="00987D6B" w:rsidRPr="00CD666F">
        <w:rPr>
          <w:rFonts w:ascii="Times New Roman" w:hAnsi="Times New Roman"/>
          <w:sz w:val="24"/>
          <w:szCs w:val="24"/>
          <w:lang w:val="en-NZ"/>
        </w:rPr>
        <w:t xml:space="preserve">Specifically it deals with the question of how best to design </w:t>
      </w:r>
      <w:r w:rsidR="00E6379C" w:rsidRPr="00CD666F">
        <w:rPr>
          <w:rFonts w:ascii="Times New Roman" w:hAnsi="Times New Roman"/>
          <w:sz w:val="24"/>
          <w:szCs w:val="24"/>
          <w:lang w:val="en-NZ"/>
        </w:rPr>
        <w:t xml:space="preserve">and implement </w:t>
      </w:r>
      <w:r w:rsidR="00987D6B" w:rsidRPr="00CD666F">
        <w:rPr>
          <w:rFonts w:ascii="Times New Roman" w:hAnsi="Times New Roman"/>
          <w:sz w:val="24"/>
          <w:szCs w:val="24"/>
          <w:lang w:val="en-NZ"/>
        </w:rPr>
        <w:t>a bright-line test in order to ensure that it meets the stated objectives.</w:t>
      </w:r>
    </w:p>
    <w:p w:rsidR="00073D69" w:rsidRPr="00CD666F" w:rsidRDefault="00073D69" w:rsidP="00073D69">
      <w:pPr>
        <w:pStyle w:val="Bullet-list"/>
        <w:spacing w:after="0" w:line="240" w:lineRule="auto"/>
        <w:ind w:left="0" w:firstLine="0"/>
        <w:rPr>
          <w:rFonts w:ascii="Times New Roman" w:hAnsi="Times New Roman"/>
          <w:sz w:val="24"/>
          <w:szCs w:val="24"/>
          <w:lang w:val="en-NZ"/>
        </w:rPr>
      </w:pPr>
    </w:p>
    <w:p w:rsidR="000545DC" w:rsidRPr="00CD666F" w:rsidRDefault="00073D69" w:rsidP="004342F0">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Government directed the Treasury and Inland Revenue to explore options of how best to design </w:t>
      </w:r>
      <w:r w:rsidR="00E6379C" w:rsidRPr="00CD666F">
        <w:rPr>
          <w:rFonts w:ascii="Times New Roman" w:hAnsi="Times New Roman"/>
          <w:sz w:val="24"/>
          <w:szCs w:val="24"/>
          <w:lang w:val="en-NZ"/>
        </w:rPr>
        <w:t xml:space="preserve">and implement </w:t>
      </w:r>
      <w:r w:rsidRPr="00CD666F">
        <w:rPr>
          <w:rFonts w:ascii="Times New Roman" w:hAnsi="Times New Roman"/>
          <w:sz w:val="24"/>
          <w:szCs w:val="24"/>
          <w:lang w:val="en-NZ"/>
        </w:rPr>
        <w:t xml:space="preserve">a bright-line test.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This led to the release of the </w:t>
      </w:r>
      <w:r w:rsidR="00E6379C" w:rsidRPr="00CD666F">
        <w:rPr>
          <w:rFonts w:ascii="Times New Roman" w:hAnsi="Times New Roman"/>
          <w:sz w:val="24"/>
          <w:szCs w:val="24"/>
          <w:lang w:val="en-NZ"/>
        </w:rPr>
        <w:t xml:space="preserve">Officials’ </w:t>
      </w:r>
      <w:r w:rsidRPr="00CD666F">
        <w:rPr>
          <w:rFonts w:ascii="Times New Roman" w:hAnsi="Times New Roman"/>
          <w:sz w:val="24"/>
          <w:szCs w:val="24"/>
          <w:lang w:val="en-NZ"/>
        </w:rPr>
        <w:t xml:space="preserve">Issues Paper </w:t>
      </w:r>
      <w:r w:rsidRPr="00CD666F">
        <w:rPr>
          <w:rFonts w:ascii="Times New Roman" w:hAnsi="Times New Roman"/>
          <w:i/>
          <w:sz w:val="24"/>
          <w:szCs w:val="24"/>
          <w:lang w:val="en-NZ"/>
        </w:rPr>
        <w:t>Bright-line test for sales of residential property.</w:t>
      </w:r>
      <w:r w:rsidR="00E6379C" w:rsidRPr="00CD666F">
        <w:rPr>
          <w:rFonts w:ascii="Times New Roman" w:hAnsi="Times New Roman"/>
          <w:sz w:val="24"/>
          <w:szCs w:val="24"/>
          <w:lang w:val="en-NZ"/>
        </w:rPr>
        <w:t xml:space="preserve">  The issues paper proposed</w:t>
      </w:r>
      <w:r w:rsidR="00E60DAB" w:rsidRPr="00CD666F">
        <w:rPr>
          <w:rFonts w:ascii="Times New Roman" w:hAnsi="Times New Roman"/>
          <w:sz w:val="24"/>
          <w:szCs w:val="24"/>
          <w:lang w:val="en-NZ"/>
        </w:rPr>
        <w:t xml:space="preserve"> a two-year bright-line test with the following key design features:</w:t>
      </w:r>
    </w:p>
    <w:p w:rsidR="00E60DAB" w:rsidRPr="00CD666F" w:rsidRDefault="00E60DAB" w:rsidP="00E60DAB">
      <w:pPr>
        <w:pStyle w:val="Bullet-list"/>
        <w:spacing w:after="0" w:line="240" w:lineRule="auto"/>
        <w:rPr>
          <w:rFonts w:ascii="Times New Roman" w:hAnsi="Times New Roman"/>
          <w:sz w:val="24"/>
          <w:szCs w:val="24"/>
          <w:lang w:val="en-NZ"/>
        </w:rPr>
      </w:pPr>
    </w:p>
    <w:p w:rsidR="00E60DAB" w:rsidRPr="00CD666F" w:rsidRDefault="00E60DAB" w:rsidP="00E60DAB">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The two-year period for the bright-line test runs from the date a person has title for the property transferred to them and ends at the time the person enters in a contract to sell the property.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An additional rule applies for sales “off the plan”.</w:t>
      </w:r>
    </w:p>
    <w:p w:rsidR="00E60DAB" w:rsidRPr="00CD666F" w:rsidRDefault="00E60DAB" w:rsidP="00E60DAB">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The bright-line test will apply only to residential land.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Residential land includes land where the</w:t>
      </w:r>
      <w:r w:rsidR="00301B15" w:rsidRPr="00CD666F">
        <w:rPr>
          <w:rFonts w:ascii="Times New Roman" w:hAnsi="Times New Roman"/>
          <w:sz w:val="24"/>
          <w:szCs w:val="24"/>
          <w:lang w:val="en-NZ"/>
        </w:rPr>
        <w:t>re is</w:t>
      </w:r>
      <w:r w:rsidRPr="00CD666F">
        <w:rPr>
          <w:rFonts w:ascii="Times New Roman" w:hAnsi="Times New Roman"/>
          <w:sz w:val="24"/>
          <w:szCs w:val="24"/>
          <w:lang w:val="en-NZ"/>
        </w:rPr>
        <w:t xml:space="preserve"> an arrangement to build a dwelling</w:t>
      </w:r>
      <w:r w:rsidR="00301B15" w:rsidRPr="00CD666F">
        <w:rPr>
          <w:rFonts w:ascii="Times New Roman" w:hAnsi="Times New Roman"/>
          <w:sz w:val="24"/>
          <w:szCs w:val="24"/>
          <w:lang w:val="en-NZ"/>
        </w:rPr>
        <w:t xml:space="preserve"> on it</w:t>
      </w:r>
      <w:r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Residential land does not include business premises or farmland.</w:t>
      </w:r>
    </w:p>
    <w:p w:rsidR="00E60DAB" w:rsidRPr="00CD666F" w:rsidRDefault="00E60DAB" w:rsidP="00C2315C">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The bright-line test will generally not apply to a person’s main home.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A person can only have one main home.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The main home exception applies to properties held in trust.  There are rules preventing trusts </w:t>
      </w:r>
      <w:proofErr w:type="gramStart"/>
      <w:r w:rsidRPr="00CD666F">
        <w:rPr>
          <w:rFonts w:ascii="Times New Roman" w:hAnsi="Times New Roman"/>
          <w:sz w:val="24"/>
          <w:szCs w:val="24"/>
          <w:lang w:val="en-NZ"/>
        </w:rPr>
        <w:t>being used</w:t>
      </w:r>
      <w:proofErr w:type="gramEnd"/>
      <w:r w:rsidRPr="00CD666F">
        <w:rPr>
          <w:rFonts w:ascii="Times New Roman" w:hAnsi="Times New Roman"/>
          <w:sz w:val="24"/>
          <w:szCs w:val="24"/>
          <w:lang w:val="en-NZ"/>
        </w:rPr>
        <w:t xml:space="preserve"> to obtain the exception for multiple properties.</w:t>
      </w:r>
    </w:p>
    <w:p w:rsidR="00E60DAB" w:rsidRPr="00CD666F" w:rsidRDefault="00E60DAB" w:rsidP="00E60DAB">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The bright-line test will not apply to property acquired through an inheritance and rollover relief is available for property transferred under a relationship property agreement.</w:t>
      </w:r>
    </w:p>
    <w:p w:rsidR="00E60DAB" w:rsidRPr="00CD666F" w:rsidRDefault="00E60DAB" w:rsidP="00E60DAB">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Losses arising from the bright-line test will be ring-fenced so they </w:t>
      </w:r>
      <w:proofErr w:type="gramStart"/>
      <w:r w:rsidRPr="00CD666F">
        <w:rPr>
          <w:rFonts w:ascii="Times New Roman" w:hAnsi="Times New Roman"/>
          <w:sz w:val="24"/>
          <w:szCs w:val="24"/>
          <w:lang w:val="en-NZ"/>
        </w:rPr>
        <w:t>may only be used</w:t>
      </w:r>
      <w:proofErr w:type="gramEnd"/>
      <w:r w:rsidRPr="00CD666F">
        <w:rPr>
          <w:rFonts w:ascii="Times New Roman" w:hAnsi="Times New Roman"/>
          <w:sz w:val="24"/>
          <w:szCs w:val="24"/>
          <w:lang w:val="en-NZ"/>
        </w:rPr>
        <w:t xml:space="preserve"> to offset taxable gains from other land sales.</w:t>
      </w:r>
    </w:p>
    <w:p w:rsidR="00E60DAB" w:rsidRPr="00CD666F" w:rsidRDefault="00E60DAB" w:rsidP="00E60DAB">
      <w:pPr>
        <w:pStyle w:val="Bullet-list"/>
        <w:numPr>
          <w:ilvl w:val="0"/>
          <w:numId w:val="13"/>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A specific anti-avoidance rule applies to counter companies and trusts </w:t>
      </w:r>
      <w:proofErr w:type="gramStart"/>
      <w:r w:rsidRPr="00CD666F">
        <w:rPr>
          <w:rFonts w:ascii="Times New Roman" w:hAnsi="Times New Roman"/>
          <w:sz w:val="24"/>
          <w:szCs w:val="24"/>
          <w:lang w:val="en-NZ"/>
        </w:rPr>
        <w:t>being used</w:t>
      </w:r>
      <w:proofErr w:type="gramEnd"/>
      <w:r w:rsidRPr="00CD666F">
        <w:rPr>
          <w:rFonts w:ascii="Times New Roman" w:hAnsi="Times New Roman"/>
          <w:sz w:val="24"/>
          <w:szCs w:val="24"/>
          <w:lang w:val="en-NZ"/>
        </w:rPr>
        <w:t xml:space="preserve"> to circumvent the bright-line test.</w:t>
      </w:r>
    </w:p>
    <w:p w:rsidR="00E60DAB" w:rsidRPr="00CD666F" w:rsidRDefault="00E60DAB" w:rsidP="00E60DAB">
      <w:pPr>
        <w:pStyle w:val="Bullet-list"/>
        <w:spacing w:after="0" w:line="240" w:lineRule="auto"/>
        <w:rPr>
          <w:rFonts w:ascii="Times New Roman" w:hAnsi="Times New Roman"/>
          <w:sz w:val="24"/>
          <w:szCs w:val="24"/>
          <w:lang w:val="en-NZ"/>
        </w:rPr>
      </w:pPr>
    </w:p>
    <w:p w:rsidR="00E60DAB" w:rsidRPr="00CD666F" w:rsidRDefault="00E60DAB" w:rsidP="00E60DAB">
      <w:pPr>
        <w:pStyle w:val="Bullet-list"/>
        <w:spacing w:after="0" w:line="240" w:lineRule="auto"/>
        <w:rPr>
          <w:rFonts w:ascii="Times New Roman" w:hAnsi="Times New Roman"/>
          <w:sz w:val="24"/>
          <w:szCs w:val="24"/>
          <w:lang w:val="en-NZ"/>
        </w:rPr>
      </w:pPr>
    </w:p>
    <w:p w:rsidR="00E60DAB" w:rsidRPr="00CD666F" w:rsidRDefault="00E60DAB" w:rsidP="00E60DAB">
      <w:pPr>
        <w:pStyle w:val="Bullet-list"/>
        <w:spacing w:after="0" w:line="240" w:lineRule="auto"/>
        <w:rPr>
          <w:rFonts w:ascii="Times New Roman" w:hAnsi="Times New Roman"/>
          <w:sz w:val="24"/>
          <w:szCs w:val="24"/>
          <w:lang w:val="en-NZ"/>
        </w:rPr>
      </w:pPr>
    </w:p>
    <w:p w:rsidR="00FF1517" w:rsidRPr="00CD666F" w:rsidRDefault="00FF1517" w:rsidP="00FF1517">
      <w:pPr>
        <w:pStyle w:val="Bullet-list"/>
        <w:spacing w:after="0" w:line="240" w:lineRule="auto"/>
        <w:ind w:left="0" w:firstLine="0"/>
        <w:rPr>
          <w:rFonts w:ascii="Times New Roman" w:hAnsi="Times New Roman"/>
          <w:sz w:val="24"/>
          <w:szCs w:val="24"/>
          <w:lang w:val="en-NZ"/>
        </w:rPr>
      </w:pPr>
    </w:p>
    <w:p w:rsidR="004C0431" w:rsidRPr="00CD666F" w:rsidRDefault="00D943DD" w:rsidP="00CB3BFA">
      <w:pPr>
        <w:pStyle w:val="RISheading"/>
        <w:rPr>
          <w:spacing w:val="0"/>
          <w:w w:val="100"/>
          <w:lang w:val="en-NZ"/>
        </w:rPr>
      </w:pPr>
      <w:bookmarkStart w:id="12" w:name="_Toc244580364"/>
      <w:bookmarkStart w:id="13" w:name="_Toc244587040"/>
      <w:bookmarkStart w:id="14" w:name="_Toc244857274"/>
      <w:bookmarkStart w:id="15" w:name="_Toc244912539"/>
      <w:bookmarkStart w:id="16" w:name="_Toc244916996"/>
      <w:r w:rsidRPr="00CD666F">
        <w:rPr>
          <w:spacing w:val="0"/>
          <w:w w:val="100"/>
          <w:lang w:val="en-NZ"/>
        </w:rPr>
        <w:t>OBJECTIVES</w:t>
      </w:r>
      <w:bookmarkEnd w:id="12"/>
      <w:bookmarkEnd w:id="13"/>
      <w:bookmarkEnd w:id="14"/>
      <w:bookmarkEnd w:id="15"/>
      <w:bookmarkEnd w:id="16"/>
    </w:p>
    <w:p w:rsidR="004C0431" w:rsidRPr="00CD666F" w:rsidRDefault="004C0431" w:rsidP="004C0431">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objectives are:</w:t>
      </w:r>
    </w:p>
    <w:p w:rsidR="004C0431" w:rsidRPr="00CD666F" w:rsidRDefault="004C0431" w:rsidP="004C0431">
      <w:pPr>
        <w:pStyle w:val="Bullet-list"/>
        <w:spacing w:after="0" w:line="240" w:lineRule="auto"/>
        <w:rPr>
          <w:rFonts w:ascii="Times New Roman" w:hAnsi="Times New Roman"/>
          <w:sz w:val="24"/>
          <w:szCs w:val="24"/>
          <w:lang w:val="en-NZ"/>
        </w:rPr>
      </w:pPr>
    </w:p>
    <w:p w:rsidR="004C0431" w:rsidRPr="00CD666F" w:rsidRDefault="004C0431" w:rsidP="004C0431">
      <w:pPr>
        <w:pStyle w:val="Bullet-list"/>
        <w:numPr>
          <w:ilvl w:val="0"/>
          <w:numId w:val="6"/>
        </w:numPr>
        <w:spacing w:after="0" w:line="240" w:lineRule="auto"/>
        <w:rPr>
          <w:rFonts w:ascii="Times New Roman" w:hAnsi="Times New Roman"/>
          <w:sz w:val="24"/>
          <w:szCs w:val="24"/>
          <w:lang w:val="en-NZ"/>
        </w:rPr>
      </w:pPr>
      <w:r w:rsidRPr="00CD666F">
        <w:rPr>
          <w:rFonts w:ascii="Times New Roman" w:hAnsi="Times New Roman"/>
          <w:sz w:val="24"/>
          <w:szCs w:val="24"/>
          <w:lang w:val="en-NZ"/>
        </w:rPr>
        <w:t>Provide an easier rule for Inland Revenue to enforce to target short</w:t>
      </w:r>
      <w:r w:rsidR="00711D36" w:rsidRPr="00CD666F">
        <w:rPr>
          <w:rFonts w:ascii="Times New Roman" w:hAnsi="Times New Roman"/>
          <w:sz w:val="24"/>
          <w:szCs w:val="24"/>
          <w:lang w:val="en-NZ"/>
        </w:rPr>
        <w:t>-</w:t>
      </w:r>
      <w:r w:rsidRPr="00CD666F">
        <w:rPr>
          <w:rFonts w:ascii="Times New Roman" w:hAnsi="Times New Roman"/>
          <w:sz w:val="24"/>
          <w:szCs w:val="24"/>
          <w:lang w:val="en-NZ"/>
        </w:rPr>
        <w:t>term speculation in residential property</w:t>
      </w:r>
      <w:r w:rsidR="00546783" w:rsidRPr="00CD666F">
        <w:rPr>
          <w:rFonts w:ascii="Times New Roman" w:hAnsi="Times New Roman"/>
          <w:sz w:val="24"/>
          <w:szCs w:val="24"/>
          <w:lang w:val="en-NZ"/>
        </w:rPr>
        <w:t>.</w:t>
      </w:r>
    </w:p>
    <w:p w:rsidR="004C0431" w:rsidRPr="00CD666F" w:rsidRDefault="004C0431" w:rsidP="004C0431">
      <w:pPr>
        <w:pStyle w:val="Bullet-list"/>
        <w:numPr>
          <w:ilvl w:val="0"/>
          <w:numId w:val="6"/>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Minimise the number of sales made taxable that </w:t>
      </w:r>
      <w:proofErr w:type="gramStart"/>
      <w:r w:rsidRPr="00CD666F">
        <w:rPr>
          <w:rFonts w:ascii="Times New Roman" w:hAnsi="Times New Roman"/>
          <w:sz w:val="24"/>
          <w:szCs w:val="24"/>
          <w:lang w:val="en-NZ"/>
        </w:rPr>
        <w:t>were acquired</w:t>
      </w:r>
      <w:proofErr w:type="gramEnd"/>
      <w:r w:rsidRPr="00CD666F">
        <w:rPr>
          <w:rFonts w:ascii="Times New Roman" w:hAnsi="Times New Roman"/>
          <w:sz w:val="24"/>
          <w:szCs w:val="24"/>
          <w:lang w:val="en-NZ"/>
        </w:rPr>
        <w:t xml:space="preserve"> without an intention of resale.</w:t>
      </w:r>
    </w:p>
    <w:p w:rsidR="004C0431" w:rsidRPr="00CD666F" w:rsidRDefault="004C0431" w:rsidP="00CB3BFA">
      <w:pPr>
        <w:pStyle w:val="Bullet-list"/>
        <w:numPr>
          <w:ilvl w:val="0"/>
          <w:numId w:val="6"/>
        </w:numPr>
        <w:spacing w:after="0" w:line="240" w:lineRule="auto"/>
        <w:rPr>
          <w:rFonts w:ascii="Times New Roman" w:hAnsi="Times New Roman"/>
          <w:sz w:val="24"/>
          <w:szCs w:val="24"/>
          <w:lang w:val="en-NZ"/>
        </w:rPr>
      </w:pPr>
      <w:r w:rsidRPr="00CD666F">
        <w:rPr>
          <w:rFonts w:ascii="Times New Roman" w:hAnsi="Times New Roman"/>
          <w:sz w:val="24"/>
          <w:szCs w:val="24"/>
          <w:lang w:val="en-NZ"/>
        </w:rPr>
        <w:t>Minimise compliance costs for taxpayers in complying with the bright-line test.</w:t>
      </w:r>
    </w:p>
    <w:p w:rsidR="004C0431" w:rsidRPr="00CD666F" w:rsidRDefault="004C0431" w:rsidP="006B384B">
      <w:pPr>
        <w:pStyle w:val="Bullet-list"/>
        <w:spacing w:after="0" w:line="240" w:lineRule="auto"/>
        <w:rPr>
          <w:rFonts w:ascii="Times New Roman" w:hAnsi="Times New Roman"/>
          <w:sz w:val="24"/>
          <w:szCs w:val="24"/>
          <w:lang w:val="en-NZ"/>
        </w:rPr>
      </w:pPr>
    </w:p>
    <w:p w:rsidR="00CB3BFA" w:rsidRPr="00CD666F" w:rsidRDefault="001D6422"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w:t>
      </w:r>
      <w:r w:rsidR="004C0431" w:rsidRPr="00CD666F">
        <w:rPr>
          <w:rFonts w:ascii="Times New Roman" w:hAnsi="Times New Roman"/>
          <w:sz w:val="24"/>
          <w:szCs w:val="24"/>
          <w:lang w:val="en-NZ"/>
        </w:rPr>
        <w:t>first objective</w:t>
      </w:r>
      <w:r w:rsidRPr="00CD666F">
        <w:rPr>
          <w:rFonts w:ascii="Times New Roman" w:hAnsi="Times New Roman"/>
          <w:sz w:val="24"/>
          <w:szCs w:val="24"/>
          <w:lang w:val="en-NZ"/>
        </w:rPr>
        <w:t xml:space="preserve"> </w:t>
      </w:r>
      <w:r w:rsidR="00AF1ACE" w:rsidRPr="00CD666F">
        <w:rPr>
          <w:rFonts w:ascii="Times New Roman" w:hAnsi="Times New Roman"/>
          <w:sz w:val="24"/>
          <w:szCs w:val="24"/>
          <w:lang w:val="en-NZ"/>
        </w:rPr>
        <w:t xml:space="preserve">is to provide an easier to enforce rule </w:t>
      </w:r>
      <w:r w:rsidR="00051AC3" w:rsidRPr="00CD666F">
        <w:rPr>
          <w:rFonts w:ascii="Times New Roman" w:hAnsi="Times New Roman"/>
          <w:sz w:val="24"/>
          <w:szCs w:val="24"/>
          <w:lang w:val="en-NZ"/>
        </w:rPr>
        <w:t>to supplement</w:t>
      </w:r>
      <w:r w:rsidR="00AF1ACE" w:rsidRPr="00CD666F">
        <w:rPr>
          <w:rFonts w:ascii="Times New Roman" w:hAnsi="Times New Roman"/>
          <w:sz w:val="24"/>
          <w:szCs w:val="24"/>
          <w:lang w:val="en-NZ"/>
        </w:rPr>
        <w:t xml:space="preserve"> the current “intention test”.</w:t>
      </w:r>
      <w:r w:rsidR="006B384B" w:rsidRPr="00CD666F">
        <w:rPr>
          <w:rFonts w:ascii="Times New Roman" w:hAnsi="Times New Roman"/>
          <w:sz w:val="24"/>
          <w:szCs w:val="24"/>
          <w:lang w:val="en-NZ"/>
        </w:rPr>
        <w:t xml:space="preserve"> </w:t>
      </w:r>
      <w:r w:rsidR="00AF1ACE" w:rsidRPr="00CD666F">
        <w:rPr>
          <w:rFonts w:ascii="Times New Roman" w:hAnsi="Times New Roman"/>
          <w:sz w:val="24"/>
          <w:szCs w:val="24"/>
          <w:lang w:val="en-NZ"/>
        </w:rPr>
        <w:t xml:space="preserve"> This </w:t>
      </w:r>
      <w:proofErr w:type="gramStart"/>
      <w:r w:rsidR="00AF1ACE" w:rsidRPr="00CD666F">
        <w:rPr>
          <w:rFonts w:ascii="Times New Roman" w:hAnsi="Times New Roman"/>
          <w:sz w:val="24"/>
          <w:szCs w:val="24"/>
          <w:lang w:val="en-NZ"/>
        </w:rPr>
        <w:t>is particularly targeted</w:t>
      </w:r>
      <w:proofErr w:type="gramEnd"/>
      <w:r w:rsidR="00AF1ACE" w:rsidRPr="00CD666F">
        <w:rPr>
          <w:rFonts w:ascii="Times New Roman" w:hAnsi="Times New Roman"/>
          <w:sz w:val="24"/>
          <w:szCs w:val="24"/>
          <w:lang w:val="en-NZ"/>
        </w:rPr>
        <w:t xml:space="preserve"> towards the problems of enforcement </w:t>
      </w:r>
      <w:r w:rsidR="00711D36" w:rsidRPr="00CD666F">
        <w:rPr>
          <w:rFonts w:ascii="Times New Roman" w:hAnsi="Times New Roman"/>
          <w:sz w:val="24"/>
          <w:szCs w:val="24"/>
          <w:lang w:val="en-NZ"/>
        </w:rPr>
        <w:t>in relation to short-</w:t>
      </w:r>
      <w:r w:rsidR="003629F4" w:rsidRPr="00CD666F">
        <w:rPr>
          <w:rFonts w:ascii="Times New Roman" w:hAnsi="Times New Roman"/>
          <w:sz w:val="24"/>
          <w:szCs w:val="24"/>
          <w:lang w:val="en-NZ"/>
        </w:rPr>
        <w:t>t</w:t>
      </w:r>
      <w:r w:rsidR="00C8022E" w:rsidRPr="00CD666F">
        <w:rPr>
          <w:rFonts w:ascii="Times New Roman" w:hAnsi="Times New Roman"/>
          <w:sz w:val="24"/>
          <w:szCs w:val="24"/>
          <w:lang w:val="en-NZ"/>
        </w:rPr>
        <w:t>erm property speculation</w:t>
      </w:r>
      <w:r w:rsidR="0093101F" w:rsidRPr="00CD666F">
        <w:rPr>
          <w:rFonts w:ascii="Times New Roman" w:hAnsi="Times New Roman"/>
          <w:sz w:val="24"/>
          <w:szCs w:val="24"/>
          <w:lang w:val="en-NZ"/>
        </w:rPr>
        <w:t>.</w:t>
      </w:r>
    </w:p>
    <w:p w:rsidR="00782AAB" w:rsidRPr="00CD666F" w:rsidRDefault="00782AAB" w:rsidP="00782AAB">
      <w:pPr>
        <w:pStyle w:val="Bullet-list"/>
        <w:spacing w:after="0" w:line="240" w:lineRule="auto"/>
        <w:ind w:left="0" w:firstLine="0"/>
        <w:rPr>
          <w:rFonts w:ascii="Times New Roman" w:hAnsi="Times New Roman"/>
          <w:sz w:val="24"/>
          <w:szCs w:val="24"/>
          <w:lang w:val="en-NZ"/>
        </w:rPr>
      </w:pPr>
    </w:p>
    <w:p w:rsidR="004C0431" w:rsidRPr="00CD666F" w:rsidRDefault="0067725D" w:rsidP="004C0431">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As the primary goal is to supplement the existing “intention test”</w:t>
      </w:r>
      <w:r w:rsidR="00711D36" w:rsidRPr="00CD666F">
        <w:rPr>
          <w:rFonts w:ascii="Times New Roman" w:hAnsi="Times New Roman"/>
          <w:sz w:val="24"/>
          <w:szCs w:val="24"/>
          <w:lang w:val="en-NZ"/>
        </w:rPr>
        <w:t>,</w:t>
      </w:r>
      <w:r w:rsidRPr="00CD666F">
        <w:rPr>
          <w:rFonts w:ascii="Times New Roman" w:hAnsi="Times New Roman"/>
          <w:sz w:val="24"/>
          <w:szCs w:val="24"/>
          <w:lang w:val="en-NZ"/>
        </w:rPr>
        <w:t xml:space="preserve"> the second objective is to minimise the degree to which any rule captures the gains from sales not bought with an intention of resale.</w:t>
      </w:r>
    </w:p>
    <w:p w:rsidR="004C0431" w:rsidRPr="00CD666F" w:rsidRDefault="004C0431" w:rsidP="004C0431">
      <w:pPr>
        <w:pStyle w:val="Bullet-list"/>
        <w:spacing w:after="0" w:line="240" w:lineRule="auto"/>
        <w:ind w:left="0" w:firstLine="0"/>
        <w:rPr>
          <w:rFonts w:ascii="Times New Roman" w:hAnsi="Times New Roman"/>
          <w:sz w:val="24"/>
          <w:szCs w:val="24"/>
          <w:lang w:val="en-NZ"/>
        </w:rPr>
      </w:pPr>
    </w:p>
    <w:p w:rsidR="00B471FC" w:rsidRPr="00CD666F" w:rsidRDefault="004C0431" w:rsidP="00DB0A45">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third objective is to minimise compliance costs for taxpayers.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This will involve minimising the complexity of the rules, making them easy to understand as well as aligning the rules with the existing land sale rules where possible. </w:t>
      </w:r>
    </w:p>
    <w:p w:rsidR="001D6422" w:rsidRPr="00CD666F" w:rsidRDefault="001D6422" w:rsidP="001D6422">
      <w:pPr>
        <w:pStyle w:val="Bullet-list"/>
        <w:spacing w:after="0" w:line="240" w:lineRule="auto"/>
        <w:rPr>
          <w:rFonts w:ascii="Times New Roman" w:hAnsi="Times New Roman"/>
          <w:sz w:val="24"/>
          <w:szCs w:val="24"/>
          <w:lang w:val="en-NZ"/>
        </w:rPr>
      </w:pPr>
    </w:p>
    <w:p w:rsidR="001D6422" w:rsidRPr="00CD666F" w:rsidRDefault="00CB3BFA"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These </w:t>
      </w:r>
      <w:r w:rsidR="004C0431" w:rsidRPr="00CD666F">
        <w:rPr>
          <w:rFonts w:ascii="Times New Roman" w:hAnsi="Times New Roman"/>
          <w:sz w:val="24"/>
          <w:szCs w:val="24"/>
          <w:lang w:val="en-NZ"/>
        </w:rPr>
        <w:t>three</w:t>
      </w:r>
      <w:r w:rsidR="00D43F81" w:rsidRPr="00CD666F">
        <w:rPr>
          <w:rFonts w:ascii="Times New Roman" w:hAnsi="Times New Roman"/>
          <w:sz w:val="24"/>
          <w:szCs w:val="24"/>
          <w:lang w:val="en-NZ"/>
        </w:rPr>
        <w:t xml:space="preserve"> objectives </w:t>
      </w:r>
      <w:r w:rsidR="00BB44DE" w:rsidRPr="00CD666F">
        <w:rPr>
          <w:rFonts w:ascii="Times New Roman" w:hAnsi="Times New Roman"/>
          <w:sz w:val="24"/>
          <w:szCs w:val="24"/>
          <w:lang w:val="en-NZ"/>
        </w:rPr>
        <w:t>may</w:t>
      </w:r>
      <w:r w:rsidR="00D43F81" w:rsidRPr="00CD666F">
        <w:rPr>
          <w:rFonts w:ascii="Times New Roman" w:hAnsi="Times New Roman"/>
          <w:sz w:val="24"/>
          <w:szCs w:val="24"/>
          <w:lang w:val="en-NZ"/>
        </w:rPr>
        <w:t xml:space="preserve"> conflict.</w:t>
      </w:r>
      <w:r w:rsidR="004C0431"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4C0431" w:rsidRPr="00CD666F">
        <w:rPr>
          <w:rFonts w:ascii="Times New Roman" w:hAnsi="Times New Roman"/>
          <w:sz w:val="24"/>
          <w:szCs w:val="24"/>
          <w:lang w:val="en-NZ"/>
        </w:rPr>
        <w:t>An easy to enforce rule may make the gains from some sales taxable whe</w:t>
      </w:r>
      <w:r w:rsidR="00711D36" w:rsidRPr="00CD666F">
        <w:rPr>
          <w:rFonts w:ascii="Times New Roman" w:hAnsi="Times New Roman"/>
          <w:sz w:val="24"/>
          <w:szCs w:val="24"/>
          <w:lang w:val="en-NZ"/>
        </w:rPr>
        <w:t>n</w:t>
      </w:r>
      <w:r w:rsidR="004C0431" w:rsidRPr="00CD666F">
        <w:rPr>
          <w:rFonts w:ascii="Times New Roman" w:hAnsi="Times New Roman"/>
          <w:sz w:val="24"/>
          <w:szCs w:val="24"/>
          <w:lang w:val="en-NZ"/>
        </w:rPr>
        <w:t xml:space="preserve"> the property </w:t>
      </w:r>
      <w:proofErr w:type="gramStart"/>
      <w:r w:rsidR="004C0431" w:rsidRPr="00CD666F">
        <w:rPr>
          <w:rFonts w:ascii="Times New Roman" w:hAnsi="Times New Roman"/>
          <w:sz w:val="24"/>
          <w:szCs w:val="24"/>
          <w:lang w:val="en-NZ"/>
        </w:rPr>
        <w:t>was not bought</w:t>
      </w:r>
      <w:proofErr w:type="gramEnd"/>
      <w:r w:rsidR="004C0431" w:rsidRPr="00CD666F">
        <w:rPr>
          <w:rFonts w:ascii="Times New Roman" w:hAnsi="Times New Roman"/>
          <w:sz w:val="24"/>
          <w:szCs w:val="24"/>
          <w:lang w:val="en-NZ"/>
        </w:rPr>
        <w:t xml:space="preserve"> with an intention of resale.  In addition, rules that are easier for Inland Revenue to enforce can increase compliance costs for taxpayers in some circumstances. </w:t>
      </w:r>
      <w:r w:rsidR="006B384B" w:rsidRPr="00CD666F">
        <w:rPr>
          <w:rFonts w:ascii="Times New Roman" w:hAnsi="Times New Roman"/>
          <w:sz w:val="24"/>
          <w:szCs w:val="24"/>
          <w:lang w:val="en-NZ"/>
        </w:rPr>
        <w:t xml:space="preserve"> </w:t>
      </w:r>
      <w:r w:rsidR="008F60B4" w:rsidRPr="00CD666F">
        <w:rPr>
          <w:rFonts w:ascii="Times New Roman" w:hAnsi="Times New Roman"/>
          <w:sz w:val="24"/>
          <w:szCs w:val="24"/>
          <w:lang w:val="en-NZ"/>
        </w:rPr>
        <w:t>The analysis will need to balance these objectives.</w:t>
      </w:r>
    </w:p>
    <w:p w:rsidR="000545DC" w:rsidRPr="00CD666F" w:rsidRDefault="000545DC" w:rsidP="004342F0">
      <w:pPr>
        <w:pStyle w:val="spacer"/>
        <w:rPr>
          <w:rFonts w:ascii="Times New Roman" w:hAnsi="Times New Roman"/>
          <w:sz w:val="24"/>
          <w:szCs w:val="24"/>
          <w:lang w:val="en-NZ"/>
        </w:rPr>
      </w:pPr>
    </w:p>
    <w:p w:rsidR="00320A3C" w:rsidRPr="00CD666F" w:rsidRDefault="00D943DD" w:rsidP="004342F0">
      <w:pPr>
        <w:pStyle w:val="RISheading"/>
        <w:rPr>
          <w:spacing w:val="0"/>
          <w:w w:val="100"/>
          <w:lang w:val="en-NZ"/>
        </w:rPr>
      </w:pPr>
      <w:bookmarkStart w:id="17" w:name="_Toc244580365"/>
      <w:bookmarkStart w:id="18" w:name="_Toc244587041"/>
      <w:bookmarkStart w:id="19" w:name="_Toc244857275"/>
      <w:bookmarkStart w:id="20" w:name="_Toc244912540"/>
      <w:bookmarkStart w:id="21" w:name="_Toc244916997"/>
      <w:r w:rsidRPr="00CD666F">
        <w:rPr>
          <w:spacing w:val="0"/>
          <w:w w:val="100"/>
          <w:lang w:val="en-NZ"/>
        </w:rPr>
        <w:t>REGULATORY IMPACT ANALYSIS</w:t>
      </w:r>
      <w:bookmarkEnd w:id="17"/>
      <w:bookmarkEnd w:id="18"/>
      <w:bookmarkEnd w:id="19"/>
      <w:bookmarkEnd w:id="20"/>
      <w:bookmarkEnd w:id="21"/>
      <w:r w:rsidRPr="00CD666F">
        <w:rPr>
          <w:spacing w:val="0"/>
          <w:w w:val="100"/>
          <w:lang w:val="en-NZ"/>
        </w:rPr>
        <w:t xml:space="preserve"> </w:t>
      </w:r>
    </w:p>
    <w:p w:rsidR="00A730AA" w:rsidRPr="00CD666F" w:rsidRDefault="00220F3A"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Two</w:t>
      </w:r>
      <w:r w:rsidR="007A4AFB" w:rsidRPr="00CD666F">
        <w:rPr>
          <w:rFonts w:ascii="Times New Roman" w:hAnsi="Times New Roman"/>
          <w:sz w:val="24"/>
          <w:szCs w:val="24"/>
          <w:lang w:val="en-NZ"/>
        </w:rPr>
        <w:t xml:space="preserve"> options</w:t>
      </w:r>
      <w:r w:rsidR="00DD20B8"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for designing a bright-line test </w:t>
      </w:r>
      <w:proofErr w:type="gramStart"/>
      <w:r w:rsidRPr="00CD666F">
        <w:rPr>
          <w:rFonts w:ascii="Times New Roman" w:hAnsi="Times New Roman"/>
          <w:sz w:val="24"/>
          <w:szCs w:val="24"/>
          <w:lang w:val="en-NZ"/>
        </w:rPr>
        <w:t>are considere</w:t>
      </w:r>
      <w:r w:rsidR="006B384B" w:rsidRPr="00CD666F">
        <w:rPr>
          <w:rFonts w:ascii="Times New Roman" w:hAnsi="Times New Roman"/>
          <w:sz w:val="24"/>
          <w:szCs w:val="24"/>
          <w:lang w:val="en-NZ"/>
        </w:rPr>
        <w:t>d</w:t>
      </w:r>
      <w:proofErr w:type="gramEnd"/>
      <w:r w:rsidR="006B384B" w:rsidRPr="00CD666F">
        <w:rPr>
          <w:rFonts w:ascii="Times New Roman" w:hAnsi="Times New Roman"/>
          <w:sz w:val="24"/>
          <w:szCs w:val="24"/>
          <w:lang w:val="en-NZ"/>
        </w:rPr>
        <w:t xml:space="preserve"> below.</w:t>
      </w:r>
    </w:p>
    <w:p w:rsidR="00A730AA" w:rsidRPr="00CD666F" w:rsidRDefault="00A730AA" w:rsidP="00A730AA">
      <w:pPr>
        <w:pStyle w:val="Bullet-list"/>
        <w:spacing w:after="0" w:line="240" w:lineRule="auto"/>
        <w:ind w:left="0" w:firstLine="0"/>
        <w:rPr>
          <w:rFonts w:ascii="Times New Roman" w:hAnsi="Times New Roman"/>
          <w:sz w:val="24"/>
          <w:szCs w:val="24"/>
          <w:lang w:val="en-NZ"/>
        </w:rPr>
      </w:pPr>
    </w:p>
    <w:p w:rsidR="007A4AFB" w:rsidRPr="00CD666F" w:rsidRDefault="008F60B4" w:rsidP="007A4AFB">
      <w:pPr>
        <w:pStyle w:val="Bullet-list"/>
        <w:numPr>
          <w:ilvl w:val="0"/>
          <w:numId w:val="8"/>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Option </w:t>
      </w:r>
      <w:r w:rsidR="00220F3A" w:rsidRPr="00CD666F">
        <w:rPr>
          <w:rFonts w:ascii="Times New Roman" w:hAnsi="Times New Roman"/>
          <w:sz w:val="24"/>
          <w:szCs w:val="24"/>
          <w:lang w:val="en-NZ"/>
        </w:rPr>
        <w:t>1</w:t>
      </w:r>
      <w:r w:rsidRPr="00CD666F">
        <w:rPr>
          <w:rFonts w:ascii="Times New Roman" w:hAnsi="Times New Roman"/>
          <w:sz w:val="24"/>
          <w:szCs w:val="24"/>
          <w:lang w:val="en-NZ"/>
        </w:rPr>
        <w:t>: Two</w:t>
      </w:r>
      <w:r w:rsidR="007A4AFB" w:rsidRPr="00CD666F">
        <w:rPr>
          <w:rFonts w:ascii="Times New Roman" w:hAnsi="Times New Roman"/>
          <w:sz w:val="24"/>
          <w:szCs w:val="24"/>
          <w:lang w:val="en-NZ"/>
        </w:rPr>
        <w:t xml:space="preserve"> year bright-line test</w:t>
      </w:r>
    </w:p>
    <w:p w:rsidR="00DD20B8" w:rsidRPr="00CD666F" w:rsidRDefault="00DD20B8" w:rsidP="00DD20B8">
      <w:pPr>
        <w:pStyle w:val="Bullet-list"/>
        <w:spacing w:after="0" w:line="240" w:lineRule="auto"/>
        <w:ind w:left="720" w:firstLine="0"/>
        <w:rPr>
          <w:rFonts w:ascii="Times New Roman" w:hAnsi="Times New Roman"/>
          <w:sz w:val="24"/>
          <w:szCs w:val="24"/>
          <w:lang w:val="en-NZ"/>
        </w:rPr>
      </w:pPr>
    </w:p>
    <w:p w:rsidR="007A4AFB" w:rsidRPr="00CD666F" w:rsidRDefault="008F60B4" w:rsidP="007A4AFB">
      <w:pPr>
        <w:pStyle w:val="Bullet-list"/>
        <w:numPr>
          <w:ilvl w:val="0"/>
          <w:numId w:val="8"/>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Option </w:t>
      </w:r>
      <w:r w:rsidR="00220F3A" w:rsidRPr="00CD666F">
        <w:rPr>
          <w:rFonts w:ascii="Times New Roman" w:hAnsi="Times New Roman"/>
          <w:sz w:val="24"/>
          <w:szCs w:val="24"/>
          <w:lang w:val="en-NZ"/>
        </w:rPr>
        <w:t>2</w:t>
      </w:r>
      <w:r w:rsidRPr="00CD666F">
        <w:rPr>
          <w:rFonts w:ascii="Times New Roman" w:hAnsi="Times New Roman"/>
          <w:sz w:val="24"/>
          <w:szCs w:val="24"/>
          <w:lang w:val="en-NZ"/>
        </w:rPr>
        <w:t>: Three to five</w:t>
      </w:r>
      <w:r w:rsidR="007A4AFB" w:rsidRPr="00CD666F">
        <w:rPr>
          <w:rFonts w:ascii="Times New Roman" w:hAnsi="Times New Roman"/>
          <w:sz w:val="24"/>
          <w:szCs w:val="24"/>
          <w:lang w:val="en-NZ"/>
        </w:rPr>
        <w:t xml:space="preserve"> year bright-line test</w:t>
      </w:r>
    </w:p>
    <w:p w:rsidR="00FC43D1" w:rsidRPr="00CD666F" w:rsidRDefault="00FC43D1" w:rsidP="004342F0">
      <w:pPr>
        <w:pStyle w:val="CommentText"/>
        <w:spacing w:after="0" w:line="240" w:lineRule="auto"/>
        <w:rPr>
          <w:lang w:val="en-NZ"/>
        </w:rPr>
      </w:pPr>
    </w:p>
    <w:p w:rsidR="009A6237" w:rsidRPr="00CD666F" w:rsidRDefault="009A6237" w:rsidP="009A6237">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We note that as the Government announced that it will introduce a bright-line test we did not consider the status quo to be </w:t>
      </w:r>
      <w:r w:rsidR="006B384B" w:rsidRPr="00CD666F">
        <w:rPr>
          <w:rFonts w:ascii="Times New Roman" w:hAnsi="Times New Roman"/>
          <w:sz w:val="24"/>
          <w:szCs w:val="24"/>
          <w:lang w:val="en-NZ"/>
        </w:rPr>
        <w:t>a viable option.</w:t>
      </w:r>
    </w:p>
    <w:p w:rsidR="008A2029" w:rsidRPr="00CD666F" w:rsidRDefault="008A2029" w:rsidP="008A2029">
      <w:pPr>
        <w:pStyle w:val="CommentText"/>
        <w:spacing w:after="0" w:line="240" w:lineRule="auto"/>
        <w:rPr>
          <w:rFonts w:ascii="Times New Roman" w:hAnsi="Times New Roman"/>
          <w:sz w:val="24"/>
          <w:szCs w:val="24"/>
          <w:lang w:val="en-NZ"/>
        </w:rPr>
      </w:pPr>
    </w:p>
    <w:p w:rsidR="008A2029" w:rsidRPr="00CD666F" w:rsidRDefault="008A2029" w:rsidP="008A2029">
      <w:pPr>
        <w:pStyle w:val="CommentText"/>
        <w:spacing w:after="0" w:line="240" w:lineRule="auto"/>
        <w:rPr>
          <w:rFonts w:ascii="Times New Roman" w:hAnsi="Times New Roman"/>
          <w:b/>
          <w:sz w:val="24"/>
          <w:szCs w:val="24"/>
          <w:lang w:val="en-NZ"/>
        </w:rPr>
      </w:pPr>
      <w:r w:rsidRPr="00CD666F">
        <w:rPr>
          <w:rFonts w:ascii="Times New Roman" w:hAnsi="Times New Roman"/>
          <w:b/>
          <w:sz w:val="24"/>
          <w:szCs w:val="24"/>
          <w:lang w:val="en-NZ"/>
        </w:rPr>
        <w:t xml:space="preserve">Option </w:t>
      </w:r>
      <w:r w:rsidR="00220F3A" w:rsidRPr="00CD666F">
        <w:rPr>
          <w:rFonts w:ascii="Times New Roman" w:hAnsi="Times New Roman"/>
          <w:b/>
          <w:sz w:val="24"/>
          <w:szCs w:val="24"/>
          <w:lang w:val="en-NZ"/>
        </w:rPr>
        <w:t>1</w:t>
      </w:r>
      <w:r w:rsidRPr="00CD666F">
        <w:rPr>
          <w:rFonts w:ascii="Times New Roman" w:hAnsi="Times New Roman"/>
          <w:b/>
          <w:sz w:val="24"/>
          <w:szCs w:val="24"/>
          <w:lang w:val="en-NZ"/>
        </w:rPr>
        <w:t xml:space="preserve"> (officials’ preferred option)</w:t>
      </w:r>
    </w:p>
    <w:p w:rsidR="008A2029" w:rsidRPr="00CD666F" w:rsidRDefault="008A2029" w:rsidP="008A2029">
      <w:pPr>
        <w:pStyle w:val="CommentText"/>
        <w:spacing w:after="0" w:line="240" w:lineRule="auto"/>
        <w:rPr>
          <w:rFonts w:ascii="Times New Roman" w:hAnsi="Times New Roman"/>
          <w:sz w:val="24"/>
          <w:szCs w:val="24"/>
          <w:lang w:val="en-NZ"/>
        </w:rPr>
      </w:pPr>
    </w:p>
    <w:p w:rsidR="008A2029" w:rsidRPr="00CD666F" w:rsidRDefault="003937C8"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This option would create a rule that requires income tax to </w:t>
      </w:r>
      <w:proofErr w:type="gramStart"/>
      <w:r w:rsidRPr="00CD666F">
        <w:rPr>
          <w:rFonts w:ascii="Times New Roman" w:hAnsi="Times New Roman"/>
          <w:sz w:val="24"/>
          <w:szCs w:val="24"/>
          <w:lang w:val="en-NZ"/>
        </w:rPr>
        <w:t>be paid</w:t>
      </w:r>
      <w:proofErr w:type="gramEnd"/>
      <w:r w:rsidRPr="00CD666F">
        <w:rPr>
          <w:rFonts w:ascii="Times New Roman" w:hAnsi="Times New Roman"/>
          <w:sz w:val="24"/>
          <w:szCs w:val="24"/>
          <w:lang w:val="en-NZ"/>
        </w:rPr>
        <w:t xml:space="preserve"> on the gains from</w:t>
      </w:r>
      <w:r w:rsidR="00B23AAF" w:rsidRPr="00CD666F">
        <w:rPr>
          <w:rFonts w:ascii="Times New Roman" w:hAnsi="Times New Roman"/>
          <w:sz w:val="24"/>
          <w:szCs w:val="24"/>
          <w:lang w:val="en-NZ"/>
        </w:rPr>
        <w:t xml:space="preserve"> the</w:t>
      </w:r>
      <w:r w:rsidRPr="00CD666F">
        <w:rPr>
          <w:rFonts w:ascii="Times New Roman" w:hAnsi="Times New Roman"/>
          <w:sz w:val="24"/>
          <w:szCs w:val="24"/>
          <w:lang w:val="en-NZ"/>
        </w:rPr>
        <w:t xml:space="preserve"> sale of residential property bought and sold within two years.</w:t>
      </w:r>
      <w:r w:rsidR="00A730AA"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A730AA" w:rsidRPr="00CD666F">
        <w:rPr>
          <w:rFonts w:ascii="Times New Roman" w:hAnsi="Times New Roman"/>
          <w:sz w:val="24"/>
          <w:szCs w:val="24"/>
          <w:lang w:val="en-NZ"/>
        </w:rPr>
        <w:t>The intention test would still make gains from the sale of land taxable if bought with an intention of resale.</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This would supplement the intention test with an unambiguous objective test.</w:t>
      </w:r>
      <w:r w:rsidR="007E5680"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w:t>
      </w:r>
      <w:r w:rsidR="0022284F" w:rsidRPr="00CD666F">
        <w:rPr>
          <w:rFonts w:ascii="Times New Roman" w:hAnsi="Times New Roman"/>
          <w:sz w:val="24"/>
          <w:szCs w:val="24"/>
          <w:lang w:val="en-NZ"/>
        </w:rPr>
        <w:t>As a result</w:t>
      </w:r>
      <w:r w:rsidR="0000448C" w:rsidRPr="00CD666F">
        <w:rPr>
          <w:rFonts w:ascii="Times New Roman" w:hAnsi="Times New Roman"/>
          <w:sz w:val="24"/>
          <w:szCs w:val="24"/>
          <w:lang w:val="en-NZ"/>
        </w:rPr>
        <w:t>,</w:t>
      </w:r>
      <w:r w:rsidR="0022284F" w:rsidRPr="00CD666F">
        <w:rPr>
          <w:rFonts w:ascii="Times New Roman" w:hAnsi="Times New Roman"/>
          <w:sz w:val="24"/>
          <w:szCs w:val="24"/>
          <w:lang w:val="en-NZ"/>
        </w:rPr>
        <w:t xml:space="preserve"> it would make the lan</w:t>
      </w:r>
      <w:r w:rsidR="006B384B" w:rsidRPr="00CD666F">
        <w:rPr>
          <w:rFonts w:ascii="Times New Roman" w:hAnsi="Times New Roman"/>
          <w:sz w:val="24"/>
          <w:szCs w:val="24"/>
          <w:lang w:val="en-NZ"/>
        </w:rPr>
        <w:t>d sale rules easier to enforce.</w:t>
      </w:r>
    </w:p>
    <w:p w:rsidR="007E5680" w:rsidRPr="00CD666F" w:rsidRDefault="007E5680" w:rsidP="005D7E2E">
      <w:pPr>
        <w:pStyle w:val="CommentText"/>
        <w:spacing w:after="0" w:line="240" w:lineRule="auto"/>
        <w:rPr>
          <w:rFonts w:ascii="Times New Roman" w:hAnsi="Times New Roman"/>
          <w:sz w:val="24"/>
          <w:szCs w:val="24"/>
          <w:lang w:val="en-NZ"/>
        </w:rPr>
      </w:pPr>
    </w:p>
    <w:p w:rsidR="005D7E2E" w:rsidRPr="00CD666F" w:rsidRDefault="005D7E2E" w:rsidP="005D7E2E">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objective nature of the rule mean</w:t>
      </w:r>
      <w:r w:rsidR="0000448C" w:rsidRPr="00CD666F">
        <w:rPr>
          <w:rFonts w:ascii="Times New Roman" w:hAnsi="Times New Roman"/>
          <w:sz w:val="24"/>
          <w:szCs w:val="24"/>
          <w:lang w:val="en-NZ"/>
        </w:rPr>
        <w:t>s</w:t>
      </w:r>
      <w:r w:rsidRPr="00CD666F">
        <w:rPr>
          <w:rFonts w:ascii="Times New Roman" w:hAnsi="Times New Roman"/>
          <w:sz w:val="24"/>
          <w:szCs w:val="24"/>
          <w:lang w:val="en-NZ"/>
        </w:rPr>
        <w:t xml:space="preserve"> that it would capture people with no intention of </w:t>
      </w:r>
      <w:r w:rsidR="00794725" w:rsidRPr="00CD666F">
        <w:rPr>
          <w:rFonts w:ascii="Times New Roman" w:hAnsi="Times New Roman"/>
          <w:sz w:val="24"/>
          <w:szCs w:val="24"/>
          <w:lang w:val="en-NZ"/>
        </w:rPr>
        <w:t>re</w:t>
      </w:r>
      <w:r w:rsidRPr="00CD666F">
        <w:rPr>
          <w:rFonts w:ascii="Times New Roman" w:hAnsi="Times New Roman"/>
          <w:sz w:val="24"/>
          <w:szCs w:val="24"/>
          <w:lang w:val="en-NZ"/>
        </w:rPr>
        <w:t xml:space="preserve">sale but </w:t>
      </w:r>
      <w:proofErr w:type="gramStart"/>
      <w:r w:rsidRPr="00CD666F">
        <w:rPr>
          <w:rFonts w:ascii="Times New Roman" w:hAnsi="Times New Roman"/>
          <w:sz w:val="24"/>
          <w:szCs w:val="24"/>
          <w:lang w:val="en-NZ"/>
        </w:rPr>
        <w:t>are forced</w:t>
      </w:r>
      <w:proofErr w:type="gramEnd"/>
      <w:r w:rsidRPr="00CD666F">
        <w:rPr>
          <w:rFonts w:ascii="Times New Roman" w:hAnsi="Times New Roman"/>
          <w:sz w:val="24"/>
          <w:szCs w:val="24"/>
          <w:lang w:val="en-NZ"/>
        </w:rPr>
        <w:t xml:space="preserve"> to sell due to circumstances outside of their control.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However, we consider this risk is low</w:t>
      </w:r>
      <w:r w:rsidR="0000448C" w:rsidRPr="00CD666F">
        <w:rPr>
          <w:rFonts w:ascii="Times New Roman" w:hAnsi="Times New Roman"/>
          <w:sz w:val="24"/>
          <w:szCs w:val="24"/>
          <w:lang w:val="en-NZ"/>
        </w:rPr>
        <w:t>,</w:t>
      </w:r>
      <w:r w:rsidRPr="00CD666F">
        <w:rPr>
          <w:rFonts w:ascii="Times New Roman" w:hAnsi="Times New Roman"/>
          <w:sz w:val="24"/>
          <w:szCs w:val="24"/>
          <w:lang w:val="en-NZ"/>
        </w:rPr>
        <w:t xml:space="preserve"> as</w:t>
      </w:r>
      <w:r w:rsidR="00C8022E" w:rsidRPr="00CD666F">
        <w:rPr>
          <w:rFonts w:ascii="Times New Roman" w:hAnsi="Times New Roman"/>
          <w:sz w:val="24"/>
          <w:szCs w:val="24"/>
          <w:lang w:val="en-NZ"/>
        </w:rPr>
        <w:t xml:space="preserve"> generally</w:t>
      </w:r>
      <w:r w:rsidRPr="00CD666F">
        <w:rPr>
          <w:rFonts w:ascii="Times New Roman" w:hAnsi="Times New Roman"/>
          <w:sz w:val="24"/>
          <w:szCs w:val="24"/>
          <w:lang w:val="en-NZ"/>
        </w:rPr>
        <w:t xml:space="preserve"> </w:t>
      </w:r>
      <w:r w:rsidR="00175C66" w:rsidRPr="00CD666F">
        <w:rPr>
          <w:rFonts w:ascii="Times New Roman" w:hAnsi="Times New Roman"/>
          <w:sz w:val="24"/>
          <w:szCs w:val="24"/>
          <w:lang w:val="en-NZ"/>
        </w:rPr>
        <w:t xml:space="preserve">when </w:t>
      </w:r>
      <w:r w:rsidRPr="00CD666F">
        <w:rPr>
          <w:rFonts w:ascii="Times New Roman" w:hAnsi="Times New Roman"/>
          <w:sz w:val="24"/>
          <w:szCs w:val="24"/>
          <w:lang w:val="en-NZ"/>
        </w:rPr>
        <w:t xml:space="preserve">property </w:t>
      </w:r>
      <w:proofErr w:type="gramStart"/>
      <w:r w:rsidRPr="00CD666F">
        <w:rPr>
          <w:rFonts w:ascii="Times New Roman" w:hAnsi="Times New Roman"/>
          <w:sz w:val="24"/>
          <w:szCs w:val="24"/>
          <w:lang w:val="en-NZ"/>
        </w:rPr>
        <w:t>is bought and sold within two years</w:t>
      </w:r>
      <w:proofErr w:type="gramEnd"/>
      <w:r w:rsidRPr="00CD666F">
        <w:rPr>
          <w:rFonts w:ascii="Times New Roman" w:hAnsi="Times New Roman"/>
          <w:sz w:val="24"/>
          <w:szCs w:val="24"/>
          <w:lang w:val="en-NZ"/>
        </w:rPr>
        <w:t xml:space="preserve"> it is likely</w:t>
      </w:r>
      <w:r w:rsidR="00175C66" w:rsidRPr="00CD666F">
        <w:rPr>
          <w:rFonts w:ascii="Times New Roman" w:hAnsi="Times New Roman"/>
          <w:sz w:val="24"/>
          <w:szCs w:val="24"/>
          <w:lang w:val="en-NZ"/>
        </w:rPr>
        <w:t xml:space="preserve"> to have been </w:t>
      </w:r>
      <w:r w:rsidRPr="00CD666F">
        <w:rPr>
          <w:rFonts w:ascii="Times New Roman" w:hAnsi="Times New Roman"/>
          <w:sz w:val="24"/>
          <w:szCs w:val="24"/>
          <w:lang w:val="en-NZ"/>
        </w:rPr>
        <w:t>purchased with an intention of resale.</w:t>
      </w:r>
    </w:p>
    <w:p w:rsidR="00B4064A" w:rsidRPr="00CD666F" w:rsidRDefault="00B4064A" w:rsidP="00B4064A">
      <w:pPr>
        <w:pStyle w:val="CommentText"/>
        <w:spacing w:after="0" w:line="240" w:lineRule="auto"/>
        <w:rPr>
          <w:rFonts w:ascii="Times New Roman" w:hAnsi="Times New Roman"/>
          <w:sz w:val="24"/>
          <w:szCs w:val="24"/>
          <w:lang w:val="en-NZ"/>
        </w:rPr>
      </w:pPr>
    </w:p>
    <w:p w:rsidR="00B4064A" w:rsidRPr="00CD666F" w:rsidRDefault="00B4064A"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This rule </w:t>
      </w:r>
      <w:proofErr w:type="gramStart"/>
      <w:r w:rsidRPr="00CD666F">
        <w:rPr>
          <w:rFonts w:ascii="Times New Roman" w:hAnsi="Times New Roman"/>
          <w:sz w:val="24"/>
          <w:szCs w:val="24"/>
          <w:lang w:val="en-NZ"/>
        </w:rPr>
        <w:t>is expected</w:t>
      </w:r>
      <w:proofErr w:type="gramEnd"/>
      <w:r w:rsidRPr="00CD666F">
        <w:rPr>
          <w:rFonts w:ascii="Times New Roman" w:hAnsi="Times New Roman"/>
          <w:sz w:val="24"/>
          <w:szCs w:val="24"/>
          <w:lang w:val="en-NZ"/>
        </w:rPr>
        <w:t xml:space="preserve"> </w:t>
      </w:r>
      <w:r w:rsidR="00175C66" w:rsidRPr="00CD666F">
        <w:rPr>
          <w:rFonts w:ascii="Times New Roman" w:hAnsi="Times New Roman"/>
          <w:sz w:val="24"/>
          <w:szCs w:val="24"/>
          <w:lang w:val="en-NZ"/>
        </w:rPr>
        <w:t xml:space="preserve">to </w:t>
      </w:r>
      <w:r w:rsidRPr="00CD666F">
        <w:rPr>
          <w:rFonts w:ascii="Times New Roman" w:hAnsi="Times New Roman"/>
          <w:sz w:val="24"/>
          <w:szCs w:val="24"/>
          <w:lang w:val="en-NZ"/>
        </w:rPr>
        <w:t>raise an additional $5 million per annum</w:t>
      </w:r>
      <w:r w:rsidR="0000448C" w:rsidRPr="00CD666F">
        <w:rPr>
          <w:rFonts w:ascii="Times New Roman" w:hAnsi="Times New Roman"/>
          <w:sz w:val="24"/>
          <w:szCs w:val="24"/>
          <w:lang w:val="en-NZ"/>
        </w:rPr>
        <w:t xml:space="preserve"> in addition to any income expected from property compliance audit activity.</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This option creates an</w:t>
      </w:r>
      <w:r w:rsidR="00C84A8C" w:rsidRPr="00CD666F">
        <w:rPr>
          <w:rFonts w:ascii="Times New Roman" w:hAnsi="Times New Roman"/>
          <w:sz w:val="24"/>
          <w:szCs w:val="24"/>
          <w:lang w:val="en-NZ"/>
        </w:rPr>
        <w:t xml:space="preserve"> economic distortion</w:t>
      </w:r>
      <w:r w:rsidRPr="00CD666F">
        <w:rPr>
          <w:rFonts w:ascii="Times New Roman" w:hAnsi="Times New Roman"/>
          <w:sz w:val="24"/>
          <w:szCs w:val="24"/>
          <w:lang w:val="en-NZ"/>
        </w:rPr>
        <w:t xml:space="preserve"> as it creates a “lock-in” effect. </w:t>
      </w:r>
      <w:r w:rsidR="006B384B" w:rsidRPr="00CD666F">
        <w:rPr>
          <w:rFonts w:ascii="Times New Roman" w:hAnsi="Times New Roman"/>
          <w:sz w:val="24"/>
          <w:szCs w:val="24"/>
          <w:lang w:val="en-NZ"/>
        </w:rPr>
        <w:t xml:space="preserve"> </w:t>
      </w:r>
      <w:r w:rsidR="00840CC3" w:rsidRPr="00CD666F">
        <w:rPr>
          <w:rFonts w:ascii="Times New Roman" w:hAnsi="Times New Roman"/>
          <w:sz w:val="24"/>
          <w:szCs w:val="24"/>
          <w:lang w:val="en-NZ"/>
        </w:rPr>
        <w:t>In other words, it</w:t>
      </w:r>
      <w:r w:rsidRPr="00CD666F">
        <w:rPr>
          <w:rFonts w:ascii="Times New Roman" w:hAnsi="Times New Roman"/>
          <w:sz w:val="24"/>
          <w:szCs w:val="24"/>
          <w:lang w:val="en-NZ"/>
        </w:rPr>
        <w:t xml:space="preserve"> creates an incentive for people to hold property for longer than two years to avoid the bright-line</w:t>
      </w:r>
      <w:r w:rsidR="00256654" w:rsidRPr="00CD666F">
        <w:rPr>
          <w:rFonts w:ascii="Times New Roman" w:hAnsi="Times New Roman"/>
          <w:sz w:val="24"/>
          <w:szCs w:val="24"/>
          <w:lang w:val="en-NZ"/>
        </w:rPr>
        <w:t xml:space="preserve"> test</w:t>
      </w:r>
      <w:r w:rsidRPr="00CD666F">
        <w:rPr>
          <w:rFonts w:ascii="Times New Roman" w:hAnsi="Times New Roman"/>
          <w:sz w:val="24"/>
          <w:szCs w:val="24"/>
          <w:lang w:val="en-NZ"/>
        </w:rPr>
        <w:t>.</w:t>
      </w:r>
      <w:r w:rsidR="006B384B" w:rsidRPr="00CD666F">
        <w:rPr>
          <w:rFonts w:ascii="Times New Roman" w:hAnsi="Times New Roman"/>
          <w:sz w:val="24"/>
          <w:szCs w:val="24"/>
          <w:lang w:val="en-NZ"/>
        </w:rPr>
        <w:t xml:space="preserve"> </w:t>
      </w:r>
      <w:r w:rsidR="00A730AA" w:rsidRPr="00CD666F">
        <w:rPr>
          <w:rFonts w:ascii="Times New Roman" w:hAnsi="Times New Roman"/>
          <w:sz w:val="24"/>
          <w:szCs w:val="24"/>
          <w:lang w:val="en-NZ"/>
        </w:rPr>
        <w:t xml:space="preserve"> For example</w:t>
      </w:r>
      <w:r w:rsidR="00256654" w:rsidRPr="00CD666F">
        <w:rPr>
          <w:rFonts w:ascii="Times New Roman" w:hAnsi="Times New Roman"/>
          <w:sz w:val="24"/>
          <w:szCs w:val="24"/>
          <w:lang w:val="en-NZ"/>
        </w:rPr>
        <w:t>,</w:t>
      </w:r>
      <w:r w:rsidR="00A730AA" w:rsidRPr="00CD666F">
        <w:rPr>
          <w:rFonts w:ascii="Times New Roman" w:hAnsi="Times New Roman"/>
          <w:sz w:val="24"/>
          <w:szCs w:val="24"/>
          <w:lang w:val="en-NZ"/>
        </w:rPr>
        <w:t xml:space="preserve"> a person may avoid selling a property at the highest price, within two years to avoid the bright-line test.</w:t>
      </w:r>
      <w:r w:rsidR="00E60DAB"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E60DAB" w:rsidRPr="00CD666F">
        <w:rPr>
          <w:rFonts w:ascii="Times New Roman" w:hAnsi="Times New Roman"/>
          <w:sz w:val="24"/>
          <w:szCs w:val="24"/>
          <w:lang w:val="en-NZ"/>
        </w:rPr>
        <w:t>The person who is offering the highest price can presumably put the property to its most valuable use.</w:t>
      </w:r>
      <w:r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This </w:t>
      </w:r>
      <w:r w:rsidR="00C84A8C" w:rsidRPr="00CD666F">
        <w:rPr>
          <w:rFonts w:ascii="Times New Roman" w:hAnsi="Times New Roman"/>
          <w:sz w:val="24"/>
          <w:szCs w:val="24"/>
          <w:lang w:val="en-NZ"/>
        </w:rPr>
        <w:t xml:space="preserve">means that </w:t>
      </w:r>
      <w:r w:rsidR="009A2418" w:rsidRPr="00CD666F">
        <w:rPr>
          <w:rFonts w:ascii="Times New Roman" w:hAnsi="Times New Roman"/>
          <w:sz w:val="24"/>
          <w:szCs w:val="24"/>
          <w:lang w:val="en-NZ"/>
        </w:rPr>
        <w:t>people may not undergo otherwise efficient transactions</w:t>
      </w:r>
      <w:r w:rsidR="00546783" w:rsidRPr="00CD666F">
        <w:rPr>
          <w:rFonts w:ascii="Times New Roman" w:hAnsi="Times New Roman"/>
          <w:sz w:val="24"/>
          <w:szCs w:val="24"/>
          <w:lang w:val="en-NZ"/>
        </w:rPr>
        <w:t xml:space="preserve"> and put property to its most valuable use</w:t>
      </w:r>
      <w:r w:rsidR="009A2418" w:rsidRPr="00CD666F">
        <w:rPr>
          <w:rFonts w:ascii="Times New Roman" w:hAnsi="Times New Roman"/>
          <w:sz w:val="24"/>
          <w:szCs w:val="24"/>
          <w:lang w:val="en-NZ"/>
        </w:rPr>
        <w:t xml:space="preserve"> due to the bright-line</w:t>
      </w:r>
      <w:r w:rsidR="00256654" w:rsidRPr="00CD666F">
        <w:rPr>
          <w:rFonts w:ascii="Times New Roman" w:hAnsi="Times New Roman"/>
          <w:sz w:val="24"/>
          <w:szCs w:val="24"/>
          <w:lang w:val="en-NZ"/>
        </w:rPr>
        <w:t xml:space="preserve"> test</w:t>
      </w:r>
      <w:r w:rsidR="006B384B" w:rsidRPr="00CD666F">
        <w:rPr>
          <w:rFonts w:ascii="Times New Roman" w:hAnsi="Times New Roman"/>
          <w:sz w:val="24"/>
          <w:szCs w:val="24"/>
          <w:lang w:val="en-NZ"/>
        </w:rPr>
        <w:t>.</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On </w:t>
      </w:r>
      <w:proofErr w:type="gramStart"/>
      <w:r w:rsidRPr="00CD666F">
        <w:rPr>
          <w:rFonts w:ascii="Times New Roman" w:hAnsi="Times New Roman"/>
          <w:sz w:val="24"/>
          <w:szCs w:val="24"/>
          <w:lang w:val="en-NZ"/>
        </w:rPr>
        <w:t>balance</w:t>
      </w:r>
      <w:proofErr w:type="gramEnd"/>
      <w:r w:rsidRPr="00CD666F">
        <w:rPr>
          <w:rFonts w:ascii="Times New Roman" w:hAnsi="Times New Roman"/>
          <w:sz w:val="24"/>
          <w:szCs w:val="24"/>
          <w:lang w:val="en-NZ"/>
        </w:rPr>
        <w:t xml:space="preserve"> we consider that a two-year bright-line period best balances </w:t>
      </w:r>
      <w:r w:rsidR="009A2418" w:rsidRPr="00CD666F">
        <w:rPr>
          <w:rFonts w:ascii="Times New Roman" w:hAnsi="Times New Roman"/>
          <w:sz w:val="24"/>
          <w:szCs w:val="24"/>
          <w:lang w:val="en-NZ"/>
        </w:rPr>
        <w:t xml:space="preserve">the competing objectives of having an easy to enforce rule to deal with the </w:t>
      </w:r>
      <w:r w:rsidR="00C8022E" w:rsidRPr="00CD666F">
        <w:rPr>
          <w:rFonts w:ascii="Times New Roman" w:hAnsi="Times New Roman"/>
          <w:sz w:val="24"/>
          <w:szCs w:val="24"/>
          <w:lang w:val="en-NZ"/>
        </w:rPr>
        <w:t>short</w:t>
      </w:r>
      <w:r w:rsidR="00175C66" w:rsidRPr="00CD666F">
        <w:rPr>
          <w:rFonts w:ascii="Times New Roman" w:hAnsi="Times New Roman"/>
          <w:sz w:val="24"/>
          <w:szCs w:val="24"/>
          <w:lang w:val="en-NZ"/>
        </w:rPr>
        <w:t>-</w:t>
      </w:r>
      <w:r w:rsidR="00C8022E" w:rsidRPr="00CD666F">
        <w:rPr>
          <w:rFonts w:ascii="Times New Roman" w:hAnsi="Times New Roman"/>
          <w:sz w:val="24"/>
          <w:szCs w:val="24"/>
          <w:lang w:val="en-NZ"/>
        </w:rPr>
        <w:t>term speculation in</w:t>
      </w:r>
      <w:r w:rsidR="009A2418" w:rsidRPr="00CD666F">
        <w:rPr>
          <w:rFonts w:ascii="Times New Roman" w:hAnsi="Times New Roman"/>
          <w:sz w:val="24"/>
          <w:szCs w:val="24"/>
          <w:lang w:val="en-NZ"/>
        </w:rPr>
        <w:t xml:space="preserve"> residential property </w:t>
      </w:r>
      <w:r w:rsidR="00051AC3" w:rsidRPr="00CD666F">
        <w:rPr>
          <w:rFonts w:ascii="Times New Roman" w:hAnsi="Times New Roman"/>
          <w:sz w:val="24"/>
          <w:szCs w:val="24"/>
          <w:lang w:val="en-NZ"/>
        </w:rPr>
        <w:t>while ensuring that it does not capture many sales that were acquired without an intention of resale.</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This is Inland Revenue’s preferred option</w:t>
      </w:r>
      <w:r w:rsidR="00527D26" w:rsidRPr="00CD666F">
        <w:rPr>
          <w:rFonts w:ascii="Times New Roman" w:hAnsi="Times New Roman"/>
          <w:sz w:val="24"/>
          <w:szCs w:val="24"/>
          <w:lang w:val="en-NZ"/>
        </w:rPr>
        <w:t>.</w:t>
      </w:r>
    </w:p>
    <w:p w:rsidR="00A730AA" w:rsidRPr="00CD666F" w:rsidRDefault="00A730AA" w:rsidP="00A730AA">
      <w:pPr>
        <w:pStyle w:val="CommentText"/>
        <w:spacing w:after="0" w:line="240" w:lineRule="auto"/>
        <w:rPr>
          <w:rFonts w:ascii="Times New Roman" w:hAnsi="Times New Roman"/>
          <w:sz w:val="24"/>
          <w:szCs w:val="24"/>
          <w:lang w:val="en-NZ"/>
        </w:rPr>
      </w:pPr>
    </w:p>
    <w:p w:rsidR="003A0805" w:rsidRPr="00CD666F" w:rsidRDefault="00A730AA" w:rsidP="00A730AA">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There are a number of detailed design issues with this option</w:t>
      </w:r>
      <w:r w:rsidR="00033C49" w:rsidRPr="00CD666F">
        <w:rPr>
          <w:rFonts w:ascii="Times New Roman" w:hAnsi="Times New Roman"/>
          <w:sz w:val="24"/>
          <w:szCs w:val="24"/>
          <w:lang w:val="en-NZ"/>
        </w:rPr>
        <w:t>.</w:t>
      </w:r>
      <w:r w:rsidR="006B384B" w:rsidRPr="00CD666F">
        <w:rPr>
          <w:rFonts w:ascii="Times New Roman" w:hAnsi="Times New Roman"/>
          <w:sz w:val="24"/>
          <w:szCs w:val="24"/>
          <w:lang w:val="en-NZ"/>
        </w:rPr>
        <w:t xml:space="preserve"> </w:t>
      </w:r>
      <w:r w:rsidR="00033C49" w:rsidRPr="00CD666F">
        <w:rPr>
          <w:rFonts w:ascii="Times New Roman" w:hAnsi="Times New Roman"/>
          <w:sz w:val="24"/>
          <w:szCs w:val="24"/>
          <w:lang w:val="en-NZ"/>
        </w:rPr>
        <w:t xml:space="preserve"> These design issues have large impact on the degree to which th</w:t>
      </w:r>
      <w:r w:rsidR="006B384B" w:rsidRPr="00CD666F">
        <w:rPr>
          <w:rFonts w:ascii="Times New Roman" w:hAnsi="Times New Roman"/>
          <w:sz w:val="24"/>
          <w:szCs w:val="24"/>
          <w:lang w:val="en-NZ"/>
        </w:rPr>
        <w:t>is option meets the objectives.</w:t>
      </w:r>
    </w:p>
    <w:p w:rsidR="003A0805" w:rsidRPr="00CD666F" w:rsidRDefault="003A0805" w:rsidP="003A0805">
      <w:pPr>
        <w:pStyle w:val="CommentText"/>
        <w:spacing w:after="0" w:line="240" w:lineRule="auto"/>
        <w:rPr>
          <w:rFonts w:ascii="Times New Roman" w:hAnsi="Times New Roman"/>
          <w:sz w:val="24"/>
          <w:szCs w:val="24"/>
          <w:lang w:val="en-NZ"/>
        </w:rPr>
      </w:pPr>
    </w:p>
    <w:p w:rsidR="00A730AA" w:rsidRPr="00CD666F" w:rsidRDefault="00033C49" w:rsidP="00A730AA">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These detailed design issues</w:t>
      </w:r>
      <w:r w:rsidR="00A730AA" w:rsidRPr="00CD666F">
        <w:rPr>
          <w:rFonts w:ascii="Times New Roman" w:hAnsi="Times New Roman"/>
          <w:sz w:val="24"/>
          <w:szCs w:val="24"/>
          <w:lang w:val="en-NZ"/>
        </w:rPr>
        <w:t xml:space="preserve"> </w:t>
      </w:r>
      <w:proofErr w:type="gramStart"/>
      <w:r w:rsidR="00A730AA" w:rsidRPr="00CD666F">
        <w:rPr>
          <w:rFonts w:ascii="Times New Roman" w:hAnsi="Times New Roman"/>
          <w:sz w:val="24"/>
          <w:szCs w:val="24"/>
          <w:lang w:val="en-NZ"/>
        </w:rPr>
        <w:t>are considered</w:t>
      </w:r>
      <w:proofErr w:type="gramEnd"/>
      <w:r w:rsidR="00A730AA" w:rsidRPr="00CD666F">
        <w:rPr>
          <w:rFonts w:ascii="Times New Roman" w:hAnsi="Times New Roman"/>
          <w:sz w:val="24"/>
          <w:szCs w:val="24"/>
          <w:lang w:val="en-NZ"/>
        </w:rPr>
        <w:t xml:space="preserve"> in the </w:t>
      </w:r>
      <w:r w:rsidR="009D1490" w:rsidRPr="00CD666F">
        <w:rPr>
          <w:rFonts w:ascii="Times New Roman" w:hAnsi="Times New Roman"/>
          <w:sz w:val="24"/>
          <w:szCs w:val="24"/>
          <w:lang w:val="en-NZ"/>
        </w:rPr>
        <w:t>section “</w:t>
      </w:r>
      <w:r w:rsidR="00A730AA" w:rsidRPr="00CD666F">
        <w:rPr>
          <w:rFonts w:ascii="Times New Roman" w:hAnsi="Times New Roman"/>
          <w:sz w:val="24"/>
          <w:szCs w:val="24"/>
          <w:lang w:val="en-NZ"/>
        </w:rPr>
        <w:t xml:space="preserve">further analysis </w:t>
      </w:r>
      <w:r w:rsidR="009D1490" w:rsidRPr="00CD666F">
        <w:rPr>
          <w:rFonts w:ascii="Times New Roman" w:hAnsi="Times New Roman"/>
          <w:sz w:val="24"/>
          <w:szCs w:val="24"/>
          <w:lang w:val="en-NZ"/>
        </w:rPr>
        <w:t>of options 1 and 2”</w:t>
      </w:r>
      <w:r w:rsidR="00A730AA" w:rsidRPr="00CD666F">
        <w:rPr>
          <w:rFonts w:ascii="Times New Roman" w:hAnsi="Times New Roman"/>
          <w:sz w:val="24"/>
          <w:szCs w:val="24"/>
          <w:lang w:val="en-NZ"/>
        </w:rPr>
        <w:t>.</w:t>
      </w:r>
    </w:p>
    <w:p w:rsidR="008A2029" w:rsidRPr="00CD666F" w:rsidRDefault="008A2029" w:rsidP="008A2029">
      <w:pPr>
        <w:pStyle w:val="CommentText"/>
        <w:spacing w:after="0" w:line="240" w:lineRule="auto"/>
        <w:rPr>
          <w:rFonts w:ascii="Times New Roman" w:hAnsi="Times New Roman"/>
          <w:sz w:val="24"/>
          <w:szCs w:val="24"/>
          <w:lang w:val="en-NZ"/>
        </w:rPr>
      </w:pPr>
    </w:p>
    <w:p w:rsidR="008A2029" w:rsidRPr="00CD666F" w:rsidRDefault="008A2029" w:rsidP="008A2029">
      <w:pPr>
        <w:pStyle w:val="CommentText"/>
        <w:spacing w:after="0" w:line="240" w:lineRule="auto"/>
        <w:rPr>
          <w:rFonts w:ascii="Times New Roman" w:hAnsi="Times New Roman"/>
          <w:b/>
          <w:sz w:val="24"/>
          <w:szCs w:val="24"/>
          <w:lang w:val="en-NZ"/>
        </w:rPr>
      </w:pPr>
      <w:r w:rsidRPr="00CD666F">
        <w:rPr>
          <w:rFonts w:ascii="Times New Roman" w:hAnsi="Times New Roman"/>
          <w:b/>
          <w:sz w:val="24"/>
          <w:szCs w:val="24"/>
          <w:lang w:val="en-NZ"/>
        </w:rPr>
        <w:t xml:space="preserve">Option </w:t>
      </w:r>
      <w:r w:rsidR="00220F3A" w:rsidRPr="00CD666F">
        <w:rPr>
          <w:rFonts w:ascii="Times New Roman" w:hAnsi="Times New Roman"/>
          <w:b/>
          <w:sz w:val="24"/>
          <w:szCs w:val="24"/>
          <w:lang w:val="en-NZ"/>
        </w:rPr>
        <w:t>2</w:t>
      </w:r>
    </w:p>
    <w:p w:rsidR="008A2029" w:rsidRPr="00CD666F" w:rsidRDefault="008A2029" w:rsidP="008A2029">
      <w:pPr>
        <w:pStyle w:val="CommentText"/>
        <w:spacing w:after="0" w:line="240" w:lineRule="auto"/>
        <w:rPr>
          <w:rFonts w:ascii="Times New Roman" w:hAnsi="Times New Roman"/>
          <w:sz w:val="24"/>
          <w:szCs w:val="24"/>
          <w:lang w:val="en-NZ"/>
        </w:rPr>
      </w:pPr>
    </w:p>
    <w:p w:rsidR="008A2029"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This option would create a bright-line similar to option </w:t>
      </w:r>
      <w:r w:rsidR="00E85251" w:rsidRPr="00CD666F">
        <w:rPr>
          <w:rFonts w:ascii="Times New Roman" w:hAnsi="Times New Roman"/>
          <w:sz w:val="24"/>
          <w:szCs w:val="24"/>
          <w:lang w:val="en-NZ"/>
        </w:rPr>
        <w:t>1</w:t>
      </w:r>
      <w:r w:rsidRPr="00CD666F">
        <w:rPr>
          <w:rFonts w:ascii="Times New Roman" w:hAnsi="Times New Roman"/>
          <w:sz w:val="24"/>
          <w:szCs w:val="24"/>
          <w:lang w:val="en-NZ"/>
        </w:rPr>
        <w:t xml:space="preserve">, however with the period of the </w:t>
      </w:r>
      <w:r w:rsidR="007130D1" w:rsidRPr="00CD666F">
        <w:rPr>
          <w:rFonts w:ascii="Times New Roman" w:hAnsi="Times New Roman"/>
          <w:sz w:val="24"/>
          <w:szCs w:val="24"/>
          <w:lang w:val="en-NZ"/>
        </w:rPr>
        <w:t xml:space="preserve">bright-line being longer at potentially three or </w:t>
      </w:r>
      <w:proofErr w:type="gramStart"/>
      <w:r w:rsidR="007130D1" w:rsidRPr="00CD666F">
        <w:rPr>
          <w:rFonts w:ascii="Times New Roman" w:hAnsi="Times New Roman"/>
          <w:sz w:val="24"/>
          <w:szCs w:val="24"/>
          <w:lang w:val="en-NZ"/>
        </w:rPr>
        <w:t>five</w:t>
      </w:r>
      <w:proofErr w:type="gramEnd"/>
      <w:r w:rsidR="007130D1" w:rsidRPr="00CD666F">
        <w:rPr>
          <w:rFonts w:ascii="Times New Roman" w:hAnsi="Times New Roman"/>
          <w:sz w:val="24"/>
          <w:szCs w:val="24"/>
          <w:lang w:val="en-NZ"/>
        </w:rPr>
        <w:t xml:space="preserve"> years</w:t>
      </w:r>
      <w:r w:rsidRPr="00CD666F">
        <w:rPr>
          <w:rFonts w:ascii="Times New Roman" w:hAnsi="Times New Roman"/>
          <w:sz w:val="24"/>
          <w:szCs w:val="24"/>
          <w:lang w:val="en-NZ"/>
        </w:rPr>
        <w:t xml:space="preserve"> rather than two years.</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This option </w:t>
      </w:r>
      <w:r w:rsidR="00256654" w:rsidRPr="00CD666F">
        <w:rPr>
          <w:rFonts w:ascii="Times New Roman" w:hAnsi="Times New Roman"/>
          <w:sz w:val="24"/>
          <w:szCs w:val="24"/>
          <w:lang w:val="en-NZ"/>
        </w:rPr>
        <w:t xml:space="preserve">has similar impacts as option </w:t>
      </w:r>
      <w:r w:rsidR="00E85251" w:rsidRPr="00CD666F">
        <w:rPr>
          <w:rFonts w:ascii="Times New Roman" w:hAnsi="Times New Roman"/>
          <w:sz w:val="24"/>
          <w:szCs w:val="24"/>
          <w:lang w:val="en-NZ"/>
        </w:rPr>
        <w:t>1</w:t>
      </w:r>
      <w:r w:rsidRPr="00CD666F">
        <w:rPr>
          <w:rFonts w:ascii="Times New Roman" w:hAnsi="Times New Roman"/>
          <w:sz w:val="24"/>
          <w:szCs w:val="24"/>
          <w:lang w:val="en-NZ"/>
        </w:rPr>
        <w:t xml:space="preserve"> </w:t>
      </w:r>
      <w:r w:rsidR="00256654" w:rsidRPr="00CD666F">
        <w:rPr>
          <w:rFonts w:ascii="Times New Roman" w:hAnsi="Times New Roman"/>
          <w:sz w:val="24"/>
          <w:szCs w:val="24"/>
          <w:lang w:val="en-NZ"/>
        </w:rPr>
        <w:t>but</w:t>
      </w:r>
      <w:r w:rsidRPr="00CD666F">
        <w:rPr>
          <w:rFonts w:ascii="Times New Roman" w:hAnsi="Times New Roman"/>
          <w:sz w:val="24"/>
          <w:szCs w:val="24"/>
          <w:lang w:val="en-NZ"/>
        </w:rPr>
        <w:t xml:space="preserve"> with greater effect </w:t>
      </w:r>
      <w:r w:rsidR="00175C66" w:rsidRPr="00CD666F">
        <w:rPr>
          <w:rFonts w:ascii="Times New Roman" w:hAnsi="Times New Roman"/>
          <w:sz w:val="24"/>
          <w:szCs w:val="24"/>
          <w:lang w:val="en-NZ"/>
        </w:rPr>
        <w:t xml:space="preserve">owing </w:t>
      </w:r>
      <w:r w:rsidRPr="00CD666F">
        <w:rPr>
          <w:rFonts w:ascii="Times New Roman" w:hAnsi="Times New Roman"/>
          <w:sz w:val="24"/>
          <w:szCs w:val="24"/>
          <w:lang w:val="en-NZ"/>
        </w:rPr>
        <w:t>to its longer period.</w:t>
      </w:r>
      <w:r w:rsidR="007130D1" w:rsidRPr="00CD666F">
        <w:rPr>
          <w:rFonts w:ascii="Times New Roman" w:hAnsi="Times New Roman"/>
          <w:sz w:val="24"/>
          <w:szCs w:val="24"/>
          <w:lang w:val="en-NZ"/>
        </w:rPr>
        <w:t xml:space="preserve"> It would best meet the objective of creating an easy to enforce rule and would have the greatest</w:t>
      </w:r>
      <w:r w:rsidR="00A730AA" w:rsidRPr="00CD666F">
        <w:rPr>
          <w:rFonts w:ascii="Times New Roman" w:hAnsi="Times New Roman"/>
          <w:sz w:val="24"/>
          <w:szCs w:val="24"/>
          <w:lang w:val="en-NZ"/>
        </w:rPr>
        <w:t xml:space="preserve"> positive</w:t>
      </w:r>
      <w:r w:rsidR="007130D1" w:rsidRPr="00CD666F">
        <w:rPr>
          <w:rFonts w:ascii="Times New Roman" w:hAnsi="Times New Roman"/>
          <w:sz w:val="24"/>
          <w:szCs w:val="24"/>
          <w:lang w:val="en-NZ"/>
        </w:rPr>
        <w:t xml:space="preserve"> fiscal and administrative impact.</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However, this option has the greatest risk of </w:t>
      </w:r>
      <w:r w:rsidR="00051AC3" w:rsidRPr="00CD666F">
        <w:rPr>
          <w:rFonts w:ascii="Times New Roman" w:hAnsi="Times New Roman"/>
          <w:sz w:val="24"/>
          <w:szCs w:val="24"/>
          <w:lang w:val="en-NZ"/>
        </w:rPr>
        <w:t xml:space="preserve">capturing sales that </w:t>
      </w:r>
      <w:proofErr w:type="gramStart"/>
      <w:r w:rsidR="00051AC3" w:rsidRPr="00CD666F">
        <w:rPr>
          <w:rFonts w:ascii="Times New Roman" w:hAnsi="Times New Roman"/>
          <w:sz w:val="24"/>
          <w:szCs w:val="24"/>
          <w:lang w:val="en-NZ"/>
        </w:rPr>
        <w:t>were acquired</w:t>
      </w:r>
      <w:proofErr w:type="gramEnd"/>
      <w:r w:rsidR="00051AC3"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without an intention of resale.</w:t>
      </w:r>
    </w:p>
    <w:p w:rsidR="00A250BC" w:rsidRPr="00CD666F" w:rsidRDefault="00A250BC" w:rsidP="00A250BC">
      <w:pPr>
        <w:pStyle w:val="CommentText"/>
        <w:spacing w:after="0" w:line="240" w:lineRule="auto"/>
        <w:rPr>
          <w:rFonts w:ascii="Times New Roman" w:hAnsi="Times New Roman"/>
          <w:sz w:val="24"/>
          <w:szCs w:val="24"/>
          <w:lang w:val="en-NZ"/>
        </w:rPr>
      </w:pPr>
    </w:p>
    <w:p w:rsidR="00A250BC" w:rsidRPr="00CD666F" w:rsidRDefault="00A250BC"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As a result</w:t>
      </w:r>
      <w:r w:rsidR="00175C66" w:rsidRPr="00CD666F">
        <w:rPr>
          <w:rFonts w:ascii="Times New Roman" w:hAnsi="Times New Roman"/>
          <w:sz w:val="24"/>
          <w:szCs w:val="24"/>
          <w:lang w:val="en-NZ"/>
        </w:rPr>
        <w:t>,</w:t>
      </w:r>
      <w:r w:rsidRPr="00CD666F">
        <w:rPr>
          <w:rFonts w:ascii="Times New Roman" w:hAnsi="Times New Roman"/>
          <w:sz w:val="24"/>
          <w:szCs w:val="24"/>
          <w:lang w:val="en-NZ"/>
        </w:rPr>
        <w:t xml:space="preserve"> this is not Inland Revenue’s preferred option.</w:t>
      </w:r>
    </w:p>
    <w:p w:rsidR="00951FE2" w:rsidRPr="00CD666F" w:rsidRDefault="00951FE2" w:rsidP="00951FE2">
      <w:pPr>
        <w:pStyle w:val="CommentText"/>
        <w:spacing w:after="0" w:line="240" w:lineRule="auto"/>
        <w:rPr>
          <w:rFonts w:ascii="Times New Roman" w:hAnsi="Times New Roman"/>
          <w:sz w:val="24"/>
          <w:szCs w:val="24"/>
          <w:lang w:val="en-NZ"/>
        </w:rPr>
      </w:pPr>
    </w:p>
    <w:p w:rsidR="00951FE2" w:rsidRPr="00CD666F" w:rsidRDefault="00951FE2" w:rsidP="007A4AFB">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There are a number of detailed design issues with this option, these </w:t>
      </w:r>
      <w:proofErr w:type="gramStart"/>
      <w:r w:rsidRPr="00CD666F">
        <w:rPr>
          <w:rFonts w:ascii="Times New Roman" w:hAnsi="Times New Roman"/>
          <w:sz w:val="24"/>
          <w:szCs w:val="24"/>
          <w:lang w:val="en-NZ"/>
        </w:rPr>
        <w:t>are considered</w:t>
      </w:r>
      <w:proofErr w:type="gramEnd"/>
      <w:r w:rsidRPr="00CD666F">
        <w:rPr>
          <w:rFonts w:ascii="Times New Roman" w:hAnsi="Times New Roman"/>
          <w:sz w:val="24"/>
          <w:szCs w:val="24"/>
          <w:lang w:val="en-NZ"/>
        </w:rPr>
        <w:t xml:space="preserve"> in the </w:t>
      </w:r>
      <w:r w:rsidR="0005132F" w:rsidRPr="00CD666F">
        <w:rPr>
          <w:rFonts w:ascii="Times New Roman" w:hAnsi="Times New Roman"/>
          <w:sz w:val="24"/>
          <w:szCs w:val="24"/>
          <w:lang w:val="en-NZ"/>
        </w:rPr>
        <w:t>section “</w:t>
      </w:r>
      <w:r w:rsidRPr="00CD666F">
        <w:rPr>
          <w:rFonts w:ascii="Times New Roman" w:hAnsi="Times New Roman"/>
          <w:sz w:val="24"/>
          <w:szCs w:val="24"/>
          <w:lang w:val="en-NZ"/>
        </w:rPr>
        <w:t xml:space="preserve">further analysis </w:t>
      </w:r>
      <w:r w:rsidR="0005132F" w:rsidRPr="00CD666F">
        <w:rPr>
          <w:rFonts w:ascii="Times New Roman" w:hAnsi="Times New Roman"/>
          <w:sz w:val="24"/>
          <w:szCs w:val="24"/>
          <w:lang w:val="en-NZ"/>
        </w:rPr>
        <w:t>of options 1 and</w:t>
      </w:r>
      <w:r w:rsidR="006B384B" w:rsidRPr="00CD666F">
        <w:rPr>
          <w:rFonts w:ascii="Times New Roman" w:hAnsi="Times New Roman"/>
          <w:sz w:val="24"/>
          <w:szCs w:val="24"/>
          <w:lang w:val="en-NZ"/>
        </w:rPr>
        <w:t xml:space="preserve"> 2”.</w:t>
      </w:r>
    </w:p>
    <w:p w:rsidR="00D853AF" w:rsidRPr="00CD666F" w:rsidRDefault="00D853AF" w:rsidP="00D853AF">
      <w:pPr>
        <w:pStyle w:val="CommentText"/>
        <w:spacing w:after="0" w:line="240" w:lineRule="auto"/>
        <w:rPr>
          <w:rFonts w:ascii="Times New Roman" w:hAnsi="Times New Roman"/>
          <w:sz w:val="24"/>
          <w:szCs w:val="24"/>
          <w:lang w:val="en-NZ"/>
        </w:rPr>
      </w:pPr>
    </w:p>
    <w:p w:rsidR="00D853AF" w:rsidRPr="00CD666F" w:rsidRDefault="000B7E8A" w:rsidP="000B7E8A">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Summary of analysis of options</w:t>
      </w:r>
    </w:p>
    <w:p w:rsidR="00D853AF" w:rsidRPr="00CD666F" w:rsidRDefault="00D853AF" w:rsidP="00D853AF">
      <w:pPr>
        <w:pStyle w:val="CommentText"/>
        <w:spacing w:after="0" w:line="240" w:lineRule="auto"/>
        <w:rPr>
          <w:rFonts w:ascii="Times New Roman" w:hAnsi="Times New Roman"/>
          <w:sz w:val="24"/>
          <w:szCs w:val="24"/>
          <w:lang w:val="en-NZ"/>
        </w:rPr>
      </w:pPr>
    </w:p>
    <w:p w:rsidR="00175C66" w:rsidRPr="00CD666F" w:rsidRDefault="000B7E8A" w:rsidP="00E6379C">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table </w:t>
      </w:r>
      <w:r w:rsidR="00175C66" w:rsidRPr="00CD666F">
        <w:rPr>
          <w:rFonts w:ascii="Times New Roman" w:hAnsi="Times New Roman"/>
          <w:sz w:val="24"/>
          <w:szCs w:val="24"/>
          <w:lang w:val="en-NZ"/>
        </w:rPr>
        <w:t>below summarises the impact analysis of th</w:t>
      </w:r>
      <w:r w:rsidR="00256654" w:rsidRPr="00CD666F">
        <w:rPr>
          <w:rFonts w:ascii="Times New Roman" w:hAnsi="Times New Roman"/>
          <w:sz w:val="24"/>
          <w:szCs w:val="24"/>
          <w:lang w:val="en-NZ"/>
        </w:rPr>
        <w:t>e options.</w:t>
      </w:r>
    </w:p>
    <w:p w:rsidR="00063890" w:rsidRPr="00CD666F" w:rsidRDefault="00063890" w:rsidP="00E05188">
      <w:pPr>
        <w:spacing w:after="0" w:line="240" w:lineRule="auto"/>
        <w:rPr>
          <w:rFonts w:ascii="Times New Roman" w:hAnsi="Times New Roman"/>
          <w:sz w:val="24"/>
          <w:szCs w:val="24"/>
          <w:lang w:val="en-NZ"/>
        </w:rPr>
        <w:sectPr w:rsidR="00063890" w:rsidRPr="00CD666F" w:rsidSect="00034D23">
          <w:footerReference w:type="default" r:id="rId10"/>
          <w:pgSz w:w="11907" w:h="16840" w:code="9"/>
          <w:pgMar w:top="1134" w:right="1418" w:bottom="1134" w:left="1418" w:header="567" w:footer="567" w:gutter="0"/>
          <w:pgNumType w:start="2"/>
          <w:cols w:space="720"/>
          <w:docGrid w:linePitch="360"/>
        </w:sectPr>
      </w:pPr>
    </w:p>
    <w:p w:rsidR="009F25A9" w:rsidRPr="00CD666F" w:rsidRDefault="009F25A9" w:rsidP="007A4AFB">
      <w:pPr>
        <w:pStyle w:val="CommentText"/>
        <w:spacing w:after="0" w:line="240" w:lineRule="auto"/>
        <w:rPr>
          <w:rFonts w:ascii="Times New Roman" w:hAnsi="Times New Roman"/>
          <w:sz w:val="24"/>
          <w:szCs w:val="24"/>
          <w:lang w:val="en-NZ"/>
        </w:rPr>
      </w:pPr>
    </w:p>
    <w:tbl>
      <w:tblPr>
        <w:tblStyle w:val="TableGrid"/>
        <w:tblW w:w="0" w:type="auto"/>
        <w:tblLook w:val="04A0" w:firstRow="1" w:lastRow="0" w:firstColumn="1" w:lastColumn="0" w:noHBand="0" w:noVBand="1"/>
      </w:tblPr>
      <w:tblGrid>
        <w:gridCol w:w="1780"/>
        <w:gridCol w:w="1864"/>
        <w:gridCol w:w="1856"/>
        <w:gridCol w:w="1979"/>
        <w:gridCol w:w="1845"/>
        <w:gridCol w:w="1840"/>
        <w:gridCol w:w="1836"/>
        <w:gridCol w:w="1788"/>
      </w:tblGrid>
      <w:tr w:rsidR="00AA6314" w:rsidRPr="00CD666F" w:rsidTr="0005132F">
        <w:trPr>
          <w:tblHeader/>
        </w:trPr>
        <w:tc>
          <w:tcPr>
            <w:tcW w:w="1780" w:type="dxa"/>
            <w:vMerge w:val="restart"/>
            <w:vAlign w:val="center"/>
          </w:tcPr>
          <w:p w:rsidR="00AA6314" w:rsidRPr="00CD666F" w:rsidRDefault="00AA6314" w:rsidP="00D60F92">
            <w:pPr>
              <w:pStyle w:val="CommentText"/>
              <w:spacing w:after="0" w:line="240" w:lineRule="auto"/>
              <w:jc w:val="center"/>
              <w:rPr>
                <w:rFonts w:ascii="Times New Roman" w:hAnsi="Times New Roman"/>
                <w:b/>
                <w:lang w:val="en-NZ"/>
              </w:rPr>
            </w:pPr>
            <w:r w:rsidRPr="00CD666F">
              <w:rPr>
                <w:rFonts w:ascii="Times New Roman" w:hAnsi="Times New Roman"/>
                <w:b/>
                <w:lang w:val="en-NZ"/>
              </w:rPr>
              <w:t>Option</w:t>
            </w:r>
          </w:p>
        </w:tc>
        <w:tc>
          <w:tcPr>
            <w:tcW w:w="1864" w:type="dxa"/>
            <w:vMerge w:val="restart"/>
            <w:vAlign w:val="center"/>
          </w:tcPr>
          <w:p w:rsidR="00AA6314" w:rsidRPr="00CD666F" w:rsidRDefault="00AA6314" w:rsidP="00D60F92">
            <w:pPr>
              <w:pStyle w:val="CommentText"/>
              <w:spacing w:after="0" w:line="240" w:lineRule="auto"/>
              <w:jc w:val="center"/>
              <w:rPr>
                <w:rFonts w:ascii="Times New Roman" w:hAnsi="Times New Roman"/>
                <w:b/>
                <w:lang w:val="en-NZ"/>
              </w:rPr>
            </w:pPr>
            <w:proofErr w:type="gramStart"/>
            <w:r w:rsidRPr="00CD666F">
              <w:rPr>
                <w:rFonts w:ascii="Times New Roman" w:hAnsi="Times New Roman"/>
                <w:b/>
                <w:lang w:val="en-NZ"/>
              </w:rPr>
              <w:t>Meets objective?</w:t>
            </w:r>
            <w:proofErr w:type="gramEnd"/>
          </w:p>
        </w:tc>
        <w:tc>
          <w:tcPr>
            <w:tcW w:w="9356" w:type="dxa"/>
            <w:gridSpan w:val="5"/>
          </w:tcPr>
          <w:p w:rsidR="00AA6314" w:rsidRPr="00CD666F" w:rsidRDefault="00AA6314" w:rsidP="00AA6314">
            <w:pPr>
              <w:pStyle w:val="CommentText"/>
              <w:spacing w:after="0" w:line="240" w:lineRule="auto"/>
              <w:jc w:val="center"/>
              <w:rPr>
                <w:rFonts w:ascii="Times New Roman" w:hAnsi="Times New Roman"/>
                <w:b/>
                <w:lang w:val="en-NZ"/>
              </w:rPr>
            </w:pPr>
            <w:r w:rsidRPr="00CD666F">
              <w:rPr>
                <w:rFonts w:ascii="Times New Roman" w:hAnsi="Times New Roman"/>
                <w:b/>
                <w:lang w:val="en-NZ"/>
              </w:rPr>
              <w:t>Impacts</w:t>
            </w:r>
          </w:p>
        </w:tc>
        <w:tc>
          <w:tcPr>
            <w:tcW w:w="1788" w:type="dxa"/>
            <w:vMerge w:val="restart"/>
            <w:vAlign w:val="center"/>
          </w:tcPr>
          <w:p w:rsidR="00AA6314" w:rsidRPr="00CD666F" w:rsidRDefault="00AA6314" w:rsidP="00D60F92">
            <w:pPr>
              <w:pStyle w:val="CommentText"/>
              <w:spacing w:after="0" w:line="240" w:lineRule="auto"/>
              <w:jc w:val="center"/>
              <w:rPr>
                <w:rFonts w:ascii="Times New Roman" w:hAnsi="Times New Roman"/>
                <w:b/>
                <w:lang w:val="en-NZ"/>
              </w:rPr>
            </w:pPr>
            <w:r w:rsidRPr="00CD666F">
              <w:rPr>
                <w:rFonts w:ascii="Times New Roman" w:hAnsi="Times New Roman"/>
                <w:b/>
                <w:lang w:val="en-NZ"/>
              </w:rPr>
              <w:t>Net impact</w:t>
            </w:r>
          </w:p>
        </w:tc>
      </w:tr>
      <w:tr w:rsidR="00AA6314" w:rsidRPr="00CD666F" w:rsidTr="0005132F">
        <w:trPr>
          <w:trHeight w:val="585"/>
          <w:tblHeader/>
        </w:trPr>
        <w:tc>
          <w:tcPr>
            <w:tcW w:w="1780" w:type="dxa"/>
            <w:vMerge/>
          </w:tcPr>
          <w:p w:rsidR="00AA6314" w:rsidRPr="00CD666F" w:rsidRDefault="00AA6314" w:rsidP="007A4AFB">
            <w:pPr>
              <w:pStyle w:val="CommentText"/>
              <w:spacing w:after="0" w:line="240" w:lineRule="auto"/>
              <w:rPr>
                <w:rFonts w:ascii="Times New Roman" w:hAnsi="Times New Roman"/>
                <w:lang w:val="en-NZ"/>
              </w:rPr>
            </w:pPr>
          </w:p>
        </w:tc>
        <w:tc>
          <w:tcPr>
            <w:tcW w:w="1864" w:type="dxa"/>
            <w:vMerge/>
          </w:tcPr>
          <w:p w:rsidR="00AA6314" w:rsidRPr="00CD666F" w:rsidRDefault="00AA6314" w:rsidP="007A4AFB">
            <w:pPr>
              <w:pStyle w:val="CommentText"/>
              <w:spacing w:after="0" w:line="240" w:lineRule="auto"/>
              <w:rPr>
                <w:rFonts w:ascii="Times New Roman" w:hAnsi="Times New Roman"/>
                <w:lang w:val="en-NZ"/>
              </w:rPr>
            </w:pPr>
          </w:p>
        </w:tc>
        <w:tc>
          <w:tcPr>
            <w:tcW w:w="1856" w:type="dxa"/>
            <w:vAlign w:val="center"/>
          </w:tcPr>
          <w:p w:rsidR="00AA6314" w:rsidRPr="00CD666F" w:rsidRDefault="00AA6314" w:rsidP="00D60F92">
            <w:pPr>
              <w:pStyle w:val="CommentText"/>
              <w:spacing w:after="0" w:line="240" w:lineRule="auto"/>
              <w:jc w:val="center"/>
              <w:rPr>
                <w:rFonts w:ascii="Times New Roman" w:hAnsi="Times New Roman"/>
                <w:b/>
                <w:i/>
                <w:lang w:val="en-NZ"/>
              </w:rPr>
            </w:pPr>
            <w:r w:rsidRPr="00CD666F">
              <w:rPr>
                <w:rFonts w:ascii="Times New Roman" w:hAnsi="Times New Roman"/>
                <w:b/>
                <w:i/>
                <w:lang w:val="en-NZ"/>
              </w:rPr>
              <w:t>Fiscal</w:t>
            </w:r>
          </w:p>
        </w:tc>
        <w:tc>
          <w:tcPr>
            <w:tcW w:w="1979" w:type="dxa"/>
            <w:vAlign w:val="center"/>
          </w:tcPr>
          <w:p w:rsidR="00AA6314" w:rsidRPr="00CD666F" w:rsidRDefault="00AA6314" w:rsidP="00D60F92">
            <w:pPr>
              <w:pStyle w:val="CommentText"/>
              <w:spacing w:after="0" w:line="240" w:lineRule="auto"/>
              <w:jc w:val="center"/>
              <w:rPr>
                <w:rFonts w:ascii="Times New Roman" w:hAnsi="Times New Roman"/>
                <w:b/>
                <w:i/>
                <w:lang w:val="en-NZ"/>
              </w:rPr>
            </w:pPr>
            <w:r w:rsidRPr="00CD666F">
              <w:rPr>
                <w:rFonts w:ascii="Times New Roman" w:hAnsi="Times New Roman"/>
                <w:b/>
                <w:i/>
                <w:lang w:val="en-NZ"/>
              </w:rPr>
              <w:t>Economic</w:t>
            </w:r>
          </w:p>
        </w:tc>
        <w:tc>
          <w:tcPr>
            <w:tcW w:w="1845" w:type="dxa"/>
            <w:vAlign w:val="center"/>
          </w:tcPr>
          <w:p w:rsidR="00AA6314" w:rsidRPr="00CD666F" w:rsidRDefault="00AA6314" w:rsidP="00D60F92">
            <w:pPr>
              <w:pStyle w:val="CommentText"/>
              <w:spacing w:after="0" w:line="240" w:lineRule="auto"/>
              <w:jc w:val="center"/>
              <w:rPr>
                <w:rFonts w:ascii="Times New Roman" w:hAnsi="Times New Roman"/>
                <w:b/>
                <w:i/>
                <w:lang w:val="en-NZ"/>
              </w:rPr>
            </w:pPr>
            <w:r w:rsidRPr="00CD666F">
              <w:rPr>
                <w:rFonts w:ascii="Times New Roman" w:hAnsi="Times New Roman"/>
                <w:b/>
                <w:i/>
                <w:lang w:val="en-NZ"/>
              </w:rPr>
              <w:t>Administrative</w:t>
            </w:r>
          </w:p>
        </w:tc>
        <w:tc>
          <w:tcPr>
            <w:tcW w:w="1840" w:type="dxa"/>
            <w:vAlign w:val="center"/>
          </w:tcPr>
          <w:p w:rsidR="00AA6314" w:rsidRPr="00CD666F" w:rsidRDefault="00AA6314" w:rsidP="00D60F92">
            <w:pPr>
              <w:pStyle w:val="CommentText"/>
              <w:spacing w:after="0" w:line="240" w:lineRule="auto"/>
              <w:jc w:val="center"/>
              <w:rPr>
                <w:rFonts w:ascii="Times New Roman" w:hAnsi="Times New Roman"/>
                <w:b/>
                <w:i/>
                <w:lang w:val="en-NZ"/>
              </w:rPr>
            </w:pPr>
            <w:r w:rsidRPr="00CD666F">
              <w:rPr>
                <w:rFonts w:ascii="Times New Roman" w:hAnsi="Times New Roman"/>
                <w:b/>
                <w:i/>
                <w:lang w:val="en-NZ"/>
              </w:rPr>
              <w:t>Compliance</w:t>
            </w:r>
          </w:p>
        </w:tc>
        <w:tc>
          <w:tcPr>
            <w:tcW w:w="1836" w:type="dxa"/>
            <w:vAlign w:val="center"/>
          </w:tcPr>
          <w:p w:rsidR="00AA6314" w:rsidRPr="00CD666F" w:rsidRDefault="00AA6314" w:rsidP="00D60F92">
            <w:pPr>
              <w:pStyle w:val="CommentText"/>
              <w:spacing w:after="0" w:line="240" w:lineRule="auto"/>
              <w:jc w:val="center"/>
              <w:rPr>
                <w:rFonts w:ascii="Times New Roman" w:hAnsi="Times New Roman"/>
                <w:b/>
                <w:i/>
                <w:lang w:val="en-NZ"/>
              </w:rPr>
            </w:pPr>
            <w:r w:rsidRPr="00CD666F">
              <w:rPr>
                <w:rFonts w:ascii="Times New Roman" w:hAnsi="Times New Roman"/>
                <w:b/>
                <w:i/>
                <w:lang w:val="en-NZ"/>
              </w:rPr>
              <w:t>Fairness</w:t>
            </w:r>
          </w:p>
        </w:tc>
        <w:tc>
          <w:tcPr>
            <w:tcW w:w="1788" w:type="dxa"/>
            <w:vMerge/>
          </w:tcPr>
          <w:p w:rsidR="00AA6314" w:rsidRPr="00CD666F" w:rsidRDefault="00AA6314" w:rsidP="007A4AFB">
            <w:pPr>
              <w:pStyle w:val="CommentText"/>
              <w:spacing w:after="0" w:line="240" w:lineRule="auto"/>
              <w:rPr>
                <w:rFonts w:ascii="Times New Roman" w:hAnsi="Times New Roman"/>
                <w:lang w:val="en-NZ"/>
              </w:rPr>
            </w:pPr>
          </w:p>
        </w:tc>
      </w:tr>
      <w:tr w:rsidR="00AA6314" w:rsidRPr="00CD666F" w:rsidTr="0005132F">
        <w:tc>
          <w:tcPr>
            <w:tcW w:w="1780" w:type="dxa"/>
          </w:tcPr>
          <w:p w:rsidR="00AA6314" w:rsidRPr="00CD666F" w:rsidRDefault="002F1321" w:rsidP="0005132F">
            <w:pPr>
              <w:pStyle w:val="CommentText"/>
              <w:spacing w:after="0" w:line="240" w:lineRule="auto"/>
              <w:jc w:val="left"/>
              <w:rPr>
                <w:rFonts w:ascii="Times New Roman" w:hAnsi="Times New Roman"/>
                <w:b/>
                <w:lang w:val="en-NZ"/>
              </w:rPr>
            </w:pPr>
            <w:r w:rsidRPr="00CD666F">
              <w:rPr>
                <w:rFonts w:ascii="Times New Roman" w:hAnsi="Times New Roman"/>
                <w:b/>
                <w:lang w:val="en-NZ"/>
              </w:rPr>
              <w:t>1</w:t>
            </w:r>
            <w:r w:rsidR="00057716" w:rsidRPr="00CD666F">
              <w:rPr>
                <w:rFonts w:ascii="Times New Roman" w:hAnsi="Times New Roman"/>
                <w:b/>
                <w:lang w:val="en-NZ"/>
              </w:rPr>
              <w:t xml:space="preserve"> – </w:t>
            </w:r>
            <w:r w:rsidR="00287AEF" w:rsidRPr="00CD666F">
              <w:rPr>
                <w:rFonts w:ascii="Times New Roman" w:hAnsi="Times New Roman"/>
                <w:b/>
                <w:lang w:val="en-NZ"/>
              </w:rPr>
              <w:t>Two</w:t>
            </w:r>
            <w:r w:rsidR="00057716" w:rsidRPr="00CD666F">
              <w:rPr>
                <w:rFonts w:ascii="Times New Roman" w:hAnsi="Times New Roman"/>
                <w:b/>
                <w:lang w:val="en-NZ"/>
              </w:rPr>
              <w:t xml:space="preserve"> year bright-line</w:t>
            </w:r>
          </w:p>
        </w:tc>
        <w:tc>
          <w:tcPr>
            <w:tcW w:w="1864" w:type="dxa"/>
          </w:tcPr>
          <w:p w:rsidR="000C6FE3" w:rsidRPr="00CD666F" w:rsidRDefault="00057716" w:rsidP="0005132F">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Meets objective (a) </w:t>
            </w:r>
          </w:p>
          <w:p w:rsidR="000C6FE3" w:rsidRPr="00CD666F" w:rsidRDefault="000C6FE3" w:rsidP="0005132F">
            <w:pPr>
              <w:pStyle w:val="CommentText"/>
              <w:spacing w:after="0" w:line="240" w:lineRule="auto"/>
              <w:jc w:val="left"/>
              <w:rPr>
                <w:rFonts w:ascii="Times New Roman" w:hAnsi="Times New Roman"/>
                <w:lang w:val="en-NZ"/>
              </w:rPr>
            </w:pPr>
          </w:p>
          <w:p w:rsidR="00AA6314" w:rsidRPr="00CD666F" w:rsidRDefault="000C6FE3" w:rsidP="0005132F">
            <w:pPr>
              <w:pStyle w:val="CommentText"/>
              <w:spacing w:after="0" w:line="240" w:lineRule="auto"/>
              <w:jc w:val="left"/>
              <w:rPr>
                <w:rFonts w:ascii="Times New Roman" w:hAnsi="Times New Roman"/>
                <w:lang w:val="en-NZ"/>
              </w:rPr>
            </w:pPr>
            <w:r w:rsidRPr="00CD666F">
              <w:rPr>
                <w:rFonts w:ascii="Times New Roman" w:hAnsi="Times New Roman"/>
                <w:lang w:val="en-NZ"/>
              </w:rPr>
              <w:t>L</w:t>
            </w:r>
            <w:r w:rsidR="003C3928" w:rsidRPr="00CD666F">
              <w:rPr>
                <w:rFonts w:ascii="Times New Roman" w:hAnsi="Times New Roman"/>
                <w:lang w:val="en-NZ"/>
              </w:rPr>
              <w:t>argely</w:t>
            </w:r>
            <w:r w:rsidR="00057716" w:rsidRPr="00CD666F">
              <w:rPr>
                <w:rFonts w:ascii="Times New Roman" w:hAnsi="Times New Roman"/>
                <w:lang w:val="en-NZ"/>
              </w:rPr>
              <w:t xml:space="preserve"> meets objective (b)</w:t>
            </w:r>
          </w:p>
          <w:p w:rsidR="00E60DAB" w:rsidRPr="00CD666F" w:rsidRDefault="00E60DAB" w:rsidP="0005132F">
            <w:pPr>
              <w:pStyle w:val="CommentText"/>
              <w:spacing w:after="0" w:line="240" w:lineRule="auto"/>
              <w:jc w:val="left"/>
              <w:rPr>
                <w:rFonts w:ascii="Times New Roman" w:hAnsi="Times New Roman"/>
                <w:lang w:val="en-NZ"/>
              </w:rPr>
            </w:pPr>
          </w:p>
          <w:p w:rsidR="00E60DAB" w:rsidRPr="00CD666F" w:rsidRDefault="00467B33" w:rsidP="0005132F">
            <w:pPr>
              <w:pStyle w:val="CommentText"/>
              <w:spacing w:after="0" w:line="240" w:lineRule="auto"/>
              <w:jc w:val="left"/>
              <w:rPr>
                <w:rFonts w:ascii="Times New Roman" w:hAnsi="Times New Roman"/>
                <w:lang w:val="en-NZ"/>
              </w:rPr>
            </w:pPr>
            <w:r w:rsidRPr="00CD666F">
              <w:rPr>
                <w:rFonts w:ascii="Times New Roman" w:hAnsi="Times New Roman"/>
                <w:lang w:val="en-NZ"/>
              </w:rPr>
              <w:t>Partially meets objective (c)</w:t>
            </w:r>
          </w:p>
        </w:tc>
        <w:tc>
          <w:tcPr>
            <w:tcW w:w="1856" w:type="dxa"/>
          </w:tcPr>
          <w:p w:rsidR="00644FB3" w:rsidRPr="00CD666F" w:rsidRDefault="00057716" w:rsidP="00644FB3">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The </w:t>
            </w:r>
            <w:proofErr w:type="gramStart"/>
            <w:r w:rsidRPr="00CD666F">
              <w:rPr>
                <w:rFonts w:ascii="Times New Roman" w:hAnsi="Times New Roman"/>
                <w:lang w:val="en-NZ"/>
              </w:rPr>
              <w:t>2 year</w:t>
            </w:r>
            <w:proofErr w:type="gramEnd"/>
            <w:r w:rsidRPr="00CD666F">
              <w:rPr>
                <w:rFonts w:ascii="Times New Roman" w:hAnsi="Times New Roman"/>
                <w:lang w:val="en-NZ"/>
              </w:rPr>
              <w:t xml:space="preserve"> bright-line is expected to raise an additional $5 million per annum</w:t>
            </w:r>
            <w:r w:rsidR="00644FB3" w:rsidRPr="00CD666F">
              <w:rPr>
                <w:rFonts w:ascii="Times New Roman" w:hAnsi="Times New Roman"/>
                <w:lang w:val="en-NZ"/>
              </w:rPr>
              <w:t>, which is based on a number of behavioural assumptions, which are inherently difficult to quantify, such as the number of sales that would be delayed in order to exceed the two-year holding period.</w:t>
            </w:r>
            <w:r w:rsidR="00231FF1" w:rsidRPr="00CD666F">
              <w:rPr>
                <w:rFonts w:ascii="Times New Roman" w:hAnsi="Times New Roman"/>
                <w:lang w:val="en-NZ"/>
              </w:rPr>
              <w:t xml:space="preserve"> </w:t>
            </w:r>
            <w:r w:rsidR="00644FB3" w:rsidRPr="00CD666F">
              <w:rPr>
                <w:rFonts w:ascii="Times New Roman" w:hAnsi="Times New Roman"/>
                <w:lang w:val="en-NZ"/>
              </w:rPr>
              <w:t xml:space="preserve"> The actual revenue collected under this option may be significantly more if the behavioural responses are different to those assumed.</w:t>
            </w:r>
          </w:p>
        </w:tc>
        <w:tc>
          <w:tcPr>
            <w:tcW w:w="1979" w:type="dxa"/>
          </w:tcPr>
          <w:p w:rsidR="00AA6314" w:rsidRPr="00CD666F" w:rsidRDefault="00057716" w:rsidP="0005132F">
            <w:pPr>
              <w:pStyle w:val="CommentText"/>
              <w:spacing w:after="0" w:line="240" w:lineRule="auto"/>
              <w:jc w:val="left"/>
              <w:rPr>
                <w:rFonts w:ascii="Times New Roman" w:hAnsi="Times New Roman"/>
                <w:lang w:val="en-NZ"/>
              </w:rPr>
            </w:pPr>
            <w:r w:rsidRPr="00CD666F">
              <w:rPr>
                <w:rFonts w:ascii="Times New Roman" w:hAnsi="Times New Roman"/>
                <w:lang w:val="en-NZ"/>
              </w:rPr>
              <w:t>This option would create</w:t>
            </w:r>
            <w:r w:rsidR="00033C49" w:rsidRPr="00CD666F">
              <w:rPr>
                <w:rFonts w:ascii="Times New Roman" w:hAnsi="Times New Roman"/>
                <w:lang w:val="en-NZ"/>
              </w:rPr>
              <w:t xml:space="preserve"> a “lock-in” effect as people have</w:t>
            </w:r>
            <w:r w:rsidRPr="00CD666F">
              <w:rPr>
                <w:rFonts w:ascii="Times New Roman" w:hAnsi="Times New Roman"/>
                <w:lang w:val="en-NZ"/>
              </w:rPr>
              <w:t xml:space="preserve"> an incentive to hold </w:t>
            </w:r>
            <w:r w:rsidR="00033C49" w:rsidRPr="00CD666F">
              <w:rPr>
                <w:rFonts w:ascii="Times New Roman" w:hAnsi="Times New Roman"/>
                <w:lang w:val="en-NZ"/>
              </w:rPr>
              <w:t>property for longer than 2 years.</w:t>
            </w:r>
          </w:p>
          <w:p w:rsidR="00057716" w:rsidRPr="00CD666F" w:rsidRDefault="00057716" w:rsidP="0005132F">
            <w:pPr>
              <w:pStyle w:val="CommentText"/>
              <w:spacing w:after="0" w:line="240" w:lineRule="auto"/>
              <w:jc w:val="left"/>
              <w:rPr>
                <w:rFonts w:ascii="Times New Roman" w:hAnsi="Times New Roman"/>
                <w:lang w:val="en-NZ"/>
              </w:rPr>
            </w:pPr>
          </w:p>
          <w:p w:rsidR="00057716" w:rsidRPr="00CD666F" w:rsidRDefault="00057716" w:rsidP="0005132F">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This </w:t>
            </w:r>
            <w:r w:rsidR="001F14DA" w:rsidRPr="00CD666F">
              <w:rPr>
                <w:rFonts w:ascii="Times New Roman" w:hAnsi="Times New Roman"/>
                <w:lang w:val="en-NZ"/>
              </w:rPr>
              <w:t>would result in an economic distortion</w:t>
            </w:r>
            <w:r w:rsidR="00033C49" w:rsidRPr="00CD666F">
              <w:rPr>
                <w:rFonts w:ascii="Times New Roman" w:hAnsi="Times New Roman"/>
                <w:lang w:val="en-NZ"/>
              </w:rPr>
              <w:t xml:space="preserve"> as people may not undergo otherwise efficient transactions due to the bright-line test.</w:t>
            </w:r>
          </w:p>
        </w:tc>
        <w:tc>
          <w:tcPr>
            <w:tcW w:w="1845" w:type="dxa"/>
          </w:tcPr>
          <w:p w:rsidR="00402F07" w:rsidRPr="00CD666F" w:rsidRDefault="00402F07" w:rsidP="0005132F">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This option creates an easier to enforce </w:t>
            </w:r>
            <w:proofErr w:type="gramStart"/>
            <w:r w:rsidRPr="00CD666F">
              <w:rPr>
                <w:rFonts w:ascii="Times New Roman" w:hAnsi="Times New Roman"/>
                <w:lang w:val="en-NZ"/>
              </w:rPr>
              <w:t xml:space="preserve">rule </w:t>
            </w:r>
            <w:r w:rsidR="00033C49" w:rsidRPr="00CD666F">
              <w:rPr>
                <w:rFonts w:ascii="Times New Roman" w:hAnsi="Times New Roman"/>
                <w:lang w:val="en-NZ"/>
              </w:rPr>
              <w:t>which</w:t>
            </w:r>
            <w:proofErr w:type="gramEnd"/>
            <w:r w:rsidR="00033C49" w:rsidRPr="00CD666F">
              <w:rPr>
                <w:rFonts w:ascii="Times New Roman" w:hAnsi="Times New Roman"/>
                <w:lang w:val="en-NZ"/>
              </w:rPr>
              <w:t xml:space="preserve"> </w:t>
            </w:r>
            <w:r w:rsidRPr="00CD666F">
              <w:rPr>
                <w:rFonts w:ascii="Times New Roman" w:hAnsi="Times New Roman"/>
                <w:lang w:val="en-NZ"/>
              </w:rPr>
              <w:t>will decrease administration costs for Inland Revenue.</w:t>
            </w:r>
          </w:p>
        </w:tc>
        <w:tc>
          <w:tcPr>
            <w:tcW w:w="1840" w:type="dxa"/>
          </w:tcPr>
          <w:p w:rsidR="00AA6314" w:rsidRPr="00CD666F" w:rsidRDefault="00033C49" w:rsidP="0005132F">
            <w:pPr>
              <w:pStyle w:val="CommentText"/>
              <w:spacing w:after="0" w:line="240" w:lineRule="auto"/>
              <w:jc w:val="left"/>
              <w:rPr>
                <w:rFonts w:ascii="Times New Roman" w:hAnsi="Times New Roman"/>
                <w:lang w:val="en-NZ"/>
              </w:rPr>
            </w:pPr>
            <w:r w:rsidRPr="00CD666F">
              <w:rPr>
                <w:rFonts w:ascii="Times New Roman" w:hAnsi="Times New Roman"/>
                <w:lang w:val="en-NZ"/>
              </w:rPr>
              <w:t>C</w:t>
            </w:r>
            <w:r w:rsidR="001F14DA" w:rsidRPr="00CD666F">
              <w:rPr>
                <w:rFonts w:ascii="Times New Roman" w:hAnsi="Times New Roman"/>
                <w:lang w:val="en-NZ"/>
              </w:rPr>
              <w:t>ompliance costs</w:t>
            </w:r>
            <w:r w:rsidRPr="00CD666F">
              <w:rPr>
                <w:rFonts w:ascii="Times New Roman" w:hAnsi="Times New Roman"/>
                <w:lang w:val="en-NZ"/>
              </w:rPr>
              <w:t xml:space="preserve"> will decrease for </w:t>
            </w:r>
            <w:r w:rsidR="00256654" w:rsidRPr="00CD666F">
              <w:rPr>
                <w:rFonts w:ascii="Times New Roman" w:hAnsi="Times New Roman"/>
                <w:lang w:val="en-NZ"/>
              </w:rPr>
              <w:t>people currently taxed</w:t>
            </w:r>
            <w:r w:rsidRPr="00CD666F">
              <w:rPr>
                <w:rFonts w:ascii="Times New Roman" w:hAnsi="Times New Roman"/>
                <w:lang w:val="en-NZ"/>
              </w:rPr>
              <w:t xml:space="preserve"> under existing rules as this option reduces ambiguity.</w:t>
            </w:r>
          </w:p>
          <w:p w:rsidR="001F14DA" w:rsidRPr="00CD666F" w:rsidRDefault="001F14DA" w:rsidP="0005132F">
            <w:pPr>
              <w:pStyle w:val="CommentText"/>
              <w:spacing w:after="0" w:line="240" w:lineRule="auto"/>
              <w:jc w:val="left"/>
              <w:rPr>
                <w:rFonts w:ascii="Times New Roman" w:hAnsi="Times New Roman"/>
                <w:lang w:val="en-NZ"/>
              </w:rPr>
            </w:pPr>
          </w:p>
          <w:p w:rsidR="001F14DA" w:rsidRPr="00CD666F" w:rsidRDefault="00033C49" w:rsidP="0005132F">
            <w:pPr>
              <w:pStyle w:val="CommentText"/>
              <w:spacing w:after="0" w:line="240" w:lineRule="auto"/>
              <w:jc w:val="left"/>
              <w:rPr>
                <w:rFonts w:ascii="Times New Roman" w:hAnsi="Times New Roman"/>
                <w:lang w:val="en-NZ"/>
              </w:rPr>
            </w:pPr>
            <w:r w:rsidRPr="00CD666F">
              <w:rPr>
                <w:rFonts w:ascii="Times New Roman" w:hAnsi="Times New Roman"/>
                <w:lang w:val="en-NZ"/>
              </w:rPr>
              <w:t>C</w:t>
            </w:r>
            <w:r w:rsidR="001F14DA" w:rsidRPr="00CD666F">
              <w:rPr>
                <w:rFonts w:ascii="Times New Roman" w:hAnsi="Times New Roman"/>
                <w:lang w:val="en-NZ"/>
              </w:rPr>
              <w:t>ompliance costs will increase</w:t>
            </w:r>
            <w:r w:rsidRPr="00CD666F">
              <w:rPr>
                <w:rFonts w:ascii="Times New Roman" w:hAnsi="Times New Roman"/>
                <w:lang w:val="en-NZ"/>
              </w:rPr>
              <w:t xml:space="preserve"> for other people caught by the bright-line</w:t>
            </w:r>
            <w:r w:rsidR="001F14DA" w:rsidRPr="00CD666F">
              <w:rPr>
                <w:rFonts w:ascii="Times New Roman" w:hAnsi="Times New Roman"/>
                <w:lang w:val="en-NZ"/>
              </w:rPr>
              <w:t xml:space="preserve"> as they have new tax obligations.</w:t>
            </w:r>
          </w:p>
        </w:tc>
        <w:tc>
          <w:tcPr>
            <w:tcW w:w="1836" w:type="dxa"/>
          </w:tcPr>
          <w:p w:rsidR="00AA6314" w:rsidRPr="00CD666F" w:rsidRDefault="00033C49" w:rsidP="0005132F">
            <w:pPr>
              <w:pStyle w:val="CommentText"/>
              <w:spacing w:after="0" w:line="240" w:lineRule="auto"/>
              <w:jc w:val="left"/>
              <w:rPr>
                <w:rFonts w:ascii="Times New Roman" w:hAnsi="Times New Roman"/>
                <w:lang w:val="en-NZ"/>
              </w:rPr>
            </w:pPr>
            <w:r w:rsidRPr="00CD666F">
              <w:rPr>
                <w:rFonts w:ascii="Times New Roman" w:hAnsi="Times New Roman"/>
                <w:lang w:val="en-NZ"/>
              </w:rPr>
              <w:t>The bright-line test will make enforcement easier</w:t>
            </w:r>
            <w:r w:rsidR="00256654" w:rsidRPr="00CD666F">
              <w:rPr>
                <w:rFonts w:ascii="Times New Roman" w:hAnsi="Times New Roman"/>
                <w:lang w:val="en-NZ"/>
              </w:rPr>
              <w:t xml:space="preserve"> and</w:t>
            </w:r>
            <w:r w:rsidRPr="00CD666F">
              <w:rPr>
                <w:rFonts w:ascii="Times New Roman" w:hAnsi="Times New Roman"/>
                <w:lang w:val="en-NZ"/>
              </w:rPr>
              <w:t xml:space="preserve"> help</w:t>
            </w:r>
            <w:r w:rsidR="001F14DA" w:rsidRPr="00CD666F">
              <w:rPr>
                <w:rFonts w:ascii="Times New Roman" w:hAnsi="Times New Roman"/>
                <w:lang w:val="en-NZ"/>
              </w:rPr>
              <w:t xml:space="preserve"> ensure people pay their fair share o</w:t>
            </w:r>
            <w:r w:rsidR="00792961" w:rsidRPr="00CD666F">
              <w:rPr>
                <w:rFonts w:ascii="Times New Roman" w:hAnsi="Times New Roman"/>
                <w:lang w:val="en-NZ"/>
              </w:rPr>
              <w:t>f</w:t>
            </w:r>
            <w:r w:rsidR="001F14DA" w:rsidRPr="00CD666F">
              <w:rPr>
                <w:rFonts w:ascii="Times New Roman" w:hAnsi="Times New Roman"/>
                <w:lang w:val="en-NZ"/>
              </w:rPr>
              <w:t xml:space="preserve"> tax.</w:t>
            </w:r>
          </w:p>
          <w:p w:rsidR="001F14DA" w:rsidRPr="00CD666F" w:rsidRDefault="001F14DA" w:rsidP="0005132F">
            <w:pPr>
              <w:pStyle w:val="CommentText"/>
              <w:spacing w:after="0" w:line="240" w:lineRule="auto"/>
              <w:jc w:val="left"/>
              <w:rPr>
                <w:rFonts w:ascii="Times New Roman" w:hAnsi="Times New Roman"/>
                <w:lang w:val="en-NZ"/>
              </w:rPr>
            </w:pPr>
          </w:p>
          <w:p w:rsidR="001F14DA" w:rsidRPr="00CD666F" w:rsidRDefault="001F14DA" w:rsidP="0005132F">
            <w:pPr>
              <w:pStyle w:val="CommentText"/>
              <w:spacing w:after="0" w:line="240" w:lineRule="auto"/>
              <w:jc w:val="left"/>
              <w:rPr>
                <w:rFonts w:ascii="Times New Roman" w:hAnsi="Times New Roman"/>
                <w:lang w:val="en-NZ"/>
              </w:rPr>
            </w:pPr>
            <w:proofErr w:type="gramStart"/>
            <w:r w:rsidRPr="00CD666F">
              <w:rPr>
                <w:rFonts w:ascii="Times New Roman" w:hAnsi="Times New Roman"/>
                <w:lang w:val="en-NZ"/>
              </w:rPr>
              <w:t>May be seen</w:t>
            </w:r>
            <w:proofErr w:type="gramEnd"/>
            <w:r w:rsidRPr="00CD666F">
              <w:rPr>
                <w:rFonts w:ascii="Times New Roman" w:hAnsi="Times New Roman"/>
                <w:lang w:val="en-NZ"/>
              </w:rPr>
              <w:t xml:space="preserve"> as unfair as persons who</w:t>
            </w:r>
            <w:r w:rsidR="00562D74" w:rsidRPr="00CD666F">
              <w:rPr>
                <w:rFonts w:ascii="Times New Roman" w:hAnsi="Times New Roman"/>
                <w:lang w:val="en-NZ"/>
              </w:rPr>
              <w:t xml:space="preserve"> sell within two years are treated differently from those who are able to</w:t>
            </w:r>
            <w:r w:rsidRPr="00CD666F">
              <w:rPr>
                <w:rFonts w:ascii="Times New Roman" w:hAnsi="Times New Roman"/>
                <w:lang w:val="en-NZ"/>
              </w:rPr>
              <w:t xml:space="preserve"> delay</w:t>
            </w:r>
            <w:r w:rsidR="00562D74" w:rsidRPr="00CD666F">
              <w:rPr>
                <w:rFonts w:ascii="Times New Roman" w:hAnsi="Times New Roman"/>
                <w:lang w:val="en-NZ"/>
              </w:rPr>
              <w:t xml:space="preserve"> their</w:t>
            </w:r>
            <w:r w:rsidRPr="00CD666F">
              <w:rPr>
                <w:rFonts w:ascii="Times New Roman" w:hAnsi="Times New Roman"/>
                <w:lang w:val="en-NZ"/>
              </w:rPr>
              <w:t xml:space="preserve"> sale beyond tw</w:t>
            </w:r>
            <w:r w:rsidR="009039B2" w:rsidRPr="00CD666F">
              <w:rPr>
                <w:rFonts w:ascii="Times New Roman" w:hAnsi="Times New Roman"/>
                <w:lang w:val="en-NZ"/>
              </w:rPr>
              <w:t>o years</w:t>
            </w:r>
            <w:r w:rsidR="00562D74" w:rsidRPr="00CD666F">
              <w:rPr>
                <w:rFonts w:ascii="Times New Roman" w:hAnsi="Times New Roman"/>
                <w:lang w:val="en-NZ"/>
              </w:rPr>
              <w:t>.</w:t>
            </w:r>
          </w:p>
        </w:tc>
        <w:tc>
          <w:tcPr>
            <w:tcW w:w="1788" w:type="dxa"/>
          </w:tcPr>
          <w:p w:rsidR="00AA6314" w:rsidRPr="00CD666F" w:rsidRDefault="00707AFB" w:rsidP="0005132F">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Ensures </w:t>
            </w:r>
            <w:r w:rsidR="00840CC3" w:rsidRPr="00CD666F">
              <w:rPr>
                <w:rFonts w:ascii="Times New Roman" w:hAnsi="Times New Roman"/>
                <w:lang w:val="en-NZ"/>
              </w:rPr>
              <w:t>the</w:t>
            </w:r>
            <w:r w:rsidRPr="00CD666F">
              <w:rPr>
                <w:rFonts w:ascii="Times New Roman" w:hAnsi="Times New Roman"/>
                <w:lang w:val="en-NZ"/>
              </w:rPr>
              <w:t xml:space="preserve"> </w:t>
            </w:r>
            <w:r w:rsidR="00562D74" w:rsidRPr="00CD666F">
              <w:rPr>
                <w:rFonts w:ascii="Times New Roman" w:hAnsi="Times New Roman"/>
                <w:lang w:val="en-NZ"/>
              </w:rPr>
              <w:t>key difficulty of enforcement where there is a</w:t>
            </w:r>
            <w:r w:rsidRPr="00CD666F">
              <w:rPr>
                <w:rFonts w:ascii="Times New Roman" w:hAnsi="Times New Roman"/>
                <w:lang w:val="en-NZ"/>
              </w:rPr>
              <w:t xml:space="preserve"> high churn</w:t>
            </w:r>
            <w:r w:rsidR="00BD1F4A" w:rsidRPr="00CD666F">
              <w:rPr>
                <w:rFonts w:ascii="Times New Roman" w:hAnsi="Times New Roman"/>
                <w:lang w:val="en-NZ"/>
              </w:rPr>
              <w:t xml:space="preserve"> of</w:t>
            </w:r>
            <w:r w:rsidRPr="00CD666F">
              <w:rPr>
                <w:rFonts w:ascii="Times New Roman" w:hAnsi="Times New Roman"/>
                <w:lang w:val="en-NZ"/>
              </w:rPr>
              <w:t xml:space="preserve"> properties </w:t>
            </w:r>
            <w:proofErr w:type="gramStart"/>
            <w:r w:rsidRPr="00CD666F">
              <w:rPr>
                <w:rFonts w:ascii="Times New Roman" w:hAnsi="Times New Roman"/>
                <w:lang w:val="en-NZ"/>
              </w:rPr>
              <w:t>is</w:t>
            </w:r>
            <w:r w:rsidR="00562D74" w:rsidRPr="00CD666F">
              <w:rPr>
                <w:rFonts w:ascii="Times New Roman" w:hAnsi="Times New Roman"/>
                <w:lang w:val="en-NZ"/>
              </w:rPr>
              <w:t xml:space="preserve"> targeted</w:t>
            </w:r>
            <w:proofErr w:type="gramEnd"/>
            <w:r w:rsidRPr="00CD666F">
              <w:rPr>
                <w:rFonts w:ascii="Times New Roman" w:hAnsi="Times New Roman"/>
                <w:lang w:val="en-NZ"/>
              </w:rPr>
              <w:t xml:space="preserve"> </w:t>
            </w:r>
            <w:r w:rsidR="00562D74" w:rsidRPr="00CD666F">
              <w:rPr>
                <w:rFonts w:ascii="Times New Roman" w:hAnsi="Times New Roman"/>
                <w:lang w:val="en-NZ"/>
              </w:rPr>
              <w:t xml:space="preserve">while not capturing significant </w:t>
            </w:r>
            <w:r w:rsidR="00BD1F4A" w:rsidRPr="00CD666F">
              <w:rPr>
                <w:rFonts w:ascii="Times New Roman" w:hAnsi="Times New Roman"/>
                <w:lang w:val="en-NZ"/>
              </w:rPr>
              <w:t xml:space="preserve">numbers </w:t>
            </w:r>
            <w:r w:rsidR="0005132F" w:rsidRPr="00CD666F">
              <w:rPr>
                <w:rFonts w:ascii="Times New Roman" w:hAnsi="Times New Roman"/>
                <w:lang w:val="en-NZ"/>
              </w:rPr>
              <w:t>of persons who had no intention of resale.</w:t>
            </w:r>
          </w:p>
        </w:tc>
      </w:tr>
      <w:tr w:rsidR="00AA6314" w:rsidRPr="00CD666F" w:rsidTr="0005132F">
        <w:tc>
          <w:tcPr>
            <w:tcW w:w="1780" w:type="dxa"/>
          </w:tcPr>
          <w:p w:rsidR="00AA6314" w:rsidRPr="00CD666F" w:rsidRDefault="002F1321" w:rsidP="0005132F">
            <w:pPr>
              <w:pStyle w:val="CommentText"/>
              <w:spacing w:after="0" w:line="240" w:lineRule="auto"/>
              <w:jc w:val="left"/>
              <w:rPr>
                <w:rFonts w:ascii="Times New Roman" w:hAnsi="Times New Roman"/>
                <w:b/>
                <w:lang w:val="en-NZ"/>
              </w:rPr>
            </w:pPr>
            <w:r w:rsidRPr="00CD666F">
              <w:rPr>
                <w:rFonts w:ascii="Times New Roman" w:hAnsi="Times New Roman"/>
                <w:b/>
                <w:lang w:val="en-NZ"/>
              </w:rPr>
              <w:t>2</w:t>
            </w:r>
            <w:r w:rsidR="001F14DA" w:rsidRPr="00CD666F">
              <w:rPr>
                <w:rFonts w:ascii="Times New Roman" w:hAnsi="Times New Roman"/>
                <w:b/>
                <w:lang w:val="en-NZ"/>
              </w:rPr>
              <w:t xml:space="preserve"> – </w:t>
            </w:r>
            <w:r w:rsidR="00287AEF" w:rsidRPr="00CD666F">
              <w:rPr>
                <w:rFonts w:ascii="Times New Roman" w:hAnsi="Times New Roman"/>
                <w:b/>
                <w:lang w:val="en-NZ"/>
              </w:rPr>
              <w:t>Three or five</w:t>
            </w:r>
            <w:r w:rsidR="001F14DA" w:rsidRPr="00CD666F">
              <w:rPr>
                <w:rFonts w:ascii="Times New Roman" w:hAnsi="Times New Roman"/>
                <w:b/>
                <w:lang w:val="en-NZ"/>
              </w:rPr>
              <w:t xml:space="preserve"> year bright-line</w:t>
            </w:r>
          </w:p>
        </w:tc>
        <w:tc>
          <w:tcPr>
            <w:tcW w:w="1864" w:type="dxa"/>
          </w:tcPr>
          <w:p w:rsidR="000C6FE3" w:rsidRPr="00CD666F" w:rsidRDefault="000C6FE3" w:rsidP="0005132F">
            <w:pPr>
              <w:pStyle w:val="CommentText"/>
              <w:spacing w:after="0" w:line="240" w:lineRule="auto"/>
              <w:jc w:val="left"/>
              <w:rPr>
                <w:rFonts w:ascii="Times New Roman" w:hAnsi="Times New Roman"/>
                <w:lang w:val="en-NZ"/>
              </w:rPr>
            </w:pPr>
            <w:r w:rsidRPr="00CD666F">
              <w:rPr>
                <w:rFonts w:ascii="Times New Roman" w:hAnsi="Times New Roman"/>
                <w:lang w:val="en-NZ"/>
              </w:rPr>
              <w:t>Best meets objective (a)</w:t>
            </w:r>
            <w:r w:rsidR="001F14DA" w:rsidRPr="00CD666F">
              <w:rPr>
                <w:rFonts w:ascii="Times New Roman" w:hAnsi="Times New Roman"/>
                <w:lang w:val="en-NZ"/>
              </w:rPr>
              <w:t xml:space="preserve"> </w:t>
            </w:r>
          </w:p>
          <w:p w:rsidR="000C6FE3" w:rsidRPr="00CD666F" w:rsidRDefault="000C6FE3" w:rsidP="0005132F">
            <w:pPr>
              <w:pStyle w:val="CommentText"/>
              <w:spacing w:after="0" w:line="240" w:lineRule="auto"/>
              <w:jc w:val="left"/>
              <w:rPr>
                <w:rFonts w:ascii="Times New Roman" w:hAnsi="Times New Roman"/>
                <w:lang w:val="en-NZ"/>
              </w:rPr>
            </w:pPr>
          </w:p>
          <w:p w:rsidR="00AA6314" w:rsidRPr="00CD666F" w:rsidRDefault="000C6FE3" w:rsidP="0005132F">
            <w:pPr>
              <w:pStyle w:val="CommentText"/>
              <w:spacing w:after="0" w:line="240" w:lineRule="auto"/>
              <w:jc w:val="left"/>
              <w:rPr>
                <w:rFonts w:ascii="Times New Roman" w:hAnsi="Times New Roman"/>
                <w:lang w:val="en-NZ"/>
              </w:rPr>
            </w:pPr>
            <w:r w:rsidRPr="00CD666F">
              <w:rPr>
                <w:rFonts w:ascii="Times New Roman" w:hAnsi="Times New Roman"/>
                <w:lang w:val="en-NZ"/>
              </w:rPr>
              <w:t>L</w:t>
            </w:r>
            <w:r w:rsidR="001F14DA" w:rsidRPr="00CD666F">
              <w:rPr>
                <w:rFonts w:ascii="Times New Roman" w:hAnsi="Times New Roman"/>
                <w:lang w:val="en-NZ"/>
              </w:rPr>
              <w:t>east meets objective (b)</w:t>
            </w:r>
          </w:p>
          <w:p w:rsidR="00E60DAB" w:rsidRPr="00CD666F" w:rsidRDefault="00E60DAB" w:rsidP="0005132F">
            <w:pPr>
              <w:pStyle w:val="CommentText"/>
              <w:spacing w:after="0" w:line="240" w:lineRule="auto"/>
              <w:jc w:val="left"/>
              <w:rPr>
                <w:rFonts w:ascii="Times New Roman" w:hAnsi="Times New Roman"/>
                <w:lang w:val="en-NZ"/>
              </w:rPr>
            </w:pPr>
          </w:p>
          <w:p w:rsidR="00E60DAB" w:rsidRPr="00CD666F" w:rsidRDefault="00467B33" w:rsidP="0005132F">
            <w:pPr>
              <w:pStyle w:val="CommentText"/>
              <w:spacing w:after="0" w:line="240" w:lineRule="auto"/>
              <w:jc w:val="left"/>
              <w:rPr>
                <w:rFonts w:ascii="Times New Roman" w:hAnsi="Times New Roman"/>
                <w:lang w:val="en-NZ"/>
              </w:rPr>
            </w:pPr>
            <w:r w:rsidRPr="00CD666F">
              <w:rPr>
                <w:rFonts w:ascii="Times New Roman" w:hAnsi="Times New Roman"/>
                <w:lang w:val="en-NZ"/>
              </w:rPr>
              <w:t>Partially meets objective (c)</w:t>
            </w:r>
          </w:p>
        </w:tc>
        <w:tc>
          <w:tcPr>
            <w:tcW w:w="1856" w:type="dxa"/>
          </w:tcPr>
          <w:p w:rsidR="00AA6314" w:rsidRPr="00CD666F" w:rsidRDefault="001F14DA" w:rsidP="00E85251">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No estimate of revenue gain </w:t>
            </w:r>
            <w:proofErr w:type="gramStart"/>
            <w:r w:rsidR="00175C66" w:rsidRPr="00CD666F">
              <w:rPr>
                <w:rFonts w:ascii="Times New Roman" w:hAnsi="Times New Roman"/>
                <w:lang w:val="en-NZ"/>
              </w:rPr>
              <w:t xml:space="preserve">has </w:t>
            </w:r>
            <w:r w:rsidRPr="00CD666F">
              <w:rPr>
                <w:rFonts w:ascii="Times New Roman" w:hAnsi="Times New Roman"/>
                <w:lang w:val="en-NZ"/>
              </w:rPr>
              <w:t>been made</w:t>
            </w:r>
            <w:proofErr w:type="gramEnd"/>
            <w:r w:rsidR="00175C66" w:rsidRPr="00CD666F">
              <w:rPr>
                <w:rFonts w:ascii="Times New Roman" w:hAnsi="Times New Roman"/>
                <w:lang w:val="en-NZ"/>
              </w:rPr>
              <w:t>,</w:t>
            </w:r>
            <w:r w:rsidRPr="00CD666F">
              <w:rPr>
                <w:rFonts w:ascii="Times New Roman" w:hAnsi="Times New Roman"/>
                <w:lang w:val="en-NZ"/>
              </w:rPr>
              <w:t xml:space="preserve"> </w:t>
            </w:r>
            <w:r w:rsidR="00175C66" w:rsidRPr="00CD666F">
              <w:rPr>
                <w:rFonts w:ascii="Times New Roman" w:hAnsi="Times New Roman"/>
                <w:lang w:val="en-NZ"/>
              </w:rPr>
              <w:t xml:space="preserve">but we expect </w:t>
            </w:r>
            <w:r w:rsidRPr="00CD666F">
              <w:rPr>
                <w:rFonts w:ascii="Times New Roman" w:hAnsi="Times New Roman"/>
                <w:lang w:val="en-NZ"/>
              </w:rPr>
              <w:t xml:space="preserve">it would be greater than the </w:t>
            </w:r>
            <w:r w:rsidR="005755E0" w:rsidRPr="00CD666F">
              <w:rPr>
                <w:rFonts w:ascii="Times New Roman" w:hAnsi="Times New Roman"/>
                <w:lang w:val="en-NZ"/>
              </w:rPr>
              <w:t>$5 million estimated for</w:t>
            </w:r>
            <w:r w:rsidRPr="00CD666F">
              <w:rPr>
                <w:rFonts w:ascii="Times New Roman" w:hAnsi="Times New Roman"/>
                <w:lang w:val="en-NZ"/>
              </w:rPr>
              <w:t xml:space="preserve"> option </w:t>
            </w:r>
            <w:r w:rsidR="00E85251" w:rsidRPr="00CD666F">
              <w:rPr>
                <w:rFonts w:ascii="Times New Roman" w:hAnsi="Times New Roman"/>
                <w:lang w:val="en-NZ"/>
              </w:rPr>
              <w:t>1</w:t>
            </w:r>
            <w:r w:rsidR="00840CC3" w:rsidRPr="00CD666F">
              <w:rPr>
                <w:rFonts w:ascii="Times New Roman" w:hAnsi="Times New Roman"/>
                <w:lang w:val="en-NZ"/>
              </w:rPr>
              <w:t>.</w:t>
            </w:r>
          </w:p>
        </w:tc>
        <w:tc>
          <w:tcPr>
            <w:tcW w:w="1979" w:type="dxa"/>
          </w:tcPr>
          <w:p w:rsidR="00AA6314" w:rsidRPr="00CD666F" w:rsidRDefault="001F14DA" w:rsidP="00E85251">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This option would have similar lock-in effects to option </w:t>
            </w:r>
            <w:r w:rsidR="00E85251" w:rsidRPr="00CD666F">
              <w:rPr>
                <w:rFonts w:ascii="Times New Roman" w:hAnsi="Times New Roman"/>
                <w:lang w:val="en-NZ"/>
              </w:rPr>
              <w:t>1</w:t>
            </w:r>
            <w:r w:rsidRPr="00CD666F">
              <w:rPr>
                <w:rFonts w:ascii="Times New Roman" w:hAnsi="Times New Roman"/>
                <w:lang w:val="en-NZ"/>
              </w:rPr>
              <w:t>.</w:t>
            </w:r>
          </w:p>
        </w:tc>
        <w:tc>
          <w:tcPr>
            <w:tcW w:w="1845" w:type="dxa"/>
          </w:tcPr>
          <w:p w:rsidR="00AA6314" w:rsidRPr="00CD666F" w:rsidRDefault="00A73D8A" w:rsidP="0005132F">
            <w:pPr>
              <w:pStyle w:val="CommentText"/>
              <w:spacing w:after="0" w:line="240" w:lineRule="auto"/>
              <w:jc w:val="left"/>
              <w:rPr>
                <w:rFonts w:ascii="Times New Roman" w:hAnsi="Times New Roman"/>
                <w:lang w:val="en-NZ"/>
              </w:rPr>
            </w:pPr>
            <w:r w:rsidRPr="00CD666F">
              <w:rPr>
                <w:rFonts w:ascii="Times New Roman" w:hAnsi="Times New Roman"/>
                <w:lang w:val="en-NZ"/>
              </w:rPr>
              <w:t>This option would have the greatest impact in reducing the administration costs involved in applying the “intention test”</w:t>
            </w:r>
            <w:r w:rsidR="0005132F" w:rsidRPr="00CD666F">
              <w:rPr>
                <w:rFonts w:ascii="Times New Roman" w:hAnsi="Times New Roman"/>
                <w:lang w:val="en-NZ"/>
              </w:rPr>
              <w:t xml:space="preserve"> for Inland Revenue</w:t>
            </w:r>
            <w:r w:rsidRPr="00CD666F">
              <w:rPr>
                <w:rFonts w:ascii="Times New Roman" w:hAnsi="Times New Roman"/>
                <w:lang w:val="en-NZ"/>
              </w:rPr>
              <w:t>.</w:t>
            </w:r>
          </w:p>
        </w:tc>
        <w:tc>
          <w:tcPr>
            <w:tcW w:w="1840" w:type="dxa"/>
          </w:tcPr>
          <w:p w:rsidR="00AA6314" w:rsidRPr="00CD666F" w:rsidRDefault="00033C49" w:rsidP="0005132F">
            <w:pPr>
              <w:pStyle w:val="CommentText"/>
              <w:spacing w:after="0" w:line="240" w:lineRule="auto"/>
              <w:jc w:val="left"/>
              <w:rPr>
                <w:rFonts w:ascii="Times New Roman" w:hAnsi="Times New Roman"/>
                <w:lang w:val="en-NZ"/>
              </w:rPr>
            </w:pPr>
            <w:r w:rsidRPr="00CD666F">
              <w:rPr>
                <w:rFonts w:ascii="Times New Roman" w:hAnsi="Times New Roman"/>
                <w:lang w:val="en-NZ"/>
              </w:rPr>
              <w:t>C</w:t>
            </w:r>
            <w:r w:rsidR="001F14DA" w:rsidRPr="00CD666F">
              <w:rPr>
                <w:rFonts w:ascii="Times New Roman" w:hAnsi="Times New Roman"/>
                <w:lang w:val="en-NZ"/>
              </w:rPr>
              <w:t>ompliance costs would</w:t>
            </w:r>
            <w:r w:rsidRPr="00CD666F">
              <w:rPr>
                <w:rFonts w:ascii="Times New Roman" w:hAnsi="Times New Roman"/>
                <w:lang w:val="en-NZ"/>
              </w:rPr>
              <w:t xml:space="preserve"> likely</w:t>
            </w:r>
            <w:r w:rsidR="001F14DA" w:rsidRPr="00CD666F">
              <w:rPr>
                <w:rFonts w:ascii="Times New Roman" w:hAnsi="Times New Roman"/>
                <w:lang w:val="en-NZ"/>
              </w:rPr>
              <w:t xml:space="preserve"> be greater than for option </w:t>
            </w:r>
            <w:r w:rsidR="00E85251" w:rsidRPr="00CD666F">
              <w:rPr>
                <w:rFonts w:ascii="Times New Roman" w:hAnsi="Times New Roman"/>
                <w:lang w:val="en-NZ"/>
              </w:rPr>
              <w:t>1</w:t>
            </w:r>
            <w:r w:rsidR="001F14DA" w:rsidRPr="00CD666F">
              <w:rPr>
                <w:rFonts w:ascii="Times New Roman" w:hAnsi="Times New Roman"/>
                <w:lang w:val="en-NZ"/>
              </w:rPr>
              <w:t>.</w:t>
            </w:r>
            <w:r w:rsidRPr="00CD666F">
              <w:rPr>
                <w:rFonts w:ascii="Times New Roman" w:hAnsi="Times New Roman"/>
                <w:lang w:val="en-NZ"/>
              </w:rPr>
              <w:t xml:space="preserve"> </w:t>
            </w:r>
            <w:r w:rsidR="00231FF1" w:rsidRPr="00CD666F">
              <w:rPr>
                <w:rFonts w:ascii="Times New Roman" w:hAnsi="Times New Roman"/>
                <w:lang w:val="en-NZ"/>
              </w:rPr>
              <w:t xml:space="preserve"> </w:t>
            </w:r>
            <w:r w:rsidRPr="00CD666F">
              <w:rPr>
                <w:rFonts w:ascii="Times New Roman" w:hAnsi="Times New Roman"/>
                <w:lang w:val="en-NZ"/>
              </w:rPr>
              <w:t xml:space="preserve">This is because additional sales will be caught by the </w:t>
            </w:r>
            <w:proofErr w:type="gramStart"/>
            <w:r w:rsidR="00063042" w:rsidRPr="00CD666F">
              <w:rPr>
                <w:rFonts w:ascii="Times New Roman" w:hAnsi="Times New Roman"/>
                <w:lang w:val="en-NZ"/>
              </w:rPr>
              <w:t>rules which</w:t>
            </w:r>
            <w:proofErr w:type="gramEnd"/>
            <w:r w:rsidR="00063042" w:rsidRPr="00CD666F">
              <w:rPr>
                <w:rFonts w:ascii="Times New Roman" w:hAnsi="Times New Roman"/>
                <w:lang w:val="en-NZ"/>
              </w:rPr>
              <w:t xml:space="preserve"> are</w:t>
            </w:r>
            <w:r w:rsidRPr="00CD666F">
              <w:rPr>
                <w:rFonts w:ascii="Times New Roman" w:hAnsi="Times New Roman"/>
                <w:lang w:val="en-NZ"/>
              </w:rPr>
              <w:t xml:space="preserve"> less likely to be taxable under the current rules.</w:t>
            </w:r>
          </w:p>
          <w:p w:rsidR="001F14DA" w:rsidRPr="00CD666F" w:rsidRDefault="001F14DA" w:rsidP="0005132F">
            <w:pPr>
              <w:pStyle w:val="CommentText"/>
              <w:spacing w:after="0" w:line="240" w:lineRule="auto"/>
              <w:jc w:val="left"/>
              <w:rPr>
                <w:rFonts w:ascii="Times New Roman" w:hAnsi="Times New Roman"/>
                <w:lang w:val="en-NZ"/>
              </w:rPr>
            </w:pPr>
          </w:p>
        </w:tc>
        <w:tc>
          <w:tcPr>
            <w:tcW w:w="1836" w:type="dxa"/>
          </w:tcPr>
          <w:p w:rsidR="00792961" w:rsidRPr="00CD666F" w:rsidRDefault="00792961" w:rsidP="0005132F">
            <w:pPr>
              <w:pStyle w:val="CommentText"/>
              <w:spacing w:after="0" w:line="240" w:lineRule="auto"/>
              <w:jc w:val="left"/>
              <w:rPr>
                <w:rFonts w:ascii="Times New Roman" w:hAnsi="Times New Roman"/>
                <w:lang w:val="en-NZ"/>
              </w:rPr>
            </w:pPr>
            <w:r w:rsidRPr="00CD666F">
              <w:rPr>
                <w:rFonts w:ascii="Times New Roman" w:hAnsi="Times New Roman"/>
                <w:lang w:val="en-NZ"/>
              </w:rPr>
              <w:t xml:space="preserve">This option has similar fairness impacts as option </w:t>
            </w:r>
            <w:r w:rsidR="00E85251" w:rsidRPr="00CD666F">
              <w:rPr>
                <w:rFonts w:ascii="Times New Roman" w:hAnsi="Times New Roman"/>
                <w:lang w:val="en-NZ"/>
              </w:rPr>
              <w:t>1</w:t>
            </w:r>
            <w:r w:rsidR="00231FF1" w:rsidRPr="00CD666F">
              <w:rPr>
                <w:rFonts w:ascii="Times New Roman" w:hAnsi="Times New Roman"/>
                <w:lang w:val="en-NZ"/>
              </w:rPr>
              <w:t>.</w:t>
            </w:r>
          </w:p>
        </w:tc>
        <w:tc>
          <w:tcPr>
            <w:tcW w:w="1788" w:type="dxa"/>
          </w:tcPr>
          <w:p w:rsidR="00707AFB" w:rsidRPr="00CD666F" w:rsidRDefault="00707AFB" w:rsidP="0005132F">
            <w:pPr>
              <w:pStyle w:val="CommentText"/>
              <w:spacing w:after="0" w:line="240" w:lineRule="auto"/>
              <w:jc w:val="left"/>
              <w:rPr>
                <w:rFonts w:ascii="Times New Roman" w:hAnsi="Times New Roman"/>
                <w:lang w:val="en-NZ"/>
              </w:rPr>
            </w:pPr>
            <w:proofErr w:type="gramStart"/>
            <w:r w:rsidRPr="00CD666F">
              <w:rPr>
                <w:rFonts w:ascii="Times New Roman" w:hAnsi="Times New Roman"/>
                <w:lang w:val="en-NZ"/>
              </w:rPr>
              <w:t>Provides easiest to enforce measure of the options</w:t>
            </w:r>
            <w:r w:rsidR="00BD1F4A" w:rsidRPr="00CD666F">
              <w:rPr>
                <w:rFonts w:ascii="Times New Roman" w:hAnsi="Times New Roman"/>
                <w:lang w:val="en-NZ"/>
              </w:rPr>
              <w:t>.</w:t>
            </w:r>
            <w:proofErr w:type="gramEnd"/>
            <w:r w:rsidR="00BD1F4A" w:rsidRPr="00CD666F">
              <w:rPr>
                <w:rFonts w:ascii="Times New Roman" w:hAnsi="Times New Roman"/>
                <w:lang w:val="en-NZ"/>
              </w:rPr>
              <w:t xml:space="preserve"> </w:t>
            </w:r>
            <w:r w:rsidR="00231FF1" w:rsidRPr="00CD666F">
              <w:rPr>
                <w:rFonts w:ascii="Times New Roman" w:hAnsi="Times New Roman"/>
                <w:lang w:val="en-NZ"/>
              </w:rPr>
              <w:t xml:space="preserve"> </w:t>
            </w:r>
            <w:r w:rsidR="00BD1F4A" w:rsidRPr="00CD666F">
              <w:rPr>
                <w:rFonts w:ascii="Times New Roman" w:hAnsi="Times New Roman"/>
                <w:lang w:val="en-NZ"/>
              </w:rPr>
              <w:t>H</w:t>
            </w:r>
            <w:r w:rsidRPr="00CD666F">
              <w:rPr>
                <w:rFonts w:ascii="Times New Roman" w:hAnsi="Times New Roman"/>
                <w:lang w:val="en-NZ"/>
              </w:rPr>
              <w:t>owever</w:t>
            </w:r>
            <w:r w:rsidR="0005132F" w:rsidRPr="00CD666F">
              <w:rPr>
                <w:rFonts w:ascii="Times New Roman" w:hAnsi="Times New Roman"/>
                <w:lang w:val="en-NZ"/>
              </w:rPr>
              <w:t>, it</w:t>
            </w:r>
            <w:r w:rsidRPr="00CD666F">
              <w:rPr>
                <w:rFonts w:ascii="Times New Roman" w:hAnsi="Times New Roman"/>
                <w:lang w:val="en-NZ"/>
              </w:rPr>
              <w:t xml:space="preserve"> is likely to capture significant numbers of persons who had no intention of resale.</w:t>
            </w:r>
          </w:p>
        </w:tc>
      </w:tr>
    </w:tbl>
    <w:p w:rsidR="00AA6314" w:rsidRPr="00CD666F" w:rsidRDefault="00AA6314">
      <w:pPr>
        <w:spacing w:after="0" w:line="240" w:lineRule="auto"/>
        <w:rPr>
          <w:rFonts w:ascii="Times New Roman" w:hAnsi="Times New Roman"/>
          <w:sz w:val="24"/>
          <w:szCs w:val="24"/>
          <w:lang w:val="en-NZ"/>
        </w:rPr>
        <w:sectPr w:rsidR="00AA6314" w:rsidRPr="00CD666F" w:rsidSect="00703635">
          <w:pgSz w:w="16840" w:h="11907" w:orient="landscape" w:code="9"/>
          <w:pgMar w:top="1418" w:right="1134" w:bottom="1418" w:left="1134" w:header="567" w:footer="567" w:gutter="0"/>
          <w:cols w:space="720"/>
          <w:docGrid w:linePitch="360"/>
        </w:sectPr>
      </w:pPr>
    </w:p>
    <w:p w:rsidR="00AA6314" w:rsidRPr="00CD666F" w:rsidRDefault="00AA6314" w:rsidP="00AA6314">
      <w:pPr>
        <w:pStyle w:val="CommentText"/>
        <w:spacing w:after="0" w:line="240" w:lineRule="auto"/>
        <w:rPr>
          <w:rFonts w:ascii="Times New Roman" w:hAnsi="Times New Roman"/>
          <w:sz w:val="24"/>
          <w:szCs w:val="24"/>
          <w:lang w:val="en-NZ"/>
        </w:rPr>
      </w:pPr>
      <w:r w:rsidRPr="00CD666F">
        <w:rPr>
          <w:rFonts w:ascii="Times New Roman" w:hAnsi="Times New Roman"/>
          <w:b/>
          <w:sz w:val="24"/>
          <w:szCs w:val="24"/>
          <w:lang w:val="en-NZ"/>
        </w:rPr>
        <w:t>Further analysis on option</w:t>
      </w:r>
      <w:r w:rsidR="00AB0266" w:rsidRPr="00CD666F">
        <w:rPr>
          <w:rFonts w:ascii="Times New Roman" w:hAnsi="Times New Roman"/>
          <w:b/>
          <w:sz w:val="24"/>
          <w:szCs w:val="24"/>
          <w:lang w:val="en-NZ"/>
        </w:rPr>
        <w:t>s</w:t>
      </w:r>
      <w:r w:rsidRPr="00CD666F">
        <w:rPr>
          <w:rFonts w:ascii="Times New Roman" w:hAnsi="Times New Roman"/>
          <w:b/>
          <w:sz w:val="24"/>
          <w:szCs w:val="24"/>
          <w:lang w:val="en-NZ"/>
        </w:rPr>
        <w:t xml:space="preserve"> </w:t>
      </w:r>
      <w:r w:rsidR="00951FE2" w:rsidRPr="00CD666F">
        <w:rPr>
          <w:rFonts w:ascii="Times New Roman" w:hAnsi="Times New Roman"/>
          <w:b/>
          <w:sz w:val="24"/>
          <w:szCs w:val="24"/>
          <w:lang w:val="en-NZ"/>
        </w:rPr>
        <w:t>1 and 2</w:t>
      </w:r>
      <w:r w:rsidRPr="00CD666F">
        <w:rPr>
          <w:rFonts w:ascii="Times New Roman" w:hAnsi="Times New Roman"/>
          <w:b/>
          <w:sz w:val="24"/>
          <w:szCs w:val="24"/>
          <w:lang w:val="en-NZ"/>
        </w:rPr>
        <w:t xml:space="preserve"> – </w:t>
      </w:r>
      <w:r w:rsidR="004C7BFE" w:rsidRPr="00CD666F">
        <w:rPr>
          <w:rFonts w:ascii="Times New Roman" w:hAnsi="Times New Roman"/>
          <w:b/>
          <w:sz w:val="24"/>
          <w:szCs w:val="24"/>
          <w:lang w:val="en-NZ"/>
        </w:rPr>
        <w:t>detailed d</w:t>
      </w:r>
      <w:r w:rsidRPr="00CD666F">
        <w:rPr>
          <w:rFonts w:ascii="Times New Roman" w:hAnsi="Times New Roman"/>
          <w:b/>
          <w:sz w:val="24"/>
          <w:szCs w:val="24"/>
          <w:lang w:val="en-NZ"/>
        </w:rPr>
        <w:t>esign of bright-line test</w:t>
      </w:r>
    </w:p>
    <w:p w:rsidR="005755E0" w:rsidRPr="00CD666F" w:rsidRDefault="005755E0" w:rsidP="005755E0">
      <w:pPr>
        <w:pStyle w:val="CommentText"/>
        <w:spacing w:after="0" w:line="240" w:lineRule="auto"/>
        <w:rPr>
          <w:rFonts w:ascii="Times New Roman" w:hAnsi="Times New Roman"/>
          <w:sz w:val="24"/>
          <w:szCs w:val="24"/>
          <w:lang w:val="en-NZ"/>
        </w:rPr>
      </w:pPr>
    </w:p>
    <w:p w:rsidR="00AB0266" w:rsidRPr="00CD666F" w:rsidRDefault="005755E0" w:rsidP="00AB0266">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There are a number of design issues for the bright-line</w:t>
      </w:r>
      <w:r w:rsidR="00AB0266" w:rsidRPr="00CD666F">
        <w:rPr>
          <w:rFonts w:ascii="Times New Roman" w:hAnsi="Times New Roman"/>
          <w:sz w:val="24"/>
          <w:szCs w:val="24"/>
          <w:lang w:val="en-NZ"/>
        </w:rPr>
        <w:t xml:space="preserve"> </w:t>
      </w:r>
      <w:proofErr w:type="gramStart"/>
      <w:r w:rsidR="00AB0266" w:rsidRPr="00CD666F">
        <w:rPr>
          <w:rFonts w:ascii="Times New Roman" w:hAnsi="Times New Roman"/>
          <w:sz w:val="24"/>
          <w:szCs w:val="24"/>
          <w:lang w:val="en-NZ"/>
        </w:rPr>
        <w:t>test</w:t>
      </w:r>
      <w:r w:rsidRPr="00CD666F">
        <w:rPr>
          <w:rFonts w:ascii="Times New Roman" w:hAnsi="Times New Roman"/>
          <w:sz w:val="24"/>
          <w:szCs w:val="24"/>
          <w:lang w:val="en-NZ"/>
        </w:rPr>
        <w:t xml:space="preserve"> which</w:t>
      </w:r>
      <w:proofErr w:type="gramEnd"/>
      <w:r w:rsidRPr="00CD666F">
        <w:rPr>
          <w:rFonts w:ascii="Times New Roman" w:hAnsi="Times New Roman"/>
          <w:sz w:val="24"/>
          <w:szCs w:val="24"/>
          <w:lang w:val="en-NZ"/>
        </w:rPr>
        <w:t xml:space="preserve"> require separate impact analysis.</w:t>
      </w:r>
      <w:r w:rsidR="00AB0266"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AB0266" w:rsidRPr="00CD666F">
        <w:rPr>
          <w:rFonts w:ascii="Times New Roman" w:hAnsi="Times New Roman"/>
          <w:sz w:val="24"/>
          <w:szCs w:val="24"/>
          <w:lang w:val="en-NZ"/>
        </w:rPr>
        <w:t>The analysis is summarised in the tables</w:t>
      </w:r>
      <w:r w:rsidR="0005132F" w:rsidRPr="00CD666F">
        <w:rPr>
          <w:rFonts w:ascii="Times New Roman" w:hAnsi="Times New Roman"/>
          <w:sz w:val="24"/>
          <w:szCs w:val="24"/>
          <w:lang w:val="en-NZ"/>
        </w:rPr>
        <w:t xml:space="preserve"> below</w:t>
      </w:r>
      <w:r w:rsidR="00AB0266" w:rsidRPr="00CD666F">
        <w:rPr>
          <w:rFonts w:ascii="Times New Roman" w:hAnsi="Times New Roman"/>
          <w:sz w:val="24"/>
          <w:szCs w:val="24"/>
          <w:lang w:val="en-NZ"/>
        </w:rPr>
        <w:t>.</w:t>
      </w:r>
    </w:p>
    <w:p w:rsidR="00AB0266" w:rsidRPr="00CD666F" w:rsidRDefault="00AB0266" w:rsidP="00AB0266">
      <w:pPr>
        <w:pStyle w:val="Bullet-list"/>
        <w:spacing w:after="0" w:line="240" w:lineRule="auto"/>
        <w:ind w:left="0" w:firstLine="0"/>
        <w:rPr>
          <w:rFonts w:ascii="Times New Roman" w:hAnsi="Times New Roman"/>
          <w:sz w:val="24"/>
          <w:szCs w:val="24"/>
          <w:lang w:val="en-NZ"/>
        </w:rPr>
      </w:pPr>
    </w:p>
    <w:p w:rsidR="003A0805" w:rsidRPr="00CD666F" w:rsidRDefault="00677648" w:rsidP="003A0805">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 </w:t>
      </w:r>
      <w:r w:rsidR="003A0805" w:rsidRPr="00CD666F">
        <w:rPr>
          <w:rFonts w:ascii="Times New Roman" w:hAnsi="Times New Roman"/>
          <w:sz w:val="24"/>
          <w:szCs w:val="24"/>
          <w:lang w:val="en-NZ"/>
        </w:rPr>
        <w:t>The design of the bright-line</w:t>
      </w:r>
      <w:r w:rsidR="00AB0266" w:rsidRPr="00CD666F">
        <w:rPr>
          <w:rFonts w:ascii="Times New Roman" w:hAnsi="Times New Roman"/>
          <w:sz w:val="24"/>
          <w:szCs w:val="24"/>
          <w:lang w:val="en-NZ"/>
        </w:rPr>
        <w:t xml:space="preserve"> test</w:t>
      </w:r>
      <w:r w:rsidR="003A0805" w:rsidRPr="00CD666F">
        <w:rPr>
          <w:rFonts w:ascii="Times New Roman" w:hAnsi="Times New Roman"/>
          <w:sz w:val="24"/>
          <w:szCs w:val="24"/>
          <w:lang w:val="en-NZ"/>
        </w:rPr>
        <w:t xml:space="preserve"> </w:t>
      </w:r>
      <w:proofErr w:type="gramStart"/>
      <w:r w:rsidR="003A0805" w:rsidRPr="00CD666F">
        <w:rPr>
          <w:rFonts w:ascii="Times New Roman" w:hAnsi="Times New Roman"/>
          <w:sz w:val="24"/>
          <w:szCs w:val="24"/>
          <w:lang w:val="en-NZ"/>
        </w:rPr>
        <w:t>is intended</w:t>
      </w:r>
      <w:proofErr w:type="gramEnd"/>
      <w:r w:rsidR="003A0805" w:rsidRPr="00CD666F">
        <w:rPr>
          <w:rFonts w:ascii="Times New Roman" w:hAnsi="Times New Roman"/>
          <w:sz w:val="24"/>
          <w:szCs w:val="24"/>
          <w:lang w:val="en-NZ"/>
        </w:rPr>
        <w:t xml:space="preserve"> to support the objectives.</w:t>
      </w:r>
      <w:r w:rsidR="006B384B" w:rsidRPr="00CD666F">
        <w:rPr>
          <w:rFonts w:ascii="Times New Roman" w:hAnsi="Times New Roman"/>
          <w:sz w:val="24"/>
          <w:szCs w:val="24"/>
          <w:lang w:val="en-NZ"/>
        </w:rPr>
        <w:t xml:space="preserve"> </w:t>
      </w:r>
      <w:r w:rsidR="003A0805" w:rsidRPr="00CD666F">
        <w:rPr>
          <w:rFonts w:ascii="Times New Roman" w:hAnsi="Times New Roman"/>
          <w:sz w:val="24"/>
          <w:szCs w:val="24"/>
          <w:lang w:val="en-NZ"/>
        </w:rPr>
        <w:t xml:space="preserve"> The design is based on having clear objective </w:t>
      </w:r>
      <w:proofErr w:type="gramStart"/>
      <w:r w:rsidR="003A0805" w:rsidRPr="00CD666F">
        <w:rPr>
          <w:rFonts w:ascii="Times New Roman" w:hAnsi="Times New Roman"/>
          <w:sz w:val="24"/>
          <w:szCs w:val="24"/>
          <w:lang w:val="en-NZ"/>
        </w:rPr>
        <w:t>rules and as a result there are few exceptions</w:t>
      </w:r>
      <w:proofErr w:type="gramEnd"/>
      <w:r w:rsidR="003A0805" w:rsidRPr="00CD666F">
        <w:rPr>
          <w:rFonts w:ascii="Times New Roman" w:hAnsi="Times New Roman"/>
          <w:sz w:val="24"/>
          <w:szCs w:val="24"/>
          <w:lang w:val="en-NZ"/>
        </w:rPr>
        <w:t xml:space="preserve"> and where there are exceptions they are tightly defined. </w:t>
      </w:r>
      <w:r w:rsidR="006B384B" w:rsidRPr="00CD666F">
        <w:rPr>
          <w:rFonts w:ascii="Times New Roman" w:hAnsi="Times New Roman"/>
          <w:sz w:val="24"/>
          <w:szCs w:val="24"/>
          <w:lang w:val="en-NZ"/>
        </w:rPr>
        <w:t xml:space="preserve"> </w:t>
      </w:r>
      <w:r w:rsidR="003A0805" w:rsidRPr="00CD666F">
        <w:rPr>
          <w:rFonts w:ascii="Times New Roman" w:hAnsi="Times New Roman"/>
          <w:sz w:val="24"/>
          <w:szCs w:val="24"/>
          <w:lang w:val="en-NZ"/>
        </w:rPr>
        <w:t xml:space="preserve">This helps </w:t>
      </w:r>
      <w:r w:rsidR="0005132F" w:rsidRPr="00CD666F">
        <w:rPr>
          <w:rFonts w:ascii="Times New Roman" w:hAnsi="Times New Roman"/>
          <w:sz w:val="24"/>
          <w:szCs w:val="24"/>
          <w:lang w:val="en-NZ"/>
        </w:rPr>
        <w:t xml:space="preserve">to </w:t>
      </w:r>
      <w:r w:rsidR="003A0805" w:rsidRPr="00CD666F">
        <w:rPr>
          <w:rFonts w:ascii="Times New Roman" w:hAnsi="Times New Roman"/>
          <w:sz w:val="24"/>
          <w:szCs w:val="24"/>
          <w:lang w:val="en-NZ"/>
        </w:rPr>
        <w:t xml:space="preserve">ensure that the bright-line </w:t>
      </w:r>
      <w:r w:rsidR="0005132F" w:rsidRPr="00CD666F">
        <w:rPr>
          <w:rFonts w:ascii="Times New Roman" w:hAnsi="Times New Roman"/>
          <w:sz w:val="24"/>
          <w:szCs w:val="24"/>
          <w:lang w:val="en-NZ"/>
        </w:rPr>
        <w:t xml:space="preserve">test </w:t>
      </w:r>
      <w:r w:rsidR="003A0805" w:rsidRPr="00CD666F">
        <w:rPr>
          <w:rFonts w:ascii="Times New Roman" w:hAnsi="Times New Roman"/>
          <w:sz w:val="24"/>
          <w:szCs w:val="24"/>
          <w:lang w:val="en-NZ"/>
        </w:rPr>
        <w:t>is clear and u</w:t>
      </w:r>
      <w:r w:rsidR="006B384B" w:rsidRPr="00CD666F">
        <w:rPr>
          <w:rFonts w:ascii="Times New Roman" w:hAnsi="Times New Roman"/>
          <w:sz w:val="24"/>
          <w:szCs w:val="24"/>
          <w:lang w:val="en-NZ"/>
        </w:rPr>
        <w:t>nambiguous.</w:t>
      </w:r>
    </w:p>
    <w:p w:rsidR="00677648" w:rsidRPr="00CD666F" w:rsidRDefault="00677648" w:rsidP="00677648">
      <w:pPr>
        <w:pStyle w:val="CommentText"/>
        <w:spacing w:after="0" w:line="240" w:lineRule="auto"/>
        <w:rPr>
          <w:rFonts w:ascii="Times New Roman" w:hAnsi="Times New Roman"/>
          <w:sz w:val="24"/>
          <w:szCs w:val="24"/>
          <w:lang w:val="en-NZ"/>
        </w:rPr>
      </w:pPr>
    </w:p>
    <w:p w:rsidR="002F1321" w:rsidRPr="00CD666F" w:rsidRDefault="002F1321" w:rsidP="002F1321">
      <w:pPr>
        <w:pStyle w:val="CommentText"/>
        <w:spacing w:after="0" w:line="240" w:lineRule="auto"/>
        <w:rPr>
          <w:rFonts w:ascii="Times New Roman" w:hAnsi="Times New Roman"/>
          <w:b/>
          <w:sz w:val="24"/>
          <w:szCs w:val="24"/>
          <w:lang w:val="en-NZ"/>
        </w:rPr>
      </w:pPr>
      <w:r w:rsidRPr="00CD666F">
        <w:rPr>
          <w:rFonts w:ascii="Times New Roman" w:hAnsi="Times New Roman"/>
          <w:b/>
          <w:sz w:val="24"/>
          <w:szCs w:val="24"/>
          <w:lang w:val="en-NZ"/>
        </w:rPr>
        <w:t>Start and end dates for bright-line</w:t>
      </w:r>
    </w:p>
    <w:p w:rsidR="002F1321" w:rsidRPr="00CD666F" w:rsidRDefault="002F1321" w:rsidP="002F1321">
      <w:pPr>
        <w:pStyle w:val="CommentText"/>
        <w:spacing w:after="0" w:line="240" w:lineRule="auto"/>
        <w:rPr>
          <w:rFonts w:ascii="Times New Roman" w:hAnsi="Times New Roman"/>
          <w:sz w:val="24"/>
          <w:szCs w:val="24"/>
          <w:lang w:val="en-NZ"/>
        </w:rPr>
      </w:pPr>
    </w:p>
    <w:p w:rsidR="000B7E8A" w:rsidRPr="00CD666F" w:rsidRDefault="00386DBA" w:rsidP="007E5680">
      <w:pPr>
        <w:pStyle w:val="CommentText"/>
        <w:numPr>
          <w:ilvl w:val="0"/>
          <w:numId w:val="2"/>
        </w:numPr>
        <w:tabs>
          <w:tab w:val="clear" w:pos="720"/>
        </w:tabs>
        <w:spacing w:after="0" w:line="240" w:lineRule="auto"/>
        <w:ind w:left="0" w:firstLine="0"/>
        <w:rPr>
          <w:rFonts w:ascii="Times New Roman" w:hAnsi="Times New Roman"/>
          <w:i/>
          <w:sz w:val="24"/>
          <w:szCs w:val="24"/>
          <w:lang w:val="en-NZ"/>
        </w:rPr>
      </w:pPr>
      <w:r w:rsidRPr="00CD666F">
        <w:rPr>
          <w:rFonts w:ascii="Times New Roman" w:hAnsi="Times New Roman"/>
          <w:sz w:val="24"/>
          <w:szCs w:val="24"/>
          <w:lang w:val="en-NZ"/>
        </w:rPr>
        <w:t xml:space="preserve">Determining the start and end dates for the bright-line involves a trade-off between providing rules that are </w:t>
      </w:r>
      <w:r w:rsidR="00AD15C0" w:rsidRPr="00CD666F">
        <w:rPr>
          <w:rFonts w:ascii="Times New Roman" w:hAnsi="Times New Roman"/>
          <w:sz w:val="24"/>
          <w:szCs w:val="24"/>
          <w:lang w:val="en-NZ"/>
        </w:rPr>
        <w:t xml:space="preserve">easy for Inland Revenue to </w:t>
      </w:r>
      <w:r w:rsidR="00F13242" w:rsidRPr="00CD666F">
        <w:rPr>
          <w:rFonts w:ascii="Times New Roman" w:hAnsi="Times New Roman"/>
          <w:sz w:val="24"/>
          <w:szCs w:val="24"/>
          <w:lang w:val="en-NZ"/>
        </w:rPr>
        <w:t>enforce and</w:t>
      </w:r>
      <w:r w:rsidR="00AD15C0" w:rsidRPr="00CD666F">
        <w:rPr>
          <w:rFonts w:ascii="Times New Roman" w:hAnsi="Times New Roman"/>
          <w:sz w:val="24"/>
          <w:szCs w:val="24"/>
          <w:lang w:val="en-NZ"/>
        </w:rPr>
        <w:t xml:space="preserve"> avoiding complexity through creating rules inconsistent with the existing land sale rules</w:t>
      </w:r>
      <w:r w:rsidR="00F37727" w:rsidRPr="00CD666F">
        <w:rPr>
          <w:rFonts w:ascii="Times New Roman" w:hAnsi="Times New Roman"/>
          <w:sz w:val="24"/>
          <w:szCs w:val="24"/>
          <w:lang w:val="en-NZ"/>
        </w:rPr>
        <w:t>.</w:t>
      </w:r>
    </w:p>
    <w:tbl>
      <w:tblPr>
        <w:tblStyle w:val="TableGrid"/>
        <w:tblpPr w:leftFromText="180" w:rightFromText="180" w:vertAnchor="page" w:horzAnchor="margin" w:tblpY="5543"/>
        <w:tblW w:w="0" w:type="auto"/>
        <w:tblLook w:val="04A0" w:firstRow="1" w:lastRow="0" w:firstColumn="1" w:lastColumn="0" w:noHBand="0" w:noVBand="1"/>
      </w:tblPr>
      <w:tblGrid>
        <w:gridCol w:w="1242"/>
        <w:gridCol w:w="2084"/>
        <w:gridCol w:w="1785"/>
        <w:gridCol w:w="1931"/>
        <w:gridCol w:w="2245"/>
      </w:tblGrid>
      <w:tr w:rsidR="002F1321" w:rsidRPr="00CD666F" w:rsidTr="00AB0266">
        <w:trPr>
          <w:trHeight w:val="811"/>
          <w:tblHeader/>
        </w:trPr>
        <w:tc>
          <w:tcPr>
            <w:tcW w:w="1242" w:type="dxa"/>
            <w:vAlign w:val="center"/>
          </w:tcPr>
          <w:p w:rsidR="002F1321" w:rsidRPr="00CD666F" w:rsidRDefault="002F1321"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Issue</w:t>
            </w:r>
          </w:p>
        </w:tc>
        <w:tc>
          <w:tcPr>
            <w:tcW w:w="2084" w:type="dxa"/>
            <w:vAlign w:val="center"/>
          </w:tcPr>
          <w:p w:rsidR="002F1321" w:rsidRPr="00CD666F" w:rsidRDefault="002F1321"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1785" w:type="dxa"/>
            <w:vAlign w:val="center"/>
          </w:tcPr>
          <w:p w:rsidR="002F1321" w:rsidRPr="00CD666F" w:rsidRDefault="002F1321"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1931" w:type="dxa"/>
            <w:vAlign w:val="center"/>
          </w:tcPr>
          <w:p w:rsidR="002F1321" w:rsidRPr="00CD666F" w:rsidRDefault="002F1321"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245" w:type="dxa"/>
            <w:vAlign w:val="center"/>
          </w:tcPr>
          <w:p w:rsidR="002F1321" w:rsidRPr="00CD666F" w:rsidRDefault="002F1321"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2F1321" w:rsidRPr="00CD666F" w:rsidTr="00AB0266">
        <w:trPr>
          <w:trHeight w:val="590"/>
        </w:trPr>
        <w:tc>
          <w:tcPr>
            <w:tcW w:w="1242" w:type="dxa"/>
            <w:vMerge w:val="restart"/>
            <w:vAlign w:val="center"/>
          </w:tcPr>
          <w:p w:rsidR="002F1321" w:rsidRPr="00CD666F" w:rsidRDefault="006D053F"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Start date</w:t>
            </w:r>
          </w:p>
        </w:tc>
        <w:tc>
          <w:tcPr>
            <w:tcW w:w="2084" w:type="dxa"/>
            <w:vAlign w:val="center"/>
          </w:tcPr>
          <w:p w:rsidR="002F1321" w:rsidRPr="00CD666F" w:rsidRDefault="002F1321" w:rsidP="0005132F">
            <w:pPr>
              <w:spacing w:after="0" w:line="240" w:lineRule="auto"/>
              <w:jc w:val="left"/>
              <w:rPr>
                <w:rFonts w:ascii="Times New Roman" w:hAnsi="Times New Roman"/>
                <w:b/>
                <w:i/>
                <w:sz w:val="20"/>
                <w:lang w:val="en-NZ"/>
              </w:rPr>
            </w:pPr>
            <w:r w:rsidRPr="00CD666F">
              <w:rPr>
                <w:rFonts w:ascii="Times New Roman" w:hAnsi="Times New Roman"/>
                <w:b/>
                <w:i/>
                <w:sz w:val="20"/>
                <w:lang w:val="en-NZ"/>
              </w:rPr>
              <w:t>Date agreement for sale and purchase entered into</w:t>
            </w:r>
          </w:p>
        </w:tc>
        <w:tc>
          <w:tcPr>
            <w:tcW w:w="1785" w:type="dxa"/>
          </w:tcPr>
          <w:p w:rsidR="00AD15C0" w:rsidRPr="00CD666F" w:rsidRDefault="002F1321"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Little scope for manipulation</w:t>
            </w:r>
            <w:r w:rsidR="00AD15C0" w:rsidRPr="00CD666F">
              <w:rPr>
                <w:rFonts w:ascii="Times New Roman" w:hAnsi="Times New Roman"/>
                <w:sz w:val="20"/>
                <w:lang w:val="en-NZ"/>
              </w:rPr>
              <w:t>.</w:t>
            </w:r>
            <w:proofErr w:type="gramEnd"/>
            <w:r w:rsidR="00AD15C0" w:rsidRPr="00CD666F">
              <w:rPr>
                <w:rFonts w:ascii="Times New Roman" w:hAnsi="Times New Roman"/>
                <w:sz w:val="20"/>
                <w:lang w:val="en-NZ"/>
              </w:rPr>
              <w:t xml:space="preserve"> </w:t>
            </w:r>
          </w:p>
          <w:p w:rsidR="00AD15C0" w:rsidRPr="00CD666F" w:rsidRDefault="00AD15C0" w:rsidP="0005132F">
            <w:pPr>
              <w:spacing w:after="0" w:line="240" w:lineRule="auto"/>
              <w:jc w:val="left"/>
              <w:rPr>
                <w:rFonts w:ascii="Times New Roman" w:hAnsi="Times New Roman"/>
                <w:sz w:val="20"/>
                <w:lang w:val="en-NZ"/>
              </w:rPr>
            </w:pPr>
          </w:p>
          <w:p w:rsidR="002F1321" w:rsidRPr="00CD666F" w:rsidRDefault="00AD15C0"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Consistent with existing land sale rules and therefore easier to comply with</w:t>
            </w:r>
            <w:r w:rsidR="00E60DAB" w:rsidRPr="00CD666F">
              <w:rPr>
                <w:rFonts w:ascii="Times New Roman" w:hAnsi="Times New Roman"/>
                <w:sz w:val="20"/>
                <w:lang w:val="en-NZ"/>
              </w:rPr>
              <w:t xml:space="preserve"> </w:t>
            </w:r>
          </w:p>
        </w:tc>
        <w:tc>
          <w:tcPr>
            <w:tcW w:w="1931" w:type="dxa"/>
          </w:tcPr>
          <w:p w:rsidR="002F1321" w:rsidRPr="00CD666F" w:rsidRDefault="002F1321" w:rsidP="00E60DAB">
            <w:pPr>
              <w:spacing w:after="0" w:line="240" w:lineRule="auto"/>
              <w:jc w:val="left"/>
              <w:rPr>
                <w:rFonts w:ascii="Times New Roman" w:hAnsi="Times New Roman"/>
                <w:sz w:val="20"/>
                <w:lang w:val="en-NZ"/>
              </w:rPr>
            </w:pPr>
            <w:r w:rsidRPr="00CD666F">
              <w:rPr>
                <w:rFonts w:ascii="Times New Roman" w:hAnsi="Times New Roman"/>
                <w:sz w:val="20"/>
                <w:lang w:val="en-NZ"/>
              </w:rPr>
              <w:t>Creates uncertainty at point of sale as this date may not be known to seller or IR at point of sale</w:t>
            </w:r>
            <w:r w:rsidR="00E60DAB" w:rsidRPr="00CD666F">
              <w:rPr>
                <w:rFonts w:ascii="Times New Roman" w:hAnsi="Times New Roman"/>
                <w:sz w:val="20"/>
                <w:lang w:val="en-NZ"/>
              </w:rPr>
              <w:t xml:space="preserve"> </w:t>
            </w:r>
          </w:p>
        </w:tc>
        <w:tc>
          <w:tcPr>
            <w:tcW w:w="2245" w:type="dxa"/>
          </w:tcPr>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p w:rsidR="002F1321" w:rsidRPr="00CD666F" w:rsidRDefault="002F1321" w:rsidP="0005132F">
            <w:pPr>
              <w:spacing w:after="0" w:line="240" w:lineRule="auto"/>
              <w:jc w:val="left"/>
              <w:rPr>
                <w:rFonts w:ascii="Times New Roman" w:hAnsi="Times New Roman"/>
                <w:sz w:val="20"/>
                <w:lang w:val="en-NZ"/>
              </w:rPr>
            </w:pPr>
          </w:p>
          <w:p w:rsidR="002F1321" w:rsidRPr="00CD666F" w:rsidRDefault="00AD15C0"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 xml:space="preserve">Difficult for Inland Revenue to </w:t>
            </w:r>
            <w:r w:rsidR="002F1321" w:rsidRPr="00CD666F">
              <w:rPr>
                <w:rFonts w:ascii="Times New Roman" w:hAnsi="Times New Roman"/>
                <w:sz w:val="20"/>
                <w:lang w:val="en-NZ"/>
              </w:rPr>
              <w:t xml:space="preserve"> enforce</w:t>
            </w:r>
            <w:r w:rsidRPr="00CD666F">
              <w:rPr>
                <w:rFonts w:ascii="Times New Roman" w:hAnsi="Times New Roman"/>
                <w:sz w:val="20"/>
                <w:lang w:val="en-NZ"/>
              </w:rPr>
              <w:t xml:space="preserve"> </w:t>
            </w:r>
          </w:p>
        </w:tc>
      </w:tr>
      <w:tr w:rsidR="002F1321" w:rsidRPr="00CD666F" w:rsidTr="00AB0266">
        <w:trPr>
          <w:trHeight w:val="403"/>
        </w:trPr>
        <w:tc>
          <w:tcPr>
            <w:tcW w:w="1242" w:type="dxa"/>
            <w:vMerge/>
            <w:vAlign w:val="center"/>
          </w:tcPr>
          <w:p w:rsidR="002F1321" w:rsidRPr="00CD666F" w:rsidRDefault="002F1321" w:rsidP="00AB0266">
            <w:pPr>
              <w:spacing w:after="0" w:line="240" w:lineRule="auto"/>
              <w:jc w:val="center"/>
              <w:rPr>
                <w:rFonts w:ascii="Times New Roman" w:hAnsi="Times New Roman"/>
                <w:b/>
                <w:sz w:val="20"/>
                <w:lang w:val="en-NZ"/>
              </w:rPr>
            </w:pPr>
          </w:p>
        </w:tc>
        <w:tc>
          <w:tcPr>
            <w:tcW w:w="2084" w:type="dxa"/>
            <w:vAlign w:val="center"/>
          </w:tcPr>
          <w:p w:rsidR="002F1321" w:rsidRPr="00CD666F" w:rsidRDefault="002F1321" w:rsidP="0005132F">
            <w:pPr>
              <w:spacing w:after="0" w:line="240" w:lineRule="auto"/>
              <w:jc w:val="left"/>
              <w:rPr>
                <w:rFonts w:ascii="Times New Roman" w:hAnsi="Times New Roman"/>
                <w:b/>
                <w:i/>
                <w:sz w:val="20"/>
                <w:lang w:val="en-NZ"/>
              </w:rPr>
            </w:pPr>
            <w:r w:rsidRPr="00CD666F">
              <w:rPr>
                <w:rFonts w:ascii="Times New Roman" w:hAnsi="Times New Roman"/>
                <w:b/>
                <w:i/>
                <w:sz w:val="20"/>
                <w:lang w:val="en-NZ"/>
              </w:rPr>
              <w:t>Date of registration of title</w:t>
            </w:r>
          </w:p>
        </w:tc>
        <w:tc>
          <w:tcPr>
            <w:tcW w:w="1785" w:type="dxa"/>
          </w:tcPr>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 xml:space="preserve">Clear date recorded on </w:t>
            </w:r>
            <w:proofErr w:type="spellStart"/>
            <w:r w:rsidRPr="00CD666F">
              <w:rPr>
                <w:rFonts w:ascii="Times New Roman" w:hAnsi="Times New Roman"/>
                <w:sz w:val="20"/>
                <w:lang w:val="en-NZ"/>
              </w:rPr>
              <w:t>Landonline</w:t>
            </w:r>
            <w:proofErr w:type="spellEnd"/>
            <w:r w:rsidR="00AD15C0" w:rsidRPr="00CD666F">
              <w:rPr>
                <w:rFonts w:ascii="Times New Roman" w:hAnsi="Times New Roman"/>
                <w:sz w:val="20"/>
                <w:lang w:val="en-NZ"/>
              </w:rPr>
              <w:t xml:space="preserve"> </w:t>
            </w:r>
          </w:p>
        </w:tc>
        <w:tc>
          <w:tcPr>
            <w:tcW w:w="1931" w:type="dxa"/>
          </w:tcPr>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Is the last stage in purchase process so could be perceived as unfairly shortening bright-line</w:t>
            </w:r>
          </w:p>
        </w:tc>
        <w:tc>
          <w:tcPr>
            <w:tcW w:w="2245" w:type="dxa"/>
          </w:tcPr>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2F1321" w:rsidRPr="00CD666F" w:rsidRDefault="002F1321" w:rsidP="0005132F">
            <w:pPr>
              <w:spacing w:after="0" w:line="240" w:lineRule="auto"/>
              <w:jc w:val="left"/>
              <w:rPr>
                <w:rFonts w:ascii="Times New Roman" w:hAnsi="Times New Roman"/>
                <w:sz w:val="20"/>
                <w:lang w:val="en-NZ"/>
              </w:rPr>
            </w:pPr>
          </w:p>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Clear and easy to apply rule</w:t>
            </w:r>
            <w:r w:rsidR="00AD15C0" w:rsidRPr="00CD666F">
              <w:rPr>
                <w:rFonts w:ascii="Times New Roman" w:hAnsi="Times New Roman"/>
                <w:sz w:val="20"/>
                <w:lang w:val="en-NZ"/>
              </w:rPr>
              <w:t xml:space="preserve"> </w:t>
            </w:r>
          </w:p>
        </w:tc>
      </w:tr>
      <w:tr w:rsidR="002F1321" w:rsidRPr="00CD666F" w:rsidTr="00AB0266">
        <w:trPr>
          <w:trHeight w:val="601"/>
        </w:trPr>
        <w:tc>
          <w:tcPr>
            <w:tcW w:w="1242" w:type="dxa"/>
            <w:vMerge w:val="restart"/>
            <w:vAlign w:val="center"/>
          </w:tcPr>
          <w:p w:rsidR="002F1321" w:rsidRPr="00CD666F" w:rsidRDefault="006D053F"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End date</w:t>
            </w:r>
          </w:p>
        </w:tc>
        <w:tc>
          <w:tcPr>
            <w:tcW w:w="2084" w:type="dxa"/>
            <w:vAlign w:val="center"/>
          </w:tcPr>
          <w:p w:rsidR="002F1321" w:rsidRPr="00CD666F" w:rsidRDefault="002F1321" w:rsidP="0005132F">
            <w:pPr>
              <w:spacing w:after="0" w:line="240" w:lineRule="auto"/>
              <w:jc w:val="left"/>
              <w:rPr>
                <w:rFonts w:ascii="Times New Roman" w:hAnsi="Times New Roman"/>
                <w:b/>
                <w:i/>
                <w:sz w:val="20"/>
                <w:lang w:val="en-NZ"/>
              </w:rPr>
            </w:pPr>
            <w:r w:rsidRPr="00CD666F">
              <w:rPr>
                <w:rFonts w:ascii="Times New Roman" w:hAnsi="Times New Roman"/>
                <w:b/>
                <w:i/>
                <w:sz w:val="20"/>
                <w:lang w:val="en-NZ"/>
              </w:rPr>
              <w:t>Date agreement for sale and purchase entered into</w:t>
            </w:r>
          </w:p>
        </w:tc>
        <w:tc>
          <w:tcPr>
            <w:tcW w:w="1785" w:type="dxa"/>
          </w:tcPr>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Until this date, seller does not have legal rights against the purchaser. As a result there is less scope for manipulation</w:t>
            </w:r>
            <w:r w:rsidR="00AD15C0" w:rsidRPr="00CD666F">
              <w:rPr>
                <w:rFonts w:ascii="Times New Roman" w:hAnsi="Times New Roman"/>
                <w:sz w:val="20"/>
                <w:lang w:val="en-NZ"/>
              </w:rPr>
              <w:t xml:space="preserve"> </w:t>
            </w:r>
          </w:p>
        </w:tc>
        <w:tc>
          <w:tcPr>
            <w:tcW w:w="1931" w:type="dxa"/>
          </w:tcPr>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 xml:space="preserve">Less clear than registration as not recorded on </w:t>
            </w:r>
            <w:proofErr w:type="spellStart"/>
            <w:r w:rsidRPr="00CD666F">
              <w:rPr>
                <w:rFonts w:ascii="Times New Roman" w:hAnsi="Times New Roman"/>
                <w:sz w:val="20"/>
                <w:lang w:val="en-NZ"/>
              </w:rPr>
              <w:t>Landonline</w:t>
            </w:r>
            <w:proofErr w:type="spellEnd"/>
            <w:r w:rsidR="00AD15C0" w:rsidRPr="00CD666F">
              <w:rPr>
                <w:rFonts w:ascii="Times New Roman" w:hAnsi="Times New Roman"/>
                <w:sz w:val="20"/>
                <w:lang w:val="en-NZ"/>
              </w:rPr>
              <w:t xml:space="preserve"> </w:t>
            </w:r>
          </w:p>
        </w:tc>
        <w:tc>
          <w:tcPr>
            <w:tcW w:w="2245" w:type="dxa"/>
          </w:tcPr>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tc>
      </w:tr>
      <w:tr w:rsidR="002F1321" w:rsidRPr="00CD666F" w:rsidTr="00AB0266">
        <w:trPr>
          <w:trHeight w:val="392"/>
        </w:trPr>
        <w:tc>
          <w:tcPr>
            <w:tcW w:w="1242" w:type="dxa"/>
            <w:vMerge/>
            <w:vAlign w:val="center"/>
          </w:tcPr>
          <w:p w:rsidR="002F1321" w:rsidRPr="00CD666F" w:rsidRDefault="002F1321" w:rsidP="00AB0266">
            <w:pPr>
              <w:spacing w:after="0" w:line="240" w:lineRule="auto"/>
              <w:jc w:val="center"/>
              <w:rPr>
                <w:rFonts w:ascii="Times New Roman" w:hAnsi="Times New Roman"/>
                <w:b/>
                <w:sz w:val="20"/>
                <w:lang w:val="en-NZ"/>
              </w:rPr>
            </w:pPr>
          </w:p>
        </w:tc>
        <w:tc>
          <w:tcPr>
            <w:tcW w:w="2084" w:type="dxa"/>
            <w:vAlign w:val="center"/>
          </w:tcPr>
          <w:p w:rsidR="002F1321" w:rsidRPr="00CD666F" w:rsidRDefault="002F1321" w:rsidP="0005132F">
            <w:pPr>
              <w:spacing w:after="0" w:line="240" w:lineRule="auto"/>
              <w:jc w:val="left"/>
              <w:rPr>
                <w:rFonts w:ascii="Times New Roman" w:hAnsi="Times New Roman"/>
                <w:b/>
                <w:i/>
                <w:sz w:val="20"/>
                <w:lang w:val="en-NZ"/>
              </w:rPr>
            </w:pPr>
            <w:r w:rsidRPr="00CD666F">
              <w:rPr>
                <w:rFonts w:ascii="Times New Roman" w:hAnsi="Times New Roman"/>
                <w:b/>
                <w:i/>
                <w:sz w:val="20"/>
                <w:lang w:val="en-NZ"/>
              </w:rPr>
              <w:t>Date of registration of title</w:t>
            </w:r>
          </w:p>
        </w:tc>
        <w:tc>
          <w:tcPr>
            <w:tcW w:w="1785" w:type="dxa"/>
          </w:tcPr>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 xml:space="preserve">Clear date recorded on </w:t>
            </w:r>
            <w:proofErr w:type="spellStart"/>
            <w:r w:rsidRPr="00CD666F">
              <w:rPr>
                <w:rFonts w:ascii="Times New Roman" w:hAnsi="Times New Roman"/>
                <w:sz w:val="20"/>
                <w:lang w:val="en-NZ"/>
              </w:rPr>
              <w:t>Landonline</w:t>
            </w:r>
            <w:proofErr w:type="spellEnd"/>
            <w:r w:rsidR="00AD15C0" w:rsidRPr="00CD666F">
              <w:rPr>
                <w:rFonts w:ascii="Times New Roman" w:hAnsi="Times New Roman"/>
                <w:sz w:val="20"/>
                <w:lang w:val="en-NZ"/>
              </w:rPr>
              <w:t xml:space="preserve"> </w:t>
            </w:r>
          </w:p>
        </w:tc>
        <w:tc>
          <w:tcPr>
            <w:tcW w:w="1931" w:type="dxa"/>
          </w:tcPr>
          <w:p w:rsidR="002F1321" w:rsidRPr="00CD666F" w:rsidRDefault="002F1321" w:rsidP="00E60DAB">
            <w:pPr>
              <w:spacing w:after="0" w:line="240" w:lineRule="auto"/>
              <w:jc w:val="left"/>
              <w:rPr>
                <w:rFonts w:ascii="Times New Roman" w:hAnsi="Times New Roman"/>
                <w:i/>
                <w:sz w:val="20"/>
                <w:lang w:val="en-NZ"/>
              </w:rPr>
            </w:pPr>
            <w:r w:rsidRPr="00CD666F">
              <w:rPr>
                <w:rFonts w:ascii="Times New Roman" w:hAnsi="Times New Roman"/>
                <w:sz w:val="20"/>
                <w:lang w:val="en-NZ"/>
              </w:rPr>
              <w:t>Scope for manipulation – it is possible to artificially defer this date.</w:t>
            </w:r>
            <w:r w:rsidR="00AD15C0" w:rsidRPr="00CD666F">
              <w:rPr>
                <w:rFonts w:ascii="Times New Roman" w:hAnsi="Times New Roman"/>
                <w:sz w:val="20"/>
                <w:lang w:val="en-NZ"/>
              </w:rPr>
              <w:t xml:space="preserve"> </w:t>
            </w:r>
          </w:p>
        </w:tc>
        <w:tc>
          <w:tcPr>
            <w:tcW w:w="2245" w:type="dxa"/>
          </w:tcPr>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p w:rsidR="002F1321" w:rsidRPr="00CD666F" w:rsidRDefault="002F1321" w:rsidP="0005132F">
            <w:pPr>
              <w:spacing w:after="0" w:line="240" w:lineRule="auto"/>
              <w:jc w:val="left"/>
              <w:rPr>
                <w:rFonts w:ascii="Times New Roman" w:hAnsi="Times New Roman"/>
                <w:sz w:val="20"/>
                <w:lang w:val="en-NZ"/>
              </w:rPr>
            </w:pPr>
          </w:p>
          <w:p w:rsidR="002F1321" w:rsidRPr="00CD666F" w:rsidRDefault="002F1321" w:rsidP="0005132F">
            <w:pPr>
              <w:spacing w:after="0" w:line="240" w:lineRule="auto"/>
              <w:jc w:val="left"/>
              <w:rPr>
                <w:rFonts w:ascii="Times New Roman" w:hAnsi="Times New Roman"/>
                <w:sz w:val="20"/>
                <w:lang w:val="en-NZ"/>
              </w:rPr>
            </w:pPr>
            <w:r w:rsidRPr="00CD666F">
              <w:rPr>
                <w:rFonts w:ascii="Times New Roman" w:hAnsi="Times New Roman"/>
                <w:sz w:val="20"/>
                <w:lang w:val="en-NZ"/>
              </w:rPr>
              <w:t>Too easy to manipulate</w:t>
            </w:r>
          </w:p>
        </w:tc>
      </w:tr>
    </w:tbl>
    <w:p w:rsidR="00AB0266" w:rsidRPr="00CD666F" w:rsidRDefault="00AB0266">
      <w:pPr>
        <w:spacing w:after="0" w:line="240" w:lineRule="auto"/>
        <w:rPr>
          <w:rFonts w:ascii="Times New Roman" w:hAnsi="Times New Roman"/>
          <w:sz w:val="24"/>
          <w:szCs w:val="24"/>
          <w:lang w:val="en-NZ"/>
        </w:rPr>
      </w:pPr>
    </w:p>
    <w:p w:rsidR="00951FE2" w:rsidRPr="00CD666F" w:rsidRDefault="00951FE2">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Residential land</w:t>
      </w:r>
    </w:p>
    <w:p w:rsidR="00951FE2" w:rsidRPr="00CD666F" w:rsidRDefault="00951FE2">
      <w:pPr>
        <w:spacing w:after="0" w:line="240" w:lineRule="auto"/>
        <w:rPr>
          <w:rFonts w:ascii="Times New Roman" w:hAnsi="Times New Roman"/>
          <w:sz w:val="24"/>
          <w:szCs w:val="24"/>
          <w:lang w:val="en-NZ"/>
        </w:rPr>
      </w:pPr>
    </w:p>
    <w:p w:rsidR="00951FE2" w:rsidRPr="00CD666F" w:rsidRDefault="00951FE2" w:rsidP="007E5680">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bright-line test could apply either to all land or just </w:t>
      </w:r>
      <w:proofErr w:type="gramStart"/>
      <w:r w:rsidRPr="00CD666F">
        <w:rPr>
          <w:rFonts w:ascii="Times New Roman" w:hAnsi="Times New Roman"/>
          <w:sz w:val="24"/>
          <w:szCs w:val="24"/>
          <w:lang w:val="en-NZ"/>
        </w:rPr>
        <w:t>to</w:t>
      </w:r>
      <w:proofErr w:type="gramEnd"/>
      <w:r w:rsidRPr="00CD666F">
        <w:rPr>
          <w:rFonts w:ascii="Times New Roman" w:hAnsi="Times New Roman"/>
          <w:sz w:val="24"/>
          <w:szCs w:val="24"/>
          <w:lang w:val="en-NZ"/>
        </w:rPr>
        <w:t xml:space="preserve"> residential land.</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w:t>
      </w:r>
      <w:r w:rsidR="008605BC" w:rsidRPr="00CD666F">
        <w:rPr>
          <w:rFonts w:ascii="Times New Roman" w:hAnsi="Times New Roman"/>
          <w:sz w:val="24"/>
          <w:szCs w:val="24"/>
          <w:lang w:val="en-NZ"/>
        </w:rPr>
        <w:t xml:space="preserve">The key trade-off between these two options is between targeting the bright-line test to the main issue of high churn of residential property </w:t>
      </w:r>
      <w:r w:rsidR="0005132F" w:rsidRPr="00CD666F">
        <w:rPr>
          <w:rFonts w:ascii="Times New Roman" w:hAnsi="Times New Roman"/>
          <w:sz w:val="24"/>
          <w:szCs w:val="24"/>
          <w:lang w:val="en-NZ"/>
        </w:rPr>
        <w:t xml:space="preserve">and </w:t>
      </w:r>
      <w:r w:rsidR="008605BC" w:rsidRPr="00CD666F">
        <w:rPr>
          <w:rFonts w:ascii="Times New Roman" w:hAnsi="Times New Roman"/>
          <w:sz w:val="24"/>
          <w:szCs w:val="24"/>
          <w:lang w:val="en-NZ"/>
        </w:rPr>
        <w:t>creating a difficult boundary.</w:t>
      </w:r>
    </w:p>
    <w:p w:rsidR="008605BC" w:rsidRPr="00CD666F" w:rsidRDefault="008605BC">
      <w:pPr>
        <w:spacing w:after="0" w:line="240" w:lineRule="auto"/>
        <w:rPr>
          <w:rFonts w:ascii="Times New Roman" w:hAnsi="Times New Roman"/>
          <w:sz w:val="24"/>
          <w:szCs w:val="24"/>
          <w:lang w:val="en-NZ"/>
        </w:rPr>
      </w:pPr>
    </w:p>
    <w:tbl>
      <w:tblPr>
        <w:tblStyle w:val="TableGrid"/>
        <w:tblpPr w:leftFromText="180" w:rightFromText="180" w:vertAnchor="page" w:horzAnchor="margin" w:tblpY="1173"/>
        <w:tblW w:w="0" w:type="auto"/>
        <w:tblLook w:val="04A0" w:firstRow="1" w:lastRow="0" w:firstColumn="1" w:lastColumn="0" w:noHBand="0" w:noVBand="1"/>
      </w:tblPr>
      <w:tblGrid>
        <w:gridCol w:w="1384"/>
        <w:gridCol w:w="2634"/>
        <w:gridCol w:w="2634"/>
        <w:gridCol w:w="2635"/>
      </w:tblGrid>
      <w:tr w:rsidR="000B7E8A" w:rsidRPr="00CD666F" w:rsidTr="00AB0266">
        <w:trPr>
          <w:trHeight w:val="401"/>
        </w:trPr>
        <w:tc>
          <w:tcPr>
            <w:tcW w:w="1384" w:type="dxa"/>
            <w:vAlign w:val="center"/>
          </w:tcPr>
          <w:p w:rsidR="000B7E8A" w:rsidRPr="00CD666F" w:rsidRDefault="000B7E8A"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2634" w:type="dxa"/>
            <w:vAlign w:val="center"/>
          </w:tcPr>
          <w:p w:rsidR="000B7E8A" w:rsidRPr="00CD666F" w:rsidRDefault="000B7E8A"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634" w:type="dxa"/>
            <w:vAlign w:val="center"/>
          </w:tcPr>
          <w:p w:rsidR="000B7E8A" w:rsidRPr="00CD666F" w:rsidRDefault="000B7E8A"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0B7E8A" w:rsidRPr="00CD666F" w:rsidRDefault="000B7E8A" w:rsidP="00AB0266">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0B7E8A" w:rsidRPr="00CD666F" w:rsidTr="00AB0266">
        <w:trPr>
          <w:trHeight w:val="401"/>
        </w:trPr>
        <w:tc>
          <w:tcPr>
            <w:tcW w:w="1384" w:type="dxa"/>
            <w:vAlign w:val="center"/>
          </w:tcPr>
          <w:p w:rsidR="000B7E8A" w:rsidRPr="00CD666F" w:rsidRDefault="000B7E8A" w:rsidP="006B384B">
            <w:pPr>
              <w:spacing w:after="0" w:line="240" w:lineRule="auto"/>
              <w:jc w:val="left"/>
              <w:rPr>
                <w:rFonts w:ascii="Times New Roman" w:hAnsi="Times New Roman"/>
                <w:b/>
                <w:i/>
                <w:sz w:val="20"/>
                <w:lang w:val="en-NZ"/>
              </w:rPr>
            </w:pPr>
            <w:r w:rsidRPr="00CD666F">
              <w:rPr>
                <w:rFonts w:ascii="Times New Roman" w:hAnsi="Times New Roman"/>
                <w:b/>
                <w:i/>
                <w:sz w:val="20"/>
                <w:lang w:val="en-NZ"/>
              </w:rPr>
              <w:t>Apply bright-line to all land</w:t>
            </w:r>
          </w:p>
        </w:tc>
        <w:tc>
          <w:tcPr>
            <w:tcW w:w="2634" w:type="dxa"/>
          </w:tcPr>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Removes difficult boundary questions in defining residential land</w:t>
            </w:r>
          </w:p>
        </w:tc>
        <w:tc>
          <w:tcPr>
            <w:tcW w:w="2634" w:type="dxa"/>
          </w:tcPr>
          <w:p w:rsidR="000B7E8A" w:rsidRPr="00CD666F" w:rsidRDefault="000B7E8A"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Is not as well targeted</w:t>
            </w:r>
            <w:proofErr w:type="gramEnd"/>
            <w:r w:rsidRPr="00CD666F">
              <w:rPr>
                <w:rFonts w:ascii="Times New Roman" w:hAnsi="Times New Roman"/>
                <w:sz w:val="20"/>
                <w:lang w:val="en-NZ"/>
              </w:rPr>
              <w:t xml:space="preserve"> towards main issue of high churn of residential property.</w:t>
            </w:r>
          </w:p>
          <w:p w:rsidR="000B7E8A" w:rsidRPr="00CD666F" w:rsidRDefault="000B7E8A" w:rsidP="0005132F">
            <w:pPr>
              <w:spacing w:after="0" w:line="240" w:lineRule="auto"/>
              <w:jc w:val="left"/>
              <w:rPr>
                <w:rFonts w:ascii="Times New Roman" w:hAnsi="Times New Roman"/>
                <w:sz w:val="20"/>
                <w:lang w:val="en-NZ"/>
              </w:rPr>
            </w:pPr>
          </w:p>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The lock-in effect is greater as it affects businesses decision</w:t>
            </w:r>
            <w:r w:rsidR="00881FC9" w:rsidRPr="00CD666F">
              <w:rPr>
                <w:rFonts w:ascii="Times New Roman" w:hAnsi="Times New Roman"/>
                <w:sz w:val="20"/>
                <w:lang w:val="en-NZ"/>
              </w:rPr>
              <w:t>s</w:t>
            </w:r>
            <w:r w:rsidRPr="00CD666F">
              <w:rPr>
                <w:rFonts w:ascii="Times New Roman" w:hAnsi="Times New Roman"/>
                <w:sz w:val="20"/>
                <w:lang w:val="en-NZ"/>
              </w:rPr>
              <w:t xml:space="preserve"> whether to replace their commercial property with more productive premises.</w:t>
            </w:r>
          </w:p>
        </w:tc>
        <w:tc>
          <w:tcPr>
            <w:tcW w:w="2635" w:type="dxa"/>
          </w:tcPr>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r w:rsidR="000B7E8A" w:rsidRPr="00CD666F" w:rsidTr="00AB0266">
        <w:trPr>
          <w:trHeight w:val="390"/>
        </w:trPr>
        <w:tc>
          <w:tcPr>
            <w:tcW w:w="1384" w:type="dxa"/>
            <w:vAlign w:val="center"/>
          </w:tcPr>
          <w:p w:rsidR="000B7E8A" w:rsidRPr="00CD666F" w:rsidRDefault="000B7E8A" w:rsidP="006B384B">
            <w:pPr>
              <w:spacing w:after="0" w:line="240" w:lineRule="auto"/>
              <w:jc w:val="left"/>
              <w:rPr>
                <w:rFonts w:ascii="Times New Roman" w:hAnsi="Times New Roman"/>
                <w:b/>
                <w:i/>
                <w:sz w:val="20"/>
                <w:lang w:val="en-NZ"/>
              </w:rPr>
            </w:pPr>
            <w:r w:rsidRPr="00CD666F">
              <w:rPr>
                <w:rFonts w:ascii="Times New Roman" w:hAnsi="Times New Roman"/>
                <w:b/>
                <w:i/>
                <w:sz w:val="20"/>
                <w:lang w:val="en-NZ"/>
              </w:rPr>
              <w:t>Apply bright-line to just residential land</w:t>
            </w:r>
          </w:p>
        </w:tc>
        <w:tc>
          <w:tcPr>
            <w:tcW w:w="2634" w:type="dxa"/>
          </w:tcPr>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Focuses towards main issue of high churn of residential property</w:t>
            </w:r>
          </w:p>
          <w:p w:rsidR="000B7E8A" w:rsidRPr="00CD666F" w:rsidRDefault="000B7E8A" w:rsidP="0005132F">
            <w:pPr>
              <w:spacing w:after="0" w:line="240" w:lineRule="auto"/>
              <w:jc w:val="left"/>
              <w:rPr>
                <w:rFonts w:ascii="Times New Roman" w:hAnsi="Times New Roman"/>
                <w:sz w:val="20"/>
                <w:lang w:val="en-NZ"/>
              </w:rPr>
            </w:pPr>
          </w:p>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No lock-in effect for commercial property where lock-in effect is most distortionary</w:t>
            </w:r>
          </w:p>
        </w:tc>
        <w:tc>
          <w:tcPr>
            <w:tcW w:w="2634" w:type="dxa"/>
          </w:tcPr>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Creates difficult boundary-drawing questions for defining residential land</w:t>
            </w:r>
          </w:p>
        </w:tc>
        <w:tc>
          <w:tcPr>
            <w:tcW w:w="2635" w:type="dxa"/>
          </w:tcPr>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0B7E8A" w:rsidRPr="00CD666F" w:rsidRDefault="000B7E8A" w:rsidP="0005132F">
            <w:pPr>
              <w:spacing w:after="0" w:line="240" w:lineRule="auto"/>
              <w:jc w:val="left"/>
              <w:rPr>
                <w:rFonts w:ascii="Times New Roman" w:hAnsi="Times New Roman"/>
                <w:sz w:val="20"/>
                <w:lang w:val="en-NZ"/>
              </w:rPr>
            </w:pPr>
          </w:p>
          <w:p w:rsidR="000B7E8A" w:rsidRPr="00CD666F" w:rsidRDefault="000B7E8A" w:rsidP="0005132F">
            <w:pPr>
              <w:spacing w:after="0" w:line="240" w:lineRule="auto"/>
              <w:jc w:val="left"/>
              <w:rPr>
                <w:rFonts w:ascii="Times New Roman" w:hAnsi="Times New Roman"/>
                <w:sz w:val="20"/>
                <w:lang w:val="en-NZ"/>
              </w:rPr>
            </w:pPr>
            <w:r w:rsidRPr="00CD666F">
              <w:rPr>
                <w:rFonts w:ascii="Times New Roman" w:hAnsi="Times New Roman"/>
                <w:sz w:val="20"/>
                <w:lang w:val="en-NZ"/>
              </w:rPr>
              <w:t>Targeted towards main objective and minimises lock-in effect</w:t>
            </w:r>
          </w:p>
        </w:tc>
      </w:tr>
    </w:tbl>
    <w:p w:rsidR="00C34F94" w:rsidRPr="00CD666F" w:rsidRDefault="00C34F94">
      <w:pPr>
        <w:spacing w:after="0" w:line="240" w:lineRule="auto"/>
        <w:rPr>
          <w:rFonts w:ascii="Times New Roman" w:hAnsi="Times New Roman"/>
          <w:sz w:val="24"/>
          <w:szCs w:val="24"/>
          <w:lang w:val="en-NZ"/>
        </w:rPr>
      </w:pPr>
    </w:p>
    <w:p w:rsidR="008605BC" w:rsidRPr="00CD666F" w:rsidRDefault="008605BC">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Main home exclusion</w:t>
      </w:r>
    </w:p>
    <w:p w:rsidR="008605BC" w:rsidRPr="00CD666F" w:rsidRDefault="008605BC">
      <w:pPr>
        <w:spacing w:after="0" w:line="240" w:lineRule="auto"/>
        <w:rPr>
          <w:rFonts w:ascii="Times New Roman" w:hAnsi="Times New Roman"/>
          <w:sz w:val="24"/>
          <w:szCs w:val="24"/>
          <w:lang w:val="en-NZ"/>
        </w:rPr>
      </w:pPr>
    </w:p>
    <w:p w:rsidR="008605BC" w:rsidRPr="00CD666F" w:rsidRDefault="008605BC" w:rsidP="007E5680">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One </w:t>
      </w:r>
      <w:r w:rsidR="001423C9" w:rsidRPr="00CD666F">
        <w:rPr>
          <w:rFonts w:ascii="Times New Roman" w:hAnsi="Times New Roman"/>
          <w:sz w:val="24"/>
          <w:szCs w:val="24"/>
          <w:lang w:val="en-NZ"/>
        </w:rPr>
        <w:t>key design issue</w:t>
      </w:r>
      <w:r w:rsidRPr="00CD666F">
        <w:rPr>
          <w:rFonts w:ascii="Times New Roman" w:hAnsi="Times New Roman"/>
          <w:sz w:val="24"/>
          <w:szCs w:val="24"/>
          <w:lang w:val="en-NZ"/>
        </w:rPr>
        <w:t xml:space="preserve"> is whether the bright-line test should apply to a person’s main home.</w:t>
      </w:r>
    </w:p>
    <w:p w:rsidR="008605BC" w:rsidRPr="00CD666F" w:rsidRDefault="008605BC">
      <w:pPr>
        <w:spacing w:after="0" w:line="240" w:lineRule="auto"/>
        <w:rPr>
          <w:rFonts w:ascii="Times New Roman" w:hAnsi="Times New Roman"/>
          <w:sz w:val="24"/>
          <w:szCs w:val="24"/>
          <w:lang w:val="en-NZ"/>
        </w:rPr>
      </w:pPr>
    </w:p>
    <w:tbl>
      <w:tblPr>
        <w:tblStyle w:val="TableGrid"/>
        <w:tblpPr w:leftFromText="180" w:rightFromText="180" w:vertAnchor="page" w:horzAnchor="margin" w:tblpY="7336"/>
        <w:tblW w:w="0" w:type="auto"/>
        <w:tblLook w:val="04A0" w:firstRow="1" w:lastRow="0" w:firstColumn="1" w:lastColumn="0" w:noHBand="0" w:noVBand="1"/>
      </w:tblPr>
      <w:tblGrid>
        <w:gridCol w:w="1384"/>
        <w:gridCol w:w="2634"/>
        <w:gridCol w:w="2634"/>
        <w:gridCol w:w="2635"/>
      </w:tblGrid>
      <w:tr w:rsidR="00881FC9" w:rsidRPr="00CD666F" w:rsidTr="0079778C">
        <w:trPr>
          <w:trHeight w:val="811"/>
          <w:tblHeader/>
        </w:trPr>
        <w:tc>
          <w:tcPr>
            <w:tcW w:w="1384" w:type="dxa"/>
            <w:vAlign w:val="center"/>
          </w:tcPr>
          <w:p w:rsidR="00881FC9" w:rsidRPr="00CD666F" w:rsidRDefault="00881FC9" w:rsidP="0079778C">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2634" w:type="dxa"/>
            <w:vAlign w:val="center"/>
          </w:tcPr>
          <w:p w:rsidR="00881FC9" w:rsidRPr="00CD666F" w:rsidRDefault="00881FC9" w:rsidP="0079778C">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634" w:type="dxa"/>
            <w:vAlign w:val="center"/>
          </w:tcPr>
          <w:p w:rsidR="00881FC9" w:rsidRPr="00CD666F" w:rsidRDefault="00881FC9" w:rsidP="0079778C">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881FC9" w:rsidRPr="00CD666F" w:rsidRDefault="00881FC9" w:rsidP="0079778C">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881FC9" w:rsidRPr="00CD666F" w:rsidTr="0079778C">
        <w:trPr>
          <w:trHeight w:val="403"/>
        </w:trPr>
        <w:tc>
          <w:tcPr>
            <w:tcW w:w="1384" w:type="dxa"/>
            <w:vAlign w:val="center"/>
          </w:tcPr>
          <w:p w:rsidR="00881FC9" w:rsidRPr="00CD666F" w:rsidRDefault="00881FC9" w:rsidP="006B384B">
            <w:pPr>
              <w:spacing w:after="0" w:line="240" w:lineRule="auto"/>
              <w:jc w:val="left"/>
              <w:rPr>
                <w:rFonts w:ascii="Times New Roman" w:hAnsi="Times New Roman"/>
                <w:b/>
                <w:i/>
                <w:sz w:val="20"/>
                <w:lang w:val="en-NZ"/>
              </w:rPr>
            </w:pPr>
            <w:r w:rsidRPr="00CD666F">
              <w:rPr>
                <w:rFonts w:ascii="Times New Roman" w:hAnsi="Times New Roman"/>
                <w:b/>
                <w:i/>
                <w:sz w:val="20"/>
                <w:lang w:val="en-NZ"/>
              </w:rPr>
              <w:t>Don’t exempt main home</w:t>
            </w:r>
          </w:p>
        </w:tc>
        <w:tc>
          <w:tcPr>
            <w:tcW w:w="2634" w:type="dxa"/>
          </w:tcPr>
          <w:p w:rsidR="00881FC9" w:rsidRPr="00CD666F" w:rsidRDefault="00881FC9"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Greater revenue gains.</w:t>
            </w:r>
            <w:proofErr w:type="gramEnd"/>
            <w:r w:rsidRPr="00CD666F">
              <w:rPr>
                <w:rFonts w:ascii="Times New Roman" w:hAnsi="Times New Roman"/>
                <w:sz w:val="20"/>
                <w:lang w:val="en-NZ"/>
              </w:rPr>
              <w:t xml:space="preserve"> </w:t>
            </w:r>
            <w:r w:rsidR="009D4A45" w:rsidRPr="00CD666F">
              <w:rPr>
                <w:rFonts w:ascii="Times New Roman" w:hAnsi="Times New Roman"/>
                <w:sz w:val="20"/>
                <w:lang w:val="en-NZ"/>
              </w:rPr>
              <w:t xml:space="preserve"> </w:t>
            </w:r>
            <w:r w:rsidRPr="00CD666F">
              <w:rPr>
                <w:rFonts w:ascii="Times New Roman" w:hAnsi="Times New Roman"/>
                <w:sz w:val="20"/>
                <w:lang w:val="en-NZ"/>
              </w:rPr>
              <w:t>Less exceptions from bright-line creates a clearer more objective test.</w:t>
            </w:r>
          </w:p>
        </w:tc>
        <w:tc>
          <w:tcPr>
            <w:tcW w:w="2634" w:type="dxa"/>
          </w:tcPr>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Taxing gains on the main home is likely to hav</w:t>
            </w:r>
            <w:r w:rsidR="009D4A45" w:rsidRPr="00CD666F">
              <w:rPr>
                <w:rFonts w:ascii="Times New Roman" w:hAnsi="Times New Roman"/>
                <w:sz w:val="20"/>
                <w:lang w:val="en-NZ"/>
              </w:rPr>
              <w:t xml:space="preserve">e little public acceptability. </w:t>
            </w:r>
          </w:p>
        </w:tc>
        <w:tc>
          <w:tcPr>
            <w:tcW w:w="2635" w:type="dxa"/>
          </w:tcPr>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r w:rsidR="00881FC9" w:rsidRPr="00CD666F" w:rsidTr="0079778C">
        <w:trPr>
          <w:trHeight w:val="196"/>
        </w:trPr>
        <w:tc>
          <w:tcPr>
            <w:tcW w:w="1384" w:type="dxa"/>
            <w:vAlign w:val="center"/>
          </w:tcPr>
          <w:p w:rsidR="00881FC9" w:rsidRPr="00CD666F" w:rsidRDefault="00881FC9" w:rsidP="006B384B">
            <w:pPr>
              <w:spacing w:after="0" w:line="240" w:lineRule="auto"/>
              <w:jc w:val="left"/>
              <w:rPr>
                <w:rFonts w:ascii="Times New Roman" w:hAnsi="Times New Roman"/>
                <w:b/>
                <w:i/>
                <w:sz w:val="20"/>
                <w:lang w:val="en-NZ"/>
              </w:rPr>
            </w:pPr>
            <w:r w:rsidRPr="00CD666F">
              <w:rPr>
                <w:rFonts w:ascii="Times New Roman" w:hAnsi="Times New Roman"/>
                <w:b/>
                <w:i/>
                <w:sz w:val="20"/>
                <w:lang w:val="en-NZ"/>
              </w:rPr>
              <w:t>Exempt main home</w:t>
            </w:r>
          </w:p>
        </w:tc>
        <w:tc>
          <w:tcPr>
            <w:tcW w:w="2634" w:type="dxa"/>
          </w:tcPr>
          <w:p w:rsidR="00881FC9" w:rsidRPr="00CD666F" w:rsidRDefault="00881FC9"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Greater public acceptability.</w:t>
            </w:r>
            <w:proofErr w:type="gramEnd"/>
          </w:p>
          <w:p w:rsidR="00881FC9" w:rsidRPr="00CD666F" w:rsidRDefault="00881FC9" w:rsidP="0005132F">
            <w:pPr>
              <w:spacing w:after="0" w:line="240" w:lineRule="auto"/>
              <w:jc w:val="left"/>
              <w:rPr>
                <w:rFonts w:ascii="Times New Roman" w:hAnsi="Times New Roman"/>
                <w:sz w:val="20"/>
                <w:lang w:val="en-NZ"/>
              </w:rPr>
            </w:pPr>
          </w:p>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Property is less likely to </w:t>
            </w:r>
            <w:proofErr w:type="gramStart"/>
            <w:r w:rsidRPr="00CD666F">
              <w:rPr>
                <w:rFonts w:ascii="Times New Roman" w:hAnsi="Times New Roman"/>
                <w:sz w:val="20"/>
                <w:lang w:val="en-NZ"/>
              </w:rPr>
              <w:t>have been bought</w:t>
            </w:r>
            <w:proofErr w:type="gramEnd"/>
            <w:r w:rsidRPr="00CD666F">
              <w:rPr>
                <w:rFonts w:ascii="Times New Roman" w:hAnsi="Times New Roman"/>
                <w:sz w:val="20"/>
                <w:lang w:val="en-NZ"/>
              </w:rPr>
              <w:t xml:space="preserve"> with an intention of resale if it is the seller’s main home.</w:t>
            </w:r>
          </w:p>
        </w:tc>
        <w:tc>
          <w:tcPr>
            <w:tcW w:w="2634" w:type="dxa"/>
          </w:tcPr>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Less revenue gains, and bright-line becomes more subjective</w:t>
            </w:r>
          </w:p>
        </w:tc>
        <w:tc>
          <w:tcPr>
            <w:tcW w:w="2635" w:type="dxa"/>
          </w:tcPr>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881FC9" w:rsidRPr="00CD666F" w:rsidRDefault="00881FC9" w:rsidP="0005132F">
            <w:pPr>
              <w:spacing w:after="0" w:line="240" w:lineRule="auto"/>
              <w:jc w:val="left"/>
              <w:rPr>
                <w:rFonts w:ascii="Times New Roman" w:hAnsi="Times New Roman"/>
                <w:sz w:val="20"/>
                <w:lang w:val="en-NZ"/>
              </w:rPr>
            </w:pPr>
          </w:p>
          <w:p w:rsidR="00881FC9" w:rsidRPr="00CD666F" w:rsidRDefault="00881FC9" w:rsidP="0005132F">
            <w:pPr>
              <w:spacing w:after="0" w:line="240" w:lineRule="auto"/>
              <w:jc w:val="left"/>
              <w:rPr>
                <w:rFonts w:ascii="Times New Roman" w:hAnsi="Times New Roman"/>
                <w:sz w:val="20"/>
                <w:lang w:val="en-NZ"/>
              </w:rPr>
            </w:pPr>
            <w:r w:rsidRPr="00CD666F">
              <w:rPr>
                <w:rFonts w:ascii="Times New Roman" w:hAnsi="Times New Roman"/>
                <w:sz w:val="20"/>
                <w:lang w:val="en-NZ"/>
              </w:rPr>
              <w:t>Consistent with existing land-sale rules</w:t>
            </w:r>
          </w:p>
        </w:tc>
      </w:tr>
    </w:tbl>
    <w:p w:rsidR="00C050FF" w:rsidRPr="00CD666F" w:rsidRDefault="00C050FF" w:rsidP="00B529CC">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Inherited and relationship property</w:t>
      </w:r>
    </w:p>
    <w:p w:rsidR="00C050FF" w:rsidRPr="00CD666F" w:rsidRDefault="00C050FF">
      <w:pPr>
        <w:spacing w:after="0" w:line="240" w:lineRule="auto"/>
        <w:rPr>
          <w:rFonts w:ascii="Times New Roman" w:hAnsi="Times New Roman"/>
          <w:sz w:val="24"/>
          <w:szCs w:val="24"/>
          <w:lang w:val="en-NZ"/>
        </w:rPr>
      </w:pPr>
    </w:p>
    <w:p w:rsidR="00F06686" w:rsidRPr="00CD666F" w:rsidRDefault="00F06686" w:rsidP="007E5680">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current land sale rules provide special treatment for inherited prop</w:t>
      </w:r>
      <w:r w:rsidR="00BD4CB1" w:rsidRPr="00CD666F">
        <w:rPr>
          <w:rFonts w:ascii="Times New Roman" w:hAnsi="Times New Roman"/>
          <w:sz w:val="24"/>
          <w:szCs w:val="24"/>
          <w:lang w:val="en-NZ"/>
        </w:rPr>
        <w:t>erty and relationship property.  T</w:t>
      </w:r>
      <w:r w:rsidRPr="00CD666F">
        <w:rPr>
          <w:rFonts w:ascii="Times New Roman" w:hAnsi="Times New Roman"/>
          <w:sz w:val="24"/>
          <w:szCs w:val="24"/>
          <w:lang w:val="en-NZ"/>
        </w:rPr>
        <w:t xml:space="preserve">he analysis below considers whether special treatment should apply under the bright-line </w:t>
      </w:r>
      <w:r w:rsidR="0005132F" w:rsidRPr="00CD666F">
        <w:rPr>
          <w:rFonts w:ascii="Times New Roman" w:hAnsi="Times New Roman"/>
          <w:sz w:val="24"/>
          <w:szCs w:val="24"/>
          <w:lang w:val="en-NZ"/>
        </w:rPr>
        <w:t xml:space="preserve">test </w:t>
      </w:r>
      <w:r w:rsidRPr="00CD666F">
        <w:rPr>
          <w:rFonts w:ascii="Times New Roman" w:hAnsi="Times New Roman"/>
          <w:sz w:val="24"/>
          <w:szCs w:val="24"/>
          <w:lang w:val="en-NZ"/>
        </w:rPr>
        <w:t>for these transactions.</w:t>
      </w:r>
    </w:p>
    <w:p w:rsidR="00C050FF" w:rsidRPr="00CD666F" w:rsidRDefault="00C050FF">
      <w:pPr>
        <w:spacing w:after="0" w:line="240" w:lineRule="auto"/>
        <w:rPr>
          <w:rFonts w:ascii="Times New Roman" w:hAnsi="Times New Roman"/>
          <w:sz w:val="24"/>
          <w:szCs w:val="24"/>
          <w:lang w:val="en-NZ"/>
        </w:rPr>
      </w:pPr>
    </w:p>
    <w:p w:rsidR="00C050FF" w:rsidRPr="00CD666F" w:rsidRDefault="00C050FF">
      <w:pPr>
        <w:spacing w:after="0" w:line="240" w:lineRule="auto"/>
        <w:rPr>
          <w:rFonts w:ascii="Times New Roman" w:hAnsi="Times New Roman"/>
          <w:sz w:val="24"/>
          <w:szCs w:val="24"/>
          <w:lang w:val="en-NZ"/>
        </w:rPr>
      </w:pPr>
    </w:p>
    <w:tbl>
      <w:tblPr>
        <w:tblStyle w:val="TableGrid"/>
        <w:tblpPr w:leftFromText="180" w:rightFromText="180" w:vertAnchor="page" w:horzAnchor="margin" w:tblpY="1826"/>
        <w:tblOverlap w:val="never"/>
        <w:tblW w:w="9287" w:type="dxa"/>
        <w:tblLook w:val="04A0" w:firstRow="1" w:lastRow="0" w:firstColumn="1" w:lastColumn="0" w:noHBand="0" w:noVBand="1"/>
      </w:tblPr>
      <w:tblGrid>
        <w:gridCol w:w="1384"/>
        <w:gridCol w:w="2634"/>
        <w:gridCol w:w="2634"/>
        <w:gridCol w:w="2635"/>
      </w:tblGrid>
      <w:tr w:rsidR="007E5680" w:rsidRPr="00CD666F" w:rsidTr="007E5680">
        <w:trPr>
          <w:trHeight w:val="810"/>
          <w:tblHeader/>
        </w:trPr>
        <w:tc>
          <w:tcPr>
            <w:tcW w:w="1384"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2634"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634"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7E5680" w:rsidRPr="00CD666F" w:rsidTr="007E5680">
        <w:trPr>
          <w:trHeight w:val="196"/>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No relief</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Fewer exceptions from bright-line test mean rules are simpler to apply and enforce.</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Bright-line would apply in circumstance where person acquired property due to an inheritance and never in</w:t>
            </w:r>
            <w:r w:rsidR="009D4A45" w:rsidRPr="00CD666F">
              <w:rPr>
                <w:rFonts w:ascii="Times New Roman" w:hAnsi="Times New Roman"/>
                <w:sz w:val="20"/>
                <w:lang w:val="en-NZ"/>
              </w:rPr>
              <w:t>tended to acquire the property.</w:t>
            </w:r>
          </w:p>
        </w:tc>
        <w:tc>
          <w:tcPr>
            <w:tcW w:w="2635" w:type="dxa"/>
          </w:tcPr>
          <w:p w:rsidR="007E5680" w:rsidRPr="00CD666F" w:rsidRDefault="009D4A45"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r w:rsidR="007E5680" w:rsidRPr="00CD666F" w:rsidTr="007E5680">
        <w:trPr>
          <w:trHeight w:val="196"/>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 xml:space="preserve">Limited rollover relief </w:t>
            </w:r>
          </w:p>
        </w:tc>
        <w:tc>
          <w:tcPr>
            <w:tcW w:w="2634" w:type="dxa"/>
          </w:tcPr>
          <w:p w:rsidR="007E5680" w:rsidRPr="00CD666F" w:rsidRDefault="007E5680"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Would align the relie</w:t>
            </w:r>
            <w:r w:rsidR="009D4A45" w:rsidRPr="00CD666F">
              <w:rPr>
                <w:rFonts w:ascii="Times New Roman" w:hAnsi="Times New Roman"/>
                <w:sz w:val="20"/>
                <w:lang w:val="en-NZ"/>
              </w:rPr>
              <w:t>f with current land sale rules.</w:t>
            </w:r>
            <w:proofErr w:type="gramEnd"/>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Provides partial relief for persons who did not intend to acquire the property.</w:t>
            </w:r>
            <w:proofErr w:type="gramEnd"/>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Only partial relief is available for close relatives, relationship partners, or charities. </w:t>
            </w:r>
            <w:r w:rsidR="009D4A45" w:rsidRPr="00CD666F">
              <w:rPr>
                <w:rFonts w:ascii="Times New Roman" w:hAnsi="Times New Roman"/>
                <w:sz w:val="20"/>
                <w:lang w:val="en-NZ"/>
              </w:rPr>
              <w:t xml:space="preserve"> </w:t>
            </w:r>
            <w:r w:rsidRPr="00CD666F">
              <w:rPr>
                <w:rFonts w:ascii="Times New Roman" w:hAnsi="Times New Roman"/>
                <w:sz w:val="20"/>
                <w:lang w:val="en-NZ"/>
              </w:rPr>
              <w:t xml:space="preserve">This means persons </w:t>
            </w:r>
            <w:proofErr w:type="gramStart"/>
            <w:r w:rsidRPr="00CD666F">
              <w:rPr>
                <w:rFonts w:ascii="Times New Roman" w:hAnsi="Times New Roman"/>
                <w:sz w:val="20"/>
                <w:lang w:val="en-NZ"/>
              </w:rPr>
              <w:t>would be captured</w:t>
            </w:r>
            <w:proofErr w:type="gramEnd"/>
            <w:r w:rsidRPr="00CD666F">
              <w:rPr>
                <w:rFonts w:ascii="Times New Roman" w:hAnsi="Times New Roman"/>
                <w:sz w:val="20"/>
                <w:lang w:val="en-NZ"/>
              </w:rPr>
              <w:t xml:space="preserve"> by the bright-line test in some circumstances even though they never intended to acquire the property.</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r w:rsidR="007E5680" w:rsidRPr="00CD666F" w:rsidTr="007E5680">
        <w:trPr>
          <w:trHeight w:val="600"/>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Limited rollover relief with subsequent exemption</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Means bright-line will not apply to close relatives of the deceased where they did not intend to acquire the property and only acquired due to inheritance. </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Relief is only available if the person is a close relative, relationship party or charity. </w:t>
            </w:r>
            <w:r w:rsidR="009D4A45" w:rsidRPr="00CD666F">
              <w:rPr>
                <w:rFonts w:ascii="Times New Roman" w:hAnsi="Times New Roman"/>
                <w:sz w:val="20"/>
                <w:lang w:val="en-NZ"/>
              </w:rPr>
              <w:t xml:space="preserve"> </w:t>
            </w:r>
            <w:r w:rsidRPr="00CD666F">
              <w:rPr>
                <w:rFonts w:ascii="Times New Roman" w:hAnsi="Times New Roman"/>
                <w:sz w:val="20"/>
                <w:lang w:val="en-NZ"/>
              </w:rPr>
              <w:t xml:space="preserve">Other persons </w:t>
            </w:r>
            <w:proofErr w:type="gramStart"/>
            <w:r w:rsidRPr="00CD666F">
              <w:rPr>
                <w:rFonts w:ascii="Times New Roman" w:hAnsi="Times New Roman"/>
                <w:sz w:val="20"/>
                <w:lang w:val="en-NZ"/>
              </w:rPr>
              <w:t>would be captured</w:t>
            </w:r>
            <w:proofErr w:type="gramEnd"/>
            <w:r w:rsidRPr="00CD666F">
              <w:rPr>
                <w:rFonts w:ascii="Times New Roman" w:hAnsi="Times New Roman"/>
                <w:sz w:val="20"/>
                <w:lang w:val="en-NZ"/>
              </w:rPr>
              <w:t xml:space="preserve"> even though they never intended to acquire the property.</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r w:rsidR="007E5680" w:rsidRPr="00CD666F" w:rsidTr="007E5680">
        <w:trPr>
          <w:trHeight w:val="2655"/>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Full rollover relief with subsequent exemption</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Bright-line would not apply in any circumstance where person acquired property due to an inheritance and never intended to acquire the property.</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More exceptions mean rules are more complex, and difficult to enforce.</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This option is more consistent with objective (b).</w:t>
            </w:r>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Although more exceptions make the rules more complex, we consider it is justified in circumstances where the person not only had no intention of resale, </w:t>
            </w:r>
            <w:proofErr w:type="gramStart"/>
            <w:r w:rsidRPr="00CD666F">
              <w:rPr>
                <w:rFonts w:ascii="Times New Roman" w:hAnsi="Times New Roman"/>
                <w:sz w:val="20"/>
                <w:lang w:val="en-NZ"/>
              </w:rPr>
              <w:t>but</w:t>
            </w:r>
            <w:proofErr w:type="gramEnd"/>
            <w:r w:rsidRPr="00CD666F">
              <w:rPr>
                <w:rFonts w:ascii="Times New Roman" w:hAnsi="Times New Roman"/>
                <w:sz w:val="20"/>
                <w:lang w:val="en-NZ"/>
              </w:rPr>
              <w:t xml:space="preserve"> had no intention to even acquire the property.</w:t>
            </w:r>
          </w:p>
        </w:tc>
      </w:tr>
    </w:tbl>
    <w:p w:rsidR="000B7E8A" w:rsidRPr="00CD666F" w:rsidRDefault="0027579E">
      <w:pPr>
        <w:spacing w:after="0" w:line="240" w:lineRule="auto"/>
        <w:rPr>
          <w:rFonts w:ascii="Times New Roman" w:hAnsi="Times New Roman"/>
          <w:b/>
          <w:i/>
          <w:sz w:val="24"/>
          <w:szCs w:val="24"/>
          <w:lang w:val="en-NZ"/>
        </w:rPr>
      </w:pPr>
      <w:r w:rsidRPr="00CD666F">
        <w:rPr>
          <w:rFonts w:ascii="Times New Roman" w:hAnsi="Times New Roman"/>
          <w:b/>
          <w:i/>
          <w:sz w:val="24"/>
          <w:szCs w:val="24"/>
          <w:lang w:val="en-NZ"/>
        </w:rPr>
        <w:t>Inherited property</w:t>
      </w:r>
    </w:p>
    <w:p w:rsidR="000B7E8A" w:rsidRPr="00CD666F" w:rsidRDefault="000B7E8A">
      <w:pPr>
        <w:spacing w:after="0" w:line="240" w:lineRule="auto"/>
        <w:rPr>
          <w:rFonts w:ascii="Times New Roman" w:hAnsi="Times New Roman"/>
          <w:sz w:val="24"/>
          <w:szCs w:val="24"/>
          <w:lang w:val="en-NZ"/>
        </w:rPr>
      </w:pPr>
    </w:p>
    <w:p w:rsidR="00E72A35" w:rsidRPr="00CD666F" w:rsidRDefault="00E72A35">
      <w:pPr>
        <w:spacing w:after="0" w:line="240" w:lineRule="auto"/>
        <w:rPr>
          <w:rFonts w:ascii="Times New Roman" w:hAnsi="Times New Roman"/>
          <w:sz w:val="24"/>
          <w:szCs w:val="24"/>
          <w:lang w:val="en-NZ"/>
        </w:rPr>
      </w:pPr>
    </w:p>
    <w:p w:rsidR="007E5680" w:rsidRPr="00CD666F" w:rsidRDefault="00E72A35">
      <w:pPr>
        <w:spacing w:after="0" w:line="240" w:lineRule="auto"/>
        <w:rPr>
          <w:rFonts w:ascii="Times New Roman" w:hAnsi="Times New Roman"/>
          <w:b/>
          <w:i/>
          <w:sz w:val="24"/>
          <w:szCs w:val="24"/>
          <w:lang w:val="en-NZ"/>
        </w:rPr>
      </w:pPr>
      <w:r w:rsidRPr="00CD666F">
        <w:rPr>
          <w:rFonts w:ascii="Times New Roman" w:hAnsi="Times New Roman"/>
          <w:b/>
          <w:i/>
          <w:sz w:val="24"/>
          <w:szCs w:val="24"/>
          <w:lang w:val="en-NZ"/>
        </w:rPr>
        <w:t>Relationship property</w:t>
      </w:r>
    </w:p>
    <w:tbl>
      <w:tblPr>
        <w:tblStyle w:val="TableGrid"/>
        <w:tblpPr w:leftFromText="180" w:rightFromText="180" w:vertAnchor="page" w:horzAnchor="margin" w:tblpY="11571"/>
        <w:tblW w:w="0" w:type="auto"/>
        <w:tblLook w:val="04A0" w:firstRow="1" w:lastRow="0" w:firstColumn="1" w:lastColumn="0" w:noHBand="0" w:noVBand="1"/>
      </w:tblPr>
      <w:tblGrid>
        <w:gridCol w:w="1384"/>
        <w:gridCol w:w="2634"/>
        <w:gridCol w:w="2634"/>
        <w:gridCol w:w="2635"/>
      </w:tblGrid>
      <w:tr w:rsidR="00F53A2C" w:rsidRPr="00CD666F" w:rsidTr="00EE0B53">
        <w:trPr>
          <w:trHeight w:val="808"/>
          <w:tblHeader/>
        </w:trPr>
        <w:tc>
          <w:tcPr>
            <w:tcW w:w="1384" w:type="dxa"/>
            <w:vAlign w:val="center"/>
          </w:tcPr>
          <w:p w:rsidR="00F53A2C" w:rsidRPr="00CD666F" w:rsidRDefault="00F53A2C" w:rsidP="00E72A35">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2634" w:type="dxa"/>
            <w:vAlign w:val="center"/>
          </w:tcPr>
          <w:p w:rsidR="00F53A2C" w:rsidRPr="00CD666F" w:rsidRDefault="00F53A2C" w:rsidP="00E72A35">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634" w:type="dxa"/>
            <w:vAlign w:val="center"/>
          </w:tcPr>
          <w:p w:rsidR="00F53A2C" w:rsidRPr="00CD666F" w:rsidRDefault="00F53A2C" w:rsidP="00E72A35">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F53A2C" w:rsidRPr="00CD666F" w:rsidRDefault="00F53A2C" w:rsidP="00E72A35">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F53A2C" w:rsidRPr="00CD666F" w:rsidTr="00EE0B53">
        <w:trPr>
          <w:trHeight w:val="195"/>
        </w:trPr>
        <w:tc>
          <w:tcPr>
            <w:tcW w:w="1384" w:type="dxa"/>
            <w:vAlign w:val="center"/>
          </w:tcPr>
          <w:p w:rsidR="00F53A2C" w:rsidRPr="00CD666F" w:rsidRDefault="00F53A2C"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No relief</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Fewer exceptions from bright-line mean rules are simpler to apply and enforce.</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Bright-line test could apply in circumstances where persons did not have an intention of resale and only acquired it due to a relationship break down.</w:t>
            </w:r>
          </w:p>
        </w:tc>
        <w:tc>
          <w:tcPr>
            <w:tcW w:w="2635" w:type="dxa"/>
          </w:tcPr>
          <w:p w:rsidR="00F53A2C" w:rsidRPr="00CD666F" w:rsidRDefault="00F53A2C" w:rsidP="0005132F">
            <w:pPr>
              <w:spacing w:after="0" w:line="240" w:lineRule="auto"/>
              <w:ind w:firstLine="13"/>
              <w:jc w:val="left"/>
              <w:rPr>
                <w:rFonts w:ascii="Times New Roman" w:hAnsi="Times New Roman"/>
                <w:sz w:val="20"/>
                <w:lang w:val="en-NZ"/>
              </w:rPr>
            </w:pPr>
            <w:r w:rsidRPr="00CD666F">
              <w:rPr>
                <w:rFonts w:ascii="Times New Roman" w:hAnsi="Times New Roman"/>
                <w:sz w:val="20"/>
                <w:lang w:val="en-NZ"/>
              </w:rPr>
              <w:t>Not recommended</w:t>
            </w:r>
          </w:p>
        </w:tc>
      </w:tr>
      <w:tr w:rsidR="00F53A2C" w:rsidRPr="00CD666F" w:rsidTr="00EE0B53">
        <w:trPr>
          <w:trHeight w:val="195"/>
        </w:trPr>
        <w:tc>
          <w:tcPr>
            <w:tcW w:w="1384" w:type="dxa"/>
            <w:vAlign w:val="center"/>
          </w:tcPr>
          <w:p w:rsidR="00F53A2C" w:rsidRPr="00CD666F" w:rsidRDefault="00F53A2C"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Limited rollover relief</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Aligned with current land sale rules</w:t>
            </w:r>
          </w:p>
          <w:p w:rsidR="00F53A2C" w:rsidRPr="00CD666F" w:rsidRDefault="00F53A2C" w:rsidP="0005132F">
            <w:pPr>
              <w:spacing w:after="0" w:line="240" w:lineRule="auto"/>
              <w:jc w:val="left"/>
              <w:rPr>
                <w:rFonts w:ascii="Times New Roman" w:hAnsi="Times New Roman"/>
                <w:sz w:val="20"/>
                <w:lang w:val="en-NZ"/>
              </w:rPr>
            </w:pPr>
          </w:p>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Provides partial relief for persons who did not have an intention of resale</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Bright-line test will apply in some circumstances where relationship partner only acquired property due to relationship breakdown and did not have an intention of resale.</w:t>
            </w:r>
          </w:p>
        </w:tc>
        <w:tc>
          <w:tcPr>
            <w:tcW w:w="2635"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F53A2C" w:rsidRPr="00CD666F" w:rsidRDefault="00F53A2C" w:rsidP="0005132F">
            <w:pPr>
              <w:spacing w:after="0" w:line="240" w:lineRule="auto"/>
              <w:jc w:val="left"/>
              <w:rPr>
                <w:rFonts w:ascii="Times New Roman" w:hAnsi="Times New Roman"/>
                <w:sz w:val="20"/>
                <w:lang w:val="en-NZ"/>
              </w:rPr>
            </w:pPr>
          </w:p>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The relief for relationship property is narrower than that for inheritance. </w:t>
            </w:r>
          </w:p>
          <w:p w:rsidR="00F53A2C" w:rsidRPr="00CD666F" w:rsidRDefault="00F53A2C" w:rsidP="0005132F">
            <w:pPr>
              <w:spacing w:after="0" w:line="240" w:lineRule="auto"/>
              <w:jc w:val="left"/>
              <w:rPr>
                <w:rFonts w:ascii="Times New Roman" w:hAnsi="Times New Roman"/>
                <w:sz w:val="20"/>
                <w:lang w:val="en-NZ"/>
              </w:rPr>
            </w:pPr>
          </w:p>
          <w:p w:rsidR="00F53A2C" w:rsidRPr="00CD666F" w:rsidRDefault="00F53A2C" w:rsidP="0005132F">
            <w:pPr>
              <w:spacing w:after="0" w:line="240" w:lineRule="auto"/>
              <w:jc w:val="left"/>
              <w:rPr>
                <w:rFonts w:ascii="Times New Roman" w:hAnsi="Times New Roman"/>
                <w:sz w:val="20"/>
                <w:lang w:val="en-NZ"/>
              </w:rPr>
            </w:pPr>
            <w:proofErr w:type="gramStart"/>
            <w:r w:rsidRPr="00CD666F">
              <w:rPr>
                <w:rFonts w:ascii="Times New Roman" w:hAnsi="Times New Roman"/>
                <w:sz w:val="20"/>
                <w:lang w:val="en-NZ"/>
              </w:rPr>
              <w:t>However</w:t>
            </w:r>
            <w:proofErr w:type="gramEnd"/>
            <w:r w:rsidRPr="00CD666F">
              <w:rPr>
                <w:rFonts w:ascii="Times New Roman" w:hAnsi="Times New Roman"/>
                <w:sz w:val="20"/>
                <w:lang w:val="en-NZ"/>
              </w:rPr>
              <w:t xml:space="preserve"> for a relationship property settlement the parties have more choice about whether they receive the property. In addition the property was likely to have been obtained during the relationship so they will likely have intended to acquire the property</w:t>
            </w:r>
          </w:p>
        </w:tc>
      </w:tr>
      <w:tr w:rsidR="00F53A2C" w:rsidRPr="00CD666F" w:rsidTr="00EE0B53">
        <w:trPr>
          <w:trHeight w:val="105"/>
        </w:trPr>
        <w:tc>
          <w:tcPr>
            <w:tcW w:w="1384" w:type="dxa"/>
            <w:vAlign w:val="center"/>
          </w:tcPr>
          <w:p w:rsidR="00F53A2C" w:rsidRPr="00CD666F" w:rsidRDefault="00F53A2C"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Full rollover relief with subsequent exemption</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Bright-line test would not apply in circumstance where person only acquired property due to a relationship breakdown and did not have an intention of resale</w:t>
            </w:r>
          </w:p>
        </w:tc>
        <w:tc>
          <w:tcPr>
            <w:tcW w:w="2634"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More exceptions mean rules are more complex, and difficult to enforce.</w:t>
            </w:r>
          </w:p>
        </w:tc>
        <w:tc>
          <w:tcPr>
            <w:tcW w:w="2635" w:type="dxa"/>
          </w:tcPr>
          <w:p w:rsidR="00F53A2C" w:rsidRPr="00CD666F" w:rsidRDefault="00F53A2C"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tc>
      </w:tr>
    </w:tbl>
    <w:p w:rsidR="00C050FF" w:rsidRPr="00CD666F" w:rsidRDefault="00C050FF">
      <w:pPr>
        <w:spacing w:after="0" w:line="240" w:lineRule="auto"/>
        <w:rPr>
          <w:rFonts w:ascii="Times New Roman" w:hAnsi="Times New Roman"/>
          <w:sz w:val="24"/>
          <w:szCs w:val="24"/>
          <w:lang w:val="en-NZ"/>
        </w:rPr>
      </w:pPr>
    </w:p>
    <w:p w:rsidR="00C050FF" w:rsidRPr="00CD666F" w:rsidRDefault="00C050FF">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Losses</w:t>
      </w:r>
    </w:p>
    <w:p w:rsidR="00C050FF" w:rsidRPr="00CD666F" w:rsidRDefault="00C050FF">
      <w:pPr>
        <w:spacing w:after="0" w:line="240" w:lineRule="auto"/>
        <w:rPr>
          <w:rFonts w:ascii="Times New Roman" w:hAnsi="Times New Roman"/>
          <w:sz w:val="24"/>
          <w:szCs w:val="24"/>
          <w:lang w:val="en-NZ"/>
        </w:rPr>
      </w:pPr>
    </w:p>
    <w:p w:rsidR="00BD4CB1" w:rsidRPr="00CD666F" w:rsidRDefault="00C050FF" w:rsidP="007E5680">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bright-line test creates a particular revenue risk</w:t>
      </w:r>
      <w:r w:rsidR="006D053F" w:rsidRPr="00CD666F">
        <w:rPr>
          <w:rFonts w:ascii="Times New Roman" w:hAnsi="Times New Roman"/>
          <w:sz w:val="24"/>
          <w:szCs w:val="24"/>
          <w:lang w:val="en-NZ"/>
        </w:rPr>
        <w:t xml:space="preserve">. </w:t>
      </w:r>
      <w:r w:rsidR="009D4A45" w:rsidRPr="00CD666F">
        <w:rPr>
          <w:rFonts w:ascii="Times New Roman" w:hAnsi="Times New Roman"/>
          <w:sz w:val="24"/>
          <w:szCs w:val="24"/>
          <w:lang w:val="en-NZ"/>
        </w:rPr>
        <w:t xml:space="preserve"> </w:t>
      </w:r>
      <w:r w:rsidR="006D053F" w:rsidRPr="00CD666F">
        <w:rPr>
          <w:rFonts w:ascii="Times New Roman" w:hAnsi="Times New Roman"/>
          <w:sz w:val="24"/>
          <w:szCs w:val="24"/>
          <w:lang w:val="en-NZ"/>
        </w:rPr>
        <w:t xml:space="preserve">People can ensure that their </w:t>
      </w:r>
      <w:r w:rsidR="00A1430D" w:rsidRPr="00CD666F">
        <w:rPr>
          <w:rFonts w:ascii="Times New Roman" w:hAnsi="Times New Roman"/>
          <w:sz w:val="24"/>
          <w:szCs w:val="24"/>
          <w:lang w:val="en-NZ"/>
        </w:rPr>
        <w:t>losses are realised while any gains are</w:t>
      </w:r>
      <w:r w:rsidRPr="00CD666F">
        <w:rPr>
          <w:rFonts w:ascii="Times New Roman" w:hAnsi="Times New Roman"/>
          <w:sz w:val="24"/>
          <w:szCs w:val="24"/>
          <w:lang w:val="en-NZ"/>
        </w:rPr>
        <w:t>.</w:t>
      </w:r>
      <w:r w:rsidR="009D4A45"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The analysis below considers the most appropriate treatment of losses under the br</w:t>
      </w:r>
      <w:r w:rsidR="000B7E8A" w:rsidRPr="00CD666F">
        <w:rPr>
          <w:rFonts w:ascii="Times New Roman" w:hAnsi="Times New Roman"/>
          <w:sz w:val="24"/>
          <w:szCs w:val="24"/>
          <w:lang w:val="en-NZ"/>
        </w:rPr>
        <w:t>ight-line</w:t>
      </w:r>
      <w:r w:rsidR="0015303E" w:rsidRPr="00CD666F">
        <w:rPr>
          <w:rFonts w:ascii="Times New Roman" w:hAnsi="Times New Roman"/>
          <w:sz w:val="24"/>
          <w:szCs w:val="24"/>
          <w:lang w:val="en-NZ"/>
        </w:rPr>
        <w:t xml:space="preserve"> test</w:t>
      </w:r>
      <w:r w:rsidR="000B7E8A" w:rsidRPr="00CD666F">
        <w:rPr>
          <w:rFonts w:ascii="Times New Roman" w:hAnsi="Times New Roman"/>
          <w:sz w:val="24"/>
          <w:szCs w:val="24"/>
          <w:lang w:val="en-NZ"/>
        </w:rPr>
        <w:t xml:space="preserve"> to address this risk.</w:t>
      </w:r>
    </w:p>
    <w:p w:rsidR="00C050FF" w:rsidRPr="00CD666F" w:rsidRDefault="00C050FF">
      <w:pPr>
        <w:spacing w:after="0" w:line="240" w:lineRule="auto"/>
        <w:rPr>
          <w:rFonts w:ascii="Times New Roman" w:hAnsi="Times New Roman"/>
          <w:sz w:val="24"/>
          <w:szCs w:val="24"/>
          <w:lang w:val="en-NZ"/>
        </w:rPr>
      </w:pPr>
    </w:p>
    <w:tbl>
      <w:tblPr>
        <w:tblStyle w:val="TableGrid"/>
        <w:tblpPr w:leftFromText="180" w:rightFromText="180" w:vertAnchor="page" w:horzAnchor="margin" w:tblpY="6280"/>
        <w:tblW w:w="0" w:type="auto"/>
        <w:tblLook w:val="04A0" w:firstRow="1" w:lastRow="0" w:firstColumn="1" w:lastColumn="0" w:noHBand="0" w:noVBand="1"/>
      </w:tblPr>
      <w:tblGrid>
        <w:gridCol w:w="1384"/>
        <w:gridCol w:w="2634"/>
        <w:gridCol w:w="2634"/>
        <w:gridCol w:w="2635"/>
      </w:tblGrid>
      <w:tr w:rsidR="007E5680" w:rsidRPr="00CD666F" w:rsidTr="007E5680">
        <w:trPr>
          <w:trHeight w:val="817"/>
          <w:tblHeader/>
        </w:trPr>
        <w:tc>
          <w:tcPr>
            <w:tcW w:w="1384" w:type="dxa"/>
            <w:vAlign w:val="center"/>
          </w:tcPr>
          <w:p w:rsidR="007E5680" w:rsidRPr="00CD666F" w:rsidRDefault="007E5680" w:rsidP="007E5680">
            <w:pPr>
              <w:spacing w:after="0" w:line="240" w:lineRule="auto"/>
              <w:jc w:val="center"/>
              <w:rPr>
                <w:rFonts w:ascii="Times New Roman" w:hAnsi="Times New Roman"/>
                <w:b/>
                <w:sz w:val="20"/>
                <w:lang w:val="en-NZ"/>
              </w:rPr>
            </w:pPr>
            <w:bookmarkStart w:id="22" w:name="_Toc244580366"/>
            <w:bookmarkStart w:id="23" w:name="_Toc244587042"/>
            <w:bookmarkStart w:id="24" w:name="_Toc244857276"/>
            <w:bookmarkStart w:id="25" w:name="_Toc244912541"/>
            <w:bookmarkStart w:id="26" w:name="_Toc244916998"/>
            <w:r w:rsidRPr="00CD666F">
              <w:rPr>
                <w:rFonts w:ascii="Times New Roman" w:hAnsi="Times New Roman"/>
                <w:b/>
                <w:sz w:val="20"/>
                <w:lang w:val="en-NZ"/>
              </w:rPr>
              <w:t>Options</w:t>
            </w:r>
          </w:p>
        </w:tc>
        <w:tc>
          <w:tcPr>
            <w:tcW w:w="2634"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634"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7E5680" w:rsidRPr="00CD666F" w:rsidRDefault="007E5680" w:rsidP="007E5680">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7E5680" w:rsidRPr="00CD666F" w:rsidTr="007E5680">
        <w:trPr>
          <w:trHeight w:val="106"/>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Fully allow losses</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No economic distortions</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Significant revenue risk as people will accelerate unrealised lo</w:t>
            </w:r>
            <w:r w:rsidR="009D4A45" w:rsidRPr="00CD666F">
              <w:rPr>
                <w:rFonts w:ascii="Times New Roman" w:hAnsi="Times New Roman"/>
                <w:sz w:val="20"/>
                <w:lang w:val="en-NZ"/>
              </w:rPr>
              <w:t>sses and defer unrealised gains</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Revenue risk significant</w:t>
            </w:r>
          </w:p>
        </w:tc>
      </w:tr>
      <w:tr w:rsidR="007E5680" w:rsidRPr="00CD666F" w:rsidTr="007E5680">
        <w:trPr>
          <w:trHeight w:val="106"/>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Ring-fence losses</w:t>
            </w:r>
            <w:r w:rsidR="00A140B1" w:rsidRPr="00CD666F">
              <w:rPr>
                <w:rFonts w:ascii="Times New Roman" w:hAnsi="Times New Roman"/>
                <w:b/>
                <w:i/>
                <w:sz w:val="20"/>
                <w:lang w:val="en-NZ"/>
              </w:rPr>
              <w:t xml:space="preserve"> arising solely under the bright-line test</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Reduces revenue risk</w:t>
            </w:r>
          </w:p>
          <w:p w:rsidR="00A140B1" w:rsidRPr="00CD666F" w:rsidRDefault="00A140B1" w:rsidP="0005132F">
            <w:pPr>
              <w:spacing w:after="0" w:line="240" w:lineRule="auto"/>
              <w:jc w:val="left"/>
              <w:rPr>
                <w:rFonts w:ascii="Times New Roman" w:hAnsi="Times New Roman"/>
                <w:sz w:val="20"/>
                <w:lang w:val="en-NZ"/>
              </w:rPr>
            </w:pPr>
          </w:p>
          <w:p w:rsidR="00A140B1" w:rsidRPr="00CD666F" w:rsidRDefault="00A140B1" w:rsidP="00A140B1">
            <w:pPr>
              <w:spacing w:after="0" w:line="240" w:lineRule="auto"/>
              <w:jc w:val="left"/>
              <w:rPr>
                <w:rFonts w:ascii="Times New Roman" w:hAnsi="Times New Roman"/>
                <w:sz w:val="20"/>
                <w:lang w:val="en-NZ"/>
              </w:rPr>
            </w:pPr>
            <w:r w:rsidRPr="00CD666F">
              <w:rPr>
                <w:rFonts w:ascii="Times New Roman" w:hAnsi="Times New Roman"/>
                <w:sz w:val="20"/>
                <w:lang w:val="en-NZ"/>
              </w:rPr>
              <w:t xml:space="preserve">Note that </w:t>
            </w:r>
            <w:r w:rsidRPr="00CD666F">
              <w:rPr>
                <w:lang w:val="en-NZ"/>
              </w:rPr>
              <w:t>l</w:t>
            </w:r>
            <w:r w:rsidRPr="00CD666F">
              <w:rPr>
                <w:rFonts w:ascii="Times New Roman" w:hAnsi="Times New Roman"/>
                <w:sz w:val="20"/>
                <w:lang w:val="en-NZ"/>
              </w:rPr>
              <w:t>osses from property sales that are also taxable under the current land sale rules (</w:t>
            </w:r>
            <w:proofErr w:type="spellStart"/>
            <w:r w:rsidRPr="00CD666F">
              <w:rPr>
                <w:rFonts w:ascii="Times New Roman" w:hAnsi="Times New Roman"/>
                <w:sz w:val="20"/>
                <w:lang w:val="en-NZ"/>
              </w:rPr>
              <w:t>ie</w:t>
            </w:r>
            <w:proofErr w:type="spellEnd"/>
            <w:r w:rsidRPr="00CD666F">
              <w:rPr>
                <w:rFonts w:ascii="Times New Roman" w:hAnsi="Times New Roman"/>
                <w:sz w:val="20"/>
                <w:lang w:val="en-NZ"/>
              </w:rPr>
              <w:t>, that are not solely taxable under the bright-line test) will not be ring-fenced, thereby mitigating any distortions.</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 xml:space="preserve">Creates an economic distortion where people without </w:t>
            </w:r>
            <w:proofErr w:type="spellStart"/>
            <w:r w:rsidRPr="00CD666F">
              <w:rPr>
                <w:rFonts w:ascii="Times New Roman" w:hAnsi="Times New Roman"/>
                <w:sz w:val="20"/>
                <w:lang w:val="en-NZ"/>
              </w:rPr>
              <w:t>offsetable</w:t>
            </w:r>
            <w:proofErr w:type="spellEnd"/>
            <w:r w:rsidRPr="00CD666F">
              <w:rPr>
                <w:rFonts w:ascii="Times New Roman" w:hAnsi="Times New Roman"/>
                <w:sz w:val="20"/>
                <w:lang w:val="en-NZ"/>
              </w:rPr>
              <w:t xml:space="preserve"> gains will under-value risky investments</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Revenue risk mitigated</w:t>
            </w:r>
          </w:p>
        </w:tc>
      </w:tr>
      <w:tr w:rsidR="007E5680" w:rsidRPr="00CD666F" w:rsidTr="007E5680">
        <w:trPr>
          <w:trHeight w:val="106"/>
        </w:trPr>
        <w:tc>
          <w:tcPr>
            <w:tcW w:w="1384" w:type="dxa"/>
            <w:vAlign w:val="center"/>
          </w:tcPr>
          <w:p w:rsidR="007E5680" w:rsidRPr="00CD666F" w:rsidRDefault="007E5680"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Revenue account declaration</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Reduces revenue risk</w:t>
            </w:r>
          </w:p>
        </w:tc>
        <w:tc>
          <w:tcPr>
            <w:tcW w:w="2634"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Creates potentially unfair asymmetry – taxpayers have to declare intention of resale for loss, but gains are taxed regardless of declaration</w:t>
            </w:r>
          </w:p>
          <w:p w:rsidR="005223FA" w:rsidRPr="00CD666F" w:rsidRDefault="005223FA" w:rsidP="0005132F">
            <w:pPr>
              <w:spacing w:after="0" w:line="240" w:lineRule="auto"/>
              <w:jc w:val="left"/>
              <w:rPr>
                <w:rFonts w:ascii="Times New Roman" w:hAnsi="Times New Roman"/>
                <w:sz w:val="20"/>
                <w:lang w:val="en-NZ"/>
              </w:rPr>
            </w:pPr>
          </w:p>
          <w:p w:rsidR="007E5680" w:rsidRPr="00CD666F" w:rsidRDefault="005223FA" w:rsidP="005223FA">
            <w:pPr>
              <w:spacing w:after="0" w:line="240" w:lineRule="auto"/>
              <w:jc w:val="left"/>
              <w:rPr>
                <w:rFonts w:ascii="Times New Roman" w:hAnsi="Times New Roman"/>
                <w:sz w:val="20"/>
                <w:lang w:val="en-NZ"/>
              </w:rPr>
            </w:pPr>
            <w:r w:rsidRPr="00CD666F">
              <w:rPr>
                <w:rFonts w:ascii="Times New Roman" w:hAnsi="Times New Roman"/>
                <w:sz w:val="20"/>
                <w:lang w:val="en-NZ"/>
              </w:rPr>
              <w:t>Would complicate the tax system</w:t>
            </w:r>
          </w:p>
        </w:tc>
        <w:tc>
          <w:tcPr>
            <w:tcW w:w="2635" w:type="dxa"/>
          </w:tcPr>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p w:rsidR="007E5680" w:rsidRPr="00CD666F" w:rsidRDefault="007E5680" w:rsidP="0005132F">
            <w:pPr>
              <w:spacing w:after="0" w:line="240" w:lineRule="auto"/>
              <w:jc w:val="left"/>
              <w:rPr>
                <w:rFonts w:ascii="Times New Roman" w:hAnsi="Times New Roman"/>
                <w:sz w:val="20"/>
                <w:lang w:val="en-NZ"/>
              </w:rPr>
            </w:pPr>
          </w:p>
          <w:p w:rsidR="007E5680" w:rsidRPr="00CD666F" w:rsidRDefault="007E5680" w:rsidP="0005132F">
            <w:pPr>
              <w:spacing w:after="0" w:line="240" w:lineRule="auto"/>
              <w:jc w:val="left"/>
              <w:rPr>
                <w:rFonts w:ascii="Times New Roman" w:hAnsi="Times New Roman"/>
                <w:sz w:val="20"/>
                <w:lang w:val="en-NZ"/>
              </w:rPr>
            </w:pPr>
            <w:r w:rsidRPr="00CD666F">
              <w:rPr>
                <w:rFonts w:ascii="Times New Roman" w:hAnsi="Times New Roman"/>
                <w:sz w:val="20"/>
                <w:lang w:val="en-NZ"/>
              </w:rPr>
              <w:t>Revenue risk is better addressed with ring-fencing as this creates less asymmetry and potential unfairness</w:t>
            </w:r>
          </w:p>
        </w:tc>
      </w:tr>
    </w:tbl>
    <w:p w:rsidR="00367941" w:rsidRPr="00CD666F" w:rsidRDefault="00367941" w:rsidP="00BD4CB1">
      <w:pPr>
        <w:spacing w:after="0" w:line="240" w:lineRule="auto"/>
        <w:rPr>
          <w:rFonts w:ascii="Times New Roman" w:hAnsi="Times New Roman"/>
          <w:sz w:val="24"/>
          <w:szCs w:val="24"/>
          <w:lang w:val="en-NZ"/>
        </w:rPr>
      </w:pPr>
    </w:p>
    <w:p w:rsidR="00BD4CB1" w:rsidRPr="00CD666F" w:rsidRDefault="00BD4CB1" w:rsidP="00BD4CB1">
      <w:pPr>
        <w:spacing w:after="0" w:line="240" w:lineRule="auto"/>
        <w:rPr>
          <w:rFonts w:ascii="Times New Roman" w:hAnsi="Times New Roman"/>
          <w:b/>
          <w:sz w:val="24"/>
          <w:szCs w:val="24"/>
          <w:lang w:val="en-NZ"/>
        </w:rPr>
      </w:pPr>
      <w:r w:rsidRPr="00CD666F">
        <w:rPr>
          <w:rFonts w:ascii="Times New Roman" w:hAnsi="Times New Roman"/>
          <w:b/>
          <w:sz w:val="24"/>
          <w:szCs w:val="24"/>
          <w:lang w:val="en-NZ"/>
        </w:rPr>
        <w:t>Land-rich companies and trusts</w:t>
      </w:r>
    </w:p>
    <w:p w:rsidR="00BD4CB1" w:rsidRPr="00CD666F" w:rsidRDefault="00BD4CB1" w:rsidP="00BD4CB1">
      <w:pPr>
        <w:spacing w:after="0" w:line="240" w:lineRule="auto"/>
        <w:rPr>
          <w:rFonts w:ascii="Times New Roman" w:hAnsi="Times New Roman"/>
          <w:sz w:val="24"/>
          <w:szCs w:val="24"/>
          <w:lang w:val="en-NZ"/>
        </w:rPr>
      </w:pPr>
    </w:p>
    <w:p w:rsidR="00DB7FE6" w:rsidRPr="00CD666F" w:rsidRDefault="00BD4CB1" w:rsidP="00DB7FE6">
      <w:pPr>
        <w:pStyle w:val="CommentText"/>
        <w:numPr>
          <w:ilvl w:val="0"/>
          <w:numId w:val="2"/>
        </w:numPr>
        <w:tabs>
          <w:tab w:val="clear" w:pos="720"/>
        </w:tabs>
        <w:spacing w:after="0" w:line="240" w:lineRule="auto"/>
        <w:ind w:left="0" w:firstLine="0"/>
        <w:rPr>
          <w:rFonts w:ascii="Times New Roman" w:hAnsi="Times New Roman"/>
          <w:b/>
          <w:sz w:val="24"/>
          <w:szCs w:val="24"/>
          <w:lang w:val="en-NZ"/>
        </w:rPr>
      </w:pPr>
      <w:r w:rsidRPr="00CD666F">
        <w:rPr>
          <w:rFonts w:ascii="Times New Roman" w:hAnsi="Times New Roman"/>
          <w:sz w:val="24"/>
          <w:szCs w:val="24"/>
          <w:lang w:val="en-NZ"/>
        </w:rPr>
        <w:t xml:space="preserve">The current land sale rules </w:t>
      </w:r>
      <w:proofErr w:type="gramStart"/>
      <w:r w:rsidRPr="00CD666F">
        <w:rPr>
          <w:rFonts w:ascii="Times New Roman" w:hAnsi="Times New Roman"/>
          <w:sz w:val="24"/>
          <w:szCs w:val="24"/>
          <w:lang w:val="en-NZ"/>
        </w:rPr>
        <w:t>can be avoided</w:t>
      </w:r>
      <w:proofErr w:type="gramEnd"/>
      <w:r w:rsidRPr="00CD666F">
        <w:rPr>
          <w:rFonts w:ascii="Times New Roman" w:hAnsi="Times New Roman"/>
          <w:sz w:val="24"/>
          <w:szCs w:val="24"/>
          <w:lang w:val="en-NZ"/>
        </w:rPr>
        <w:t xml:space="preserve"> through holding property in a company or trust and transferring control of the company or trust rather than selling the land itself. </w:t>
      </w:r>
      <w:r w:rsidR="009D4A45"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The analysis below considers how best to address people avoiding the bright-line test </w:t>
      </w:r>
      <w:proofErr w:type="gramStart"/>
      <w:r w:rsidRPr="00CD666F">
        <w:rPr>
          <w:rFonts w:ascii="Times New Roman" w:hAnsi="Times New Roman"/>
          <w:sz w:val="24"/>
          <w:szCs w:val="24"/>
          <w:lang w:val="en-NZ"/>
        </w:rPr>
        <w:t>through the use of</w:t>
      </w:r>
      <w:proofErr w:type="gramEnd"/>
      <w:r w:rsidRPr="00CD666F">
        <w:rPr>
          <w:rFonts w:ascii="Times New Roman" w:hAnsi="Times New Roman"/>
          <w:sz w:val="24"/>
          <w:szCs w:val="24"/>
          <w:lang w:val="en-NZ"/>
        </w:rPr>
        <w:t xml:space="preserve"> land-rich companies and trusts.</w:t>
      </w:r>
    </w:p>
    <w:p w:rsidR="00DB7FE6" w:rsidRPr="00CD666F" w:rsidRDefault="00DB7FE6" w:rsidP="00DB7FE6">
      <w:pPr>
        <w:pStyle w:val="CommentText"/>
        <w:spacing w:after="0" w:line="240" w:lineRule="auto"/>
        <w:rPr>
          <w:rFonts w:ascii="Times New Roman" w:hAnsi="Times New Roman"/>
          <w:sz w:val="24"/>
          <w:szCs w:val="24"/>
          <w:lang w:val="en-NZ"/>
        </w:rPr>
      </w:pPr>
    </w:p>
    <w:p w:rsidR="00DB7FE6" w:rsidRPr="00CD666F" w:rsidRDefault="00DB7FE6">
      <w:pPr>
        <w:spacing w:after="0" w:line="240" w:lineRule="auto"/>
        <w:rPr>
          <w:rFonts w:ascii="Times New Roman" w:hAnsi="Times New Roman"/>
          <w:sz w:val="24"/>
          <w:szCs w:val="24"/>
          <w:lang w:val="en-NZ"/>
        </w:rPr>
      </w:pPr>
      <w:r w:rsidRPr="00CD666F">
        <w:rPr>
          <w:rFonts w:ascii="Times New Roman" w:hAnsi="Times New Roman"/>
          <w:sz w:val="24"/>
          <w:szCs w:val="24"/>
          <w:lang w:val="en-NZ"/>
        </w:rPr>
        <w:br w:type="page"/>
      </w:r>
    </w:p>
    <w:p w:rsidR="00DB7FE6" w:rsidRPr="00CD666F" w:rsidRDefault="00DB7FE6" w:rsidP="00DB7FE6">
      <w:pPr>
        <w:pStyle w:val="CommentText"/>
        <w:spacing w:after="0" w:line="240" w:lineRule="auto"/>
        <w:rPr>
          <w:rFonts w:ascii="Times New Roman" w:hAnsi="Times New Roman"/>
          <w:sz w:val="24"/>
          <w:szCs w:val="24"/>
          <w:lang w:val="en-NZ"/>
        </w:rPr>
      </w:pPr>
    </w:p>
    <w:p w:rsidR="00034D23" w:rsidRPr="00CD666F" w:rsidRDefault="00034D23" w:rsidP="00DB7FE6">
      <w:pPr>
        <w:pStyle w:val="CommentText"/>
        <w:spacing w:after="0" w:line="240" w:lineRule="auto"/>
        <w:rPr>
          <w:rFonts w:ascii="Times New Roman" w:hAnsi="Times New Roman"/>
          <w:sz w:val="24"/>
          <w:szCs w:val="24"/>
          <w:lang w:val="en-NZ"/>
        </w:rPr>
      </w:pPr>
    </w:p>
    <w:tbl>
      <w:tblPr>
        <w:tblStyle w:val="TableGrid"/>
        <w:tblpPr w:leftFromText="180" w:rightFromText="180" w:vertAnchor="page" w:horzAnchor="margin" w:tblpY="972"/>
        <w:tblW w:w="0" w:type="auto"/>
        <w:tblLayout w:type="fixed"/>
        <w:tblLook w:val="04A0" w:firstRow="1" w:lastRow="0" w:firstColumn="1" w:lastColumn="0" w:noHBand="0" w:noVBand="1"/>
      </w:tblPr>
      <w:tblGrid>
        <w:gridCol w:w="1384"/>
        <w:gridCol w:w="2693"/>
        <w:gridCol w:w="2575"/>
        <w:gridCol w:w="2635"/>
      </w:tblGrid>
      <w:tr w:rsidR="00DB7FE6" w:rsidRPr="00CD666F" w:rsidTr="00DB7FE6">
        <w:trPr>
          <w:trHeight w:val="806"/>
          <w:tblHeader/>
        </w:trPr>
        <w:tc>
          <w:tcPr>
            <w:tcW w:w="1384" w:type="dxa"/>
            <w:vAlign w:val="center"/>
          </w:tcPr>
          <w:p w:rsidR="00DB7FE6" w:rsidRPr="00CD666F" w:rsidRDefault="00DB7FE6" w:rsidP="00DB7FE6">
            <w:pPr>
              <w:spacing w:after="0" w:line="240" w:lineRule="auto"/>
              <w:jc w:val="center"/>
              <w:rPr>
                <w:rFonts w:ascii="Times New Roman" w:hAnsi="Times New Roman"/>
                <w:b/>
                <w:sz w:val="20"/>
                <w:lang w:val="en-NZ"/>
              </w:rPr>
            </w:pPr>
            <w:r w:rsidRPr="00CD666F">
              <w:rPr>
                <w:rFonts w:ascii="Times New Roman" w:hAnsi="Times New Roman"/>
                <w:b/>
                <w:sz w:val="20"/>
                <w:lang w:val="en-NZ"/>
              </w:rPr>
              <w:t>Options</w:t>
            </w:r>
          </w:p>
        </w:tc>
        <w:tc>
          <w:tcPr>
            <w:tcW w:w="2693" w:type="dxa"/>
            <w:vAlign w:val="center"/>
          </w:tcPr>
          <w:p w:rsidR="00DB7FE6" w:rsidRPr="00CD666F" w:rsidRDefault="00DB7FE6" w:rsidP="00DB7FE6">
            <w:pPr>
              <w:spacing w:after="0" w:line="240" w:lineRule="auto"/>
              <w:jc w:val="center"/>
              <w:rPr>
                <w:rFonts w:ascii="Times New Roman" w:hAnsi="Times New Roman"/>
                <w:b/>
                <w:sz w:val="20"/>
                <w:lang w:val="en-NZ"/>
              </w:rPr>
            </w:pPr>
            <w:r w:rsidRPr="00CD666F">
              <w:rPr>
                <w:rFonts w:ascii="Times New Roman" w:hAnsi="Times New Roman"/>
                <w:b/>
                <w:sz w:val="20"/>
                <w:lang w:val="en-NZ"/>
              </w:rPr>
              <w:t>Advantages</w:t>
            </w:r>
          </w:p>
        </w:tc>
        <w:tc>
          <w:tcPr>
            <w:tcW w:w="2575" w:type="dxa"/>
            <w:vAlign w:val="center"/>
          </w:tcPr>
          <w:p w:rsidR="00DB7FE6" w:rsidRPr="00CD666F" w:rsidRDefault="00DB7FE6" w:rsidP="00DB7FE6">
            <w:pPr>
              <w:spacing w:after="0" w:line="240" w:lineRule="auto"/>
              <w:jc w:val="center"/>
              <w:rPr>
                <w:rFonts w:ascii="Times New Roman" w:hAnsi="Times New Roman"/>
                <w:b/>
                <w:sz w:val="20"/>
                <w:lang w:val="en-NZ"/>
              </w:rPr>
            </w:pPr>
            <w:r w:rsidRPr="00CD666F">
              <w:rPr>
                <w:rFonts w:ascii="Times New Roman" w:hAnsi="Times New Roman"/>
                <w:b/>
                <w:sz w:val="20"/>
                <w:lang w:val="en-NZ"/>
              </w:rPr>
              <w:t>Disadvantages</w:t>
            </w:r>
          </w:p>
        </w:tc>
        <w:tc>
          <w:tcPr>
            <w:tcW w:w="2635" w:type="dxa"/>
            <w:vAlign w:val="center"/>
          </w:tcPr>
          <w:p w:rsidR="00DB7FE6" w:rsidRPr="00CD666F" w:rsidRDefault="00DB7FE6" w:rsidP="00DB7FE6">
            <w:pPr>
              <w:spacing w:after="0" w:line="240" w:lineRule="auto"/>
              <w:jc w:val="center"/>
              <w:rPr>
                <w:rFonts w:ascii="Times New Roman" w:hAnsi="Times New Roman"/>
                <w:b/>
                <w:sz w:val="20"/>
                <w:lang w:val="en-NZ"/>
              </w:rPr>
            </w:pPr>
            <w:r w:rsidRPr="00CD666F">
              <w:rPr>
                <w:rFonts w:ascii="Times New Roman" w:hAnsi="Times New Roman"/>
                <w:b/>
                <w:sz w:val="20"/>
                <w:lang w:val="en-NZ"/>
              </w:rPr>
              <w:t>Recommendations</w:t>
            </w:r>
          </w:p>
        </w:tc>
      </w:tr>
      <w:tr w:rsidR="00DB7FE6" w:rsidRPr="00CD666F" w:rsidTr="00DB7FE6">
        <w:trPr>
          <w:trHeight w:val="104"/>
        </w:trPr>
        <w:tc>
          <w:tcPr>
            <w:tcW w:w="1384" w:type="dxa"/>
            <w:vAlign w:val="center"/>
          </w:tcPr>
          <w:p w:rsidR="00DB7FE6" w:rsidRPr="00CD666F" w:rsidRDefault="00DB7FE6" w:rsidP="009D4A45">
            <w:pPr>
              <w:spacing w:after="0" w:line="240" w:lineRule="auto"/>
              <w:jc w:val="left"/>
              <w:rPr>
                <w:rFonts w:ascii="Times New Roman" w:hAnsi="Times New Roman"/>
                <w:b/>
                <w:i/>
                <w:sz w:val="20"/>
                <w:lang w:val="en-NZ"/>
              </w:rPr>
            </w:pPr>
            <w:proofErr w:type="spellStart"/>
            <w:r w:rsidRPr="00CD666F">
              <w:rPr>
                <w:rFonts w:ascii="Times New Roman" w:hAnsi="Times New Roman"/>
                <w:b/>
                <w:i/>
                <w:sz w:val="20"/>
                <w:lang w:val="en-NZ"/>
              </w:rPr>
              <w:t>Comprehensi</w:t>
            </w:r>
            <w:r w:rsidR="009D4A45" w:rsidRPr="00CD666F">
              <w:rPr>
                <w:rFonts w:ascii="Times New Roman" w:hAnsi="Times New Roman"/>
                <w:b/>
                <w:i/>
                <w:sz w:val="20"/>
                <w:lang w:val="en-NZ"/>
              </w:rPr>
              <w:t>-</w:t>
            </w:r>
            <w:r w:rsidRPr="00CD666F">
              <w:rPr>
                <w:rFonts w:ascii="Times New Roman" w:hAnsi="Times New Roman"/>
                <w:b/>
                <w:i/>
                <w:sz w:val="20"/>
                <w:lang w:val="en-NZ"/>
              </w:rPr>
              <w:t>ve</w:t>
            </w:r>
            <w:proofErr w:type="spellEnd"/>
            <w:r w:rsidRPr="00CD666F">
              <w:rPr>
                <w:rFonts w:ascii="Times New Roman" w:hAnsi="Times New Roman"/>
                <w:b/>
                <w:i/>
                <w:sz w:val="20"/>
                <w:lang w:val="en-NZ"/>
              </w:rPr>
              <w:t xml:space="preserve"> rule</w:t>
            </w:r>
          </w:p>
        </w:tc>
        <w:tc>
          <w:tcPr>
            <w:tcW w:w="2693" w:type="dxa"/>
          </w:tcPr>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Rules would be accurate and robust</w:t>
            </w:r>
          </w:p>
        </w:tc>
        <w:tc>
          <w:tcPr>
            <w:tcW w:w="2575" w:type="dxa"/>
          </w:tcPr>
          <w:p w:rsidR="00DB7FE6" w:rsidRPr="00CD666F" w:rsidRDefault="00DB7FE6" w:rsidP="00DB7FE6">
            <w:pPr>
              <w:spacing w:after="0" w:line="240" w:lineRule="auto"/>
              <w:jc w:val="left"/>
              <w:rPr>
                <w:rFonts w:ascii="Times New Roman" w:hAnsi="Times New Roman"/>
                <w:i/>
                <w:sz w:val="20"/>
                <w:lang w:val="en-NZ"/>
              </w:rPr>
            </w:pPr>
            <w:r w:rsidRPr="00CD666F">
              <w:rPr>
                <w:rFonts w:ascii="Times New Roman" w:hAnsi="Times New Roman"/>
                <w:sz w:val="20"/>
                <w:lang w:val="en-NZ"/>
              </w:rPr>
              <w:t>Increased complexity and compliance costs</w:t>
            </w:r>
          </w:p>
        </w:tc>
        <w:tc>
          <w:tcPr>
            <w:tcW w:w="2635" w:type="dxa"/>
          </w:tcPr>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Not recommended</w:t>
            </w:r>
          </w:p>
          <w:p w:rsidR="00DB7FE6" w:rsidRPr="00CD666F" w:rsidRDefault="00DB7FE6" w:rsidP="00DB7FE6">
            <w:pPr>
              <w:spacing w:after="0" w:line="240" w:lineRule="auto"/>
              <w:jc w:val="left"/>
              <w:rPr>
                <w:rFonts w:ascii="Times New Roman" w:hAnsi="Times New Roman"/>
                <w:sz w:val="20"/>
                <w:lang w:val="en-NZ"/>
              </w:rPr>
            </w:pPr>
          </w:p>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 xml:space="preserve">Complexity does not appear to be justified as at present it does not appear there are large numbers of people avoiding the land sale rules </w:t>
            </w:r>
            <w:proofErr w:type="gramStart"/>
            <w:r w:rsidRPr="00CD666F">
              <w:rPr>
                <w:rFonts w:ascii="Times New Roman" w:hAnsi="Times New Roman"/>
                <w:sz w:val="20"/>
                <w:lang w:val="en-NZ"/>
              </w:rPr>
              <w:t>through the use of</w:t>
            </w:r>
            <w:proofErr w:type="gramEnd"/>
            <w:r w:rsidRPr="00CD666F">
              <w:rPr>
                <w:rFonts w:ascii="Times New Roman" w:hAnsi="Times New Roman"/>
                <w:sz w:val="20"/>
                <w:lang w:val="en-NZ"/>
              </w:rPr>
              <w:t xml:space="preserve"> companies or trusts.  </w:t>
            </w:r>
          </w:p>
        </w:tc>
      </w:tr>
      <w:tr w:rsidR="00DB7FE6" w:rsidRPr="00CD666F" w:rsidTr="00DB7FE6">
        <w:trPr>
          <w:trHeight w:val="104"/>
        </w:trPr>
        <w:tc>
          <w:tcPr>
            <w:tcW w:w="1384" w:type="dxa"/>
            <w:vAlign w:val="center"/>
          </w:tcPr>
          <w:p w:rsidR="00DB7FE6" w:rsidRPr="00CD666F" w:rsidRDefault="00DB7FE6" w:rsidP="009D4A45">
            <w:pPr>
              <w:spacing w:after="0" w:line="240" w:lineRule="auto"/>
              <w:jc w:val="left"/>
              <w:rPr>
                <w:rFonts w:ascii="Times New Roman" w:hAnsi="Times New Roman"/>
                <w:b/>
                <w:i/>
                <w:sz w:val="20"/>
                <w:lang w:val="en-NZ"/>
              </w:rPr>
            </w:pPr>
            <w:r w:rsidRPr="00CD666F">
              <w:rPr>
                <w:rFonts w:ascii="Times New Roman" w:hAnsi="Times New Roman"/>
                <w:b/>
                <w:i/>
                <w:sz w:val="20"/>
                <w:lang w:val="en-NZ"/>
              </w:rPr>
              <w:t>Anti-avoidance rule</w:t>
            </w:r>
          </w:p>
        </w:tc>
        <w:tc>
          <w:tcPr>
            <w:tcW w:w="2693" w:type="dxa"/>
          </w:tcPr>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Less complexity and compliance costs</w:t>
            </w:r>
          </w:p>
        </w:tc>
        <w:tc>
          <w:tcPr>
            <w:tcW w:w="2575" w:type="dxa"/>
          </w:tcPr>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Less robust and creates uncertainty</w:t>
            </w:r>
          </w:p>
        </w:tc>
        <w:tc>
          <w:tcPr>
            <w:tcW w:w="2635" w:type="dxa"/>
          </w:tcPr>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Recommended</w:t>
            </w:r>
          </w:p>
          <w:p w:rsidR="00DB7FE6" w:rsidRPr="00CD666F" w:rsidRDefault="00DB7FE6" w:rsidP="00DB7FE6">
            <w:pPr>
              <w:spacing w:after="0" w:line="240" w:lineRule="auto"/>
              <w:jc w:val="left"/>
              <w:rPr>
                <w:rFonts w:ascii="Times New Roman" w:hAnsi="Times New Roman"/>
                <w:sz w:val="20"/>
                <w:lang w:val="en-NZ"/>
              </w:rPr>
            </w:pPr>
          </w:p>
          <w:p w:rsidR="00DB7FE6" w:rsidRPr="00CD666F" w:rsidRDefault="00DB7FE6" w:rsidP="00DB7FE6">
            <w:pPr>
              <w:spacing w:after="0" w:line="240" w:lineRule="auto"/>
              <w:jc w:val="left"/>
              <w:rPr>
                <w:rFonts w:ascii="Times New Roman" w:hAnsi="Times New Roman"/>
                <w:sz w:val="20"/>
                <w:lang w:val="en-NZ"/>
              </w:rPr>
            </w:pPr>
            <w:r w:rsidRPr="00CD666F">
              <w:rPr>
                <w:rFonts w:ascii="Times New Roman" w:hAnsi="Times New Roman"/>
                <w:sz w:val="20"/>
                <w:lang w:val="en-NZ"/>
              </w:rPr>
              <w:t>Targeted towards main issue without being overly complex</w:t>
            </w:r>
          </w:p>
        </w:tc>
      </w:tr>
    </w:tbl>
    <w:p w:rsidR="007E6391" w:rsidRPr="00CD666F" w:rsidRDefault="007E6391" w:rsidP="007E6391">
      <w:pPr>
        <w:pStyle w:val="CommentText"/>
        <w:spacing w:after="0" w:line="240" w:lineRule="auto"/>
        <w:rPr>
          <w:rFonts w:ascii="Times New Roman" w:hAnsi="Times New Roman"/>
          <w:b/>
          <w:sz w:val="24"/>
          <w:szCs w:val="24"/>
          <w:lang w:val="en-NZ"/>
        </w:rPr>
      </w:pPr>
      <w:r w:rsidRPr="00CD666F">
        <w:rPr>
          <w:rFonts w:ascii="Times New Roman" w:hAnsi="Times New Roman"/>
          <w:b/>
          <w:sz w:val="24"/>
          <w:szCs w:val="24"/>
          <w:lang w:val="en-NZ"/>
        </w:rPr>
        <w:t>Other impacts</w:t>
      </w:r>
    </w:p>
    <w:p w:rsidR="007E6391" w:rsidRPr="00CD666F" w:rsidRDefault="007E6391" w:rsidP="007E6391">
      <w:pPr>
        <w:pStyle w:val="CommentText"/>
        <w:spacing w:after="0" w:line="240" w:lineRule="auto"/>
        <w:rPr>
          <w:rFonts w:ascii="Times New Roman" w:hAnsi="Times New Roman"/>
          <w:sz w:val="24"/>
          <w:szCs w:val="24"/>
          <w:lang w:val="en-NZ"/>
        </w:rPr>
      </w:pPr>
    </w:p>
    <w:p w:rsidR="007E6391" w:rsidRPr="00CD666F" w:rsidRDefault="007E6391" w:rsidP="004342F0">
      <w:pPr>
        <w:pStyle w:val="CommentText"/>
        <w:numPr>
          <w:ilvl w:val="0"/>
          <w:numId w:val="2"/>
        </w:numPr>
        <w:tabs>
          <w:tab w:val="clear" w:pos="720"/>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There are no social, cultural, or environmental impacts</w:t>
      </w:r>
      <w:r w:rsidR="00D91895" w:rsidRPr="00CD666F">
        <w:rPr>
          <w:rFonts w:ascii="Times New Roman" w:hAnsi="Times New Roman"/>
          <w:sz w:val="24"/>
          <w:szCs w:val="24"/>
          <w:lang w:val="en-NZ"/>
        </w:rPr>
        <w:t xml:space="preserve"> associated</w:t>
      </w:r>
      <w:r w:rsidR="00882224" w:rsidRPr="00CD666F">
        <w:rPr>
          <w:rFonts w:ascii="Times New Roman" w:hAnsi="Times New Roman"/>
          <w:sz w:val="24"/>
          <w:szCs w:val="24"/>
          <w:lang w:val="en-NZ"/>
        </w:rPr>
        <w:t xml:space="preserve"> with</w:t>
      </w:r>
      <w:r w:rsidR="00D91895" w:rsidRPr="00CD666F">
        <w:rPr>
          <w:rFonts w:ascii="Times New Roman" w:hAnsi="Times New Roman"/>
          <w:sz w:val="24"/>
          <w:szCs w:val="24"/>
          <w:lang w:val="en-NZ"/>
        </w:rPr>
        <w:t xml:space="preserve"> the broad options and the</w:t>
      </w:r>
      <w:r w:rsidR="00882224" w:rsidRPr="00CD666F">
        <w:rPr>
          <w:rFonts w:ascii="Times New Roman" w:hAnsi="Times New Roman"/>
          <w:sz w:val="24"/>
          <w:szCs w:val="24"/>
          <w:lang w:val="en-NZ"/>
        </w:rPr>
        <w:t xml:space="preserve"> specific</w:t>
      </w:r>
      <w:r w:rsidR="00D91895" w:rsidRPr="00CD666F">
        <w:rPr>
          <w:rFonts w:ascii="Times New Roman" w:hAnsi="Times New Roman"/>
          <w:sz w:val="24"/>
          <w:szCs w:val="24"/>
          <w:lang w:val="en-NZ"/>
        </w:rPr>
        <w:t xml:space="preserve"> design options</w:t>
      </w:r>
      <w:r w:rsidR="00D507AD" w:rsidRPr="00CD666F">
        <w:rPr>
          <w:rFonts w:ascii="Times New Roman" w:hAnsi="Times New Roman"/>
          <w:sz w:val="24"/>
          <w:szCs w:val="24"/>
          <w:lang w:val="en-NZ"/>
        </w:rPr>
        <w:t>.</w:t>
      </w:r>
    </w:p>
    <w:p w:rsidR="00882224" w:rsidRPr="00CD666F" w:rsidRDefault="00882224" w:rsidP="00882224">
      <w:pPr>
        <w:pStyle w:val="CommentText"/>
        <w:spacing w:after="0" w:line="240" w:lineRule="auto"/>
        <w:rPr>
          <w:rFonts w:ascii="Times New Roman" w:hAnsi="Times New Roman"/>
          <w:sz w:val="24"/>
          <w:szCs w:val="24"/>
          <w:lang w:val="en-NZ"/>
        </w:rPr>
      </w:pPr>
    </w:p>
    <w:p w:rsidR="000545DC" w:rsidRPr="00CD666F" w:rsidRDefault="0018634E" w:rsidP="004342F0">
      <w:pPr>
        <w:pStyle w:val="RISheading"/>
        <w:rPr>
          <w:spacing w:val="0"/>
          <w:w w:val="100"/>
          <w:lang w:val="en-NZ"/>
        </w:rPr>
      </w:pPr>
      <w:r w:rsidRPr="00CD666F">
        <w:rPr>
          <w:spacing w:val="0"/>
          <w:w w:val="100"/>
          <w:lang w:val="en-NZ"/>
        </w:rPr>
        <w:t>C</w:t>
      </w:r>
      <w:r w:rsidR="00D943DD" w:rsidRPr="00CD666F">
        <w:rPr>
          <w:spacing w:val="0"/>
          <w:w w:val="100"/>
          <w:lang w:val="en-NZ"/>
        </w:rPr>
        <w:t>ONSULTATION</w:t>
      </w:r>
      <w:bookmarkEnd w:id="22"/>
      <w:bookmarkEnd w:id="23"/>
      <w:bookmarkEnd w:id="24"/>
      <w:bookmarkEnd w:id="25"/>
      <w:bookmarkEnd w:id="26"/>
    </w:p>
    <w:p w:rsidR="000545DC" w:rsidRPr="00CD666F" w:rsidRDefault="00B53DB7"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Treasury and Inland Revenue released an officials’ issues paper titled </w:t>
      </w:r>
      <w:r w:rsidRPr="00CD666F">
        <w:rPr>
          <w:rFonts w:ascii="Times New Roman" w:hAnsi="Times New Roman"/>
          <w:i/>
          <w:sz w:val="24"/>
          <w:szCs w:val="24"/>
          <w:lang w:val="en-NZ"/>
        </w:rPr>
        <w:t xml:space="preserve">Bright-line test for sales of residential property </w:t>
      </w:r>
      <w:r w:rsidRPr="00CD666F">
        <w:rPr>
          <w:rFonts w:ascii="Times New Roman" w:hAnsi="Times New Roman"/>
          <w:sz w:val="24"/>
          <w:szCs w:val="24"/>
          <w:lang w:val="en-NZ"/>
        </w:rPr>
        <w:t xml:space="preserve">on 29 June 2015. </w:t>
      </w:r>
      <w:r w:rsidR="006B384B" w:rsidRPr="00CD666F">
        <w:rPr>
          <w:rFonts w:ascii="Times New Roman" w:hAnsi="Times New Roman"/>
          <w:sz w:val="24"/>
          <w:szCs w:val="24"/>
          <w:lang w:val="en-NZ"/>
        </w:rPr>
        <w:t xml:space="preserve"> </w:t>
      </w:r>
      <w:proofErr w:type="gramStart"/>
      <w:r w:rsidRPr="00CD666F">
        <w:rPr>
          <w:rFonts w:ascii="Times New Roman" w:hAnsi="Times New Roman"/>
          <w:sz w:val="24"/>
          <w:szCs w:val="24"/>
          <w:lang w:val="en-NZ"/>
        </w:rPr>
        <w:t xml:space="preserve">A total of </w:t>
      </w:r>
      <w:r w:rsidR="002B7F52" w:rsidRPr="00CD666F">
        <w:rPr>
          <w:rFonts w:ascii="Times New Roman" w:hAnsi="Times New Roman"/>
          <w:sz w:val="24"/>
          <w:szCs w:val="24"/>
          <w:lang w:val="en-NZ"/>
        </w:rPr>
        <w:t>14</w:t>
      </w:r>
      <w:proofErr w:type="gramEnd"/>
      <w:r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submissions were received.</w:t>
      </w:r>
    </w:p>
    <w:p w:rsidR="002B7F52" w:rsidRPr="00CD666F" w:rsidRDefault="002B7F52" w:rsidP="002B7F52">
      <w:pPr>
        <w:pStyle w:val="Bullet-list"/>
        <w:spacing w:after="0" w:line="240" w:lineRule="auto"/>
        <w:ind w:left="0" w:firstLine="0"/>
        <w:rPr>
          <w:rFonts w:ascii="Times New Roman" w:hAnsi="Times New Roman"/>
          <w:sz w:val="24"/>
          <w:szCs w:val="24"/>
          <w:lang w:val="en-NZ"/>
        </w:rPr>
      </w:pPr>
    </w:p>
    <w:p w:rsidR="002B7F52" w:rsidRPr="00CD666F" w:rsidRDefault="002B7F52"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Three submissions supported the bright-line test and three did not supp</w:t>
      </w:r>
      <w:r w:rsidR="00296905" w:rsidRPr="00CD666F">
        <w:rPr>
          <w:rFonts w:ascii="Times New Roman" w:hAnsi="Times New Roman"/>
          <w:sz w:val="24"/>
          <w:szCs w:val="24"/>
          <w:lang w:val="en-NZ"/>
        </w:rPr>
        <w:t>ort it. Submissions in favour of the bright-line</w:t>
      </w:r>
      <w:r w:rsidR="006D7B16" w:rsidRPr="00CD666F">
        <w:rPr>
          <w:rFonts w:ascii="Times New Roman" w:hAnsi="Times New Roman"/>
          <w:sz w:val="24"/>
          <w:szCs w:val="24"/>
          <w:lang w:val="en-NZ"/>
        </w:rPr>
        <w:t xml:space="preserve"> test</w:t>
      </w:r>
      <w:r w:rsidR="00296905" w:rsidRPr="00CD666F">
        <w:rPr>
          <w:rFonts w:ascii="Times New Roman" w:hAnsi="Times New Roman"/>
          <w:sz w:val="24"/>
          <w:szCs w:val="24"/>
          <w:lang w:val="en-NZ"/>
        </w:rPr>
        <w:t xml:space="preserve"> submitted that the bright-line test appeared to be a reasonable addition to the current intention test to ensure that property investors declare the income they are required to. </w:t>
      </w:r>
      <w:r w:rsidR="009D4A45" w:rsidRPr="00CD666F">
        <w:rPr>
          <w:rFonts w:ascii="Times New Roman" w:hAnsi="Times New Roman"/>
          <w:sz w:val="24"/>
          <w:szCs w:val="24"/>
          <w:lang w:val="en-NZ"/>
        </w:rPr>
        <w:t xml:space="preserve"> </w:t>
      </w:r>
      <w:r w:rsidR="00296905" w:rsidRPr="00CD666F">
        <w:rPr>
          <w:rFonts w:ascii="Times New Roman" w:hAnsi="Times New Roman"/>
          <w:sz w:val="24"/>
          <w:szCs w:val="24"/>
          <w:lang w:val="en-NZ"/>
        </w:rPr>
        <w:t xml:space="preserve">Submitters who did not support the bright-line </w:t>
      </w:r>
      <w:r w:rsidR="006D7B16" w:rsidRPr="00CD666F">
        <w:rPr>
          <w:rFonts w:ascii="Times New Roman" w:hAnsi="Times New Roman"/>
          <w:sz w:val="24"/>
          <w:szCs w:val="24"/>
          <w:lang w:val="en-NZ"/>
        </w:rPr>
        <w:t>test</w:t>
      </w:r>
      <w:r w:rsidR="00296905" w:rsidRPr="00CD666F">
        <w:rPr>
          <w:rFonts w:ascii="Times New Roman" w:hAnsi="Times New Roman"/>
          <w:sz w:val="24"/>
          <w:szCs w:val="24"/>
          <w:lang w:val="en-NZ"/>
        </w:rPr>
        <w:t xml:space="preserve"> to be unprincipled and likely </w:t>
      </w:r>
      <w:proofErr w:type="gramStart"/>
      <w:r w:rsidR="00296905" w:rsidRPr="00CD666F">
        <w:rPr>
          <w:rFonts w:ascii="Times New Roman" w:hAnsi="Times New Roman"/>
          <w:sz w:val="24"/>
          <w:szCs w:val="24"/>
          <w:lang w:val="en-NZ"/>
        </w:rPr>
        <w:t>to only apply</w:t>
      </w:r>
      <w:proofErr w:type="gramEnd"/>
      <w:r w:rsidR="00296905" w:rsidRPr="00CD666F">
        <w:rPr>
          <w:rFonts w:ascii="Times New Roman" w:hAnsi="Times New Roman"/>
          <w:sz w:val="24"/>
          <w:szCs w:val="24"/>
          <w:lang w:val="en-NZ"/>
        </w:rPr>
        <w:t xml:space="preserve"> to persons who are forced to sell property due to circumstances outside of their control.</w:t>
      </w:r>
    </w:p>
    <w:p w:rsidR="00296905" w:rsidRPr="00CD666F" w:rsidRDefault="00296905" w:rsidP="00296905">
      <w:pPr>
        <w:pStyle w:val="Bullet-list"/>
        <w:spacing w:after="0" w:line="240" w:lineRule="auto"/>
        <w:ind w:left="0" w:firstLine="0"/>
        <w:rPr>
          <w:rFonts w:ascii="Times New Roman" w:hAnsi="Times New Roman"/>
          <w:sz w:val="24"/>
          <w:szCs w:val="24"/>
          <w:lang w:val="en-NZ"/>
        </w:rPr>
      </w:pPr>
    </w:p>
    <w:p w:rsidR="00296905" w:rsidRPr="00CD666F" w:rsidRDefault="00296905"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One submitter proposed reducing the bright-line period to one year,</w:t>
      </w:r>
      <w:r w:rsidR="00F079F3" w:rsidRPr="00CD666F">
        <w:rPr>
          <w:rFonts w:ascii="Times New Roman" w:hAnsi="Times New Roman"/>
          <w:sz w:val="24"/>
          <w:szCs w:val="24"/>
          <w:lang w:val="en-NZ"/>
        </w:rPr>
        <w:t xml:space="preserve"> and</w:t>
      </w:r>
      <w:r w:rsidRPr="00CD666F">
        <w:rPr>
          <w:rFonts w:ascii="Times New Roman" w:hAnsi="Times New Roman"/>
          <w:sz w:val="24"/>
          <w:szCs w:val="24"/>
          <w:lang w:val="en-NZ"/>
        </w:rPr>
        <w:t xml:space="preserve"> one submitter proposed extending the period to 4 to 5 years.</w:t>
      </w:r>
    </w:p>
    <w:p w:rsidR="00296905" w:rsidRPr="00CD666F" w:rsidRDefault="00296905" w:rsidP="00296905">
      <w:pPr>
        <w:pStyle w:val="Bullet-list"/>
        <w:spacing w:after="0" w:line="240" w:lineRule="auto"/>
        <w:ind w:left="0" w:firstLine="0"/>
        <w:rPr>
          <w:rFonts w:ascii="Times New Roman" w:hAnsi="Times New Roman"/>
          <w:sz w:val="24"/>
          <w:szCs w:val="24"/>
          <w:lang w:val="en-NZ"/>
        </w:rPr>
      </w:pPr>
    </w:p>
    <w:p w:rsidR="00296905" w:rsidRPr="00CD666F" w:rsidRDefault="00296905"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majority of submissions focused on the design of the bright-line test. </w:t>
      </w:r>
      <w:r w:rsidR="009D4A45" w:rsidRPr="00CD666F">
        <w:rPr>
          <w:rFonts w:ascii="Times New Roman" w:hAnsi="Times New Roman"/>
          <w:sz w:val="24"/>
          <w:szCs w:val="24"/>
          <w:lang w:val="en-NZ"/>
        </w:rPr>
        <w:t xml:space="preserve"> </w:t>
      </w:r>
      <w:r w:rsidRPr="00CD666F">
        <w:rPr>
          <w:rFonts w:ascii="Times New Roman" w:hAnsi="Times New Roman"/>
          <w:sz w:val="24"/>
          <w:szCs w:val="24"/>
          <w:lang w:val="en-NZ"/>
        </w:rPr>
        <w:t>There were five main areas of concern raised by submitters.</w:t>
      </w:r>
      <w:r w:rsidR="009D4A45"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These were:</w:t>
      </w:r>
    </w:p>
    <w:p w:rsidR="00296905" w:rsidRPr="00CD666F" w:rsidRDefault="00296905" w:rsidP="00296905">
      <w:pPr>
        <w:pStyle w:val="Bullet-list"/>
        <w:spacing w:after="0" w:line="240" w:lineRule="auto"/>
        <w:rPr>
          <w:rFonts w:ascii="Times New Roman" w:hAnsi="Times New Roman"/>
          <w:sz w:val="24"/>
          <w:szCs w:val="24"/>
          <w:lang w:val="en-NZ"/>
        </w:rPr>
      </w:pPr>
    </w:p>
    <w:p w:rsidR="00296905" w:rsidRPr="00CD666F" w:rsidRDefault="00296905" w:rsidP="00296905">
      <w:pPr>
        <w:pStyle w:val="Bullet-list"/>
        <w:numPr>
          <w:ilvl w:val="0"/>
          <w:numId w:val="9"/>
        </w:numPr>
        <w:spacing w:after="0" w:line="240" w:lineRule="auto"/>
        <w:rPr>
          <w:rFonts w:ascii="Times New Roman" w:hAnsi="Times New Roman"/>
          <w:sz w:val="24"/>
          <w:szCs w:val="24"/>
          <w:lang w:val="en-NZ"/>
        </w:rPr>
      </w:pPr>
      <w:r w:rsidRPr="00CD666F">
        <w:rPr>
          <w:rFonts w:ascii="Times New Roman" w:hAnsi="Times New Roman"/>
          <w:sz w:val="24"/>
          <w:szCs w:val="24"/>
          <w:lang w:val="en-NZ"/>
        </w:rPr>
        <w:t>The start date of the bright-line period</w:t>
      </w:r>
    </w:p>
    <w:p w:rsidR="00296905" w:rsidRPr="00CD666F" w:rsidRDefault="00296905" w:rsidP="00296905">
      <w:pPr>
        <w:pStyle w:val="Bullet-list"/>
        <w:numPr>
          <w:ilvl w:val="0"/>
          <w:numId w:val="9"/>
        </w:numPr>
        <w:spacing w:after="0" w:line="240" w:lineRule="auto"/>
        <w:rPr>
          <w:rFonts w:ascii="Times New Roman" w:hAnsi="Times New Roman"/>
          <w:sz w:val="24"/>
          <w:szCs w:val="24"/>
          <w:lang w:val="en-NZ"/>
        </w:rPr>
      </w:pPr>
      <w:r w:rsidRPr="00CD666F">
        <w:rPr>
          <w:rFonts w:ascii="Times New Roman" w:hAnsi="Times New Roman"/>
          <w:sz w:val="24"/>
          <w:szCs w:val="24"/>
          <w:lang w:val="en-NZ"/>
        </w:rPr>
        <w:t>The scope of the main home exception</w:t>
      </w:r>
    </w:p>
    <w:p w:rsidR="00296905" w:rsidRPr="00CD666F" w:rsidRDefault="00296905" w:rsidP="00296905">
      <w:pPr>
        <w:pStyle w:val="Bullet-list"/>
        <w:numPr>
          <w:ilvl w:val="0"/>
          <w:numId w:val="9"/>
        </w:numPr>
        <w:spacing w:after="0" w:line="240" w:lineRule="auto"/>
        <w:rPr>
          <w:rFonts w:ascii="Times New Roman" w:hAnsi="Times New Roman"/>
          <w:sz w:val="24"/>
          <w:szCs w:val="24"/>
          <w:lang w:val="en-NZ"/>
        </w:rPr>
      </w:pPr>
      <w:r w:rsidRPr="00CD666F">
        <w:rPr>
          <w:rFonts w:ascii="Times New Roman" w:hAnsi="Times New Roman"/>
          <w:sz w:val="24"/>
          <w:szCs w:val="24"/>
          <w:lang w:val="en-NZ"/>
        </w:rPr>
        <w:t>Loss ring-fencing</w:t>
      </w:r>
    </w:p>
    <w:p w:rsidR="00296905" w:rsidRPr="00CD666F" w:rsidRDefault="00296905" w:rsidP="00296905">
      <w:pPr>
        <w:pStyle w:val="Bullet-list"/>
        <w:numPr>
          <w:ilvl w:val="0"/>
          <w:numId w:val="9"/>
        </w:numPr>
        <w:spacing w:after="0" w:line="240" w:lineRule="auto"/>
        <w:rPr>
          <w:rFonts w:ascii="Times New Roman" w:hAnsi="Times New Roman"/>
          <w:sz w:val="24"/>
          <w:szCs w:val="24"/>
          <w:lang w:val="en-NZ"/>
        </w:rPr>
      </w:pPr>
      <w:r w:rsidRPr="00CD666F">
        <w:rPr>
          <w:rFonts w:ascii="Times New Roman" w:hAnsi="Times New Roman"/>
          <w:sz w:val="24"/>
          <w:szCs w:val="24"/>
          <w:lang w:val="en-NZ"/>
        </w:rPr>
        <w:t>The proposed land-rich company rule</w:t>
      </w:r>
    </w:p>
    <w:p w:rsidR="00407920" w:rsidRPr="00CD666F" w:rsidRDefault="00407920" w:rsidP="00296905">
      <w:pPr>
        <w:pStyle w:val="Bullet-list"/>
        <w:numPr>
          <w:ilvl w:val="0"/>
          <w:numId w:val="9"/>
        </w:numPr>
        <w:spacing w:after="0" w:line="240" w:lineRule="auto"/>
        <w:rPr>
          <w:rFonts w:ascii="Times New Roman" w:hAnsi="Times New Roman"/>
          <w:sz w:val="24"/>
          <w:szCs w:val="24"/>
          <w:lang w:val="en-NZ"/>
        </w:rPr>
      </w:pPr>
      <w:r w:rsidRPr="00CD666F">
        <w:rPr>
          <w:rFonts w:ascii="Times New Roman" w:hAnsi="Times New Roman"/>
          <w:sz w:val="24"/>
          <w:szCs w:val="24"/>
          <w:lang w:val="en-NZ"/>
        </w:rPr>
        <w:t>Submitters also proposed new exceptions to the bright-line</w:t>
      </w:r>
    </w:p>
    <w:p w:rsidR="00296905" w:rsidRPr="00CD666F" w:rsidRDefault="00296905" w:rsidP="00296905">
      <w:pPr>
        <w:pStyle w:val="Bullet-list"/>
        <w:spacing w:after="0" w:line="240" w:lineRule="auto"/>
        <w:rPr>
          <w:rFonts w:ascii="Times New Roman" w:hAnsi="Times New Roman"/>
          <w:sz w:val="24"/>
          <w:szCs w:val="24"/>
          <w:lang w:val="en-NZ"/>
        </w:rPr>
      </w:pPr>
    </w:p>
    <w:p w:rsidR="00296905" w:rsidRPr="00CD666F" w:rsidRDefault="00407920" w:rsidP="00407920">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The </w:t>
      </w:r>
      <w:r w:rsidR="003A55A7" w:rsidRPr="00CD666F">
        <w:rPr>
          <w:rFonts w:ascii="Times New Roman" w:hAnsi="Times New Roman"/>
          <w:sz w:val="24"/>
          <w:szCs w:val="24"/>
          <w:lang w:val="en-NZ"/>
        </w:rPr>
        <w:t>majority of concern</w:t>
      </w:r>
      <w:r w:rsidR="00F079F3" w:rsidRPr="00CD666F">
        <w:rPr>
          <w:rFonts w:ascii="Times New Roman" w:hAnsi="Times New Roman"/>
          <w:sz w:val="24"/>
          <w:szCs w:val="24"/>
          <w:lang w:val="en-NZ"/>
        </w:rPr>
        <w:t>s</w:t>
      </w:r>
      <w:r w:rsidR="003A55A7" w:rsidRPr="00CD666F">
        <w:rPr>
          <w:rFonts w:ascii="Times New Roman" w:hAnsi="Times New Roman"/>
          <w:sz w:val="24"/>
          <w:szCs w:val="24"/>
          <w:lang w:val="en-NZ"/>
        </w:rPr>
        <w:t xml:space="preserve"> regarding these issues </w:t>
      </w:r>
      <w:proofErr w:type="gramStart"/>
      <w:r w:rsidR="003A55A7" w:rsidRPr="00CD666F">
        <w:rPr>
          <w:rFonts w:ascii="Times New Roman" w:hAnsi="Times New Roman"/>
          <w:sz w:val="24"/>
          <w:szCs w:val="24"/>
          <w:lang w:val="en-NZ"/>
        </w:rPr>
        <w:t>was</w:t>
      </w:r>
      <w:proofErr w:type="gramEnd"/>
      <w:r w:rsidR="003A55A7" w:rsidRPr="00CD666F">
        <w:rPr>
          <w:rFonts w:ascii="Times New Roman" w:hAnsi="Times New Roman"/>
          <w:sz w:val="24"/>
          <w:szCs w:val="24"/>
          <w:lang w:val="en-NZ"/>
        </w:rPr>
        <w:t xml:space="preserve"> that the proposed design is not fully aligned with the current land sale rules. </w:t>
      </w:r>
      <w:r w:rsidR="006B384B" w:rsidRPr="00CD666F">
        <w:rPr>
          <w:rFonts w:ascii="Times New Roman" w:hAnsi="Times New Roman"/>
          <w:sz w:val="24"/>
          <w:szCs w:val="24"/>
          <w:lang w:val="en-NZ"/>
        </w:rPr>
        <w:t xml:space="preserve"> </w:t>
      </w:r>
      <w:r w:rsidR="003A55A7" w:rsidRPr="00CD666F">
        <w:rPr>
          <w:rFonts w:ascii="Times New Roman" w:hAnsi="Times New Roman"/>
          <w:sz w:val="24"/>
          <w:szCs w:val="24"/>
          <w:lang w:val="en-NZ"/>
        </w:rPr>
        <w:t>Submitters were concerned that the areas of departure would create greater complexity and they were typically not taxpayer friendly.</w:t>
      </w:r>
    </w:p>
    <w:p w:rsidR="00407920" w:rsidRPr="00CD666F" w:rsidRDefault="00407920" w:rsidP="00407920">
      <w:pPr>
        <w:pStyle w:val="Bullet-list"/>
        <w:spacing w:after="0" w:line="240" w:lineRule="auto"/>
        <w:rPr>
          <w:rFonts w:ascii="Times New Roman" w:hAnsi="Times New Roman"/>
          <w:sz w:val="24"/>
          <w:szCs w:val="24"/>
          <w:lang w:val="en-NZ"/>
        </w:rPr>
      </w:pPr>
    </w:p>
    <w:p w:rsidR="00407920" w:rsidRPr="00CD666F" w:rsidRDefault="00407920" w:rsidP="00407920">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While officials accept that departure from existing </w:t>
      </w:r>
      <w:proofErr w:type="gramStart"/>
      <w:r w:rsidRPr="00CD666F">
        <w:rPr>
          <w:rFonts w:ascii="Times New Roman" w:hAnsi="Times New Roman"/>
          <w:sz w:val="24"/>
          <w:szCs w:val="24"/>
          <w:lang w:val="en-NZ"/>
        </w:rPr>
        <w:t>land</w:t>
      </w:r>
      <w:proofErr w:type="gramEnd"/>
      <w:r w:rsidRPr="00CD666F">
        <w:rPr>
          <w:rFonts w:ascii="Times New Roman" w:hAnsi="Times New Roman"/>
          <w:sz w:val="24"/>
          <w:szCs w:val="24"/>
          <w:lang w:val="en-NZ"/>
        </w:rPr>
        <w:t xml:space="preserve"> sale rules can cause complexity we consider that where </w:t>
      </w:r>
      <w:r w:rsidR="00776D5D" w:rsidRPr="00CD666F">
        <w:rPr>
          <w:rFonts w:ascii="Times New Roman" w:hAnsi="Times New Roman"/>
          <w:sz w:val="24"/>
          <w:szCs w:val="24"/>
          <w:lang w:val="en-NZ"/>
        </w:rPr>
        <w:t>the design of the bright-line test is not aligned with current land sale rules it is generally to ensure the bright-line test</w:t>
      </w:r>
      <w:r w:rsidRPr="00CD666F">
        <w:rPr>
          <w:rFonts w:ascii="Times New Roman" w:hAnsi="Times New Roman"/>
          <w:sz w:val="24"/>
          <w:szCs w:val="24"/>
          <w:lang w:val="en-NZ"/>
        </w:rPr>
        <w:t xml:space="preserve"> </w:t>
      </w:r>
      <w:r w:rsidR="00776D5D" w:rsidRPr="00CD666F">
        <w:rPr>
          <w:rFonts w:ascii="Times New Roman" w:hAnsi="Times New Roman"/>
          <w:sz w:val="24"/>
          <w:szCs w:val="24"/>
          <w:lang w:val="en-NZ"/>
        </w:rPr>
        <w:t>achieves its</w:t>
      </w:r>
      <w:r w:rsidRPr="00CD666F">
        <w:rPr>
          <w:rFonts w:ascii="Times New Roman" w:hAnsi="Times New Roman"/>
          <w:sz w:val="24"/>
          <w:szCs w:val="24"/>
          <w:lang w:val="en-NZ"/>
        </w:rPr>
        <w:t xml:space="preserve"> goal of being an objective, easy to enforce rule.</w:t>
      </w:r>
    </w:p>
    <w:p w:rsidR="00407920" w:rsidRPr="00CD666F" w:rsidRDefault="00407920" w:rsidP="00407920">
      <w:pPr>
        <w:pStyle w:val="Bullet-list"/>
        <w:spacing w:after="0" w:line="240" w:lineRule="auto"/>
        <w:ind w:left="0" w:firstLine="0"/>
        <w:rPr>
          <w:rFonts w:ascii="Times New Roman" w:hAnsi="Times New Roman"/>
          <w:sz w:val="24"/>
          <w:szCs w:val="24"/>
          <w:lang w:val="en-NZ"/>
        </w:rPr>
      </w:pPr>
    </w:p>
    <w:p w:rsidR="00407920" w:rsidRPr="00CD666F" w:rsidRDefault="00407920" w:rsidP="00407920">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We have made several changes to the technical detail of the proposal in response </w:t>
      </w:r>
      <w:proofErr w:type="gramStart"/>
      <w:r w:rsidRPr="00CD666F">
        <w:rPr>
          <w:rFonts w:ascii="Times New Roman" w:hAnsi="Times New Roman"/>
          <w:sz w:val="24"/>
          <w:szCs w:val="24"/>
          <w:lang w:val="en-NZ"/>
        </w:rPr>
        <w:t>to submissions and to address complexity concerns raised by submitters</w:t>
      </w:r>
      <w:proofErr w:type="gramEnd"/>
      <w:r w:rsidRPr="00CD666F">
        <w:rPr>
          <w:rFonts w:ascii="Times New Roman" w:hAnsi="Times New Roman"/>
          <w:sz w:val="24"/>
          <w:szCs w:val="24"/>
          <w:lang w:val="en-NZ"/>
        </w:rPr>
        <w:t>.</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These include:</w:t>
      </w:r>
    </w:p>
    <w:p w:rsidR="00407920"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Clarifying the time when</w:t>
      </w:r>
      <w:r w:rsidR="00776D5D" w:rsidRPr="00CD666F">
        <w:rPr>
          <w:rFonts w:ascii="Times New Roman" w:hAnsi="Times New Roman"/>
          <w:sz w:val="24"/>
          <w:szCs w:val="24"/>
          <w:lang w:val="en-NZ"/>
        </w:rPr>
        <w:t xml:space="preserve"> a person’s</w:t>
      </w:r>
      <w:r w:rsidRPr="00CD666F">
        <w:rPr>
          <w:rFonts w:ascii="Times New Roman" w:hAnsi="Times New Roman"/>
          <w:sz w:val="24"/>
          <w:szCs w:val="24"/>
          <w:lang w:val="en-NZ"/>
        </w:rPr>
        <w:t xml:space="preserve"> ‘main home’ is determined</w:t>
      </w:r>
    </w:p>
    <w:p w:rsidR="00407920"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Clarifying the </w:t>
      </w:r>
      <w:r w:rsidR="00752638" w:rsidRPr="00CD666F">
        <w:rPr>
          <w:rFonts w:ascii="Times New Roman" w:hAnsi="Times New Roman"/>
          <w:sz w:val="24"/>
          <w:szCs w:val="24"/>
          <w:lang w:val="en-NZ"/>
        </w:rPr>
        <w:t xml:space="preserve">end date of the </w:t>
      </w:r>
      <w:r w:rsidR="00795F49" w:rsidRPr="00CD666F">
        <w:rPr>
          <w:rFonts w:ascii="Times New Roman" w:hAnsi="Times New Roman"/>
          <w:sz w:val="24"/>
          <w:szCs w:val="24"/>
          <w:lang w:val="en-NZ"/>
        </w:rPr>
        <w:t>bright</w:t>
      </w:r>
      <w:r w:rsidR="00752638" w:rsidRPr="00CD666F">
        <w:rPr>
          <w:rFonts w:ascii="Times New Roman" w:hAnsi="Times New Roman"/>
          <w:sz w:val="24"/>
          <w:szCs w:val="24"/>
          <w:lang w:val="en-NZ"/>
        </w:rPr>
        <w:t>-line</w:t>
      </w:r>
      <w:r w:rsidRPr="00CD666F">
        <w:rPr>
          <w:rFonts w:ascii="Times New Roman" w:hAnsi="Times New Roman"/>
          <w:sz w:val="24"/>
          <w:szCs w:val="24"/>
          <w:lang w:val="en-NZ"/>
        </w:rPr>
        <w:t xml:space="preserve"> where there is no contract to sell</w:t>
      </w:r>
      <w:r w:rsidR="00860E4E" w:rsidRPr="00CD666F">
        <w:rPr>
          <w:rFonts w:ascii="Times New Roman" w:hAnsi="Times New Roman"/>
          <w:sz w:val="24"/>
          <w:szCs w:val="24"/>
          <w:lang w:val="en-NZ"/>
        </w:rPr>
        <w:t xml:space="preserve"> the property</w:t>
      </w:r>
    </w:p>
    <w:p w:rsidR="00407920" w:rsidRPr="00CD666F" w:rsidRDefault="00E20B88"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Limiting the definition of arrangement for residential land so that it only includes arrangements which the seller is a party to</w:t>
      </w:r>
    </w:p>
    <w:p w:rsidR="00407920"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Clarifying that bare land capable of being used for residential purposes is residential land</w:t>
      </w:r>
    </w:p>
    <w:p w:rsidR="00407920"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 xml:space="preserve">Creating a new ‘bright-line’ rule for habitual </w:t>
      </w:r>
      <w:r w:rsidR="00590969" w:rsidRPr="00CD666F">
        <w:rPr>
          <w:rFonts w:ascii="Times New Roman" w:hAnsi="Times New Roman"/>
          <w:sz w:val="24"/>
          <w:szCs w:val="24"/>
          <w:lang w:val="en-NZ"/>
        </w:rPr>
        <w:t>sellers</w:t>
      </w:r>
    </w:p>
    <w:p w:rsidR="00407920" w:rsidRPr="00CD666F" w:rsidRDefault="007954E5"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Enabling more trusts to use the main home exception by loosening the proposed restrictions on trusts using the main home exception</w:t>
      </w:r>
    </w:p>
    <w:p w:rsidR="00407920"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Defining what is a land-rich company and trust</w:t>
      </w:r>
    </w:p>
    <w:p w:rsidR="00B53DB7" w:rsidRPr="00CD666F" w:rsidRDefault="00407920" w:rsidP="00407920">
      <w:pPr>
        <w:pStyle w:val="Bullet-list"/>
        <w:numPr>
          <w:ilvl w:val="0"/>
          <w:numId w:val="10"/>
        </w:numPr>
        <w:spacing w:after="0" w:line="240" w:lineRule="auto"/>
        <w:rPr>
          <w:rFonts w:ascii="Times New Roman" w:hAnsi="Times New Roman"/>
          <w:sz w:val="24"/>
          <w:szCs w:val="24"/>
          <w:lang w:val="en-NZ"/>
        </w:rPr>
      </w:pPr>
      <w:r w:rsidRPr="00CD666F">
        <w:rPr>
          <w:rFonts w:ascii="Times New Roman" w:hAnsi="Times New Roman"/>
          <w:sz w:val="24"/>
          <w:szCs w:val="24"/>
          <w:lang w:val="en-NZ"/>
        </w:rPr>
        <w:t>Setting out what amount of change of ownership is required to trigger the proposed anti-avoidance rule</w:t>
      </w:r>
    </w:p>
    <w:p w:rsidR="00D943DD" w:rsidRPr="00CD666F" w:rsidRDefault="00D943DD" w:rsidP="004342F0">
      <w:pPr>
        <w:pStyle w:val="spacer"/>
        <w:rPr>
          <w:rFonts w:ascii="Times New Roman" w:hAnsi="Times New Roman"/>
          <w:sz w:val="24"/>
          <w:szCs w:val="24"/>
          <w:lang w:val="en-NZ"/>
        </w:rPr>
      </w:pPr>
      <w:bookmarkStart w:id="27" w:name="_Preferred_option_[optional]"/>
      <w:bookmarkStart w:id="28" w:name="_Toc244580367"/>
      <w:bookmarkStart w:id="29" w:name="_Toc244587043"/>
      <w:bookmarkStart w:id="30" w:name="_Toc244857277"/>
      <w:bookmarkStart w:id="31" w:name="_Toc244912542"/>
      <w:bookmarkStart w:id="32" w:name="_Toc244916999"/>
      <w:bookmarkEnd w:id="27"/>
    </w:p>
    <w:p w:rsidR="000545DC" w:rsidRPr="00CD666F" w:rsidRDefault="00D943DD" w:rsidP="004342F0">
      <w:pPr>
        <w:pStyle w:val="RISheading"/>
        <w:rPr>
          <w:spacing w:val="0"/>
          <w:w w:val="100"/>
          <w:lang w:val="en-NZ"/>
        </w:rPr>
      </w:pPr>
      <w:r w:rsidRPr="00CD666F">
        <w:rPr>
          <w:spacing w:val="0"/>
          <w:w w:val="100"/>
          <w:lang w:val="en-NZ"/>
        </w:rPr>
        <w:t>CONCLUSIONS AND RECOMMENDATIONS</w:t>
      </w:r>
      <w:bookmarkEnd w:id="28"/>
      <w:bookmarkEnd w:id="29"/>
      <w:bookmarkEnd w:id="30"/>
      <w:bookmarkEnd w:id="31"/>
      <w:bookmarkEnd w:id="32"/>
    </w:p>
    <w:p w:rsidR="000545DC" w:rsidRPr="00CD666F" w:rsidRDefault="00A1430D" w:rsidP="007A4AFB">
      <w:pPr>
        <w:pStyle w:val="Bullet-list"/>
        <w:numPr>
          <w:ilvl w:val="0"/>
          <w:numId w:val="2"/>
        </w:numPr>
        <w:tabs>
          <w:tab w:val="clear" w:pos="720"/>
          <w:tab w:val="num" w:pos="567"/>
        </w:tabs>
        <w:spacing w:after="0" w:line="240" w:lineRule="auto"/>
        <w:ind w:left="0" w:firstLine="0"/>
        <w:rPr>
          <w:rFonts w:ascii="Times New Roman" w:hAnsi="Times New Roman"/>
          <w:b/>
          <w:sz w:val="24"/>
          <w:szCs w:val="24"/>
          <w:lang w:val="en-NZ"/>
        </w:rPr>
      </w:pPr>
      <w:r w:rsidRPr="00CD666F">
        <w:rPr>
          <w:rFonts w:ascii="Times New Roman" w:hAnsi="Times New Roman"/>
          <w:sz w:val="24"/>
          <w:szCs w:val="24"/>
          <w:lang w:val="en-NZ"/>
        </w:rPr>
        <w:t>Inland Revenue supports option 1</w:t>
      </w:r>
      <w:r w:rsidR="00916333"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916333" w:rsidRPr="00CD666F">
        <w:rPr>
          <w:rFonts w:ascii="Times New Roman" w:hAnsi="Times New Roman"/>
          <w:sz w:val="24"/>
          <w:szCs w:val="24"/>
          <w:lang w:val="en-NZ"/>
        </w:rPr>
        <w:t xml:space="preserve">We consider that option </w:t>
      </w:r>
      <w:r w:rsidRPr="00CD666F">
        <w:rPr>
          <w:rFonts w:ascii="Times New Roman" w:hAnsi="Times New Roman"/>
          <w:sz w:val="24"/>
          <w:szCs w:val="24"/>
          <w:lang w:val="en-NZ"/>
        </w:rPr>
        <w:t>1</w:t>
      </w:r>
      <w:r w:rsidR="00916333" w:rsidRPr="00CD666F">
        <w:rPr>
          <w:rFonts w:ascii="Times New Roman" w:hAnsi="Times New Roman"/>
          <w:sz w:val="24"/>
          <w:szCs w:val="24"/>
          <w:lang w:val="en-NZ"/>
        </w:rPr>
        <w:t xml:space="preserve"> provides the </w:t>
      </w:r>
      <w:proofErr w:type="gramStart"/>
      <w:r w:rsidR="00916333" w:rsidRPr="00CD666F">
        <w:rPr>
          <w:rFonts w:ascii="Times New Roman" w:hAnsi="Times New Roman"/>
          <w:sz w:val="24"/>
          <w:szCs w:val="24"/>
          <w:lang w:val="en-NZ"/>
        </w:rPr>
        <w:t>best targeted</w:t>
      </w:r>
      <w:proofErr w:type="gramEnd"/>
      <w:r w:rsidR="00916333" w:rsidRPr="00CD666F">
        <w:rPr>
          <w:rFonts w:ascii="Times New Roman" w:hAnsi="Times New Roman"/>
          <w:sz w:val="24"/>
          <w:szCs w:val="24"/>
          <w:lang w:val="en-NZ"/>
        </w:rPr>
        <w:t xml:space="preserve"> option and provides easier enforcement of the land sale rules against the key problem of </w:t>
      </w:r>
      <w:r w:rsidR="00225B33" w:rsidRPr="00CD666F">
        <w:rPr>
          <w:rFonts w:ascii="Times New Roman" w:hAnsi="Times New Roman"/>
          <w:sz w:val="24"/>
          <w:szCs w:val="24"/>
          <w:lang w:val="en-NZ"/>
        </w:rPr>
        <w:t>short term speculation in residential property</w:t>
      </w:r>
      <w:r w:rsidR="00916333" w:rsidRPr="00CD666F">
        <w:rPr>
          <w:rFonts w:ascii="Times New Roman" w:hAnsi="Times New Roman"/>
          <w:sz w:val="24"/>
          <w:szCs w:val="24"/>
          <w:lang w:val="en-NZ"/>
        </w:rPr>
        <w:t xml:space="preserve">. </w:t>
      </w:r>
      <w:r w:rsidR="006B384B" w:rsidRPr="00CD666F">
        <w:rPr>
          <w:rFonts w:ascii="Times New Roman" w:hAnsi="Times New Roman"/>
          <w:sz w:val="24"/>
          <w:szCs w:val="24"/>
          <w:lang w:val="en-NZ"/>
        </w:rPr>
        <w:t xml:space="preserve"> </w:t>
      </w:r>
      <w:r w:rsidR="00766E7E" w:rsidRPr="00CD666F">
        <w:rPr>
          <w:rFonts w:ascii="Times New Roman" w:hAnsi="Times New Roman"/>
          <w:sz w:val="24"/>
          <w:szCs w:val="24"/>
          <w:lang w:val="en-NZ"/>
        </w:rPr>
        <w:t xml:space="preserve">Option </w:t>
      </w:r>
      <w:r w:rsidRPr="00CD666F">
        <w:rPr>
          <w:rFonts w:ascii="Times New Roman" w:hAnsi="Times New Roman"/>
          <w:sz w:val="24"/>
          <w:szCs w:val="24"/>
          <w:lang w:val="en-NZ"/>
        </w:rPr>
        <w:t>1</w:t>
      </w:r>
      <w:r w:rsidR="00766E7E" w:rsidRPr="00CD666F">
        <w:rPr>
          <w:rFonts w:ascii="Times New Roman" w:hAnsi="Times New Roman"/>
          <w:sz w:val="24"/>
          <w:szCs w:val="24"/>
          <w:lang w:val="en-NZ"/>
        </w:rPr>
        <w:t xml:space="preserve"> achieves this while not covering many sales that </w:t>
      </w:r>
      <w:proofErr w:type="gramStart"/>
      <w:r w:rsidR="00766E7E" w:rsidRPr="00CD666F">
        <w:rPr>
          <w:rFonts w:ascii="Times New Roman" w:hAnsi="Times New Roman"/>
          <w:sz w:val="24"/>
          <w:szCs w:val="24"/>
          <w:lang w:val="en-NZ"/>
        </w:rPr>
        <w:t>were not bought</w:t>
      </w:r>
      <w:proofErr w:type="gramEnd"/>
      <w:r w:rsidR="00766E7E" w:rsidRPr="00CD666F">
        <w:rPr>
          <w:rFonts w:ascii="Times New Roman" w:hAnsi="Times New Roman"/>
          <w:sz w:val="24"/>
          <w:szCs w:val="24"/>
          <w:lang w:val="en-NZ"/>
        </w:rPr>
        <w:t xml:space="preserve"> with an intention of resale.</w:t>
      </w:r>
    </w:p>
    <w:p w:rsidR="002B07C9" w:rsidRPr="00CD666F" w:rsidRDefault="002B07C9" w:rsidP="002B07C9">
      <w:pPr>
        <w:pStyle w:val="Bullet-list"/>
        <w:spacing w:after="0" w:line="240" w:lineRule="auto"/>
        <w:ind w:left="0" w:firstLine="0"/>
        <w:rPr>
          <w:rFonts w:ascii="Times New Roman" w:hAnsi="Times New Roman"/>
          <w:b/>
          <w:sz w:val="24"/>
          <w:szCs w:val="24"/>
          <w:lang w:val="en-NZ"/>
        </w:rPr>
      </w:pPr>
    </w:p>
    <w:p w:rsidR="00D943DD" w:rsidRPr="00CD666F" w:rsidRDefault="00D05831" w:rsidP="004342F0">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The design of the bright-line</w:t>
      </w:r>
      <w:r w:rsidR="009910D3" w:rsidRPr="00CD666F">
        <w:rPr>
          <w:rFonts w:ascii="Times New Roman" w:hAnsi="Times New Roman"/>
          <w:sz w:val="24"/>
          <w:szCs w:val="24"/>
          <w:lang w:val="en-NZ"/>
        </w:rPr>
        <w:t xml:space="preserve"> test</w:t>
      </w:r>
      <w:r w:rsidRPr="00CD666F">
        <w:rPr>
          <w:rFonts w:ascii="Times New Roman" w:hAnsi="Times New Roman"/>
          <w:sz w:val="24"/>
          <w:szCs w:val="24"/>
          <w:lang w:val="en-NZ"/>
        </w:rPr>
        <w:t xml:space="preserve"> </w:t>
      </w:r>
      <w:proofErr w:type="gramStart"/>
      <w:r w:rsidRPr="00CD666F">
        <w:rPr>
          <w:rFonts w:ascii="Times New Roman" w:hAnsi="Times New Roman"/>
          <w:sz w:val="24"/>
          <w:szCs w:val="24"/>
          <w:lang w:val="en-NZ"/>
        </w:rPr>
        <w:t>is intended</w:t>
      </w:r>
      <w:proofErr w:type="gramEnd"/>
      <w:r w:rsidRPr="00CD666F">
        <w:rPr>
          <w:rFonts w:ascii="Times New Roman" w:hAnsi="Times New Roman"/>
          <w:sz w:val="24"/>
          <w:szCs w:val="24"/>
          <w:lang w:val="en-NZ"/>
        </w:rPr>
        <w:t xml:space="preserve"> to support the objectives.</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The design of the bright-line </w:t>
      </w:r>
      <w:proofErr w:type="gramStart"/>
      <w:r w:rsidR="00225B33" w:rsidRPr="00CD666F">
        <w:rPr>
          <w:rFonts w:ascii="Times New Roman" w:hAnsi="Times New Roman"/>
          <w:sz w:val="24"/>
          <w:szCs w:val="24"/>
          <w:lang w:val="en-NZ"/>
        </w:rPr>
        <w:t>is based</w:t>
      </w:r>
      <w:proofErr w:type="gramEnd"/>
      <w:r w:rsidR="00225B33" w:rsidRPr="00CD666F">
        <w:rPr>
          <w:rFonts w:ascii="Times New Roman" w:hAnsi="Times New Roman"/>
          <w:sz w:val="24"/>
          <w:szCs w:val="24"/>
          <w:lang w:val="en-NZ"/>
        </w:rPr>
        <w:t xml:space="preserve"> on having</w:t>
      </w:r>
      <w:r w:rsidRPr="00CD666F">
        <w:rPr>
          <w:rFonts w:ascii="Times New Roman" w:hAnsi="Times New Roman"/>
          <w:sz w:val="24"/>
          <w:szCs w:val="24"/>
          <w:lang w:val="en-NZ"/>
        </w:rPr>
        <w:t xml:space="preserve"> clear</w:t>
      </w:r>
      <w:r w:rsidR="0057718C" w:rsidRPr="00CD666F">
        <w:rPr>
          <w:rFonts w:ascii="Times New Roman" w:hAnsi="Times New Roman"/>
          <w:sz w:val="24"/>
          <w:szCs w:val="24"/>
          <w:lang w:val="en-NZ"/>
        </w:rPr>
        <w:t xml:space="preserve"> objective</w:t>
      </w:r>
      <w:bookmarkStart w:id="33" w:name="_Toc244580368"/>
      <w:bookmarkStart w:id="34" w:name="_Toc244587044"/>
      <w:bookmarkStart w:id="35" w:name="_Toc244857278"/>
      <w:bookmarkStart w:id="36" w:name="_Toc244912543"/>
      <w:bookmarkStart w:id="37" w:name="_Toc244917000"/>
      <w:r w:rsidR="004A4C48" w:rsidRPr="00CD666F">
        <w:rPr>
          <w:rFonts w:ascii="Times New Roman" w:hAnsi="Times New Roman"/>
          <w:sz w:val="24"/>
          <w:szCs w:val="24"/>
          <w:lang w:val="en-NZ"/>
        </w:rPr>
        <w:t xml:space="preserve"> rules and </w:t>
      </w:r>
      <w:r w:rsidR="009910D3" w:rsidRPr="00CD666F">
        <w:rPr>
          <w:rFonts w:ascii="Times New Roman" w:hAnsi="Times New Roman"/>
          <w:sz w:val="24"/>
          <w:szCs w:val="24"/>
          <w:lang w:val="en-NZ"/>
        </w:rPr>
        <w:t>only a few tightly defined exceptions</w:t>
      </w:r>
      <w:r w:rsidR="004A4C48" w:rsidRPr="00CD666F">
        <w:rPr>
          <w:rFonts w:ascii="Times New Roman" w:hAnsi="Times New Roman"/>
          <w:sz w:val="24"/>
          <w:szCs w:val="24"/>
          <w:lang w:val="en-NZ"/>
        </w:rPr>
        <w:t>. This helps ensure that the bright</w:t>
      </w:r>
      <w:r w:rsidR="009D4A45" w:rsidRPr="00CD666F">
        <w:rPr>
          <w:rFonts w:ascii="Times New Roman" w:hAnsi="Times New Roman"/>
          <w:sz w:val="24"/>
          <w:szCs w:val="24"/>
          <w:lang w:val="en-NZ"/>
        </w:rPr>
        <w:t>-line is clear and unambiguous.</w:t>
      </w:r>
    </w:p>
    <w:p w:rsidR="00225B33" w:rsidRPr="00CD666F" w:rsidRDefault="00225B33" w:rsidP="00795F49">
      <w:pPr>
        <w:pStyle w:val="Bullet-list"/>
        <w:spacing w:after="0" w:line="240" w:lineRule="auto"/>
        <w:ind w:left="0" w:firstLine="0"/>
        <w:rPr>
          <w:rFonts w:ascii="Times New Roman" w:hAnsi="Times New Roman"/>
          <w:sz w:val="24"/>
          <w:szCs w:val="24"/>
          <w:lang w:val="en-NZ"/>
        </w:rPr>
      </w:pPr>
    </w:p>
    <w:p w:rsidR="000545DC" w:rsidRPr="00CD666F" w:rsidRDefault="00D943DD" w:rsidP="004342F0">
      <w:pPr>
        <w:pStyle w:val="RISheading"/>
        <w:rPr>
          <w:spacing w:val="0"/>
          <w:w w:val="100"/>
          <w:lang w:val="en-NZ"/>
        </w:rPr>
      </w:pPr>
      <w:r w:rsidRPr="00CD666F">
        <w:rPr>
          <w:spacing w:val="0"/>
          <w:w w:val="100"/>
          <w:lang w:val="en-NZ"/>
        </w:rPr>
        <w:t>IMPLEMENTATION</w:t>
      </w:r>
      <w:bookmarkEnd w:id="33"/>
      <w:bookmarkEnd w:id="34"/>
      <w:bookmarkEnd w:id="35"/>
      <w:bookmarkEnd w:id="36"/>
      <w:bookmarkEnd w:id="37"/>
      <w:r w:rsidRPr="00CD666F">
        <w:rPr>
          <w:spacing w:val="0"/>
          <w:w w:val="100"/>
          <w:lang w:val="en-NZ"/>
        </w:rPr>
        <w:t xml:space="preserve"> </w:t>
      </w:r>
    </w:p>
    <w:p w:rsidR="000545DC" w:rsidRPr="00CD666F" w:rsidRDefault="00A767D1"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Legislative change to the Income Tax Act 2007 would be required to implement either option </w:t>
      </w:r>
      <w:r w:rsidR="00A1430D" w:rsidRPr="00CD666F">
        <w:rPr>
          <w:rFonts w:ascii="Times New Roman" w:hAnsi="Times New Roman"/>
          <w:sz w:val="24"/>
          <w:szCs w:val="24"/>
          <w:lang w:val="en-NZ"/>
        </w:rPr>
        <w:t>1</w:t>
      </w:r>
      <w:r w:rsidRPr="00CD666F">
        <w:rPr>
          <w:rFonts w:ascii="Times New Roman" w:hAnsi="Times New Roman"/>
          <w:sz w:val="24"/>
          <w:szCs w:val="24"/>
          <w:lang w:val="en-NZ"/>
        </w:rPr>
        <w:t xml:space="preserve"> or </w:t>
      </w:r>
      <w:r w:rsidR="00A1430D" w:rsidRPr="00CD666F">
        <w:rPr>
          <w:rFonts w:ascii="Times New Roman" w:hAnsi="Times New Roman"/>
          <w:sz w:val="24"/>
          <w:szCs w:val="24"/>
          <w:lang w:val="en-NZ"/>
        </w:rPr>
        <w:t>2</w:t>
      </w:r>
      <w:r w:rsidRPr="00CD666F">
        <w:rPr>
          <w:rFonts w:ascii="Times New Roman" w:hAnsi="Times New Roman"/>
          <w:sz w:val="24"/>
          <w:szCs w:val="24"/>
          <w:lang w:val="en-NZ"/>
        </w:rPr>
        <w:t>.</w:t>
      </w:r>
    </w:p>
    <w:p w:rsidR="00A767D1" w:rsidRPr="00CD666F" w:rsidRDefault="00A767D1" w:rsidP="00A767D1">
      <w:pPr>
        <w:pStyle w:val="Bullet-list"/>
        <w:spacing w:after="0" w:line="240" w:lineRule="auto"/>
        <w:ind w:left="0" w:firstLine="0"/>
        <w:rPr>
          <w:rFonts w:ascii="Times New Roman" w:hAnsi="Times New Roman"/>
          <w:sz w:val="24"/>
          <w:szCs w:val="24"/>
          <w:lang w:val="en-NZ"/>
        </w:rPr>
      </w:pPr>
    </w:p>
    <w:p w:rsidR="00A767D1" w:rsidRPr="00CD666F" w:rsidRDefault="00A767D1"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Any legislative amendments required to implement option </w:t>
      </w:r>
      <w:r w:rsidR="00A1430D" w:rsidRPr="00CD666F">
        <w:rPr>
          <w:rFonts w:ascii="Times New Roman" w:hAnsi="Times New Roman"/>
          <w:sz w:val="24"/>
          <w:szCs w:val="24"/>
          <w:lang w:val="en-NZ"/>
        </w:rPr>
        <w:t>1</w:t>
      </w:r>
      <w:r w:rsidRPr="00CD666F">
        <w:rPr>
          <w:rFonts w:ascii="Times New Roman" w:hAnsi="Times New Roman"/>
          <w:sz w:val="24"/>
          <w:szCs w:val="24"/>
          <w:lang w:val="en-NZ"/>
        </w:rPr>
        <w:t xml:space="preserve"> or </w:t>
      </w:r>
      <w:proofErr w:type="gramStart"/>
      <w:r w:rsidR="00A1430D" w:rsidRPr="00CD666F">
        <w:rPr>
          <w:rFonts w:ascii="Times New Roman" w:hAnsi="Times New Roman"/>
          <w:sz w:val="24"/>
          <w:szCs w:val="24"/>
          <w:lang w:val="en-NZ"/>
        </w:rPr>
        <w:t>2</w:t>
      </w:r>
      <w:proofErr w:type="gramEnd"/>
      <w:r w:rsidRPr="00CD666F">
        <w:rPr>
          <w:rFonts w:ascii="Times New Roman" w:hAnsi="Times New Roman"/>
          <w:sz w:val="24"/>
          <w:szCs w:val="24"/>
          <w:lang w:val="en-NZ"/>
        </w:rPr>
        <w:t xml:space="preserve"> could be included in a bill introduce</w:t>
      </w:r>
      <w:r w:rsidR="0072034B" w:rsidRPr="00CD666F">
        <w:rPr>
          <w:rFonts w:ascii="Times New Roman" w:hAnsi="Times New Roman"/>
          <w:sz w:val="24"/>
          <w:szCs w:val="24"/>
          <w:lang w:val="en-NZ"/>
        </w:rPr>
        <w:t>d prior to the appl</w:t>
      </w:r>
      <w:r w:rsidR="006B384B" w:rsidRPr="00CD666F">
        <w:rPr>
          <w:rFonts w:ascii="Times New Roman" w:hAnsi="Times New Roman"/>
          <w:sz w:val="24"/>
          <w:szCs w:val="24"/>
          <w:lang w:val="en-NZ"/>
        </w:rPr>
        <w:t>ication date of 1 October 2015.</w:t>
      </w:r>
    </w:p>
    <w:p w:rsidR="0072034B" w:rsidRPr="00CD666F" w:rsidRDefault="0072034B" w:rsidP="0072034B">
      <w:pPr>
        <w:pStyle w:val="Bullet-list"/>
        <w:spacing w:after="0" w:line="240" w:lineRule="auto"/>
        <w:ind w:left="0" w:firstLine="0"/>
        <w:rPr>
          <w:rFonts w:ascii="Times New Roman" w:hAnsi="Times New Roman"/>
          <w:sz w:val="24"/>
          <w:szCs w:val="24"/>
          <w:lang w:val="en-NZ"/>
        </w:rPr>
      </w:pPr>
    </w:p>
    <w:p w:rsidR="0072034B" w:rsidRPr="00CD666F" w:rsidRDefault="0072034B"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Inland Revenue will be required to update f</w:t>
      </w:r>
      <w:r w:rsidR="00265A57" w:rsidRPr="00CD666F">
        <w:rPr>
          <w:rFonts w:ascii="Times New Roman" w:hAnsi="Times New Roman"/>
          <w:sz w:val="24"/>
          <w:szCs w:val="24"/>
          <w:lang w:val="en-NZ"/>
        </w:rPr>
        <w:t>orms and communication material.</w:t>
      </w:r>
      <w:r w:rsidR="00D860C6" w:rsidRPr="00CD666F">
        <w:rPr>
          <w:rFonts w:ascii="Times New Roman" w:hAnsi="Times New Roman"/>
          <w:sz w:val="24"/>
          <w:szCs w:val="24"/>
          <w:lang w:val="en-NZ"/>
        </w:rPr>
        <w:t xml:space="preserve"> Inland Revenue is developing a new attachment to income tax returns to assist in implementing and reporting on the land sale rules.</w:t>
      </w:r>
    </w:p>
    <w:p w:rsidR="006936F8" w:rsidRPr="00CD666F" w:rsidRDefault="006936F8" w:rsidP="006936F8">
      <w:pPr>
        <w:pStyle w:val="Bullet-list"/>
        <w:spacing w:after="0" w:line="240" w:lineRule="auto"/>
        <w:ind w:left="0" w:firstLine="0"/>
        <w:rPr>
          <w:rFonts w:ascii="Times New Roman" w:hAnsi="Times New Roman"/>
          <w:sz w:val="24"/>
          <w:szCs w:val="24"/>
          <w:lang w:val="en-NZ"/>
        </w:rPr>
      </w:pPr>
    </w:p>
    <w:p w:rsidR="006936F8" w:rsidRPr="00CD666F" w:rsidRDefault="006936F8"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Inland Revenue will administer the bright-line test.</w:t>
      </w:r>
    </w:p>
    <w:p w:rsidR="00D943DD" w:rsidRPr="00CD666F" w:rsidRDefault="00D943DD" w:rsidP="004342F0">
      <w:pPr>
        <w:pStyle w:val="spacer"/>
        <w:rPr>
          <w:rFonts w:ascii="Times New Roman" w:hAnsi="Times New Roman"/>
          <w:sz w:val="24"/>
          <w:szCs w:val="24"/>
          <w:lang w:val="en-NZ"/>
        </w:rPr>
      </w:pPr>
      <w:bookmarkStart w:id="38" w:name="_Toc244580369"/>
      <w:bookmarkStart w:id="39" w:name="_Toc244587045"/>
      <w:bookmarkStart w:id="40" w:name="_Toc244857279"/>
      <w:bookmarkStart w:id="41" w:name="_Toc244912544"/>
      <w:bookmarkStart w:id="42" w:name="_Toc244917001"/>
    </w:p>
    <w:p w:rsidR="003C26FB" w:rsidRPr="00CD666F" w:rsidRDefault="00D943DD" w:rsidP="00062870">
      <w:pPr>
        <w:pStyle w:val="RISheading"/>
        <w:rPr>
          <w:spacing w:val="0"/>
          <w:w w:val="100"/>
          <w:lang w:val="en-NZ"/>
        </w:rPr>
      </w:pPr>
      <w:r w:rsidRPr="00CD666F">
        <w:rPr>
          <w:spacing w:val="0"/>
          <w:w w:val="100"/>
          <w:lang w:val="en-NZ"/>
        </w:rPr>
        <w:t>MONITORING, EVALUATION AND REVIEW</w:t>
      </w:r>
      <w:bookmarkEnd w:id="38"/>
      <w:bookmarkEnd w:id="39"/>
      <w:bookmarkEnd w:id="40"/>
      <w:bookmarkEnd w:id="41"/>
      <w:bookmarkEnd w:id="42"/>
    </w:p>
    <w:p w:rsidR="00D507AD" w:rsidRPr="00CD666F" w:rsidRDefault="00D507AD"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Inland Revenue is putting</w:t>
      </w:r>
      <w:r w:rsidR="009331F5" w:rsidRPr="00CD666F">
        <w:rPr>
          <w:rFonts w:ascii="Times New Roman" w:hAnsi="Times New Roman"/>
          <w:sz w:val="24"/>
          <w:szCs w:val="24"/>
          <w:lang w:val="en-NZ"/>
        </w:rPr>
        <w:t xml:space="preserve"> in place new systems for administering the bright-line test</w:t>
      </w:r>
      <w:r w:rsidRPr="00CD666F">
        <w:rPr>
          <w:rFonts w:ascii="Times New Roman" w:hAnsi="Times New Roman"/>
          <w:sz w:val="24"/>
          <w:szCs w:val="24"/>
          <w:lang w:val="en-NZ"/>
        </w:rPr>
        <w:t xml:space="preserve"> including a new form to monitor property sales subject to the bright-line</w:t>
      </w:r>
      <w:r w:rsidR="003F0B84" w:rsidRPr="00CD666F">
        <w:rPr>
          <w:rFonts w:ascii="Times New Roman" w:hAnsi="Times New Roman"/>
          <w:sz w:val="24"/>
          <w:szCs w:val="24"/>
          <w:lang w:val="en-NZ"/>
        </w:rPr>
        <w:t xml:space="preserve"> test</w:t>
      </w:r>
      <w:r w:rsidRPr="00CD666F">
        <w:rPr>
          <w:rFonts w:ascii="Times New Roman" w:hAnsi="Times New Roman"/>
          <w:sz w:val="24"/>
          <w:szCs w:val="24"/>
          <w:lang w:val="en-NZ"/>
        </w:rPr>
        <w:t>.</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 xml:space="preserve"> In addition</w:t>
      </w:r>
      <w:r w:rsidR="00120759" w:rsidRPr="00CD666F">
        <w:rPr>
          <w:rFonts w:ascii="Times New Roman" w:hAnsi="Times New Roman"/>
          <w:sz w:val="24"/>
          <w:szCs w:val="24"/>
          <w:lang w:val="en-NZ"/>
        </w:rPr>
        <w:t>,</w:t>
      </w:r>
      <w:r w:rsidRPr="00CD666F">
        <w:rPr>
          <w:rFonts w:ascii="Times New Roman" w:hAnsi="Times New Roman"/>
          <w:sz w:val="24"/>
          <w:szCs w:val="24"/>
          <w:lang w:val="en-NZ"/>
        </w:rPr>
        <w:t xml:space="preserve"> as noted above</w:t>
      </w:r>
      <w:r w:rsidR="00120759" w:rsidRPr="00CD666F">
        <w:rPr>
          <w:rFonts w:ascii="Times New Roman" w:hAnsi="Times New Roman"/>
          <w:sz w:val="24"/>
          <w:szCs w:val="24"/>
          <w:lang w:val="en-NZ"/>
        </w:rPr>
        <w:t>,</w:t>
      </w:r>
      <w:r w:rsidRPr="00CD666F">
        <w:rPr>
          <w:rFonts w:ascii="Times New Roman" w:hAnsi="Times New Roman"/>
          <w:sz w:val="24"/>
          <w:szCs w:val="24"/>
          <w:lang w:val="en-NZ"/>
        </w:rPr>
        <w:t xml:space="preserve"> as part of Budget 2015 further measures are being introduced to provide </w:t>
      </w:r>
      <w:proofErr w:type="gramStart"/>
      <w:r w:rsidRPr="00CD666F">
        <w:rPr>
          <w:rFonts w:ascii="Times New Roman" w:hAnsi="Times New Roman"/>
          <w:sz w:val="24"/>
          <w:szCs w:val="24"/>
          <w:lang w:val="en-NZ"/>
        </w:rPr>
        <w:t>more useful information</w:t>
      </w:r>
      <w:proofErr w:type="gramEnd"/>
      <w:r w:rsidRPr="00CD666F">
        <w:rPr>
          <w:rFonts w:ascii="Times New Roman" w:hAnsi="Times New Roman"/>
          <w:sz w:val="24"/>
          <w:szCs w:val="24"/>
          <w:lang w:val="en-NZ"/>
        </w:rPr>
        <w:t xml:space="preserve"> to Inland Revenue about land sales. </w:t>
      </w:r>
      <w:r w:rsidR="006B384B" w:rsidRPr="00CD666F">
        <w:rPr>
          <w:rFonts w:ascii="Times New Roman" w:hAnsi="Times New Roman"/>
          <w:sz w:val="24"/>
          <w:szCs w:val="24"/>
          <w:lang w:val="en-NZ"/>
        </w:rPr>
        <w:t xml:space="preserve"> </w:t>
      </w:r>
      <w:r w:rsidRPr="00CD666F">
        <w:rPr>
          <w:rFonts w:ascii="Times New Roman" w:hAnsi="Times New Roman"/>
          <w:sz w:val="24"/>
          <w:szCs w:val="24"/>
          <w:lang w:val="en-NZ"/>
        </w:rPr>
        <w:t>These measures will enable Inland Revenue to have better information about the level of compliance with the land sale rules and the revenue generated by the bright-line test.</w:t>
      </w:r>
    </w:p>
    <w:p w:rsidR="00D507AD" w:rsidRPr="00CD666F" w:rsidRDefault="00D507AD" w:rsidP="00D507AD">
      <w:pPr>
        <w:pStyle w:val="Bullet-list"/>
        <w:spacing w:after="0" w:line="240" w:lineRule="auto"/>
        <w:ind w:left="0" w:firstLine="0"/>
        <w:rPr>
          <w:rFonts w:ascii="Times New Roman" w:hAnsi="Times New Roman"/>
          <w:sz w:val="24"/>
          <w:szCs w:val="24"/>
          <w:lang w:val="en-NZ"/>
        </w:rPr>
      </w:pPr>
    </w:p>
    <w:p w:rsidR="003C26FB" w:rsidRPr="00CD666F" w:rsidRDefault="003C26FB" w:rsidP="007A4AFB">
      <w:pPr>
        <w:pStyle w:val="Bullet-list"/>
        <w:numPr>
          <w:ilvl w:val="0"/>
          <w:numId w:val="2"/>
        </w:numPr>
        <w:tabs>
          <w:tab w:val="clear" w:pos="720"/>
          <w:tab w:val="num" w:pos="567"/>
        </w:tabs>
        <w:spacing w:after="0" w:line="240" w:lineRule="auto"/>
        <w:ind w:left="0" w:firstLine="0"/>
        <w:rPr>
          <w:rFonts w:ascii="Times New Roman" w:hAnsi="Times New Roman"/>
          <w:sz w:val="24"/>
          <w:szCs w:val="24"/>
          <w:lang w:val="en-NZ"/>
        </w:rPr>
      </w:pPr>
      <w:r w:rsidRPr="00CD666F">
        <w:rPr>
          <w:rFonts w:ascii="Times New Roman" w:hAnsi="Times New Roman"/>
          <w:sz w:val="24"/>
          <w:szCs w:val="24"/>
          <w:lang w:val="en-NZ"/>
        </w:rPr>
        <w:t xml:space="preserve">If any detailed </w:t>
      </w:r>
      <w:r w:rsidR="00CF34C1" w:rsidRPr="00CD666F">
        <w:rPr>
          <w:rFonts w:ascii="Times New Roman" w:hAnsi="Times New Roman"/>
          <w:sz w:val="24"/>
          <w:szCs w:val="24"/>
          <w:lang w:val="en-NZ"/>
        </w:rPr>
        <w:t>concerns</w:t>
      </w:r>
      <w:r w:rsidRPr="00CD666F">
        <w:rPr>
          <w:rFonts w:ascii="Times New Roman" w:hAnsi="Times New Roman"/>
          <w:sz w:val="24"/>
          <w:szCs w:val="24"/>
          <w:lang w:val="en-NZ"/>
        </w:rPr>
        <w:t xml:space="preserve"> </w:t>
      </w:r>
      <w:proofErr w:type="gramStart"/>
      <w:r w:rsidRPr="00CD666F">
        <w:rPr>
          <w:rFonts w:ascii="Times New Roman" w:hAnsi="Times New Roman"/>
          <w:sz w:val="24"/>
          <w:szCs w:val="24"/>
          <w:lang w:val="en-NZ"/>
        </w:rPr>
        <w:t>are raised</w:t>
      </w:r>
      <w:proofErr w:type="gramEnd"/>
      <w:r w:rsidRPr="00CD666F">
        <w:rPr>
          <w:rFonts w:ascii="Times New Roman" w:hAnsi="Times New Roman"/>
          <w:sz w:val="24"/>
          <w:szCs w:val="24"/>
          <w:lang w:val="en-NZ"/>
        </w:rPr>
        <w:t xml:space="preserve"> in relation to these changes, Inland Revenue will determine whether there are substantive grounds for review under the Generic Tax Policy Process.</w:t>
      </w:r>
    </w:p>
    <w:p w:rsidR="00594805" w:rsidRPr="00CD666F" w:rsidRDefault="00594805">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9D4A45" w:rsidRPr="00CD666F" w:rsidRDefault="009D4A45">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034D23" w:rsidRPr="00CD666F" w:rsidRDefault="00034D23">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pPr>
        <w:spacing w:after="0" w:line="240" w:lineRule="auto"/>
        <w:rPr>
          <w:rFonts w:ascii="Times New Roman" w:hAnsi="Times New Roman"/>
          <w:sz w:val="24"/>
          <w:szCs w:val="24"/>
          <w:lang w:val="en-NZ" w:eastAsia="en-US"/>
        </w:rPr>
      </w:pPr>
    </w:p>
    <w:p w:rsidR="00EB532D" w:rsidRPr="00CD666F" w:rsidRDefault="00EB532D" w:rsidP="00EB532D">
      <w:pPr>
        <w:pBdr>
          <w:bottom w:val="single" w:sz="4" w:space="1" w:color="auto"/>
        </w:pBdr>
        <w:spacing w:after="0" w:line="240" w:lineRule="auto"/>
        <w:ind w:right="6094"/>
        <w:rPr>
          <w:rFonts w:ascii="Times New Roman" w:hAnsi="Times New Roman"/>
          <w:sz w:val="20"/>
          <w:lang w:val="en-NZ" w:eastAsia="en-US"/>
        </w:rPr>
      </w:pPr>
    </w:p>
    <w:p w:rsidR="006B384B" w:rsidRPr="00CD666F" w:rsidRDefault="006B384B" w:rsidP="00EB532D">
      <w:pPr>
        <w:pBdr>
          <w:bottom w:val="single" w:sz="4" w:space="1" w:color="auto"/>
        </w:pBdr>
        <w:spacing w:after="0" w:line="240" w:lineRule="auto"/>
        <w:ind w:right="6094"/>
        <w:rPr>
          <w:rFonts w:ascii="Times New Roman" w:hAnsi="Times New Roman"/>
          <w:sz w:val="20"/>
          <w:lang w:val="en-NZ" w:eastAsia="en-US"/>
        </w:rPr>
      </w:pPr>
    </w:p>
    <w:p w:rsidR="00EB532D" w:rsidRPr="00CD666F" w:rsidRDefault="00EB532D">
      <w:pPr>
        <w:spacing w:after="0" w:line="240" w:lineRule="auto"/>
        <w:rPr>
          <w:rFonts w:ascii="Times New Roman" w:hAnsi="Times New Roman"/>
          <w:sz w:val="20"/>
          <w:lang w:val="en-NZ" w:eastAsia="en-US"/>
        </w:rPr>
      </w:pPr>
    </w:p>
    <w:p w:rsidR="00EB532D" w:rsidRPr="00CD666F" w:rsidRDefault="00EB532D">
      <w:pPr>
        <w:spacing w:after="0" w:line="240" w:lineRule="auto"/>
        <w:rPr>
          <w:rFonts w:ascii="Times New Roman" w:hAnsi="Times New Roman"/>
          <w:sz w:val="20"/>
          <w:lang w:val="en-NZ" w:eastAsia="en-US"/>
        </w:rPr>
      </w:pPr>
      <w:r w:rsidRPr="00CD666F">
        <w:rPr>
          <w:rFonts w:ascii="Times New Roman" w:hAnsi="Times New Roman"/>
          <w:sz w:val="20"/>
          <w:lang w:val="en-NZ" w:eastAsia="en-US"/>
        </w:rPr>
        <w:t>This regulatory impact statement inc</w:t>
      </w:r>
      <w:r w:rsidR="006B384B" w:rsidRPr="00CD666F">
        <w:rPr>
          <w:rFonts w:ascii="Times New Roman" w:hAnsi="Times New Roman"/>
          <w:sz w:val="20"/>
          <w:lang w:val="en-NZ" w:eastAsia="en-US"/>
        </w:rPr>
        <w:t>orporates</w:t>
      </w:r>
      <w:r w:rsidRPr="00CD666F">
        <w:rPr>
          <w:rFonts w:ascii="Times New Roman" w:hAnsi="Times New Roman"/>
          <w:sz w:val="20"/>
          <w:lang w:val="en-NZ" w:eastAsia="en-US"/>
        </w:rPr>
        <w:t xml:space="preserve"> minor typographical changes made after it </w:t>
      </w:r>
      <w:proofErr w:type="gramStart"/>
      <w:r w:rsidRPr="00CD666F">
        <w:rPr>
          <w:rFonts w:ascii="Times New Roman" w:hAnsi="Times New Roman"/>
          <w:sz w:val="20"/>
          <w:lang w:val="en-NZ" w:eastAsia="en-US"/>
        </w:rPr>
        <w:t>was submitted</w:t>
      </w:r>
      <w:proofErr w:type="gramEnd"/>
      <w:r w:rsidRPr="00CD666F">
        <w:rPr>
          <w:rFonts w:ascii="Times New Roman" w:hAnsi="Times New Roman"/>
          <w:sz w:val="20"/>
          <w:lang w:val="en-NZ" w:eastAsia="en-US"/>
        </w:rPr>
        <w:t xml:space="preserve"> to Cabinet</w:t>
      </w:r>
      <w:r w:rsidR="006B384B" w:rsidRPr="00CD666F">
        <w:rPr>
          <w:rFonts w:ascii="Times New Roman" w:hAnsi="Times New Roman"/>
          <w:sz w:val="20"/>
          <w:lang w:val="en-NZ" w:eastAsia="en-US"/>
        </w:rPr>
        <w:t>.  This includes:</w:t>
      </w:r>
    </w:p>
    <w:p w:rsidR="00EB532D" w:rsidRPr="00CD666F" w:rsidRDefault="006B384B" w:rsidP="00EB532D">
      <w:pPr>
        <w:pStyle w:val="ListParagraph"/>
        <w:numPr>
          <w:ilvl w:val="0"/>
          <w:numId w:val="14"/>
        </w:numPr>
        <w:rPr>
          <w:rFonts w:ascii="Times New Roman" w:hAnsi="Times New Roman"/>
          <w:sz w:val="20"/>
        </w:rPr>
      </w:pPr>
      <w:r w:rsidRPr="00CD666F">
        <w:rPr>
          <w:rFonts w:ascii="Times New Roman" w:hAnsi="Times New Roman"/>
          <w:sz w:val="20"/>
        </w:rPr>
        <w:t>Adding p</w:t>
      </w:r>
      <w:r w:rsidR="00EB532D" w:rsidRPr="00CD666F">
        <w:rPr>
          <w:rFonts w:ascii="Times New Roman" w:hAnsi="Times New Roman"/>
          <w:sz w:val="20"/>
        </w:rPr>
        <w:t>age numbers</w:t>
      </w:r>
    </w:p>
    <w:p w:rsidR="00EB532D" w:rsidRPr="00CD666F" w:rsidRDefault="00EB532D" w:rsidP="00EB532D">
      <w:pPr>
        <w:pStyle w:val="ListParagraph"/>
        <w:numPr>
          <w:ilvl w:val="0"/>
          <w:numId w:val="14"/>
        </w:numPr>
        <w:rPr>
          <w:rFonts w:ascii="Times New Roman" w:hAnsi="Times New Roman"/>
          <w:sz w:val="20"/>
        </w:rPr>
      </w:pPr>
      <w:r w:rsidRPr="00CD666F">
        <w:rPr>
          <w:rFonts w:ascii="Times New Roman" w:hAnsi="Times New Roman"/>
          <w:sz w:val="20"/>
        </w:rPr>
        <w:t>Correcti</w:t>
      </w:r>
      <w:r w:rsidR="00034D23" w:rsidRPr="00CD666F">
        <w:rPr>
          <w:rFonts w:ascii="Times New Roman" w:hAnsi="Times New Roman"/>
          <w:sz w:val="20"/>
        </w:rPr>
        <w:t>ng</w:t>
      </w:r>
      <w:r w:rsidRPr="00CD666F">
        <w:rPr>
          <w:rFonts w:ascii="Times New Roman" w:hAnsi="Times New Roman"/>
          <w:sz w:val="20"/>
        </w:rPr>
        <w:t xml:space="preserve"> </w:t>
      </w:r>
      <w:r w:rsidR="009D4A45" w:rsidRPr="00CD666F">
        <w:rPr>
          <w:rFonts w:ascii="Times New Roman" w:hAnsi="Times New Roman"/>
          <w:sz w:val="20"/>
        </w:rPr>
        <w:t>option number cross-references.</w:t>
      </w:r>
    </w:p>
    <w:sectPr w:rsidR="00EB532D" w:rsidRPr="00CD666F" w:rsidSect="00DB7FE6">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F1" w:rsidRDefault="00231FF1" w:rsidP="00F72085">
      <w:r>
        <w:separator/>
      </w:r>
    </w:p>
  </w:endnote>
  <w:endnote w:type="continuationSeparator" w:id="0">
    <w:p w:rsidR="00231FF1" w:rsidRDefault="00231FF1"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1" w:rsidRDefault="00231FF1"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31FF1" w:rsidRPr="00281580" w:rsidRDefault="00231FF1"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23650999"/>
      <w:docPartObj>
        <w:docPartGallery w:val="Page Numbers (Bottom of Page)"/>
        <w:docPartUnique/>
      </w:docPartObj>
    </w:sdtPr>
    <w:sdtEndPr>
      <w:rPr>
        <w:rFonts w:ascii="Times New Roman" w:hAnsi="Times New Roman"/>
        <w:noProof/>
        <w:color w:val="auto"/>
        <w:sz w:val="20"/>
        <w:szCs w:val="20"/>
      </w:rPr>
    </w:sdtEndPr>
    <w:sdtContent>
      <w:p w:rsidR="00231FF1" w:rsidRPr="00703635" w:rsidRDefault="00231FF1" w:rsidP="00703635">
        <w:pPr>
          <w:pStyle w:val="Footer"/>
          <w:rPr>
            <w:rFonts w:ascii="Times New Roman" w:hAnsi="Times New Roman"/>
            <w:color w:val="auto"/>
            <w:sz w:val="20"/>
            <w:szCs w:val="20"/>
          </w:rPr>
        </w:pPr>
        <w:r w:rsidRPr="00703635">
          <w:rPr>
            <w:rFonts w:ascii="Times New Roman" w:hAnsi="Times New Roman"/>
            <w:noProof w:val="0"/>
            <w:color w:val="auto"/>
            <w:sz w:val="20"/>
            <w:szCs w:val="20"/>
          </w:rPr>
          <w:fldChar w:fldCharType="begin"/>
        </w:r>
        <w:r w:rsidRPr="00703635">
          <w:rPr>
            <w:rFonts w:ascii="Times New Roman" w:hAnsi="Times New Roman"/>
            <w:color w:val="auto"/>
            <w:sz w:val="20"/>
            <w:szCs w:val="20"/>
          </w:rPr>
          <w:instrText xml:space="preserve"> PAGE   \* MERGEFORMAT </w:instrText>
        </w:r>
        <w:r w:rsidRPr="00703635">
          <w:rPr>
            <w:rFonts w:ascii="Times New Roman" w:hAnsi="Times New Roman"/>
            <w:noProof w:val="0"/>
            <w:color w:val="auto"/>
            <w:sz w:val="20"/>
            <w:szCs w:val="20"/>
          </w:rPr>
          <w:fldChar w:fldCharType="separate"/>
        </w:r>
        <w:r w:rsidR="00583D5B">
          <w:rPr>
            <w:rFonts w:ascii="Times New Roman" w:hAnsi="Times New Roman"/>
            <w:color w:val="auto"/>
            <w:sz w:val="20"/>
            <w:szCs w:val="20"/>
          </w:rPr>
          <w:t>11</w:t>
        </w:r>
        <w:r w:rsidRPr="00703635">
          <w:rPr>
            <w:rFonts w:ascii="Times New Roman" w:hAnsi="Times New Roman"/>
            <w:color w:val="aut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F1" w:rsidRDefault="00231FF1" w:rsidP="00F72085">
      <w:r>
        <w:separator/>
      </w:r>
    </w:p>
  </w:footnote>
  <w:footnote w:type="continuationSeparator" w:id="0">
    <w:p w:rsidR="00231FF1" w:rsidRDefault="00231FF1" w:rsidP="00F7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70033C"/>
    <w:multiLevelType w:val="hybridMultilevel"/>
    <w:tmpl w:val="23BE7D5C"/>
    <w:lvl w:ilvl="0" w:tplc="B1861356">
      <w:start w:val="1"/>
      <w:numFmt w:val="decimal"/>
      <w:lvlText w:val="%1."/>
      <w:lvlJc w:val="left"/>
      <w:pPr>
        <w:tabs>
          <w:tab w:val="num" w:pos="720"/>
        </w:tabs>
        <w:ind w:left="720" w:hanging="360"/>
      </w:pPr>
      <w:rPr>
        <w:b w:val="0"/>
        <w:i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E5007F"/>
    <w:multiLevelType w:val="hybridMultilevel"/>
    <w:tmpl w:val="52D637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1266531"/>
    <w:multiLevelType w:val="hybridMultilevel"/>
    <w:tmpl w:val="96920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7630F2C"/>
    <w:multiLevelType w:val="hybridMultilevel"/>
    <w:tmpl w:val="810C4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A25ABE"/>
    <w:multiLevelType w:val="hybridMultilevel"/>
    <w:tmpl w:val="0024D02C"/>
    <w:lvl w:ilvl="0" w:tplc="DFFA241E">
      <w:start w:val="1"/>
      <w:numFmt w:val="bullet"/>
      <w:lvlText w:val="​"/>
      <w:lvlJc w:val="left"/>
      <w:pPr>
        <w:tabs>
          <w:tab w:val="num" w:pos="720"/>
        </w:tabs>
        <w:ind w:left="720" w:hanging="360"/>
      </w:pPr>
      <w:rPr>
        <w:rFonts w:ascii="Arial" w:hAnsi="Arial" w:hint="default"/>
      </w:rPr>
    </w:lvl>
    <w:lvl w:ilvl="1" w:tplc="F1969B52" w:tentative="1">
      <w:start w:val="1"/>
      <w:numFmt w:val="bullet"/>
      <w:lvlText w:val="​"/>
      <w:lvlJc w:val="left"/>
      <w:pPr>
        <w:tabs>
          <w:tab w:val="num" w:pos="1440"/>
        </w:tabs>
        <w:ind w:left="1440" w:hanging="360"/>
      </w:pPr>
      <w:rPr>
        <w:rFonts w:ascii="Arial" w:hAnsi="Arial" w:hint="default"/>
      </w:rPr>
    </w:lvl>
    <w:lvl w:ilvl="2" w:tplc="054237B6" w:tentative="1">
      <w:start w:val="1"/>
      <w:numFmt w:val="bullet"/>
      <w:lvlText w:val="​"/>
      <w:lvlJc w:val="left"/>
      <w:pPr>
        <w:tabs>
          <w:tab w:val="num" w:pos="2160"/>
        </w:tabs>
        <w:ind w:left="2160" w:hanging="360"/>
      </w:pPr>
      <w:rPr>
        <w:rFonts w:ascii="Arial" w:hAnsi="Arial" w:hint="default"/>
      </w:rPr>
    </w:lvl>
    <w:lvl w:ilvl="3" w:tplc="D250E89A">
      <w:start w:val="1"/>
      <w:numFmt w:val="bullet"/>
      <w:lvlText w:val="​"/>
      <w:lvlJc w:val="left"/>
      <w:pPr>
        <w:tabs>
          <w:tab w:val="num" w:pos="2880"/>
        </w:tabs>
        <w:ind w:left="2880" w:hanging="360"/>
      </w:pPr>
      <w:rPr>
        <w:rFonts w:ascii="Arial" w:hAnsi="Arial" w:hint="default"/>
      </w:rPr>
    </w:lvl>
    <w:lvl w:ilvl="4" w:tplc="FFC60BD0" w:tentative="1">
      <w:start w:val="1"/>
      <w:numFmt w:val="bullet"/>
      <w:lvlText w:val="​"/>
      <w:lvlJc w:val="left"/>
      <w:pPr>
        <w:tabs>
          <w:tab w:val="num" w:pos="3600"/>
        </w:tabs>
        <w:ind w:left="3600" w:hanging="360"/>
      </w:pPr>
      <w:rPr>
        <w:rFonts w:ascii="Arial" w:hAnsi="Arial" w:hint="default"/>
      </w:rPr>
    </w:lvl>
    <w:lvl w:ilvl="5" w:tplc="6876EB9A" w:tentative="1">
      <w:start w:val="1"/>
      <w:numFmt w:val="bullet"/>
      <w:lvlText w:val="​"/>
      <w:lvlJc w:val="left"/>
      <w:pPr>
        <w:tabs>
          <w:tab w:val="num" w:pos="4320"/>
        </w:tabs>
        <w:ind w:left="4320" w:hanging="360"/>
      </w:pPr>
      <w:rPr>
        <w:rFonts w:ascii="Arial" w:hAnsi="Arial" w:hint="default"/>
      </w:rPr>
    </w:lvl>
    <w:lvl w:ilvl="6" w:tplc="1542CE30" w:tentative="1">
      <w:start w:val="1"/>
      <w:numFmt w:val="bullet"/>
      <w:lvlText w:val="​"/>
      <w:lvlJc w:val="left"/>
      <w:pPr>
        <w:tabs>
          <w:tab w:val="num" w:pos="5040"/>
        </w:tabs>
        <w:ind w:left="5040" w:hanging="360"/>
      </w:pPr>
      <w:rPr>
        <w:rFonts w:ascii="Arial" w:hAnsi="Arial" w:hint="default"/>
      </w:rPr>
    </w:lvl>
    <w:lvl w:ilvl="7" w:tplc="8446066E" w:tentative="1">
      <w:start w:val="1"/>
      <w:numFmt w:val="bullet"/>
      <w:lvlText w:val="​"/>
      <w:lvlJc w:val="left"/>
      <w:pPr>
        <w:tabs>
          <w:tab w:val="num" w:pos="5760"/>
        </w:tabs>
        <w:ind w:left="5760" w:hanging="360"/>
      </w:pPr>
      <w:rPr>
        <w:rFonts w:ascii="Arial" w:hAnsi="Arial" w:hint="default"/>
      </w:rPr>
    </w:lvl>
    <w:lvl w:ilvl="8" w:tplc="2848DA94" w:tentative="1">
      <w:start w:val="1"/>
      <w:numFmt w:val="bullet"/>
      <w:lvlText w:val="​"/>
      <w:lvlJc w:val="left"/>
      <w:pPr>
        <w:tabs>
          <w:tab w:val="num" w:pos="6480"/>
        </w:tabs>
        <w:ind w:left="6480" w:hanging="360"/>
      </w:pPr>
      <w:rPr>
        <w:rFonts w:ascii="Arial" w:hAnsi="Arial" w:hint="default"/>
      </w:rPr>
    </w:lvl>
  </w:abstractNum>
  <w:abstractNum w:abstractNumId="8">
    <w:nsid w:val="606542EC"/>
    <w:multiLevelType w:val="hybridMultilevel"/>
    <w:tmpl w:val="4BA4624E"/>
    <w:lvl w:ilvl="0" w:tplc="80C0C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6192750"/>
    <w:multiLevelType w:val="hybridMultilevel"/>
    <w:tmpl w:val="A65EF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6A934DA"/>
    <w:multiLevelType w:val="hybridMultilevel"/>
    <w:tmpl w:val="46F0C0F8"/>
    <w:lvl w:ilvl="0" w:tplc="80C0C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C841F6D"/>
    <w:multiLevelType w:val="hybridMultilevel"/>
    <w:tmpl w:val="8862B1DC"/>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12"/>
  </w:num>
  <w:num w:numId="5">
    <w:abstractNumId w:val="6"/>
  </w:num>
  <w:num w:numId="6">
    <w:abstractNumId w:val="11"/>
  </w:num>
  <w:num w:numId="7">
    <w:abstractNumId w:val="8"/>
  </w:num>
  <w:num w:numId="8">
    <w:abstractNumId w:val="5"/>
  </w:num>
  <w:num w:numId="9">
    <w:abstractNumId w:val="3"/>
  </w:num>
  <w:num w:numId="10">
    <w:abstractNumId w:val="13"/>
  </w:num>
  <w:num w:numId="11">
    <w:abstractNumId w:val="7"/>
  </w:num>
  <w:num w:numId="12">
    <w:abstractNumId w:val="9"/>
  </w:num>
  <w:num w:numId="13">
    <w:abstractNumId w:val="1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79"/>
    <w:rsid w:val="00001539"/>
    <w:rsid w:val="00002433"/>
    <w:rsid w:val="000037F4"/>
    <w:rsid w:val="0000448C"/>
    <w:rsid w:val="00004A8A"/>
    <w:rsid w:val="00005DC9"/>
    <w:rsid w:val="00010986"/>
    <w:rsid w:val="00010F7D"/>
    <w:rsid w:val="00012338"/>
    <w:rsid w:val="00013A18"/>
    <w:rsid w:val="00013BE7"/>
    <w:rsid w:val="00014196"/>
    <w:rsid w:val="000147DC"/>
    <w:rsid w:val="00015072"/>
    <w:rsid w:val="00016722"/>
    <w:rsid w:val="0002068B"/>
    <w:rsid w:val="000232EB"/>
    <w:rsid w:val="00023BAB"/>
    <w:rsid w:val="00023EA6"/>
    <w:rsid w:val="00024B22"/>
    <w:rsid w:val="0002568E"/>
    <w:rsid w:val="00025954"/>
    <w:rsid w:val="00030890"/>
    <w:rsid w:val="00030DEA"/>
    <w:rsid w:val="00033950"/>
    <w:rsid w:val="00033C49"/>
    <w:rsid w:val="000343E7"/>
    <w:rsid w:val="00034D23"/>
    <w:rsid w:val="00035185"/>
    <w:rsid w:val="00036A3D"/>
    <w:rsid w:val="00036EE4"/>
    <w:rsid w:val="00041469"/>
    <w:rsid w:val="00041CD1"/>
    <w:rsid w:val="0004221C"/>
    <w:rsid w:val="000431FE"/>
    <w:rsid w:val="0004355B"/>
    <w:rsid w:val="000435AD"/>
    <w:rsid w:val="00045AFC"/>
    <w:rsid w:val="00046F46"/>
    <w:rsid w:val="00047559"/>
    <w:rsid w:val="0005132F"/>
    <w:rsid w:val="00051AC3"/>
    <w:rsid w:val="000523FC"/>
    <w:rsid w:val="000526E4"/>
    <w:rsid w:val="0005434D"/>
    <w:rsid w:val="000545DC"/>
    <w:rsid w:val="0005503E"/>
    <w:rsid w:val="00055373"/>
    <w:rsid w:val="00055D70"/>
    <w:rsid w:val="00056263"/>
    <w:rsid w:val="00056E3D"/>
    <w:rsid w:val="00056F77"/>
    <w:rsid w:val="0005761E"/>
    <w:rsid w:val="000576BB"/>
    <w:rsid w:val="00057716"/>
    <w:rsid w:val="00057AC4"/>
    <w:rsid w:val="000606D4"/>
    <w:rsid w:val="00060712"/>
    <w:rsid w:val="00060AAB"/>
    <w:rsid w:val="00060CD3"/>
    <w:rsid w:val="00061383"/>
    <w:rsid w:val="00062870"/>
    <w:rsid w:val="00063042"/>
    <w:rsid w:val="00063890"/>
    <w:rsid w:val="000655B2"/>
    <w:rsid w:val="00070193"/>
    <w:rsid w:val="00073A19"/>
    <w:rsid w:val="00073D6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0E3C"/>
    <w:rsid w:val="000B16BF"/>
    <w:rsid w:val="000B2052"/>
    <w:rsid w:val="000B5B1E"/>
    <w:rsid w:val="000B7E8A"/>
    <w:rsid w:val="000C0912"/>
    <w:rsid w:val="000C2669"/>
    <w:rsid w:val="000C26E9"/>
    <w:rsid w:val="000C3EB5"/>
    <w:rsid w:val="000C43B6"/>
    <w:rsid w:val="000C684B"/>
    <w:rsid w:val="000C6EED"/>
    <w:rsid w:val="000C6FE3"/>
    <w:rsid w:val="000C79FD"/>
    <w:rsid w:val="000D012A"/>
    <w:rsid w:val="000D0FA0"/>
    <w:rsid w:val="000D2A6B"/>
    <w:rsid w:val="000D31FE"/>
    <w:rsid w:val="000D5E01"/>
    <w:rsid w:val="000D6393"/>
    <w:rsid w:val="000D670A"/>
    <w:rsid w:val="000D77C0"/>
    <w:rsid w:val="000D7C12"/>
    <w:rsid w:val="000E0036"/>
    <w:rsid w:val="000E1E77"/>
    <w:rsid w:val="000E2248"/>
    <w:rsid w:val="000E310A"/>
    <w:rsid w:val="000E3979"/>
    <w:rsid w:val="000E3CE1"/>
    <w:rsid w:val="000E73FF"/>
    <w:rsid w:val="000E7C1C"/>
    <w:rsid w:val="000F03B0"/>
    <w:rsid w:val="000F162C"/>
    <w:rsid w:val="000F3333"/>
    <w:rsid w:val="000F6F99"/>
    <w:rsid w:val="000F7020"/>
    <w:rsid w:val="00101A24"/>
    <w:rsid w:val="001025BD"/>
    <w:rsid w:val="00112896"/>
    <w:rsid w:val="00113146"/>
    <w:rsid w:val="00114F56"/>
    <w:rsid w:val="001158BA"/>
    <w:rsid w:val="00116006"/>
    <w:rsid w:val="00116B51"/>
    <w:rsid w:val="00116B8D"/>
    <w:rsid w:val="00120759"/>
    <w:rsid w:val="00121C53"/>
    <w:rsid w:val="0012410B"/>
    <w:rsid w:val="00125812"/>
    <w:rsid w:val="00125ADD"/>
    <w:rsid w:val="00126CD1"/>
    <w:rsid w:val="00127757"/>
    <w:rsid w:val="00130E8F"/>
    <w:rsid w:val="001336E3"/>
    <w:rsid w:val="001339BB"/>
    <w:rsid w:val="00136EED"/>
    <w:rsid w:val="00141B20"/>
    <w:rsid w:val="00141D39"/>
    <w:rsid w:val="00142051"/>
    <w:rsid w:val="001423C9"/>
    <w:rsid w:val="00143437"/>
    <w:rsid w:val="00143D79"/>
    <w:rsid w:val="00144369"/>
    <w:rsid w:val="00144ADC"/>
    <w:rsid w:val="00144BBB"/>
    <w:rsid w:val="00146FC1"/>
    <w:rsid w:val="00150932"/>
    <w:rsid w:val="00152D49"/>
    <w:rsid w:val="0015303E"/>
    <w:rsid w:val="00154C2E"/>
    <w:rsid w:val="00155831"/>
    <w:rsid w:val="00157E18"/>
    <w:rsid w:val="00161022"/>
    <w:rsid w:val="00161358"/>
    <w:rsid w:val="001620EB"/>
    <w:rsid w:val="001620F6"/>
    <w:rsid w:val="00162BF0"/>
    <w:rsid w:val="0016538E"/>
    <w:rsid w:val="00166A7A"/>
    <w:rsid w:val="00166C49"/>
    <w:rsid w:val="001674EB"/>
    <w:rsid w:val="00167EE1"/>
    <w:rsid w:val="001705C4"/>
    <w:rsid w:val="00171281"/>
    <w:rsid w:val="001712D6"/>
    <w:rsid w:val="001726B0"/>
    <w:rsid w:val="00173E7D"/>
    <w:rsid w:val="00175644"/>
    <w:rsid w:val="00175C66"/>
    <w:rsid w:val="001767C7"/>
    <w:rsid w:val="001800AF"/>
    <w:rsid w:val="00180A3B"/>
    <w:rsid w:val="00180BD5"/>
    <w:rsid w:val="00180D17"/>
    <w:rsid w:val="00183D99"/>
    <w:rsid w:val="00183EB1"/>
    <w:rsid w:val="00184219"/>
    <w:rsid w:val="00185884"/>
    <w:rsid w:val="0018634E"/>
    <w:rsid w:val="0018719D"/>
    <w:rsid w:val="001901C1"/>
    <w:rsid w:val="00190331"/>
    <w:rsid w:val="0019141D"/>
    <w:rsid w:val="00191B67"/>
    <w:rsid w:val="00191EEC"/>
    <w:rsid w:val="00194873"/>
    <w:rsid w:val="00194B8A"/>
    <w:rsid w:val="00194CF9"/>
    <w:rsid w:val="00197266"/>
    <w:rsid w:val="00197273"/>
    <w:rsid w:val="001A13C8"/>
    <w:rsid w:val="001A1C61"/>
    <w:rsid w:val="001A1DFB"/>
    <w:rsid w:val="001A2895"/>
    <w:rsid w:val="001A4BBF"/>
    <w:rsid w:val="001A5694"/>
    <w:rsid w:val="001A5BEE"/>
    <w:rsid w:val="001B0726"/>
    <w:rsid w:val="001B0A7A"/>
    <w:rsid w:val="001B0DF0"/>
    <w:rsid w:val="001B1A87"/>
    <w:rsid w:val="001B1BDF"/>
    <w:rsid w:val="001B24D5"/>
    <w:rsid w:val="001B2869"/>
    <w:rsid w:val="001B30A0"/>
    <w:rsid w:val="001B3F6D"/>
    <w:rsid w:val="001B3F81"/>
    <w:rsid w:val="001B4E6C"/>
    <w:rsid w:val="001B54FC"/>
    <w:rsid w:val="001B7122"/>
    <w:rsid w:val="001C0CF6"/>
    <w:rsid w:val="001C1D6C"/>
    <w:rsid w:val="001C2214"/>
    <w:rsid w:val="001C2524"/>
    <w:rsid w:val="001C41C2"/>
    <w:rsid w:val="001C6912"/>
    <w:rsid w:val="001C69AB"/>
    <w:rsid w:val="001D0A46"/>
    <w:rsid w:val="001D22ED"/>
    <w:rsid w:val="001D3440"/>
    <w:rsid w:val="001D37FB"/>
    <w:rsid w:val="001D42A5"/>
    <w:rsid w:val="001D4D62"/>
    <w:rsid w:val="001D53A8"/>
    <w:rsid w:val="001D6422"/>
    <w:rsid w:val="001D7325"/>
    <w:rsid w:val="001E12C8"/>
    <w:rsid w:val="001E1A8F"/>
    <w:rsid w:val="001E6AFE"/>
    <w:rsid w:val="001E7EF7"/>
    <w:rsid w:val="001F0773"/>
    <w:rsid w:val="001F0DD3"/>
    <w:rsid w:val="001F14DA"/>
    <w:rsid w:val="001F1711"/>
    <w:rsid w:val="001F1A2D"/>
    <w:rsid w:val="001F21CB"/>
    <w:rsid w:val="001F6750"/>
    <w:rsid w:val="00200311"/>
    <w:rsid w:val="002008D1"/>
    <w:rsid w:val="00202E20"/>
    <w:rsid w:val="002036AA"/>
    <w:rsid w:val="00203789"/>
    <w:rsid w:val="00204A66"/>
    <w:rsid w:val="00205334"/>
    <w:rsid w:val="00213B41"/>
    <w:rsid w:val="002169DC"/>
    <w:rsid w:val="00216DB5"/>
    <w:rsid w:val="00216F08"/>
    <w:rsid w:val="00217A19"/>
    <w:rsid w:val="00220F3A"/>
    <w:rsid w:val="0022284F"/>
    <w:rsid w:val="00222CA5"/>
    <w:rsid w:val="00223298"/>
    <w:rsid w:val="00224A1F"/>
    <w:rsid w:val="00224BD6"/>
    <w:rsid w:val="002253E9"/>
    <w:rsid w:val="002258FC"/>
    <w:rsid w:val="00225B33"/>
    <w:rsid w:val="00226226"/>
    <w:rsid w:val="00227D78"/>
    <w:rsid w:val="00227FE4"/>
    <w:rsid w:val="002317B4"/>
    <w:rsid w:val="00231FF1"/>
    <w:rsid w:val="002331A0"/>
    <w:rsid w:val="00233DC9"/>
    <w:rsid w:val="0023447D"/>
    <w:rsid w:val="0023708B"/>
    <w:rsid w:val="00237318"/>
    <w:rsid w:val="00237FE9"/>
    <w:rsid w:val="0024128C"/>
    <w:rsid w:val="00245DA0"/>
    <w:rsid w:val="00247ADA"/>
    <w:rsid w:val="00251406"/>
    <w:rsid w:val="00256654"/>
    <w:rsid w:val="0025775D"/>
    <w:rsid w:val="00257836"/>
    <w:rsid w:val="00264EEE"/>
    <w:rsid w:val="00264F9D"/>
    <w:rsid w:val="0026530E"/>
    <w:rsid w:val="00265A57"/>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79E"/>
    <w:rsid w:val="00275B26"/>
    <w:rsid w:val="0027706F"/>
    <w:rsid w:val="002773AA"/>
    <w:rsid w:val="0028015C"/>
    <w:rsid w:val="00281580"/>
    <w:rsid w:val="00282DD1"/>
    <w:rsid w:val="00282F54"/>
    <w:rsid w:val="00283259"/>
    <w:rsid w:val="00283AFA"/>
    <w:rsid w:val="00283D22"/>
    <w:rsid w:val="00287942"/>
    <w:rsid w:val="00287AEF"/>
    <w:rsid w:val="00292783"/>
    <w:rsid w:val="002929E7"/>
    <w:rsid w:val="0029399F"/>
    <w:rsid w:val="00293E21"/>
    <w:rsid w:val="00295264"/>
    <w:rsid w:val="00295DFA"/>
    <w:rsid w:val="00296404"/>
    <w:rsid w:val="0029649F"/>
    <w:rsid w:val="00296905"/>
    <w:rsid w:val="002A05D3"/>
    <w:rsid w:val="002A06C6"/>
    <w:rsid w:val="002A107A"/>
    <w:rsid w:val="002A535E"/>
    <w:rsid w:val="002A5881"/>
    <w:rsid w:val="002A5E7A"/>
    <w:rsid w:val="002B0025"/>
    <w:rsid w:val="002B07C9"/>
    <w:rsid w:val="002B0801"/>
    <w:rsid w:val="002B0A3F"/>
    <w:rsid w:val="002B225C"/>
    <w:rsid w:val="002B419A"/>
    <w:rsid w:val="002B5324"/>
    <w:rsid w:val="002B56E7"/>
    <w:rsid w:val="002B5823"/>
    <w:rsid w:val="002B660F"/>
    <w:rsid w:val="002B733A"/>
    <w:rsid w:val="002B7F4A"/>
    <w:rsid w:val="002B7F52"/>
    <w:rsid w:val="002C0074"/>
    <w:rsid w:val="002C097E"/>
    <w:rsid w:val="002C2315"/>
    <w:rsid w:val="002C27EF"/>
    <w:rsid w:val="002C301D"/>
    <w:rsid w:val="002C4A38"/>
    <w:rsid w:val="002C65B8"/>
    <w:rsid w:val="002C734D"/>
    <w:rsid w:val="002C744C"/>
    <w:rsid w:val="002D01BF"/>
    <w:rsid w:val="002D0FAA"/>
    <w:rsid w:val="002D317B"/>
    <w:rsid w:val="002D3E81"/>
    <w:rsid w:val="002D4AC3"/>
    <w:rsid w:val="002D52A0"/>
    <w:rsid w:val="002D6691"/>
    <w:rsid w:val="002E0169"/>
    <w:rsid w:val="002E062E"/>
    <w:rsid w:val="002E1226"/>
    <w:rsid w:val="002E1D30"/>
    <w:rsid w:val="002E2678"/>
    <w:rsid w:val="002E28C6"/>
    <w:rsid w:val="002E2F56"/>
    <w:rsid w:val="002E4DB3"/>
    <w:rsid w:val="002E6D37"/>
    <w:rsid w:val="002E79A6"/>
    <w:rsid w:val="002F0F9E"/>
    <w:rsid w:val="002F10BF"/>
    <w:rsid w:val="002F110D"/>
    <w:rsid w:val="002F1321"/>
    <w:rsid w:val="002F32BD"/>
    <w:rsid w:val="002F4407"/>
    <w:rsid w:val="002F5A1A"/>
    <w:rsid w:val="002F6E67"/>
    <w:rsid w:val="002F71F1"/>
    <w:rsid w:val="002F7C03"/>
    <w:rsid w:val="003009DB"/>
    <w:rsid w:val="0030111A"/>
    <w:rsid w:val="00301B15"/>
    <w:rsid w:val="003020F3"/>
    <w:rsid w:val="003022D4"/>
    <w:rsid w:val="003038AC"/>
    <w:rsid w:val="00305726"/>
    <w:rsid w:val="00306E9B"/>
    <w:rsid w:val="003076FA"/>
    <w:rsid w:val="00310D70"/>
    <w:rsid w:val="0031214B"/>
    <w:rsid w:val="00312ECE"/>
    <w:rsid w:val="00313F3E"/>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9F4"/>
    <w:rsid w:val="00362E2F"/>
    <w:rsid w:val="00362FE1"/>
    <w:rsid w:val="00363DCE"/>
    <w:rsid w:val="00365680"/>
    <w:rsid w:val="00365BB1"/>
    <w:rsid w:val="00366A1A"/>
    <w:rsid w:val="00367941"/>
    <w:rsid w:val="00367B6E"/>
    <w:rsid w:val="00370B2E"/>
    <w:rsid w:val="00372D68"/>
    <w:rsid w:val="0037447C"/>
    <w:rsid w:val="0037458C"/>
    <w:rsid w:val="00374E9A"/>
    <w:rsid w:val="00375E7C"/>
    <w:rsid w:val="00375FFD"/>
    <w:rsid w:val="00381DB8"/>
    <w:rsid w:val="003826A0"/>
    <w:rsid w:val="0038328C"/>
    <w:rsid w:val="00383462"/>
    <w:rsid w:val="00384B58"/>
    <w:rsid w:val="00385683"/>
    <w:rsid w:val="00385EC1"/>
    <w:rsid w:val="00386DBA"/>
    <w:rsid w:val="00386DD1"/>
    <w:rsid w:val="00387CA4"/>
    <w:rsid w:val="00391389"/>
    <w:rsid w:val="00391E64"/>
    <w:rsid w:val="0039348E"/>
    <w:rsid w:val="003937C8"/>
    <w:rsid w:val="0039491F"/>
    <w:rsid w:val="00395750"/>
    <w:rsid w:val="0039581F"/>
    <w:rsid w:val="00396861"/>
    <w:rsid w:val="0039783E"/>
    <w:rsid w:val="003A0009"/>
    <w:rsid w:val="003A0805"/>
    <w:rsid w:val="003A0E47"/>
    <w:rsid w:val="003A4360"/>
    <w:rsid w:val="003A55A7"/>
    <w:rsid w:val="003A68AA"/>
    <w:rsid w:val="003A7561"/>
    <w:rsid w:val="003A76E4"/>
    <w:rsid w:val="003B09F2"/>
    <w:rsid w:val="003B1032"/>
    <w:rsid w:val="003B1384"/>
    <w:rsid w:val="003B35B8"/>
    <w:rsid w:val="003B4A9D"/>
    <w:rsid w:val="003B4B13"/>
    <w:rsid w:val="003B4D2C"/>
    <w:rsid w:val="003B53A6"/>
    <w:rsid w:val="003C0785"/>
    <w:rsid w:val="003C0F8C"/>
    <w:rsid w:val="003C1764"/>
    <w:rsid w:val="003C26FB"/>
    <w:rsid w:val="003C3928"/>
    <w:rsid w:val="003C3AD0"/>
    <w:rsid w:val="003C722C"/>
    <w:rsid w:val="003C7985"/>
    <w:rsid w:val="003C7CAC"/>
    <w:rsid w:val="003C7E67"/>
    <w:rsid w:val="003D20DC"/>
    <w:rsid w:val="003D20ED"/>
    <w:rsid w:val="003D4ED7"/>
    <w:rsid w:val="003D6531"/>
    <w:rsid w:val="003D6C84"/>
    <w:rsid w:val="003E017A"/>
    <w:rsid w:val="003E1FAF"/>
    <w:rsid w:val="003E20B9"/>
    <w:rsid w:val="003E3836"/>
    <w:rsid w:val="003E39B9"/>
    <w:rsid w:val="003E4AC8"/>
    <w:rsid w:val="003E4BB4"/>
    <w:rsid w:val="003E68B5"/>
    <w:rsid w:val="003E6AD0"/>
    <w:rsid w:val="003F0B84"/>
    <w:rsid w:val="003F14AC"/>
    <w:rsid w:val="003F27A7"/>
    <w:rsid w:val="003F2D09"/>
    <w:rsid w:val="003F34BF"/>
    <w:rsid w:val="003F37EA"/>
    <w:rsid w:val="003F47F5"/>
    <w:rsid w:val="003F5776"/>
    <w:rsid w:val="003F59CC"/>
    <w:rsid w:val="003F5E57"/>
    <w:rsid w:val="003F5F9D"/>
    <w:rsid w:val="003F7652"/>
    <w:rsid w:val="003F7EDA"/>
    <w:rsid w:val="00401D87"/>
    <w:rsid w:val="00402BF8"/>
    <w:rsid w:val="00402F07"/>
    <w:rsid w:val="00403755"/>
    <w:rsid w:val="0040387F"/>
    <w:rsid w:val="00406227"/>
    <w:rsid w:val="00407920"/>
    <w:rsid w:val="00407D3B"/>
    <w:rsid w:val="0041033C"/>
    <w:rsid w:val="0041363C"/>
    <w:rsid w:val="00414CF0"/>
    <w:rsid w:val="00414E9A"/>
    <w:rsid w:val="00415CC4"/>
    <w:rsid w:val="00415FD6"/>
    <w:rsid w:val="0041696F"/>
    <w:rsid w:val="00416A17"/>
    <w:rsid w:val="00420D4C"/>
    <w:rsid w:val="00423B79"/>
    <w:rsid w:val="004240D2"/>
    <w:rsid w:val="00424ADF"/>
    <w:rsid w:val="004303B8"/>
    <w:rsid w:val="00431677"/>
    <w:rsid w:val="00433183"/>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388"/>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67B33"/>
    <w:rsid w:val="00470C11"/>
    <w:rsid w:val="00471759"/>
    <w:rsid w:val="0047175C"/>
    <w:rsid w:val="004721E0"/>
    <w:rsid w:val="00472E0B"/>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4C48"/>
    <w:rsid w:val="004A51CB"/>
    <w:rsid w:val="004A5D55"/>
    <w:rsid w:val="004A6D51"/>
    <w:rsid w:val="004B03BE"/>
    <w:rsid w:val="004B089A"/>
    <w:rsid w:val="004B0A75"/>
    <w:rsid w:val="004B0A80"/>
    <w:rsid w:val="004B1950"/>
    <w:rsid w:val="004B2839"/>
    <w:rsid w:val="004B300A"/>
    <w:rsid w:val="004B3FD3"/>
    <w:rsid w:val="004B4E7B"/>
    <w:rsid w:val="004B5761"/>
    <w:rsid w:val="004B7418"/>
    <w:rsid w:val="004B78FA"/>
    <w:rsid w:val="004C0431"/>
    <w:rsid w:val="004C0492"/>
    <w:rsid w:val="004C0FBA"/>
    <w:rsid w:val="004C1080"/>
    <w:rsid w:val="004C1896"/>
    <w:rsid w:val="004C2B29"/>
    <w:rsid w:val="004C3F7B"/>
    <w:rsid w:val="004C3FD4"/>
    <w:rsid w:val="004C4916"/>
    <w:rsid w:val="004C4D83"/>
    <w:rsid w:val="004C6A1A"/>
    <w:rsid w:val="004C78C4"/>
    <w:rsid w:val="004C7BFE"/>
    <w:rsid w:val="004D1B1D"/>
    <w:rsid w:val="004D2B88"/>
    <w:rsid w:val="004D2EB8"/>
    <w:rsid w:val="004D3A3F"/>
    <w:rsid w:val="004D512D"/>
    <w:rsid w:val="004D58A1"/>
    <w:rsid w:val="004D5D38"/>
    <w:rsid w:val="004D5F74"/>
    <w:rsid w:val="004D6ED4"/>
    <w:rsid w:val="004E10E0"/>
    <w:rsid w:val="004E198A"/>
    <w:rsid w:val="004E2A32"/>
    <w:rsid w:val="004E3061"/>
    <w:rsid w:val="004E3F7E"/>
    <w:rsid w:val="004E401C"/>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2456"/>
    <w:rsid w:val="005041A7"/>
    <w:rsid w:val="00504E3C"/>
    <w:rsid w:val="0050616C"/>
    <w:rsid w:val="00506456"/>
    <w:rsid w:val="00506825"/>
    <w:rsid w:val="00506FA2"/>
    <w:rsid w:val="00507196"/>
    <w:rsid w:val="005103B1"/>
    <w:rsid w:val="00515680"/>
    <w:rsid w:val="005173F5"/>
    <w:rsid w:val="00517D7F"/>
    <w:rsid w:val="00517E7D"/>
    <w:rsid w:val="00520779"/>
    <w:rsid w:val="00521C2D"/>
    <w:rsid w:val="00521E8C"/>
    <w:rsid w:val="005223FA"/>
    <w:rsid w:val="00523AAC"/>
    <w:rsid w:val="00523CF5"/>
    <w:rsid w:val="005246FD"/>
    <w:rsid w:val="00525A4C"/>
    <w:rsid w:val="00525C51"/>
    <w:rsid w:val="00527D26"/>
    <w:rsid w:val="00530417"/>
    <w:rsid w:val="00530B0F"/>
    <w:rsid w:val="00532095"/>
    <w:rsid w:val="005321B7"/>
    <w:rsid w:val="005328C3"/>
    <w:rsid w:val="0053379A"/>
    <w:rsid w:val="005337D5"/>
    <w:rsid w:val="0053679A"/>
    <w:rsid w:val="00536C66"/>
    <w:rsid w:val="0054067C"/>
    <w:rsid w:val="00541C62"/>
    <w:rsid w:val="005437B7"/>
    <w:rsid w:val="00543E03"/>
    <w:rsid w:val="00545F4F"/>
    <w:rsid w:val="00545F60"/>
    <w:rsid w:val="00546783"/>
    <w:rsid w:val="00547754"/>
    <w:rsid w:val="0054782B"/>
    <w:rsid w:val="0055051C"/>
    <w:rsid w:val="00550BD7"/>
    <w:rsid w:val="005520E3"/>
    <w:rsid w:val="005536BC"/>
    <w:rsid w:val="005544E5"/>
    <w:rsid w:val="005546D5"/>
    <w:rsid w:val="00554B2A"/>
    <w:rsid w:val="00554B2F"/>
    <w:rsid w:val="0055611A"/>
    <w:rsid w:val="00557118"/>
    <w:rsid w:val="005612C1"/>
    <w:rsid w:val="00562BC9"/>
    <w:rsid w:val="00562D74"/>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55E0"/>
    <w:rsid w:val="00576798"/>
    <w:rsid w:val="0057718C"/>
    <w:rsid w:val="00580450"/>
    <w:rsid w:val="00580CDE"/>
    <w:rsid w:val="00581009"/>
    <w:rsid w:val="005819B2"/>
    <w:rsid w:val="00582409"/>
    <w:rsid w:val="00582CB2"/>
    <w:rsid w:val="00582DC6"/>
    <w:rsid w:val="00583D5B"/>
    <w:rsid w:val="00583F9C"/>
    <w:rsid w:val="00585F5E"/>
    <w:rsid w:val="00586DC7"/>
    <w:rsid w:val="005872CC"/>
    <w:rsid w:val="00590969"/>
    <w:rsid w:val="00590BD9"/>
    <w:rsid w:val="00590D92"/>
    <w:rsid w:val="00591D93"/>
    <w:rsid w:val="00593561"/>
    <w:rsid w:val="00594805"/>
    <w:rsid w:val="00596392"/>
    <w:rsid w:val="00596EAD"/>
    <w:rsid w:val="00597DFE"/>
    <w:rsid w:val="00597FAF"/>
    <w:rsid w:val="005A13E7"/>
    <w:rsid w:val="005A196E"/>
    <w:rsid w:val="005A3D06"/>
    <w:rsid w:val="005A3DA9"/>
    <w:rsid w:val="005A5D0E"/>
    <w:rsid w:val="005A62E6"/>
    <w:rsid w:val="005A6CC1"/>
    <w:rsid w:val="005A6CCD"/>
    <w:rsid w:val="005A7107"/>
    <w:rsid w:val="005A764D"/>
    <w:rsid w:val="005B174D"/>
    <w:rsid w:val="005B1762"/>
    <w:rsid w:val="005B29AF"/>
    <w:rsid w:val="005B39D2"/>
    <w:rsid w:val="005B3B36"/>
    <w:rsid w:val="005B545C"/>
    <w:rsid w:val="005B5562"/>
    <w:rsid w:val="005B55F8"/>
    <w:rsid w:val="005B5924"/>
    <w:rsid w:val="005B5A92"/>
    <w:rsid w:val="005B6561"/>
    <w:rsid w:val="005B6BAD"/>
    <w:rsid w:val="005C0312"/>
    <w:rsid w:val="005C0453"/>
    <w:rsid w:val="005C21D1"/>
    <w:rsid w:val="005C24B6"/>
    <w:rsid w:val="005C29FA"/>
    <w:rsid w:val="005C363D"/>
    <w:rsid w:val="005C3E40"/>
    <w:rsid w:val="005C5F92"/>
    <w:rsid w:val="005C6EDB"/>
    <w:rsid w:val="005C7104"/>
    <w:rsid w:val="005D0763"/>
    <w:rsid w:val="005D0C79"/>
    <w:rsid w:val="005D0FD8"/>
    <w:rsid w:val="005D3DE0"/>
    <w:rsid w:val="005D4C84"/>
    <w:rsid w:val="005D57F3"/>
    <w:rsid w:val="005D67EA"/>
    <w:rsid w:val="005D7E2E"/>
    <w:rsid w:val="005E0B96"/>
    <w:rsid w:val="005E4156"/>
    <w:rsid w:val="005E45F6"/>
    <w:rsid w:val="005E6DB6"/>
    <w:rsid w:val="005E7559"/>
    <w:rsid w:val="005F2C40"/>
    <w:rsid w:val="005F4B22"/>
    <w:rsid w:val="005F4DCE"/>
    <w:rsid w:val="005F5FC9"/>
    <w:rsid w:val="0060184B"/>
    <w:rsid w:val="00601A52"/>
    <w:rsid w:val="00602E73"/>
    <w:rsid w:val="00603391"/>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63EA"/>
    <w:rsid w:val="006170F2"/>
    <w:rsid w:val="00617398"/>
    <w:rsid w:val="0061761D"/>
    <w:rsid w:val="006207E9"/>
    <w:rsid w:val="00621DEB"/>
    <w:rsid w:val="00621E70"/>
    <w:rsid w:val="00623735"/>
    <w:rsid w:val="006237C0"/>
    <w:rsid w:val="00623E6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4FB3"/>
    <w:rsid w:val="00645C45"/>
    <w:rsid w:val="00645FE2"/>
    <w:rsid w:val="00646179"/>
    <w:rsid w:val="00646267"/>
    <w:rsid w:val="006464FD"/>
    <w:rsid w:val="006474EE"/>
    <w:rsid w:val="0064763A"/>
    <w:rsid w:val="00653E11"/>
    <w:rsid w:val="006544DB"/>
    <w:rsid w:val="00656647"/>
    <w:rsid w:val="0065713B"/>
    <w:rsid w:val="0065713C"/>
    <w:rsid w:val="0065773E"/>
    <w:rsid w:val="00660B1F"/>
    <w:rsid w:val="00662194"/>
    <w:rsid w:val="006637FA"/>
    <w:rsid w:val="00663B17"/>
    <w:rsid w:val="00666A40"/>
    <w:rsid w:val="00667F4E"/>
    <w:rsid w:val="00671424"/>
    <w:rsid w:val="006755C1"/>
    <w:rsid w:val="00675A28"/>
    <w:rsid w:val="00676159"/>
    <w:rsid w:val="0067725D"/>
    <w:rsid w:val="006772A7"/>
    <w:rsid w:val="006772CA"/>
    <w:rsid w:val="00677648"/>
    <w:rsid w:val="00677EE9"/>
    <w:rsid w:val="006804CF"/>
    <w:rsid w:val="006822DA"/>
    <w:rsid w:val="00682473"/>
    <w:rsid w:val="006829A8"/>
    <w:rsid w:val="00682FBC"/>
    <w:rsid w:val="00683A57"/>
    <w:rsid w:val="0068449E"/>
    <w:rsid w:val="00684A4C"/>
    <w:rsid w:val="006873EA"/>
    <w:rsid w:val="00690883"/>
    <w:rsid w:val="00692162"/>
    <w:rsid w:val="00693024"/>
    <w:rsid w:val="006936F8"/>
    <w:rsid w:val="00694ABE"/>
    <w:rsid w:val="00694E49"/>
    <w:rsid w:val="006A0E74"/>
    <w:rsid w:val="006A0FE1"/>
    <w:rsid w:val="006A218F"/>
    <w:rsid w:val="006A3F76"/>
    <w:rsid w:val="006A4054"/>
    <w:rsid w:val="006A40A1"/>
    <w:rsid w:val="006A5C00"/>
    <w:rsid w:val="006A6165"/>
    <w:rsid w:val="006A6392"/>
    <w:rsid w:val="006A7E28"/>
    <w:rsid w:val="006B05CB"/>
    <w:rsid w:val="006B2116"/>
    <w:rsid w:val="006B2982"/>
    <w:rsid w:val="006B35BE"/>
    <w:rsid w:val="006B384B"/>
    <w:rsid w:val="006C0A4C"/>
    <w:rsid w:val="006C1B43"/>
    <w:rsid w:val="006C1D7C"/>
    <w:rsid w:val="006C3765"/>
    <w:rsid w:val="006C39BF"/>
    <w:rsid w:val="006C4775"/>
    <w:rsid w:val="006C6FA2"/>
    <w:rsid w:val="006C7000"/>
    <w:rsid w:val="006C7763"/>
    <w:rsid w:val="006D012B"/>
    <w:rsid w:val="006D053F"/>
    <w:rsid w:val="006D12A7"/>
    <w:rsid w:val="006D2BD5"/>
    <w:rsid w:val="006D3ECE"/>
    <w:rsid w:val="006D43DE"/>
    <w:rsid w:val="006D4E45"/>
    <w:rsid w:val="006D5063"/>
    <w:rsid w:val="006D5350"/>
    <w:rsid w:val="006D7B16"/>
    <w:rsid w:val="006E0317"/>
    <w:rsid w:val="006E0511"/>
    <w:rsid w:val="006E12C1"/>
    <w:rsid w:val="006E5580"/>
    <w:rsid w:val="006E607F"/>
    <w:rsid w:val="006E7DC2"/>
    <w:rsid w:val="006F01D3"/>
    <w:rsid w:val="006F0D73"/>
    <w:rsid w:val="006F1342"/>
    <w:rsid w:val="006F3D80"/>
    <w:rsid w:val="006F3EF5"/>
    <w:rsid w:val="006F49F0"/>
    <w:rsid w:val="0070184A"/>
    <w:rsid w:val="00702E8D"/>
    <w:rsid w:val="0070360B"/>
    <w:rsid w:val="00703635"/>
    <w:rsid w:val="00704726"/>
    <w:rsid w:val="007053E7"/>
    <w:rsid w:val="0070569D"/>
    <w:rsid w:val="00705884"/>
    <w:rsid w:val="00705BD1"/>
    <w:rsid w:val="007063F2"/>
    <w:rsid w:val="00706E77"/>
    <w:rsid w:val="007075B8"/>
    <w:rsid w:val="00707AFB"/>
    <w:rsid w:val="00707B2E"/>
    <w:rsid w:val="00710B00"/>
    <w:rsid w:val="00711471"/>
    <w:rsid w:val="00711D36"/>
    <w:rsid w:val="007121A9"/>
    <w:rsid w:val="00712398"/>
    <w:rsid w:val="007130D1"/>
    <w:rsid w:val="0071367A"/>
    <w:rsid w:val="00716DEA"/>
    <w:rsid w:val="0072034B"/>
    <w:rsid w:val="0072105B"/>
    <w:rsid w:val="0072284E"/>
    <w:rsid w:val="00723508"/>
    <w:rsid w:val="0073286C"/>
    <w:rsid w:val="007328CC"/>
    <w:rsid w:val="007330DF"/>
    <w:rsid w:val="00733260"/>
    <w:rsid w:val="00735070"/>
    <w:rsid w:val="00735AD3"/>
    <w:rsid w:val="007364DA"/>
    <w:rsid w:val="007409D2"/>
    <w:rsid w:val="00742222"/>
    <w:rsid w:val="00743EA9"/>
    <w:rsid w:val="0074529C"/>
    <w:rsid w:val="00745D53"/>
    <w:rsid w:val="00747ECC"/>
    <w:rsid w:val="00750BF8"/>
    <w:rsid w:val="00750E2F"/>
    <w:rsid w:val="007515BC"/>
    <w:rsid w:val="00752638"/>
    <w:rsid w:val="00753328"/>
    <w:rsid w:val="00753433"/>
    <w:rsid w:val="00754B87"/>
    <w:rsid w:val="00754E11"/>
    <w:rsid w:val="00756097"/>
    <w:rsid w:val="00757697"/>
    <w:rsid w:val="007632F7"/>
    <w:rsid w:val="00764F3A"/>
    <w:rsid w:val="00765CC1"/>
    <w:rsid w:val="007669BA"/>
    <w:rsid w:val="00766E7E"/>
    <w:rsid w:val="00770261"/>
    <w:rsid w:val="007712EA"/>
    <w:rsid w:val="00772439"/>
    <w:rsid w:val="00773ACD"/>
    <w:rsid w:val="007768C5"/>
    <w:rsid w:val="00776D5D"/>
    <w:rsid w:val="0077715B"/>
    <w:rsid w:val="007773BD"/>
    <w:rsid w:val="00777B72"/>
    <w:rsid w:val="00777EEE"/>
    <w:rsid w:val="007811C0"/>
    <w:rsid w:val="007819CF"/>
    <w:rsid w:val="0078263F"/>
    <w:rsid w:val="00782AAB"/>
    <w:rsid w:val="00783657"/>
    <w:rsid w:val="00783997"/>
    <w:rsid w:val="00786840"/>
    <w:rsid w:val="00790852"/>
    <w:rsid w:val="00790EEE"/>
    <w:rsid w:val="00791304"/>
    <w:rsid w:val="00791677"/>
    <w:rsid w:val="00791E8E"/>
    <w:rsid w:val="00792961"/>
    <w:rsid w:val="007931A9"/>
    <w:rsid w:val="00794725"/>
    <w:rsid w:val="00794E52"/>
    <w:rsid w:val="00794E6C"/>
    <w:rsid w:val="007952A7"/>
    <w:rsid w:val="007954E5"/>
    <w:rsid w:val="00795F49"/>
    <w:rsid w:val="00796982"/>
    <w:rsid w:val="0079778C"/>
    <w:rsid w:val="007A02C7"/>
    <w:rsid w:val="007A05C6"/>
    <w:rsid w:val="007A2C70"/>
    <w:rsid w:val="007A375D"/>
    <w:rsid w:val="007A4AFB"/>
    <w:rsid w:val="007A5826"/>
    <w:rsid w:val="007A657A"/>
    <w:rsid w:val="007B0635"/>
    <w:rsid w:val="007B1AC6"/>
    <w:rsid w:val="007B249F"/>
    <w:rsid w:val="007B4330"/>
    <w:rsid w:val="007B435A"/>
    <w:rsid w:val="007B4957"/>
    <w:rsid w:val="007B5D7E"/>
    <w:rsid w:val="007B788E"/>
    <w:rsid w:val="007C17B1"/>
    <w:rsid w:val="007C43BB"/>
    <w:rsid w:val="007C54BB"/>
    <w:rsid w:val="007C6ED9"/>
    <w:rsid w:val="007C737B"/>
    <w:rsid w:val="007D1D13"/>
    <w:rsid w:val="007D20FF"/>
    <w:rsid w:val="007D2752"/>
    <w:rsid w:val="007D36F2"/>
    <w:rsid w:val="007D3B6C"/>
    <w:rsid w:val="007D57DC"/>
    <w:rsid w:val="007E00A1"/>
    <w:rsid w:val="007E2BB1"/>
    <w:rsid w:val="007E2F2D"/>
    <w:rsid w:val="007E3A3A"/>
    <w:rsid w:val="007E3C1B"/>
    <w:rsid w:val="007E44A7"/>
    <w:rsid w:val="007E5680"/>
    <w:rsid w:val="007E6391"/>
    <w:rsid w:val="007E669C"/>
    <w:rsid w:val="007E6D47"/>
    <w:rsid w:val="007E71C7"/>
    <w:rsid w:val="007F0096"/>
    <w:rsid w:val="007F2BB3"/>
    <w:rsid w:val="007F35FA"/>
    <w:rsid w:val="007F3724"/>
    <w:rsid w:val="007F4330"/>
    <w:rsid w:val="007F45A7"/>
    <w:rsid w:val="007F48BA"/>
    <w:rsid w:val="007F4C1B"/>
    <w:rsid w:val="007F62A9"/>
    <w:rsid w:val="00800E9D"/>
    <w:rsid w:val="008022F1"/>
    <w:rsid w:val="0080288A"/>
    <w:rsid w:val="00802E2A"/>
    <w:rsid w:val="00803569"/>
    <w:rsid w:val="008049CE"/>
    <w:rsid w:val="00807058"/>
    <w:rsid w:val="0080739F"/>
    <w:rsid w:val="0080758E"/>
    <w:rsid w:val="0081025E"/>
    <w:rsid w:val="0081057D"/>
    <w:rsid w:val="008113AC"/>
    <w:rsid w:val="00812261"/>
    <w:rsid w:val="008124E6"/>
    <w:rsid w:val="00812B72"/>
    <w:rsid w:val="00813360"/>
    <w:rsid w:val="00813620"/>
    <w:rsid w:val="00816F3A"/>
    <w:rsid w:val="008171ED"/>
    <w:rsid w:val="00820A94"/>
    <w:rsid w:val="00822DB3"/>
    <w:rsid w:val="00823B52"/>
    <w:rsid w:val="00823B90"/>
    <w:rsid w:val="008265EA"/>
    <w:rsid w:val="00826CD9"/>
    <w:rsid w:val="008304E8"/>
    <w:rsid w:val="00831ACA"/>
    <w:rsid w:val="00831AD5"/>
    <w:rsid w:val="00831BAA"/>
    <w:rsid w:val="00831E32"/>
    <w:rsid w:val="00834C7B"/>
    <w:rsid w:val="00836367"/>
    <w:rsid w:val="008375CF"/>
    <w:rsid w:val="00840CC3"/>
    <w:rsid w:val="008425D5"/>
    <w:rsid w:val="00843D20"/>
    <w:rsid w:val="00844454"/>
    <w:rsid w:val="00847192"/>
    <w:rsid w:val="0084731D"/>
    <w:rsid w:val="00850142"/>
    <w:rsid w:val="008511D0"/>
    <w:rsid w:val="00857420"/>
    <w:rsid w:val="0085773A"/>
    <w:rsid w:val="008603F1"/>
    <w:rsid w:val="008605BC"/>
    <w:rsid w:val="00860CCE"/>
    <w:rsid w:val="00860E4E"/>
    <w:rsid w:val="00862540"/>
    <w:rsid w:val="00862551"/>
    <w:rsid w:val="0086294E"/>
    <w:rsid w:val="00863459"/>
    <w:rsid w:val="008637E1"/>
    <w:rsid w:val="008669BF"/>
    <w:rsid w:val="00867E68"/>
    <w:rsid w:val="00872CDA"/>
    <w:rsid w:val="0087340F"/>
    <w:rsid w:val="00873D37"/>
    <w:rsid w:val="00874188"/>
    <w:rsid w:val="00876879"/>
    <w:rsid w:val="00877374"/>
    <w:rsid w:val="0087759E"/>
    <w:rsid w:val="00881FC9"/>
    <w:rsid w:val="00882224"/>
    <w:rsid w:val="00882961"/>
    <w:rsid w:val="0088302D"/>
    <w:rsid w:val="008830FE"/>
    <w:rsid w:val="00883A51"/>
    <w:rsid w:val="008841C7"/>
    <w:rsid w:val="00885271"/>
    <w:rsid w:val="00885C28"/>
    <w:rsid w:val="00885F6B"/>
    <w:rsid w:val="008866E0"/>
    <w:rsid w:val="00887803"/>
    <w:rsid w:val="00887ABA"/>
    <w:rsid w:val="00891481"/>
    <w:rsid w:val="00893A34"/>
    <w:rsid w:val="00893F1F"/>
    <w:rsid w:val="0089401A"/>
    <w:rsid w:val="00897964"/>
    <w:rsid w:val="008A02FC"/>
    <w:rsid w:val="008A0F7B"/>
    <w:rsid w:val="008A2029"/>
    <w:rsid w:val="008A2903"/>
    <w:rsid w:val="008A2ECB"/>
    <w:rsid w:val="008A41D1"/>
    <w:rsid w:val="008A6B32"/>
    <w:rsid w:val="008A6D57"/>
    <w:rsid w:val="008A7DEB"/>
    <w:rsid w:val="008B12B9"/>
    <w:rsid w:val="008B28FD"/>
    <w:rsid w:val="008B39F2"/>
    <w:rsid w:val="008B55E7"/>
    <w:rsid w:val="008B7CC7"/>
    <w:rsid w:val="008C0BAD"/>
    <w:rsid w:val="008C1654"/>
    <w:rsid w:val="008C2E66"/>
    <w:rsid w:val="008C3CF3"/>
    <w:rsid w:val="008C4059"/>
    <w:rsid w:val="008C46FF"/>
    <w:rsid w:val="008C5061"/>
    <w:rsid w:val="008D321E"/>
    <w:rsid w:val="008D4069"/>
    <w:rsid w:val="008D4C74"/>
    <w:rsid w:val="008D578D"/>
    <w:rsid w:val="008D6F8D"/>
    <w:rsid w:val="008E0455"/>
    <w:rsid w:val="008E0799"/>
    <w:rsid w:val="008E116A"/>
    <w:rsid w:val="008E144C"/>
    <w:rsid w:val="008E1524"/>
    <w:rsid w:val="008E1751"/>
    <w:rsid w:val="008E26E9"/>
    <w:rsid w:val="008E35D5"/>
    <w:rsid w:val="008E499D"/>
    <w:rsid w:val="008F1742"/>
    <w:rsid w:val="008F2581"/>
    <w:rsid w:val="008F3401"/>
    <w:rsid w:val="008F45DD"/>
    <w:rsid w:val="008F524F"/>
    <w:rsid w:val="008F546B"/>
    <w:rsid w:val="008F60B4"/>
    <w:rsid w:val="008F7F16"/>
    <w:rsid w:val="009011FA"/>
    <w:rsid w:val="009039B2"/>
    <w:rsid w:val="00903A46"/>
    <w:rsid w:val="00907EF1"/>
    <w:rsid w:val="009108A0"/>
    <w:rsid w:val="009112D6"/>
    <w:rsid w:val="009112FF"/>
    <w:rsid w:val="00911779"/>
    <w:rsid w:val="00912583"/>
    <w:rsid w:val="00912FE6"/>
    <w:rsid w:val="0091537A"/>
    <w:rsid w:val="0091613C"/>
    <w:rsid w:val="00916333"/>
    <w:rsid w:val="00916AA9"/>
    <w:rsid w:val="00917703"/>
    <w:rsid w:val="00921613"/>
    <w:rsid w:val="00921AD9"/>
    <w:rsid w:val="00922DFB"/>
    <w:rsid w:val="00924DAD"/>
    <w:rsid w:val="00924EF9"/>
    <w:rsid w:val="00926B17"/>
    <w:rsid w:val="0093101F"/>
    <w:rsid w:val="00931139"/>
    <w:rsid w:val="00931186"/>
    <w:rsid w:val="00931C60"/>
    <w:rsid w:val="00932330"/>
    <w:rsid w:val="009331F5"/>
    <w:rsid w:val="009366A0"/>
    <w:rsid w:val="00936BF0"/>
    <w:rsid w:val="009407EE"/>
    <w:rsid w:val="00943B26"/>
    <w:rsid w:val="00950357"/>
    <w:rsid w:val="00951FE2"/>
    <w:rsid w:val="0095200D"/>
    <w:rsid w:val="009542D3"/>
    <w:rsid w:val="009549C9"/>
    <w:rsid w:val="00956DA6"/>
    <w:rsid w:val="009575E3"/>
    <w:rsid w:val="00957F52"/>
    <w:rsid w:val="00960387"/>
    <w:rsid w:val="00961C3D"/>
    <w:rsid w:val="00961DC0"/>
    <w:rsid w:val="00962484"/>
    <w:rsid w:val="0096278C"/>
    <w:rsid w:val="009643C4"/>
    <w:rsid w:val="00967BAA"/>
    <w:rsid w:val="00970335"/>
    <w:rsid w:val="00970DF3"/>
    <w:rsid w:val="00975870"/>
    <w:rsid w:val="00975CDC"/>
    <w:rsid w:val="009768F2"/>
    <w:rsid w:val="00981A56"/>
    <w:rsid w:val="00983242"/>
    <w:rsid w:val="00983700"/>
    <w:rsid w:val="00984467"/>
    <w:rsid w:val="0098563C"/>
    <w:rsid w:val="0098603E"/>
    <w:rsid w:val="00986F53"/>
    <w:rsid w:val="00987D6B"/>
    <w:rsid w:val="0099053A"/>
    <w:rsid w:val="009910D3"/>
    <w:rsid w:val="009918E8"/>
    <w:rsid w:val="00991ACC"/>
    <w:rsid w:val="00992345"/>
    <w:rsid w:val="00993572"/>
    <w:rsid w:val="00995D58"/>
    <w:rsid w:val="0099604A"/>
    <w:rsid w:val="009962FE"/>
    <w:rsid w:val="00997E46"/>
    <w:rsid w:val="009A0E5A"/>
    <w:rsid w:val="009A1F84"/>
    <w:rsid w:val="009A237B"/>
    <w:rsid w:val="009A23EE"/>
    <w:rsid w:val="009A2418"/>
    <w:rsid w:val="009A2C24"/>
    <w:rsid w:val="009A4293"/>
    <w:rsid w:val="009A6068"/>
    <w:rsid w:val="009A6237"/>
    <w:rsid w:val="009B0464"/>
    <w:rsid w:val="009B1209"/>
    <w:rsid w:val="009B3F9B"/>
    <w:rsid w:val="009B4464"/>
    <w:rsid w:val="009B5ED9"/>
    <w:rsid w:val="009B687E"/>
    <w:rsid w:val="009B78C5"/>
    <w:rsid w:val="009C3EDA"/>
    <w:rsid w:val="009C4DC5"/>
    <w:rsid w:val="009C4F2E"/>
    <w:rsid w:val="009C5262"/>
    <w:rsid w:val="009C6B0A"/>
    <w:rsid w:val="009C7191"/>
    <w:rsid w:val="009D07A9"/>
    <w:rsid w:val="009D1490"/>
    <w:rsid w:val="009D176F"/>
    <w:rsid w:val="009D4A45"/>
    <w:rsid w:val="009D5865"/>
    <w:rsid w:val="009D5E4C"/>
    <w:rsid w:val="009D6D25"/>
    <w:rsid w:val="009E03FB"/>
    <w:rsid w:val="009E0BD6"/>
    <w:rsid w:val="009E17B9"/>
    <w:rsid w:val="009E1809"/>
    <w:rsid w:val="009E39BD"/>
    <w:rsid w:val="009E56D2"/>
    <w:rsid w:val="009E5F4F"/>
    <w:rsid w:val="009F06E5"/>
    <w:rsid w:val="009F09E6"/>
    <w:rsid w:val="009F25A9"/>
    <w:rsid w:val="009F39B2"/>
    <w:rsid w:val="009F630C"/>
    <w:rsid w:val="009F70EC"/>
    <w:rsid w:val="009F7B9A"/>
    <w:rsid w:val="009F7F75"/>
    <w:rsid w:val="00A01A80"/>
    <w:rsid w:val="00A0358C"/>
    <w:rsid w:val="00A03704"/>
    <w:rsid w:val="00A05AD3"/>
    <w:rsid w:val="00A067D6"/>
    <w:rsid w:val="00A06AC7"/>
    <w:rsid w:val="00A11347"/>
    <w:rsid w:val="00A11C67"/>
    <w:rsid w:val="00A12961"/>
    <w:rsid w:val="00A136AC"/>
    <w:rsid w:val="00A13885"/>
    <w:rsid w:val="00A140B1"/>
    <w:rsid w:val="00A1430D"/>
    <w:rsid w:val="00A144CF"/>
    <w:rsid w:val="00A169B4"/>
    <w:rsid w:val="00A16CD8"/>
    <w:rsid w:val="00A178DF"/>
    <w:rsid w:val="00A17A61"/>
    <w:rsid w:val="00A20C92"/>
    <w:rsid w:val="00A214BF"/>
    <w:rsid w:val="00A227F2"/>
    <w:rsid w:val="00A240B1"/>
    <w:rsid w:val="00A241BD"/>
    <w:rsid w:val="00A250BC"/>
    <w:rsid w:val="00A260E7"/>
    <w:rsid w:val="00A2777E"/>
    <w:rsid w:val="00A3103A"/>
    <w:rsid w:val="00A31268"/>
    <w:rsid w:val="00A31E8F"/>
    <w:rsid w:val="00A3580A"/>
    <w:rsid w:val="00A37E1D"/>
    <w:rsid w:val="00A40AF3"/>
    <w:rsid w:val="00A41E37"/>
    <w:rsid w:val="00A41FC7"/>
    <w:rsid w:val="00A44EB9"/>
    <w:rsid w:val="00A458F0"/>
    <w:rsid w:val="00A46A67"/>
    <w:rsid w:val="00A474F8"/>
    <w:rsid w:val="00A51635"/>
    <w:rsid w:val="00A51CC9"/>
    <w:rsid w:val="00A51EF6"/>
    <w:rsid w:val="00A52763"/>
    <w:rsid w:val="00A52964"/>
    <w:rsid w:val="00A541BB"/>
    <w:rsid w:val="00A5666B"/>
    <w:rsid w:val="00A637DD"/>
    <w:rsid w:val="00A65EA6"/>
    <w:rsid w:val="00A72D91"/>
    <w:rsid w:val="00A730AA"/>
    <w:rsid w:val="00A73D4B"/>
    <w:rsid w:val="00A73D8A"/>
    <w:rsid w:val="00A748A3"/>
    <w:rsid w:val="00A761FA"/>
    <w:rsid w:val="00A767D1"/>
    <w:rsid w:val="00A771C0"/>
    <w:rsid w:val="00A80CA4"/>
    <w:rsid w:val="00A81192"/>
    <w:rsid w:val="00A81297"/>
    <w:rsid w:val="00A82A72"/>
    <w:rsid w:val="00A85A08"/>
    <w:rsid w:val="00A86724"/>
    <w:rsid w:val="00A8672D"/>
    <w:rsid w:val="00A90B0E"/>
    <w:rsid w:val="00A90B93"/>
    <w:rsid w:val="00A91B34"/>
    <w:rsid w:val="00A92AB2"/>
    <w:rsid w:val="00A92E1D"/>
    <w:rsid w:val="00A93C1B"/>
    <w:rsid w:val="00A93DE7"/>
    <w:rsid w:val="00A94F1D"/>
    <w:rsid w:val="00A95810"/>
    <w:rsid w:val="00A95DA6"/>
    <w:rsid w:val="00A95DD0"/>
    <w:rsid w:val="00A97006"/>
    <w:rsid w:val="00A97DC2"/>
    <w:rsid w:val="00AA0305"/>
    <w:rsid w:val="00AA1DB3"/>
    <w:rsid w:val="00AA1E55"/>
    <w:rsid w:val="00AA2A15"/>
    <w:rsid w:val="00AA2A96"/>
    <w:rsid w:val="00AA2B71"/>
    <w:rsid w:val="00AA42A7"/>
    <w:rsid w:val="00AA50D5"/>
    <w:rsid w:val="00AA6314"/>
    <w:rsid w:val="00AA714E"/>
    <w:rsid w:val="00AB0266"/>
    <w:rsid w:val="00AB1C8B"/>
    <w:rsid w:val="00AB4B80"/>
    <w:rsid w:val="00AB7678"/>
    <w:rsid w:val="00AC014E"/>
    <w:rsid w:val="00AC238D"/>
    <w:rsid w:val="00AC4B7F"/>
    <w:rsid w:val="00AC7238"/>
    <w:rsid w:val="00AC7BEB"/>
    <w:rsid w:val="00AC7C05"/>
    <w:rsid w:val="00AD15C0"/>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1ACE"/>
    <w:rsid w:val="00AF26A2"/>
    <w:rsid w:val="00AF3AAE"/>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0381"/>
    <w:rsid w:val="00B23398"/>
    <w:rsid w:val="00B23AAF"/>
    <w:rsid w:val="00B245B0"/>
    <w:rsid w:val="00B26E56"/>
    <w:rsid w:val="00B31879"/>
    <w:rsid w:val="00B3311C"/>
    <w:rsid w:val="00B33125"/>
    <w:rsid w:val="00B34A3B"/>
    <w:rsid w:val="00B352F8"/>
    <w:rsid w:val="00B355C5"/>
    <w:rsid w:val="00B3673D"/>
    <w:rsid w:val="00B4064A"/>
    <w:rsid w:val="00B41FAB"/>
    <w:rsid w:val="00B44C6C"/>
    <w:rsid w:val="00B471FC"/>
    <w:rsid w:val="00B47431"/>
    <w:rsid w:val="00B4757F"/>
    <w:rsid w:val="00B5187A"/>
    <w:rsid w:val="00B5229A"/>
    <w:rsid w:val="00B529CC"/>
    <w:rsid w:val="00B52E33"/>
    <w:rsid w:val="00B53DB7"/>
    <w:rsid w:val="00B55CD1"/>
    <w:rsid w:val="00B605F9"/>
    <w:rsid w:val="00B6177D"/>
    <w:rsid w:val="00B61C67"/>
    <w:rsid w:val="00B6314D"/>
    <w:rsid w:val="00B64BD8"/>
    <w:rsid w:val="00B66EB0"/>
    <w:rsid w:val="00B70EFF"/>
    <w:rsid w:val="00B713DA"/>
    <w:rsid w:val="00B71654"/>
    <w:rsid w:val="00B7262B"/>
    <w:rsid w:val="00B727C2"/>
    <w:rsid w:val="00B738C7"/>
    <w:rsid w:val="00B747AC"/>
    <w:rsid w:val="00B759E5"/>
    <w:rsid w:val="00B75E1D"/>
    <w:rsid w:val="00B77124"/>
    <w:rsid w:val="00B8023E"/>
    <w:rsid w:val="00B819F6"/>
    <w:rsid w:val="00B81C1B"/>
    <w:rsid w:val="00B82106"/>
    <w:rsid w:val="00B82526"/>
    <w:rsid w:val="00B82809"/>
    <w:rsid w:val="00B87915"/>
    <w:rsid w:val="00B9084D"/>
    <w:rsid w:val="00B91224"/>
    <w:rsid w:val="00B91420"/>
    <w:rsid w:val="00B92DEC"/>
    <w:rsid w:val="00B9525A"/>
    <w:rsid w:val="00B97119"/>
    <w:rsid w:val="00B97ECC"/>
    <w:rsid w:val="00BA015D"/>
    <w:rsid w:val="00BA064C"/>
    <w:rsid w:val="00BA08F9"/>
    <w:rsid w:val="00BA0C85"/>
    <w:rsid w:val="00BA0E00"/>
    <w:rsid w:val="00BA1B22"/>
    <w:rsid w:val="00BA4091"/>
    <w:rsid w:val="00BA4735"/>
    <w:rsid w:val="00BA54D5"/>
    <w:rsid w:val="00BB2DB8"/>
    <w:rsid w:val="00BB3A50"/>
    <w:rsid w:val="00BB44DE"/>
    <w:rsid w:val="00BB4D9B"/>
    <w:rsid w:val="00BB647C"/>
    <w:rsid w:val="00BC0C83"/>
    <w:rsid w:val="00BC33E7"/>
    <w:rsid w:val="00BC5A0A"/>
    <w:rsid w:val="00BC61B1"/>
    <w:rsid w:val="00BC74B2"/>
    <w:rsid w:val="00BD1BA8"/>
    <w:rsid w:val="00BD1F16"/>
    <w:rsid w:val="00BD1F4A"/>
    <w:rsid w:val="00BD201F"/>
    <w:rsid w:val="00BD27A9"/>
    <w:rsid w:val="00BD4CB1"/>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050FF"/>
    <w:rsid w:val="00C05953"/>
    <w:rsid w:val="00C10374"/>
    <w:rsid w:val="00C12840"/>
    <w:rsid w:val="00C13480"/>
    <w:rsid w:val="00C1593D"/>
    <w:rsid w:val="00C172E3"/>
    <w:rsid w:val="00C217D7"/>
    <w:rsid w:val="00C21910"/>
    <w:rsid w:val="00C22372"/>
    <w:rsid w:val="00C22791"/>
    <w:rsid w:val="00C229AA"/>
    <w:rsid w:val="00C2315C"/>
    <w:rsid w:val="00C244FF"/>
    <w:rsid w:val="00C268EB"/>
    <w:rsid w:val="00C27FC3"/>
    <w:rsid w:val="00C33D51"/>
    <w:rsid w:val="00C34065"/>
    <w:rsid w:val="00C34F7E"/>
    <w:rsid w:val="00C34F94"/>
    <w:rsid w:val="00C35BF3"/>
    <w:rsid w:val="00C3670D"/>
    <w:rsid w:val="00C41370"/>
    <w:rsid w:val="00C41EED"/>
    <w:rsid w:val="00C442B6"/>
    <w:rsid w:val="00C459A1"/>
    <w:rsid w:val="00C474DA"/>
    <w:rsid w:val="00C47A2B"/>
    <w:rsid w:val="00C5096F"/>
    <w:rsid w:val="00C50CC6"/>
    <w:rsid w:val="00C5302D"/>
    <w:rsid w:val="00C5403F"/>
    <w:rsid w:val="00C5506E"/>
    <w:rsid w:val="00C55956"/>
    <w:rsid w:val="00C55CDD"/>
    <w:rsid w:val="00C5787F"/>
    <w:rsid w:val="00C57E44"/>
    <w:rsid w:val="00C60E71"/>
    <w:rsid w:val="00C61A6F"/>
    <w:rsid w:val="00C62F4A"/>
    <w:rsid w:val="00C6318D"/>
    <w:rsid w:val="00C634DB"/>
    <w:rsid w:val="00C63883"/>
    <w:rsid w:val="00C65327"/>
    <w:rsid w:val="00C66506"/>
    <w:rsid w:val="00C66705"/>
    <w:rsid w:val="00C70641"/>
    <w:rsid w:val="00C7268D"/>
    <w:rsid w:val="00C72EF0"/>
    <w:rsid w:val="00C7318D"/>
    <w:rsid w:val="00C74694"/>
    <w:rsid w:val="00C74CC2"/>
    <w:rsid w:val="00C759CC"/>
    <w:rsid w:val="00C76487"/>
    <w:rsid w:val="00C77322"/>
    <w:rsid w:val="00C773EF"/>
    <w:rsid w:val="00C77ACD"/>
    <w:rsid w:val="00C8022E"/>
    <w:rsid w:val="00C81584"/>
    <w:rsid w:val="00C82FC1"/>
    <w:rsid w:val="00C83726"/>
    <w:rsid w:val="00C84A8C"/>
    <w:rsid w:val="00C85536"/>
    <w:rsid w:val="00C9240D"/>
    <w:rsid w:val="00C96565"/>
    <w:rsid w:val="00C97069"/>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3BFA"/>
    <w:rsid w:val="00CB6BD8"/>
    <w:rsid w:val="00CB74C1"/>
    <w:rsid w:val="00CC0031"/>
    <w:rsid w:val="00CC1B2D"/>
    <w:rsid w:val="00CC25A2"/>
    <w:rsid w:val="00CC2C4F"/>
    <w:rsid w:val="00CC3FDF"/>
    <w:rsid w:val="00CC60B9"/>
    <w:rsid w:val="00CC6991"/>
    <w:rsid w:val="00CD1628"/>
    <w:rsid w:val="00CD2712"/>
    <w:rsid w:val="00CD35A0"/>
    <w:rsid w:val="00CD41EE"/>
    <w:rsid w:val="00CD476F"/>
    <w:rsid w:val="00CD56A8"/>
    <w:rsid w:val="00CD664F"/>
    <w:rsid w:val="00CD666F"/>
    <w:rsid w:val="00CD7C95"/>
    <w:rsid w:val="00CE1FFB"/>
    <w:rsid w:val="00CE3D5E"/>
    <w:rsid w:val="00CE49E7"/>
    <w:rsid w:val="00CE642E"/>
    <w:rsid w:val="00CE7794"/>
    <w:rsid w:val="00CF034B"/>
    <w:rsid w:val="00CF32E9"/>
    <w:rsid w:val="00CF345C"/>
    <w:rsid w:val="00CF3463"/>
    <w:rsid w:val="00CF34C1"/>
    <w:rsid w:val="00CF34C8"/>
    <w:rsid w:val="00CF431E"/>
    <w:rsid w:val="00CF4E94"/>
    <w:rsid w:val="00CF56C1"/>
    <w:rsid w:val="00CF75BA"/>
    <w:rsid w:val="00CF7686"/>
    <w:rsid w:val="00D00508"/>
    <w:rsid w:val="00D0100E"/>
    <w:rsid w:val="00D010E3"/>
    <w:rsid w:val="00D01A19"/>
    <w:rsid w:val="00D02E90"/>
    <w:rsid w:val="00D0482D"/>
    <w:rsid w:val="00D05810"/>
    <w:rsid w:val="00D05831"/>
    <w:rsid w:val="00D10925"/>
    <w:rsid w:val="00D15ADE"/>
    <w:rsid w:val="00D175A2"/>
    <w:rsid w:val="00D20416"/>
    <w:rsid w:val="00D20CCF"/>
    <w:rsid w:val="00D21942"/>
    <w:rsid w:val="00D22B65"/>
    <w:rsid w:val="00D23682"/>
    <w:rsid w:val="00D26600"/>
    <w:rsid w:val="00D30BD9"/>
    <w:rsid w:val="00D30C9F"/>
    <w:rsid w:val="00D31275"/>
    <w:rsid w:val="00D3196B"/>
    <w:rsid w:val="00D324FC"/>
    <w:rsid w:val="00D35CF7"/>
    <w:rsid w:val="00D35F36"/>
    <w:rsid w:val="00D378DF"/>
    <w:rsid w:val="00D41322"/>
    <w:rsid w:val="00D42B0C"/>
    <w:rsid w:val="00D43F81"/>
    <w:rsid w:val="00D466A9"/>
    <w:rsid w:val="00D47AC5"/>
    <w:rsid w:val="00D507AD"/>
    <w:rsid w:val="00D5090D"/>
    <w:rsid w:val="00D5113F"/>
    <w:rsid w:val="00D51F0B"/>
    <w:rsid w:val="00D52351"/>
    <w:rsid w:val="00D56336"/>
    <w:rsid w:val="00D56BA7"/>
    <w:rsid w:val="00D576E9"/>
    <w:rsid w:val="00D5781D"/>
    <w:rsid w:val="00D60F92"/>
    <w:rsid w:val="00D617EF"/>
    <w:rsid w:val="00D618B4"/>
    <w:rsid w:val="00D62ECD"/>
    <w:rsid w:val="00D65CF2"/>
    <w:rsid w:val="00D6682C"/>
    <w:rsid w:val="00D66CF8"/>
    <w:rsid w:val="00D66DB5"/>
    <w:rsid w:val="00D678BC"/>
    <w:rsid w:val="00D67F9B"/>
    <w:rsid w:val="00D7008D"/>
    <w:rsid w:val="00D7086E"/>
    <w:rsid w:val="00D70C49"/>
    <w:rsid w:val="00D70F3A"/>
    <w:rsid w:val="00D71EDD"/>
    <w:rsid w:val="00D72BEF"/>
    <w:rsid w:val="00D72C62"/>
    <w:rsid w:val="00D73886"/>
    <w:rsid w:val="00D76AB8"/>
    <w:rsid w:val="00D772B3"/>
    <w:rsid w:val="00D77A52"/>
    <w:rsid w:val="00D80DC9"/>
    <w:rsid w:val="00D81B58"/>
    <w:rsid w:val="00D81C14"/>
    <w:rsid w:val="00D832D5"/>
    <w:rsid w:val="00D83376"/>
    <w:rsid w:val="00D84B5D"/>
    <w:rsid w:val="00D853AF"/>
    <w:rsid w:val="00D853FF"/>
    <w:rsid w:val="00D860C6"/>
    <w:rsid w:val="00D8705F"/>
    <w:rsid w:val="00D87A07"/>
    <w:rsid w:val="00D91895"/>
    <w:rsid w:val="00D92A15"/>
    <w:rsid w:val="00D934FF"/>
    <w:rsid w:val="00D943DD"/>
    <w:rsid w:val="00D957C0"/>
    <w:rsid w:val="00D965FE"/>
    <w:rsid w:val="00DA03B8"/>
    <w:rsid w:val="00DA0546"/>
    <w:rsid w:val="00DA05C4"/>
    <w:rsid w:val="00DA1332"/>
    <w:rsid w:val="00DA377B"/>
    <w:rsid w:val="00DA427F"/>
    <w:rsid w:val="00DA48F6"/>
    <w:rsid w:val="00DA5238"/>
    <w:rsid w:val="00DA53C1"/>
    <w:rsid w:val="00DA5621"/>
    <w:rsid w:val="00DA5B67"/>
    <w:rsid w:val="00DA7ECD"/>
    <w:rsid w:val="00DB09E4"/>
    <w:rsid w:val="00DB0A45"/>
    <w:rsid w:val="00DB2D17"/>
    <w:rsid w:val="00DB5E4D"/>
    <w:rsid w:val="00DB5F9F"/>
    <w:rsid w:val="00DB6D1F"/>
    <w:rsid w:val="00DB7FE6"/>
    <w:rsid w:val="00DC11CB"/>
    <w:rsid w:val="00DC13EA"/>
    <w:rsid w:val="00DC1BB7"/>
    <w:rsid w:val="00DC24FC"/>
    <w:rsid w:val="00DC3ADA"/>
    <w:rsid w:val="00DC4A0B"/>
    <w:rsid w:val="00DC4D66"/>
    <w:rsid w:val="00DC73B8"/>
    <w:rsid w:val="00DC78F4"/>
    <w:rsid w:val="00DD026E"/>
    <w:rsid w:val="00DD1715"/>
    <w:rsid w:val="00DD20B8"/>
    <w:rsid w:val="00DD2C4D"/>
    <w:rsid w:val="00DD35FE"/>
    <w:rsid w:val="00DD37BF"/>
    <w:rsid w:val="00DD4340"/>
    <w:rsid w:val="00DD44AD"/>
    <w:rsid w:val="00DD45F6"/>
    <w:rsid w:val="00DD5596"/>
    <w:rsid w:val="00DD5A7F"/>
    <w:rsid w:val="00DD6B23"/>
    <w:rsid w:val="00DE1E06"/>
    <w:rsid w:val="00DE342A"/>
    <w:rsid w:val="00DE381F"/>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269"/>
    <w:rsid w:val="00E01A14"/>
    <w:rsid w:val="00E01A51"/>
    <w:rsid w:val="00E02EE2"/>
    <w:rsid w:val="00E04B3B"/>
    <w:rsid w:val="00E04D61"/>
    <w:rsid w:val="00E05109"/>
    <w:rsid w:val="00E05188"/>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0B88"/>
    <w:rsid w:val="00E245F0"/>
    <w:rsid w:val="00E2566D"/>
    <w:rsid w:val="00E27820"/>
    <w:rsid w:val="00E304B3"/>
    <w:rsid w:val="00E31813"/>
    <w:rsid w:val="00E323D7"/>
    <w:rsid w:val="00E32827"/>
    <w:rsid w:val="00E329AF"/>
    <w:rsid w:val="00E342B0"/>
    <w:rsid w:val="00E350B7"/>
    <w:rsid w:val="00E356BA"/>
    <w:rsid w:val="00E37D1E"/>
    <w:rsid w:val="00E40979"/>
    <w:rsid w:val="00E435B7"/>
    <w:rsid w:val="00E43A26"/>
    <w:rsid w:val="00E466D8"/>
    <w:rsid w:val="00E46AF2"/>
    <w:rsid w:val="00E47557"/>
    <w:rsid w:val="00E503F7"/>
    <w:rsid w:val="00E5543F"/>
    <w:rsid w:val="00E60DAB"/>
    <w:rsid w:val="00E6140D"/>
    <w:rsid w:val="00E61F52"/>
    <w:rsid w:val="00E6379C"/>
    <w:rsid w:val="00E6414B"/>
    <w:rsid w:val="00E64851"/>
    <w:rsid w:val="00E67C51"/>
    <w:rsid w:val="00E70BD3"/>
    <w:rsid w:val="00E71783"/>
    <w:rsid w:val="00E71967"/>
    <w:rsid w:val="00E7237E"/>
    <w:rsid w:val="00E72A35"/>
    <w:rsid w:val="00E72A5A"/>
    <w:rsid w:val="00E72D5C"/>
    <w:rsid w:val="00E735B1"/>
    <w:rsid w:val="00E73BE0"/>
    <w:rsid w:val="00E741ED"/>
    <w:rsid w:val="00E74C65"/>
    <w:rsid w:val="00E770AD"/>
    <w:rsid w:val="00E77FD2"/>
    <w:rsid w:val="00E80003"/>
    <w:rsid w:val="00E81DCB"/>
    <w:rsid w:val="00E85206"/>
    <w:rsid w:val="00E85251"/>
    <w:rsid w:val="00E90B31"/>
    <w:rsid w:val="00E90BDF"/>
    <w:rsid w:val="00E929ED"/>
    <w:rsid w:val="00E940AC"/>
    <w:rsid w:val="00E94F36"/>
    <w:rsid w:val="00E95027"/>
    <w:rsid w:val="00E95883"/>
    <w:rsid w:val="00EA258A"/>
    <w:rsid w:val="00EA447E"/>
    <w:rsid w:val="00EA4DBC"/>
    <w:rsid w:val="00EA50AB"/>
    <w:rsid w:val="00EB037F"/>
    <w:rsid w:val="00EB10EA"/>
    <w:rsid w:val="00EB1595"/>
    <w:rsid w:val="00EB31AB"/>
    <w:rsid w:val="00EB4EFE"/>
    <w:rsid w:val="00EB532D"/>
    <w:rsid w:val="00EB5751"/>
    <w:rsid w:val="00EC1250"/>
    <w:rsid w:val="00EC175E"/>
    <w:rsid w:val="00EC22D7"/>
    <w:rsid w:val="00EC245A"/>
    <w:rsid w:val="00EC4BAE"/>
    <w:rsid w:val="00EC5B7C"/>
    <w:rsid w:val="00EC5D37"/>
    <w:rsid w:val="00EC6A3F"/>
    <w:rsid w:val="00ED2391"/>
    <w:rsid w:val="00ED3DA3"/>
    <w:rsid w:val="00EE0788"/>
    <w:rsid w:val="00EE0B53"/>
    <w:rsid w:val="00EE278E"/>
    <w:rsid w:val="00EE48CD"/>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3E17"/>
    <w:rsid w:val="00F05177"/>
    <w:rsid w:val="00F0601A"/>
    <w:rsid w:val="00F06686"/>
    <w:rsid w:val="00F0724E"/>
    <w:rsid w:val="00F079F3"/>
    <w:rsid w:val="00F10C66"/>
    <w:rsid w:val="00F12FA2"/>
    <w:rsid w:val="00F13242"/>
    <w:rsid w:val="00F14C67"/>
    <w:rsid w:val="00F15518"/>
    <w:rsid w:val="00F167FF"/>
    <w:rsid w:val="00F170F4"/>
    <w:rsid w:val="00F17616"/>
    <w:rsid w:val="00F21DDE"/>
    <w:rsid w:val="00F22E5F"/>
    <w:rsid w:val="00F2332D"/>
    <w:rsid w:val="00F233B0"/>
    <w:rsid w:val="00F24E5E"/>
    <w:rsid w:val="00F25D76"/>
    <w:rsid w:val="00F26DA9"/>
    <w:rsid w:val="00F31D64"/>
    <w:rsid w:val="00F33537"/>
    <w:rsid w:val="00F33736"/>
    <w:rsid w:val="00F33B09"/>
    <w:rsid w:val="00F3434E"/>
    <w:rsid w:val="00F358FC"/>
    <w:rsid w:val="00F36234"/>
    <w:rsid w:val="00F36D4A"/>
    <w:rsid w:val="00F376EB"/>
    <w:rsid w:val="00F37727"/>
    <w:rsid w:val="00F37FE5"/>
    <w:rsid w:val="00F40EC2"/>
    <w:rsid w:val="00F40EFA"/>
    <w:rsid w:val="00F41545"/>
    <w:rsid w:val="00F41EEA"/>
    <w:rsid w:val="00F4341D"/>
    <w:rsid w:val="00F4545C"/>
    <w:rsid w:val="00F45E80"/>
    <w:rsid w:val="00F50177"/>
    <w:rsid w:val="00F51132"/>
    <w:rsid w:val="00F51CC5"/>
    <w:rsid w:val="00F51F90"/>
    <w:rsid w:val="00F53A2C"/>
    <w:rsid w:val="00F567BF"/>
    <w:rsid w:val="00F56AC0"/>
    <w:rsid w:val="00F56F0E"/>
    <w:rsid w:val="00F56F47"/>
    <w:rsid w:val="00F57335"/>
    <w:rsid w:val="00F57A39"/>
    <w:rsid w:val="00F61F72"/>
    <w:rsid w:val="00F62680"/>
    <w:rsid w:val="00F63723"/>
    <w:rsid w:val="00F63BA4"/>
    <w:rsid w:val="00F658D6"/>
    <w:rsid w:val="00F65E9E"/>
    <w:rsid w:val="00F7025D"/>
    <w:rsid w:val="00F72085"/>
    <w:rsid w:val="00F7310F"/>
    <w:rsid w:val="00F73FF5"/>
    <w:rsid w:val="00F74EFB"/>
    <w:rsid w:val="00F76C66"/>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2751"/>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5BED"/>
    <w:rsid w:val="00FD79FF"/>
    <w:rsid w:val="00FE297B"/>
    <w:rsid w:val="00FE3880"/>
    <w:rsid w:val="00FE47DF"/>
    <w:rsid w:val="00FE7555"/>
    <w:rsid w:val="00FE75DD"/>
    <w:rsid w:val="00FF0C5F"/>
    <w:rsid w:val="00FF0CC1"/>
    <w:rsid w:val="00FF1517"/>
    <w:rsid w:val="00FF253E"/>
    <w:rsid w:val="00FF274C"/>
    <w:rsid w:val="00FF2B67"/>
    <w:rsid w:val="00FF354D"/>
    <w:rsid w:val="00FF471B"/>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6237"/>
    <w:rPr>
      <w:rFonts w:ascii="Arial" w:hAnsi="Arial"/>
      <w:sz w:val="22"/>
      <w:lang w:val="en-GB" w:eastAsia="en-GB"/>
    </w:rPr>
  </w:style>
  <w:style w:type="paragraph" w:customStyle="1" w:styleId="Recommendationfirstlevel">
    <w:name w:val="Recommendation first level"/>
    <w:basedOn w:val="Normal"/>
    <w:qFormat/>
    <w:rsid w:val="00E60DAB"/>
    <w:pPr>
      <w:numPr>
        <w:numId w:val="12"/>
      </w:numPr>
      <w:tabs>
        <w:tab w:val="left" w:pos="567"/>
      </w:tabs>
      <w:spacing w:after="0" w:line="240" w:lineRule="auto"/>
      <w:jc w:val="both"/>
    </w:pPr>
    <w:rPr>
      <w:rFonts w:ascii="Times New Roman" w:hAnsi="Times New Roman"/>
      <w:sz w:val="24"/>
      <w:szCs w:val="24"/>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6237"/>
    <w:rPr>
      <w:rFonts w:ascii="Arial" w:hAnsi="Arial"/>
      <w:sz w:val="22"/>
      <w:lang w:val="en-GB" w:eastAsia="en-GB"/>
    </w:rPr>
  </w:style>
  <w:style w:type="paragraph" w:customStyle="1" w:styleId="Recommendationfirstlevel">
    <w:name w:val="Recommendation first level"/>
    <w:basedOn w:val="Normal"/>
    <w:qFormat/>
    <w:rsid w:val="00E60DAB"/>
    <w:pPr>
      <w:numPr>
        <w:numId w:val="12"/>
      </w:numPr>
      <w:tabs>
        <w:tab w:val="left" w:pos="567"/>
      </w:tabs>
      <w:spacing w:after="0" w:line="240" w:lineRule="auto"/>
      <w:jc w:val="both"/>
    </w:pPr>
    <w:rPr>
      <w:rFonts w:ascii="Times New Roman" w:hAnsi="Times New Roman"/>
      <w:sz w:val="24"/>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02222619">
      <w:bodyDiv w:val="1"/>
      <w:marLeft w:val="0"/>
      <w:marRight w:val="0"/>
      <w:marTop w:val="0"/>
      <w:marBottom w:val="0"/>
      <w:divBdr>
        <w:top w:val="none" w:sz="0" w:space="0" w:color="auto"/>
        <w:left w:val="none" w:sz="0" w:space="0" w:color="auto"/>
        <w:bottom w:val="none" w:sz="0" w:space="0" w:color="auto"/>
        <w:right w:val="none" w:sz="0" w:space="0" w:color="auto"/>
      </w:divBdr>
      <w:divsChild>
        <w:div w:id="1741444900">
          <w:marLeft w:val="0"/>
          <w:marRight w:val="0"/>
          <w:marTop w:val="120"/>
          <w:marBottom w:val="120"/>
          <w:divBdr>
            <w:top w:val="none" w:sz="0" w:space="0" w:color="auto"/>
            <w:left w:val="none" w:sz="0" w:space="0" w:color="auto"/>
            <w:bottom w:val="none" w:sz="0" w:space="0" w:color="auto"/>
            <w:right w:val="none" w:sz="0" w:space="0" w:color="auto"/>
          </w:divBdr>
        </w:div>
      </w:divsChild>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7452">
      <w:bodyDiv w:val="1"/>
      <w:marLeft w:val="0"/>
      <w:marRight w:val="0"/>
      <w:marTop w:val="0"/>
      <w:marBottom w:val="0"/>
      <w:divBdr>
        <w:top w:val="none" w:sz="0" w:space="0" w:color="auto"/>
        <w:left w:val="none" w:sz="0" w:space="0" w:color="auto"/>
        <w:bottom w:val="none" w:sz="0" w:space="0" w:color="auto"/>
        <w:right w:val="none" w:sz="0" w:space="0" w:color="auto"/>
      </w:divBdr>
    </w:div>
    <w:div w:id="600144757">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097707898">
      <w:bodyDiv w:val="1"/>
      <w:marLeft w:val="0"/>
      <w:marRight w:val="0"/>
      <w:marTop w:val="0"/>
      <w:marBottom w:val="0"/>
      <w:divBdr>
        <w:top w:val="none" w:sz="0" w:space="0" w:color="auto"/>
        <w:left w:val="none" w:sz="0" w:space="0" w:color="auto"/>
        <w:bottom w:val="none" w:sz="0" w:space="0" w:color="auto"/>
        <w:right w:val="none" w:sz="0" w:space="0" w:color="auto"/>
      </w:divBdr>
      <w:divsChild>
        <w:div w:id="1121534250">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4DB3-727C-4426-9253-7D25880D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4486</Words>
  <Characters>24059</Characters>
  <Application>Microsoft Office Word</Application>
  <DocSecurity>0</DocSecurity>
  <Lines>962</Lines>
  <Paragraphs>361</Paragraphs>
  <ScaleCrop>false</ScaleCrop>
  <HeadingPairs>
    <vt:vector size="2" baseType="variant">
      <vt:variant>
        <vt:lpstr>Title</vt:lpstr>
      </vt:variant>
      <vt:variant>
        <vt:i4>1</vt:i4>
      </vt:variant>
    </vt:vector>
  </HeadingPairs>
  <TitlesOfParts>
    <vt:vector size="1" baseType="lpstr">
      <vt:lpstr>Regulatory impact statement - Bright-line test for sales of residential property (August 2015)</vt:lpstr>
    </vt:vector>
  </TitlesOfParts>
  <Company>Inland Revenue</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Bright-line test for sales of residential property (August 2015)</dc:title>
  <dc:subject/>
  <dc:creator>Policy and Strategy</dc:creator>
  <cp:keywords/>
  <dc:description>Published August 2015</dc:description>
  <cp:lastModifiedBy>David Nind</cp:lastModifiedBy>
  <cp:revision>2</cp:revision>
  <dcterms:created xsi:type="dcterms:W3CDTF">2015-08-23T07:08:00Z</dcterms:created>
  <dcterms:modified xsi:type="dcterms:W3CDTF">2015-08-23T07:09:00Z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